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Election of Senators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2003</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05 Sep 2007</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0-29T10:13:00Z"/>
        </w:trPr>
        <w:tc>
          <w:tcPr>
            <w:tcW w:w="2434" w:type="dxa"/>
            <w:vMerge w:val="restart"/>
          </w:tcPr>
          <w:p>
            <w:pPr>
              <w:rPr>
                <w:del w:id="2" w:author="svcMRProcess" w:date="2015-10-29T10:13:00Z"/>
              </w:rPr>
            </w:pPr>
          </w:p>
        </w:tc>
        <w:tc>
          <w:tcPr>
            <w:tcW w:w="2434" w:type="dxa"/>
            <w:vMerge w:val="restart"/>
          </w:tcPr>
          <w:p>
            <w:pPr>
              <w:jc w:val="center"/>
              <w:rPr>
                <w:del w:id="3" w:author="svcMRProcess" w:date="2015-10-29T10:13:00Z"/>
              </w:rPr>
            </w:pPr>
            <w:del w:id="4" w:author="svcMRProcess" w:date="2015-10-29T10:13: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0-29T10:13:00Z"/>
                <w:sz w:val="22"/>
              </w:rPr>
            </w:pPr>
          </w:p>
        </w:tc>
      </w:tr>
      <w:tr>
        <w:trPr>
          <w:cantSplit/>
          <w:del w:id="6" w:author="svcMRProcess" w:date="2015-10-29T10:13:00Z"/>
        </w:trPr>
        <w:tc>
          <w:tcPr>
            <w:tcW w:w="2434" w:type="dxa"/>
            <w:vMerge/>
          </w:tcPr>
          <w:p>
            <w:pPr>
              <w:rPr>
                <w:del w:id="7" w:author="svcMRProcess" w:date="2015-10-29T10:13:00Z"/>
              </w:rPr>
            </w:pPr>
          </w:p>
        </w:tc>
        <w:tc>
          <w:tcPr>
            <w:tcW w:w="2434" w:type="dxa"/>
            <w:vMerge/>
          </w:tcPr>
          <w:p>
            <w:pPr>
              <w:jc w:val="center"/>
              <w:rPr>
                <w:del w:id="8" w:author="svcMRProcess" w:date="2015-10-29T10:13:00Z"/>
              </w:rPr>
            </w:pPr>
          </w:p>
        </w:tc>
        <w:tc>
          <w:tcPr>
            <w:tcW w:w="2434" w:type="dxa"/>
          </w:tcPr>
          <w:p>
            <w:pPr>
              <w:keepNext/>
              <w:rPr>
                <w:del w:id="9" w:author="svcMRProcess" w:date="2015-10-29T10:13:00Z"/>
                <w:b/>
                <w:sz w:val="22"/>
              </w:rPr>
            </w:pPr>
            <w:del w:id="10" w:author="svcMRProcess" w:date="2015-10-29T10:13: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May 2003</w:delText>
              </w:r>
            </w:del>
          </w:p>
        </w:tc>
      </w:tr>
    </w:tbl>
    <w:p>
      <w:pPr>
        <w:pStyle w:val="WA"/>
        <w:spacing w:before="120"/>
      </w:pPr>
      <w:r>
        <w:t>Western Australia</w:t>
      </w:r>
    </w:p>
    <w:p>
      <w:pPr>
        <w:pStyle w:val="NameofActReg"/>
      </w:pPr>
      <w:r>
        <w:t xml:space="preserve">Election of Senators Act 1903 </w:t>
      </w:r>
    </w:p>
    <w:p>
      <w:pPr>
        <w:pStyle w:val="LongTitle"/>
        <w:rPr>
          <w:snapToGrid w:val="0"/>
        </w:rPr>
      </w:pPr>
      <w:r>
        <w:rPr>
          <w:snapToGrid w:val="0"/>
        </w:rPr>
        <w:t>A</w:t>
      </w:r>
      <w:bookmarkStart w:id="11" w:name="_GoBack"/>
      <w:bookmarkEnd w:id="11"/>
      <w:r>
        <w:rPr>
          <w:snapToGrid w:val="0"/>
        </w:rPr>
        <w:t xml:space="preserve">n Act to provide for the election of Senators for Western Australia to the Senate of the Commonwealth. </w:t>
      </w:r>
    </w:p>
    <w:p>
      <w:pPr>
        <w:pStyle w:val="Heading5"/>
        <w:rPr>
          <w:snapToGrid w:val="0"/>
        </w:rPr>
      </w:pPr>
      <w:bookmarkStart w:id="12" w:name="_Toc378171703"/>
      <w:bookmarkStart w:id="13" w:name="_Toc416702182"/>
      <w:bookmarkStart w:id="14" w:name="_Toc523732726"/>
      <w:bookmarkStart w:id="15" w:name="_Toc38949580"/>
      <w:bookmarkStart w:id="16" w:name="_Toc4050521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Election of Senators Act 1903</w:t>
      </w:r>
      <w:r>
        <w:rPr>
          <w:snapToGrid w:val="0"/>
        </w:rPr>
        <w:t xml:space="preserve"> </w:t>
      </w:r>
      <w:r>
        <w:rPr>
          <w:snapToGrid w:val="0"/>
          <w:vertAlign w:val="superscript"/>
        </w:rPr>
        <w:t>1</w:t>
      </w:r>
      <w:r>
        <w:rPr>
          <w:snapToGrid w:val="0"/>
        </w:rPr>
        <w:t>.</w:t>
      </w:r>
    </w:p>
    <w:p>
      <w:pPr>
        <w:pStyle w:val="Heading5"/>
        <w:rPr>
          <w:snapToGrid w:val="0"/>
        </w:rPr>
      </w:pPr>
      <w:bookmarkStart w:id="17" w:name="_Toc378171704"/>
      <w:bookmarkStart w:id="18" w:name="_Toc416702183"/>
      <w:bookmarkStart w:id="19" w:name="_Toc523732727"/>
      <w:bookmarkStart w:id="20" w:name="_Toc38949581"/>
      <w:bookmarkStart w:id="21" w:name="_Toc40505216"/>
      <w:r>
        <w:rPr>
          <w:rStyle w:val="CharSectno"/>
        </w:rPr>
        <w:t>2</w:t>
      </w:r>
      <w:r>
        <w:rPr>
          <w:snapToGrid w:val="0"/>
        </w:rPr>
        <w:t>.</w:t>
      </w:r>
      <w:r>
        <w:rPr>
          <w:snapToGrid w:val="0"/>
        </w:rPr>
        <w:tab/>
        <w:t>Power to fix dates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For the purpose of the election of Senators for this State to the Senate of the Parliament of the Commonwealth, the Governor may, by proclamation, fix the dates for — </w:t>
      </w:r>
    </w:p>
    <w:p>
      <w:pPr>
        <w:pStyle w:val="Indenta"/>
        <w:rPr>
          <w:snapToGrid w:val="0"/>
        </w:rPr>
      </w:pPr>
      <w:r>
        <w:rPr>
          <w:snapToGrid w:val="0"/>
        </w:rPr>
        <w:tab/>
        <w:t>(a)</w:t>
      </w:r>
      <w:r>
        <w:rPr>
          <w:snapToGrid w:val="0"/>
        </w:rPr>
        <w:tab/>
        <w:t>the close of the rolls;</w:t>
      </w:r>
    </w:p>
    <w:p>
      <w:pPr>
        <w:pStyle w:val="Indenta"/>
        <w:rPr>
          <w:snapToGrid w:val="0"/>
        </w:rPr>
      </w:pPr>
      <w:r>
        <w:rPr>
          <w:snapToGrid w:val="0"/>
        </w:rPr>
        <w:tab/>
        <w:t>(b)</w:t>
      </w:r>
      <w:r>
        <w:rPr>
          <w:snapToGrid w:val="0"/>
        </w:rPr>
        <w:tab/>
        <w:t>the nomination of candidates;</w:t>
      </w:r>
    </w:p>
    <w:p>
      <w:pPr>
        <w:pStyle w:val="Indenta"/>
        <w:rPr>
          <w:snapToGrid w:val="0"/>
        </w:rPr>
      </w:pPr>
      <w:r>
        <w:rPr>
          <w:snapToGrid w:val="0"/>
        </w:rPr>
        <w:tab/>
        <w:t>(c)</w:t>
      </w:r>
      <w:r>
        <w:rPr>
          <w:snapToGrid w:val="0"/>
        </w:rPr>
        <w:tab/>
        <w:t>the polling; and</w:t>
      </w:r>
    </w:p>
    <w:p>
      <w:pPr>
        <w:pStyle w:val="Indenta"/>
        <w:rPr>
          <w:snapToGrid w:val="0"/>
        </w:rPr>
      </w:pPr>
      <w:r>
        <w:rPr>
          <w:snapToGrid w:val="0"/>
        </w:rPr>
        <w:tab/>
        <w:t>(d)</w:t>
      </w:r>
      <w:r>
        <w:rPr>
          <w:snapToGrid w:val="0"/>
        </w:rPr>
        <w:tab/>
        <w:t>the return of the writ,</w:t>
      </w:r>
    </w:p>
    <w:p>
      <w:pPr>
        <w:pStyle w:val="Subsection"/>
        <w:rPr>
          <w:snapToGrid w:val="0"/>
        </w:rPr>
      </w:pPr>
      <w:r>
        <w:rPr>
          <w:snapToGrid w:val="0"/>
        </w:rPr>
        <w:tab/>
      </w:r>
      <w:r>
        <w:rPr>
          <w:snapToGrid w:val="0"/>
        </w:rPr>
        <w:tab/>
        <w:t>and so far as any of such times may be mentioned in the writ for the election, they shall be in accordance with the times fixed by such proclamation.</w:t>
      </w:r>
    </w:p>
    <w:p>
      <w:pPr>
        <w:pStyle w:val="Footnotesection"/>
      </w:pPr>
      <w:r>
        <w:tab/>
        <w:t xml:space="preserve">[Section 2 inserted by No. 86 of 1984 s. 3.] </w:t>
      </w:r>
    </w:p>
    <w:p>
      <w:pPr>
        <w:pStyle w:val="Heading5"/>
        <w:rPr>
          <w:snapToGrid w:val="0"/>
        </w:rPr>
      </w:pPr>
      <w:bookmarkStart w:id="22" w:name="_Toc378171705"/>
      <w:bookmarkStart w:id="23" w:name="_Toc416702184"/>
      <w:bookmarkStart w:id="24" w:name="_Toc523732728"/>
      <w:bookmarkStart w:id="25" w:name="_Toc38949582"/>
      <w:bookmarkStart w:id="26" w:name="_Toc40505217"/>
      <w:r>
        <w:rPr>
          <w:rStyle w:val="CharSectno"/>
        </w:rPr>
        <w:t>3</w:t>
      </w:r>
      <w:r>
        <w:rPr>
          <w:snapToGrid w:val="0"/>
        </w:rPr>
        <w:t>.</w:t>
      </w:r>
      <w:r>
        <w:rPr>
          <w:snapToGrid w:val="0"/>
        </w:rPr>
        <w:tab/>
        <w:t>Limits within which dates may be fixed</w:t>
      </w:r>
      <w:bookmarkEnd w:id="22"/>
      <w:bookmarkEnd w:id="23"/>
      <w:bookmarkEnd w:id="24"/>
      <w:bookmarkEnd w:id="25"/>
      <w:bookmarkEnd w:id="26"/>
      <w:r>
        <w:rPr>
          <w:snapToGrid w:val="0"/>
        </w:rPr>
        <w:t xml:space="preserve"> </w:t>
      </w:r>
    </w:p>
    <w:p>
      <w:pPr>
        <w:pStyle w:val="Subsection"/>
      </w:pPr>
      <w:r>
        <w:tab/>
        <w:t>(1)</w:t>
      </w:r>
      <w:r>
        <w:tab/>
        <w:t xml:space="preserve">The date fixed for the close of the rolls shall be </w:t>
      </w:r>
      <w:del w:id="27" w:author="svcMRProcess" w:date="2015-10-29T10:13:00Z">
        <w:r>
          <w:rPr>
            <w:snapToGrid w:val="0"/>
          </w:rPr>
          <w:delText>7 days</w:delText>
        </w:r>
      </w:del>
      <w:ins w:id="28" w:author="svcMRProcess" w:date="2015-10-29T10:13:00Z">
        <w:r>
          <w:t>the third working day</w:t>
        </w:r>
      </w:ins>
      <w:r>
        <w:t xml:space="preserve"> after the date of the writ.</w:t>
      </w:r>
    </w:p>
    <w:p>
      <w:pPr>
        <w:pStyle w:val="NotesPerm"/>
        <w:tabs>
          <w:tab w:val="left" w:pos="1418"/>
        </w:tabs>
        <w:ind w:left="1418" w:hanging="1418"/>
        <w:rPr>
          <w:ins w:id="29" w:author="svcMRProcess" w:date="2015-10-29T10:13:00Z"/>
        </w:rPr>
      </w:pPr>
      <w:ins w:id="30" w:author="svcMRProcess" w:date="2015-10-29T10:13:00Z">
        <w:r>
          <w:tab/>
          <w:t>Note:</w:t>
        </w:r>
        <w:r>
          <w:tab/>
          <w:t xml:space="preserve">The </w:t>
        </w:r>
        <w:r>
          <w:rPr>
            <w:i/>
            <w:iCs/>
          </w:rPr>
          <w:t>Commonwealth Electoral Act 1918</w:t>
        </w:r>
        <w:r>
          <w:t xml:space="preserve"> provides that names cannot be added to or removed from the rolls after the date of the writ except in very limited circumstances.</w:t>
        </w:r>
      </w:ins>
    </w:p>
    <w:p>
      <w:pPr>
        <w:pStyle w:val="Subsection"/>
        <w:rPr>
          <w:ins w:id="31" w:author="svcMRProcess" w:date="2015-10-29T10:13:00Z"/>
        </w:rPr>
      </w:pPr>
      <w:ins w:id="32" w:author="svcMRProcess" w:date="2015-10-29T10:13:00Z">
        <w:r>
          <w:tab/>
          <w:t>(1a)</w:t>
        </w:r>
        <w:r>
          <w:tab/>
          <w:t xml:space="preserve">In subsection (1) — </w:t>
        </w:r>
      </w:ins>
    </w:p>
    <w:p>
      <w:pPr>
        <w:pStyle w:val="Defstart"/>
        <w:rPr>
          <w:ins w:id="33" w:author="svcMRProcess" w:date="2015-10-29T10:13:00Z"/>
        </w:rPr>
      </w:pPr>
      <w:ins w:id="34" w:author="svcMRProcess" w:date="2015-10-29T10:13:00Z">
        <w:r>
          <w:rPr>
            <w:b/>
          </w:rPr>
          <w:tab/>
        </w:r>
        <w:r>
          <w:rPr>
            <w:rStyle w:val="CharDefText"/>
          </w:rPr>
          <w:t>working day</w:t>
        </w:r>
        <w:r>
          <w:t xml:space="preserve"> has the meaning given in the </w:t>
        </w:r>
        <w:r>
          <w:rPr>
            <w:i/>
            <w:iCs/>
          </w:rPr>
          <w:t>Commonwealth Electoral Act 1918</w:t>
        </w:r>
        <w:r>
          <w:t xml:space="preserve"> section 155(2).</w:t>
        </w:r>
      </w:ins>
    </w:p>
    <w:p>
      <w:pPr>
        <w:pStyle w:val="Subsection"/>
        <w:rPr>
          <w:snapToGrid w:val="0"/>
        </w:rPr>
      </w:pPr>
      <w:r>
        <w:rPr>
          <w:snapToGrid w:val="0"/>
        </w:rPr>
        <w:tab/>
        <w:t>(2)</w:t>
      </w:r>
      <w:r>
        <w:rPr>
          <w:snapToGrid w:val="0"/>
        </w:rPr>
        <w:tab/>
        <w:t>Subject to subsection (3) the date fixed for the nomination of the candidates shall not be less than 10 nor more than 27 days after the date of the writ.</w:t>
      </w:r>
    </w:p>
    <w:p>
      <w:pPr>
        <w:pStyle w:val="Subsection"/>
        <w:rPr>
          <w:snapToGrid w:val="0"/>
        </w:rPr>
      </w:pPr>
      <w:r>
        <w:rPr>
          <w:snapToGrid w:val="0"/>
        </w:rPr>
        <w:tab/>
        <w:t>(3)</w:t>
      </w:r>
      <w:r>
        <w:rPr>
          <w:snapToGrid w:val="0"/>
        </w:rPr>
        <w:tab/>
        <w:t>Where a candidate for an election dies, after being nominated and before 12 o’clock noon on the day fixed by the writ as the date of nomination for the election, the day fixed as the day of nomination for the election shall, except for the purposes of subsection (4), be taken to be the day next succeeding the day so fixed.</w:t>
      </w:r>
    </w:p>
    <w:p>
      <w:pPr>
        <w:pStyle w:val="Subsection"/>
        <w:rPr>
          <w:snapToGrid w:val="0"/>
        </w:rPr>
      </w:pPr>
      <w:r>
        <w:rPr>
          <w:snapToGrid w:val="0"/>
        </w:rPr>
        <w:tab/>
        <w:t>(4)</w:t>
      </w:r>
      <w:r>
        <w:rPr>
          <w:snapToGrid w:val="0"/>
        </w:rPr>
        <w:tab/>
        <w:t>The date fixed for the polling shall not be less than 23 days nor more than 31 days after the date of nomination.</w:t>
      </w:r>
    </w:p>
    <w:p>
      <w:pPr>
        <w:pStyle w:val="Subsection"/>
        <w:rPr>
          <w:snapToGrid w:val="0"/>
        </w:rPr>
      </w:pPr>
      <w:r>
        <w:rPr>
          <w:snapToGrid w:val="0"/>
        </w:rPr>
        <w:tab/>
        <w:t>(5)</w:t>
      </w:r>
      <w:r>
        <w:rPr>
          <w:snapToGrid w:val="0"/>
        </w:rPr>
        <w:tab/>
        <w:t>The day fixed for the polling shall be a Saturday.</w:t>
      </w:r>
    </w:p>
    <w:p>
      <w:pPr>
        <w:pStyle w:val="Subsection"/>
        <w:rPr>
          <w:snapToGrid w:val="0"/>
        </w:rPr>
      </w:pPr>
      <w:r>
        <w:rPr>
          <w:snapToGrid w:val="0"/>
        </w:rPr>
        <w:tab/>
        <w:t>(6)</w:t>
      </w:r>
      <w:r>
        <w:rPr>
          <w:snapToGrid w:val="0"/>
        </w:rPr>
        <w:tab/>
        <w:t>The date fixed for the return of the writ shall not be more than 100 days after the date of the writ.</w:t>
      </w:r>
    </w:p>
    <w:p>
      <w:pPr>
        <w:pStyle w:val="Footnotesection"/>
      </w:pPr>
      <w:r>
        <w:tab/>
        <w:t>[Section 3 inserted by No. 86 of 1984 s. 4; amended by No. 6 of 1989 s. 4; No. 16 of 2001 s. </w:t>
      </w:r>
      <w:ins w:id="35" w:author="svcMRProcess" w:date="2015-10-29T10:13:00Z">
        <w:r>
          <w:t>4; No. 20 of 2007 s. </w:t>
        </w:r>
      </w:ins>
      <w:r>
        <w:t xml:space="preserve">4.] </w:t>
      </w:r>
    </w:p>
    <w:p>
      <w:pPr>
        <w:pStyle w:val="Heading5"/>
        <w:rPr>
          <w:snapToGrid w:val="0"/>
        </w:rPr>
      </w:pPr>
      <w:bookmarkStart w:id="36" w:name="_Toc378171706"/>
      <w:bookmarkStart w:id="37" w:name="_Toc416702185"/>
      <w:bookmarkStart w:id="38" w:name="_Toc523732729"/>
      <w:bookmarkStart w:id="39" w:name="_Toc38949583"/>
      <w:bookmarkStart w:id="40" w:name="_Toc40505218"/>
      <w:r>
        <w:rPr>
          <w:rStyle w:val="CharSectno"/>
        </w:rPr>
        <w:t>4</w:t>
      </w:r>
      <w:r>
        <w:rPr>
          <w:snapToGrid w:val="0"/>
        </w:rPr>
        <w:t>.</w:t>
      </w:r>
      <w:r>
        <w:rPr>
          <w:snapToGrid w:val="0"/>
        </w:rPr>
        <w:tab/>
        <w:t>Dates to be specified in writ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writ shall bear the date of the day of issue and the date fixed for the close of the rolls, the nomination of candidates, the polling and the return of the writ shall be specified therein.</w:t>
      </w:r>
    </w:p>
    <w:p>
      <w:pPr>
        <w:pStyle w:val="Heading5"/>
        <w:rPr>
          <w:snapToGrid w:val="0"/>
        </w:rPr>
      </w:pPr>
      <w:bookmarkStart w:id="41" w:name="_Toc378171707"/>
      <w:bookmarkStart w:id="42" w:name="_Toc416702186"/>
      <w:bookmarkStart w:id="43" w:name="_Toc523732730"/>
      <w:bookmarkStart w:id="44" w:name="_Toc38949584"/>
      <w:bookmarkStart w:id="45" w:name="_Toc40505219"/>
      <w:r>
        <w:rPr>
          <w:rStyle w:val="CharSectno"/>
        </w:rPr>
        <w:t>5</w:t>
      </w:r>
      <w:r>
        <w:rPr>
          <w:snapToGrid w:val="0"/>
        </w:rPr>
        <w:t>.</w:t>
      </w:r>
      <w:r>
        <w:rPr>
          <w:snapToGrid w:val="0"/>
        </w:rPr>
        <w:tab/>
        <w:t>Time for nomination</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Nomination must be made at any time after the issue of the writ and before 12 o’clock noon on the day of nomination.</w:t>
      </w:r>
    </w:p>
    <w:p>
      <w:pPr>
        <w:pStyle w:val="Heading5"/>
        <w:rPr>
          <w:snapToGrid w:val="0"/>
        </w:rPr>
      </w:pPr>
      <w:bookmarkStart w:id="46" w:name="_Toc378171708"/>
      <w:bookmarkStart w:id="47" w:name="_Toc416702187"/>
      <w:bookmarkStart w:id="48" w:name="_Toc523732731"/>
      <w:bookmarkStart w:id="49" w:name="_Toc38949585"/>
      <w:bookmarkStart w:id="50" w:name="_Toc40505220"/>
      <w:r>
        <w:rPr>
          <w:rStyle w:val="CharSectno"/>
        </w:rPr>
        <w:t>6</w:t>
      </w:r>
      <w:r>
        <w:rPr>
          <w:snapToGrid w:val="0"/>
        </w:rPr>
        <w:t>.</w:t>
      </w:r>
      <w:r>
        <w:rPr>
          <w:snapToGrid w:val="0"/>
        </w:rPr>
        <w:tab/>
        <w:t>Polling places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polling shall be taken at all polling places within the State appointed under the law of the Commonwealth for the time being in force for the regulation of Parliamentary elections.</w:t>
      </w:r>
    </w:p>
    <w:p>
      <w:pPr>
        <w:pStyle w:val="Heading5"/>
        <w:rPr>
          <w:snapToGrid w:val="0"/>
        </w:rPr>
      </w:pPr>
      <w:bookmarkStart w:id="51" w:name="_Toc378171709"/>
      <w:bookmarkStart w:id="52" w:name="_Toc416702188"/>
      <w:bookmarkStart w:id="53" w:name="_Toc523732732"/>
      <w:bookmarkStart w:id="54" w:name="_Toc38949586"/>
      <w:bookmarkStart w:id="55" w:name="_Toc40505221"/>
      <w:r>
        <w:rPr>
          <w:rStyle w:val="CharSectno"/>
        </w:rPr>
        <w:t>7</w:t>
      </w:r>
      <w:r>
        <w:rPr>
          <w:snapToGrid w:val="0"/>
        </w:rPr>
        <w:t>.</w:t>
      </w:r>
      <w:r>
        <w:rPr>
          <w:snapToGrid w:val="0"/>
        </w:rPr>
        <w:tab/>
        <w:t>Hours of poll</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poll shall be open at 8.00 a.m. and shall not close until all electors in the polling booth at 6.00 p.m. and desiring to vote have voted.</w:t>
      </w:r>
    </w:p>
    <w:p>
      <w:pPr>
        <w:pStyle w:val="Footnotesection"/>
      </w:pPr>
      <w:r>
        <w:tab/>
        <w:t xml:space="preserve">[Section 7 amended by No. 27 of 1912 s. 4; No. 86 of 1984 s. 6.] </w:t>
      </w:r>
    </w:p>
    <w:p>
      <w:pPr>
        <w:pStyle w:val="Heading5"/>
        <w:rPr>
          <w:snapToGrid w:val="0"/>
        </w:rPr>
      </w:pPr>
      <w:bookmarkStart w:id="56" w:name="_Toc378171710"/>
      <w:bookmarkStart w:id="57" w:name="_Toc416702189"/>
      <w:bookmarkStart w:id="58" w:name="_Toc523732733"/>
      <w:bookmarkStart w:id="59" w:name="_Toc38949587"/>
      <w:bookmarkStart w:id="60" w:name="_Toc40505222"/>
      <w:r>
        <w:rPr>
          <w:rStyle w:val="CharSectno"/>
        </w:rPr>
        <w:t>8</w:t>
      </w:r>
      <w:r>
        <w:rPr>
          <w:snapToGrid w:val="0"/>
        </w:rPr>
        <w:t>.</w:t>
      </w:r>
      <w:r>
        <w:rPr>
          <w:snapToGrid w:val="0"/>
        </w:rPr>
        <w:tab/>
        <w:t>Power to extend times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Before or after the day appointed for the election, the Governor may, by notice published in the </w:t>
      </w:r>
      <w:r>
        <w:rPr>
          <w:i/>
          <w:snapToGrid w:val="0"/>
        </w:rPr>
        <w:t>Government Gazette</w:t>
      </w:r>
      <w:r>
        <w:rPr>
          <w:snapToGrid w:val="0"/>
        </w:rPr>
        <w:t>, provide for extending the time for holding the election or for returning the writ, or meeting any difficulty which might otherwise interfere with the due course of the election, and any provision so made shall be valid and sufficient.</w:t>
      </w:r>
    </w:p>
    <w:p>
      <w:pPr>
        <w:pStyle w:val="Footnotesection"/>
      </w:pPr>
      <w:r>
        <w:tab/>
        <w:t xml:space="preserve">[Section 8 amended by No. 6 of 1989 s. 5.] </w:t>
      </w:r>
    </w:p>
    <w:p>
      <w:pPr>
        <w:pStyle w:val="Heading5"/>
        <w:rPr>
          <w:snapToGrid w:val="0"/>
        </w:rPr>
      </w:pPr>
      <w:bookmarkStart w:id="61" w:name="_Toc378171711"/>
      <w:bookmarkStart w:id="62" w:name="_Toc416702190"/>
      <w:bookmarkStart w:id="63" w:name="_Toc523732734"/>
      <w:bookmarkStart w:id="64" w:name="_Toc38949588"/>
      <w:bookmarkStart w:id="65" w:name="_Toc40505223"/>
      <w:r>
        <w:rPr>
          <w:rStyle w:val="CharSectno"/>
        </w:rPr>
        <w:t>9</w:t>
      </w:r>
      <w:r>
        <w:rPr>
          <w:snapToGrid w:val="0"/>
        </w:rPr>
        <w:t>.</w:t>
      </w:r>
      <w:r>
        <w:rPr>
          <w:snapToGrid w:val="0"/>
        </w:rPr>
        <w:tab/>
        <w:t>Communication may be by wire</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In all cases where it is impracticable to communicate any writ, proclamation, or notice by post without occasioning undue delay, any telegraphic advice communicated in the ordinary course shall suffice for all purposes of this Act as if the matter telegraphed had been communicated in manner provided by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6" w:name="_Toc378171712"/>
      <w:bookmarkStart w:id="67" w:name="_Toc416702003"/>
      <w:bookmarkStart w:id="68" w:name="_Toc416702014"/>
      <w:bookmarkStart w:id="69" w:name="_Toc416702062"/>
      <w:bookmarkStart w:id="70" w:name="_Toc416702191"/>
      <w:r>
        <w:t>Notes</w:t>
      </w:r>
      <w:bookmarkEnd w:id="66"/>
      <w:bookmarkEnd w:id="67"/>
      <w:bookmarkEnd w:id="68"/>
      <w:bookmarkEnd w:id="69"/>
      <w:bookmarkEnd w:id="70"/>
    </w:p>
    <w:p>
      <w:pPr>
        <w:pStyle w:val="nSubsection"/>
        <w:rPr>
          <w:snapToGrid w:val="0"/>
        </w:rPr>
      </w:pPr>
      <w:r>
        <w:rPr>
          <w:snapToGrid w:val="0"/>
          <w:vertAlign w:val="superscript"/>
        </w:rPr>
        <w:t>1</w:t>
      </w:r>
      <w:r>
        <w:rPr>
          <w:snapToGrid w:val="0"/>
        </w:rPr>
        <w:tab/>
        <w:t>This</w:t>
      </w:r>
      <w:del w:id="71" w:author="svcMRProcess" w:date="2015-10-29T10:13:00Z">
        <w:r>
          <w:rPr>
            <w:snapToGrid w:val="0"/>
          </w:rPr>
          <w:delText> reprint</w:delText>
        </w:r>
      </w:del>
      <w:r>
        <w:rPr>
          <w:snapToGrid w:val="0"/>
        </w:rPr>
        <w:t xml:space="preserve"> is a compilation</w:t>
      </w:r>
      <w:del w:id="72" w:author="svcMRProcess" w:date="2015-10-29T10:13:00Z">
        <w:r>
          <w:rPr>
            <w:snapToGrid w:val="0"/>
          </w:rPr>
          <w:delText xml:space="preserve"> as at 16 May 2003</w:delText>
        </w:r>
      </w:del>
      <w:r>
        <w:rPr>
          <w:snapToGrid w:val="0"/>
        </w:rPr>
        <w:t xml:space="preserve"> of the </w:t>
      </w:r>
      <w:r>
        <w:rPr>
          <w:i/>
          <w:noProof/>
          <w:snapToGrid w:val="0"/>
        </w:rPr>
        <w:t>Election of Senators Act 1903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378171713"/>
      <w:bookmarkStart w:id="74" w:name="_Toc416702192"/>
      <w:bookmarkStart w:id="75" w:name="_Toc38949589"/>
      <w:bookmarkStart w:id="76" w:name="_Toc40505224"/>
      <w:r>
        <w:rPr>
          <w:snapToGrid w:val="0"/>
        </w:rPr>
        <w:t>Compilation table</w:t>
      </w:r>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Election of Senators Act 1903</w:t>
            </w:r>
          </w:p>
        </w:tc>
        <w:tc>
          <w:tcPr>
            <w:tcW w:w="1134" w:type="dxa"/>
          </w:tcPr>
          <w:p>
            <w:pPr>
              <w:pStyle w:val="nTable"/>
              <w:spacing w:after="40"/>
            </w:pPr>
            <w:r>
              <w:t>11 of 1903</w:t>
            </w:r>
          </w:p>
        </w:tc>
        <w:tc>
          <w:tcPr>
            <w:tcW w:w="1134" w:type="dxa"/>
          </w:tcPr>
          <w:p>
            <w:pPr>
              <w:pStyle w:val="nTable"/>
              <w:spacing w:after="40"/>
            </w:pPr>
            <w:r>
              <w:t>11 Dec 1903</w:t>
            </w:r>
          </w:p>
        </w:tc>
        <w:tc>
          <w:tcPr>
            <w:tcW w:w="2551" w:type="dxa"/>
          </w:tcPr>
          <w:p>
            <w:pPr>
              <w:pStyle w:val="nTable"/>
              <w:spacing w:after="40"/>
            </w:pPr>
            <w:r>
              <w:t>11 Dec 1903</w:t>
            </w:r>
          </w:p>
        </w:tc>
      </w:tr>
      <w:tr>
        <w:tc>
          <w:tcPr>
            <w:tcW w:w="2268" w:type="dxa"/>
          </w:tcPr>
          <w:p>
            <w:pPr>
              <w:pStyle w:val="nTable"/>
              <w:spacing w:after="40"/>
            </w:pPr>
            <w:r>
              <w:rPr>
                <w:i/>
              </w:rPr>
              <w:t>Election of Senators Amendment Act 1912</w:t>
            </w:r>
          </w:p>
        </w:tc>
        <w:tc>
          <w:tcPr>
            <w:tcW w:w="1134" w:type="dxa"/>
          </w:tcPr>
          <w:p>
            <w:pPr>
              <w:pStyle w:val="nTable"/>
              <w:spacing w:after="40"/>
            </w:pPr>
            <w:r>
              <w:t>27 of 1912</w:t>
            </w:r>
          </w:p>
        </w:tc>
        <w:tc>
          <w:tcPr>
            <w:tcW w:w="1134" w:type="dxa"/>
          </w:tcPr>
          <w:p>
            <w:pPr>
              <w:pStyle w:val="nTable"/>
              <w:spacing w:after="40"/>
            </w:pPr>
            <w:r>
              <w:t>27 Sep 1912</w:t>
            </w:r>
          </w:p>
        </w:tc>
        <w:tc>
          <w:tcPr>
            <w:tcW w:w="2551" w:type="dxa"/>
          </w:tcPr>
          <w:p>
            <w:pPr>
              <w:pStyle w:val="nTable"/>
              <w:spacing w:after="40"/>
            </w:pPr>
            <w:r>
              <w:t>27 Sep 1912</w:t>
            </w:r>
          </w:p>
        </w:tc>
      </w:tr>
      <w:tr>
        <w:tc>
          <w:tcPr>
            <w:tcW w:w="2268" w:type="dxa"/>
          </w:tcPr>
          <w:p>
            <w:pPr>
              <w:pStyle w:val="nTable"/>
              <w:spacing w:after="40"/>
            </w:pPr>
            <w:r>
              <w:rPr>
                <w:i/>
              </w:rPr>
              <w:t>Election of Senators Amendment Act 1984</w:t>
            </w:r>
          </w:p>
        </w:tc>
        <w:tc>
          <w:tcPr>
            <w:tcW w:w="1134" w:type="dxa"/>
          </w:tcPr>
          <w:p>
            <w:pPr>
              <w:pStyle w:val="nTable"/>
              <w:spacing w:after="40"/>
            </w:pPr>
            <w:r>
              <w:t>86 of 1984</w:t>
            </w:r>
          </w:p>
        </w:tc>
        <w:tc>
          <w:tcPr>
            <w:tcW w:w="1134" w:type="dxa"/>
          </w:tcPr>
          <w:p>
            <w:pPr>
              <w:pStyle w:val="nTable"/>
              <w:spacing w:after="40"/>
            </w:pPr>
            <w:r>
              <w:t>29 Nov 1984</w:t>
            </w:r>
          </w:p>
        </w:tc>
        <w:tc>
          <w:tcPr>
            <w:tcW w:w="2551" w:type="dxa"/>
          </w:tcPr>
          <w:p>
            <w:pPr>
              <w:pStyle w:val="nTable"/>
              <w:spacing w:after="40"/>
            </w:pPr>
            <w:r>
              <w:t>29 Nov 1984 (see s. 2)</w:t>
            </w:r>
          </w:p>
        </w:tc>
      </w:tr>
      <w:tr>
        <w:trPr>
          <w:cantSplit/>
        </w:trPr>
        <w:tc>
          <w:tcPr>
            <w:tcW w:w="7087" w:type="dxa"/>
            <w:gridSpan w:val="4"/>
          </w:tcPr>
          <w:p>
            <w:pPr>
              <w:pStyle w:val="nTable"/>
              <w:spacing w:after="40"/>
            </w:pPr>
            <w:r>
              <w:rPr>
                <w:b/>
              </w:rPr>
              <w:t xml:space="preserve">Reprint of the </w:t>
            </w:r>
            <w:r>
              <w:rPr>
                <w:b/>
                <w:i/>
              </w:rPr>
              <w:t>Election of Senators Act 1903</w:t>
            </w:r>
            <w:r>
              <w:rPr>
                <w:b/>
              </w:rPr>
              <w:t xml:space="preserve"> as at 13 Jul 1987 </w:t>
            </w:r>
            <w:r>
              <w:t>(includes amendments listed above)</w:t>
            </w:r>
          </w:p>
        </w:tc>
      </w:tr>
      <w:tr>
        <w:tc>
          <w:tcPr>
            <w:tcW w:w="2268" w:type="dxa"/>
          </w:tcPr>
          <w:p>
            <w:pPr>
              <w:pStyle w:val="nTable"/>
              <w:spacing w:after="40"/>
            </w:pPr>
            <w:r>
              <w:rPr>
                <w:i/>
              </w:rPr>
              <w:t>Election of Senators Amendment Act 1989</w:t>
            </w:r>
          </w:p>
        </w:tc>
        <w:tc>
          <w:tcPr>
            <w:tcW w:w="1134" w:type="dxa"/>
          </w:tcPr>
          <w:p>
            <w:pPr>
              <w:pStyle w:val="nTable"/>
              <w:spacing w:after="40"/>
            </w:pPr>
            <w:r>
              <w:t>6 of 1989</w:t>
            </w:r>
          </w:p>
        </w:tc>
        <w:tc>
          <w:tcPr>
            <w:tcW w:w="1134" w:type="dxa"/>
          </w:tcPr>
          <w:p>
            <w:pPr>
              <w:pStyle w:val="nTable"/>
              <w:spacing w:after="40"/>
            </w:pPr>
            <w:r>
              <w:t>23 Oct 1989</w:t>
            </w:r>
          </w:p>
        </w:tc>
        <w:tc>
          <w:tcPr>
            <w:tcW w:w="2551" w:type="dxa"/>
          </w:tcPr>
          <w:p>
            <w:pPr>
              <w:pStyle w:val="nTable"/>
              <w:spacing w:after="40"/>
            </w:pPr>
            <w:r>
              <w:t>23 Oct 1989 (see s. 2)</w:t>
            </w:r>
          </w:p>
        </w:tc>
      </w:tr>
      <w:tr>
        <w:tc>
          <w:tcPr>
            <w:tcW w:w="2268" w:type="dxa"/>
          </w:tcPr>
          <w:p>
            <w:pPr>
              <w:pStyle w:val="nTable"/>
              <w:spacing w:after="40"/>
              <w:rPr>
                <w:i/>
              </w:rPr>
            </w:pPr>
            <w:r>
              <w:rPr>
                <w:i/>
              </w:rPr>
              <w:t>Election of Senators Amendment Act 2001</w:t>
            </w:r>
          </w:p>
        </w:tc>
        <w:tc>
          <w:tcPr>
            <w:tcW w:w="1134" w:type="dxa"/>
          </w:tcPr>
          <w:p>
            <w:pPr>
              <w:pStyle w:val="nTable"/>
              <w:spacing w:after="40"/>
            </w:pPr>
            <w:r>
              <w:t>16 of 2001</w:t>
            </w:r>
          </w:p>
        </w:tc>
        <w:tc>
          <w:tcPr>
            <w:tcW w:w="1134" w:type="dxa"/>
          </w:tcPr>
          <w:p>
            <w:pPr>
              <w:pStyle w:val="nTable"/>
              <w:spacing w:after="40"/>
            </w:pPr>
            <w:r>
              <w:t>28 Aug 2001</w:t>
            </w:r>
          </w:p>
        </w:tc>
        <w:tc>
          <w:tcPr>
            <w:tcW w:w="2551" w:type="dxa"/>
          </w:tcPr>
          <w:p>
            <w:pPr>
              <w:pStyle w:val="nTable"/>
              <w:spacing w:after="40"/>
            </w:pPr>
            <w:r>
              <w:t>28 Aug 2001 (see s. 2)</w:t>
            </w:r>
          </w:p>
        </w:tc>
      </w:tr>
      <w:tr>
        <w:trPr>
          <w:cantSplit/>
        </w:trPr>
        <w:tc>
          <w:tcPr>
            <w:tcW w:w="7087" w:type="dxa"/>
            <w:gridSpan w:val="4"/>
          </w:tcPr>
          <w:p>
            <w:pPr>
              <w:pStyle w:val="nTable"/>
              <w:spacing w:after="40"/>
            </w:pPr>
            <w:r>
              <w:rPr>
                <w:b/>
              </w:rPr>
              <w:t xml:space="preserve">Reprint 2: The </w:t>
            </w:r>
            <w:r>
              <w:rPr>
                <w:b/>
                <w:i/>
              </w:rPr>
              <w:t>Election of Senators Act 1903</w:t>
            </w:r>
            <w:r>
              <w:rPr>
                <w:b/>
              </w:rPr>
              <w:t xml:space="preserve"> as at 16 May 2003 </w:t>
            </w:r>
            <w:r>
              <w:t>(includes amendments listed above)</w:t>
            </w:r>
          </w:p>
        </w:tc>
      </w:tr>
      <w:tr>
        <w:trPr>
          <w:ins w:id="77" w:author="svcMRProcess" w:date="2015-10-29T10:13:00Z"/>
        </w:trPr>
        <w:tc>
          <w:tcPr>
            <w:tcW w:w="2268" w:type="dxa"/>
            <w:tcBorders>
              <w:bottom w:val="single" w:sz="4" w:space="0" w:color="auto"/>
            </w:tcBorders>
          </w:tcPr>
          <w:p>
            <w:pPr>
              <w:pStyle w:val="nTable"/>
              <w:spacing w:after="40"/>
              <w:rPr>
                <w:ins w:id="78" w:author="svcMRProcess" w:date="2015-10-29T10:13:00Z"/>
                <w:i/>
              </w:rPr>
            </w:pPr>
            <w:ins w:id="79" w:author="svcMRProcess" w:date="2015-10-29T10:13:00Z">
              <w:r>
                <w:rPr>
                  <w:i/>
                </w:rPr>
                <w:t>Election of Senators Amendment Act 2007</w:t>
              </w:r>
            </w:ins>
          </w:p>
        </w:tc>
        <w:tc>
          <w:tcPr>
            <w:tcW w:w="1134" w:type="dxa"/>
            <w:tcBorders>
              <w:bottom w:val="single" w:sz="4" w:space="0" w:color="auto"/>
            </w:tcBorders>
          </w:tcPr>
          <w:p>
            <w:pPr>
              <w:pStyle w:val="nTable"/>
              <w:spacing w:after="40"/>
              <w:rPr>
                <w:ins w:id="80" w:author="svcMRProcess" w:date="2015-10-29T10:13:00Z"/>
              </w:rPr>
            </w:pPr>
            <w:ins w:id="81" w:author="svcMRProcess" w:date="2015-10-29T10:13:00Z">
              <w:r>
                <w:t>20 of 2007</w:t>
              </w:r>
            </w:ins>
          </w:p>
        </w:tc>
        <w:tc>
          <w:tcPr>
            <w:tcW w:w="1134" w:type="dxa"/>
            <w:tcBorders>
              <w:bottom w:val="single" w:sz="4" w:space="0" w:color="auto"/>
            </w:tcBorders>
          </w:tcPr>
          <w:p>
            <w:pPr>
              <w:pStyle w:val="nTable"/>
              <w:spacing w:after="40"/>
              <w:rPr>
                <w:ins w:id="82" w:author="svcMRProcess" w:date="2015-10-29T10:13:00Z"/>
              </w:rPr>
            </w:pPr>
            <w:ins w:id="83" w:author="svcMRProcess" w:date="2015-10-29T10:13:00Z">
              <w:r>
                <w:t>4 Sep 2007</w:t>
              </w:r>
            </w:ins>
          </w:p>
        </w:tc>
        <w:tc>
          <w:tcPr>
            <w:tcW w:w="2551" w:type="dxa"/>
            <w:tcBorders>
              <w:bottom w:val="single" w:sz="4" w:space="0" w:color="auto"/>
            </w:tcBorders>
          </w:tcPr>
          <w:p>
            <w:pPr>
              <w:pStyle w:val="nTable"/>
              <w:spacing w:after="40"/>
              <w:rPr>
                <w:ins w:id="84" w:author="svcMRProcess" w:date="2015-10-29T10:13:00Z"/>
              </w:rPr>
            </w:pPr>
            <w:ins w:id="85" w:author="svcMRProcess" w:date="2015-10-29T10:13:00Z">
              <w:r>
                <w:rPr>
                  <w:snapToGrid w:val="0"/>
                </w:rPr>
                <w:t>s. 1 and 2: 4 Sep 2007 (see s. 2(a));</w:t>
              </w:r>
              <w:r>
                <w:rPr>
                  <w:snapToGrid w:val="0"/>
                </w:rPr>
                <w:br/>
                <w:t>Act other than s. 1 and 2: 5 Sep 2007 (see s. 2(b))</w:t>
              </w:r>
            </w:ins>
          </w:p>
        </w:tc>
      </w:tr>
    </w:tb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Election of Senators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041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4EE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6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0600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6E11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44E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A0D0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B88A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1201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C9451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428D9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4BAD4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50105"/>
    <w:docVar w:name="WAFER_20140122162227" w:val="RemoveTocBookmarks,RemoveUnusedBookmarks,RemoveLanguageTags,UsedStyles,ResetPageSize,UpdateArrangement"/>
    <w:docVar w:name="WAFER_20140122162227_GUID" w:val="d8f1e297-957a-421c-8a45-f9c743abe6f7"/>
    <w:docVar w:name="WAFER_20140122162746" w:val="RemoveTocBookmarks,RunningHeaders"/>
    <w:docVar w:name="WAFER_20140122162746_GUID" w:val="62d3bd8a-89ba-4a5e-9181-f51f5a1684e7"/>
    <w:docVar w:name="WAFER_20150413150039" w:val="ResetPageSize,UpdateArrangement,UpdateNTable"/>
    <w:docVar w:name="WAFER_20150413150039_GUID" w:val="b1f89414-47d5-4688-a1be-066d4ce57f93"/>
    <w:docVar w:name="WAFER_20150413150105" w:val="ResetPageSize,UpdateArrangement,UpdateNTable"/>
    <w:docVar w:name="WAFER_20150413150105_GUID" w:val="a7ab2c17-f8b7-4fe1-b271-b447ab78a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4100</Characters>
  <Application>Microsoft Office Word</Application>
  <DocSecurity>0</DocSecurity>
  <Lines>146</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Senators Act 1903 02-a0-05 - 02-b0-05</dc:title>
  <dc:subject/>
  <dc:creator/>
  <cp:keywords/>
  <dc:description/>
  <cp:lastModifiedBy>svcMRProcess</cp:lastModifiedBy>
  <cp:revision>2</cp:revision>
  <cp:lastPrinted>2003-05-12T07:53:00Z</cp:lastPrinted>
  <dcterms:created xsi:type="dcterms:W3CDTF">2015-10-29T02:13:00Z</dcterms:created>
  <dcterms:modified xsi:type="dcterms:W3CDTF">2015-10-29T02:13:00Z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1903</vt:lpwstr>
  </property>
  <property fmtid="{D5CDD505-2E9C-101B-9397-08002B2CF9AE}" pid="3" name="CommencementDate">
    <vt:lpwstr>20070905</vt:lpwstr>
  </property>
  <property fmtid="{D5CDD505-2E9C-101B-9397-08002B2CF9AE}" pid="4" name="ReprintedAsAt">
    <vt:filetime>2003-05-15T16:00:00Z</vt:filetime>
  </property>
  <property fmtid="{D5CDD505-2E9C-101B-9397-08002B2CF9AE}" pid="5" name="DocumentType">
    <vt:lpwstr>Act</vt:lpwstr>
  </property>
  <property fmtid="{D5CDD505-2E9C-101B-9397-08002B2CF9AE}" pid="6" name="OwlsUID">
    <vt:i4>241</vt:i4>
  </property>
  <property fmtid="{D5CDD505-2E9C-101B-9397-08002B2CF9AE}" pid="7" name="FromSuffix">
    <vt:lpwstr>02-a0-05</vt:lpwstr>
  </property>
  <property fmtid="{D5CDD505-2E9C-101B-9397-08002B2CF9AE}" pid="8" name="FromAsAtDate">
    <vt:lpwstr>16 May 2003</vt:lpwstr>
  </property>
  <property fmtid="{D5CDD505-2E9C-101B-9397-08002B2CF9AE}" pid="9" name="ToSuffix">
    <vt:lpwstr>02-b0-05</vt:lpwstr>
  </property>
  <property fmtid="{D5CDD505-2E9C-101B-9397-08002B2CF9AE}" pid="10" name="ToAsAtDate">
    <vt:lpwstr>05 Sep 2007</vt:lpwstr>
  </property>
</Properties>
</file>