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2007</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14:07:00Z"/>
        </w:trPr>
        <w:tc>
          <w:tcPr>
            <w:tcW w:w="2434" w:type="dxa"/>
            <w:vMerge w:val="restart"/>
          </w:tcPr>
          <w:p>
            <w:pPr>
              <w:rPr>
                <w:del w:id="1" w:author="svcMRProcess" w:date="2015-10-30T14:07:00Z"/>
              </w:rPr>
            </w:pPr>
          </w:p>
        </w:tc>
        <w:tc>
          <w:tcPr>
            <w:tcW w:w="2434" w:type="dxa"/>
            <w:vMerge w:val="restart"/>
          </w:tcPr>
          <w:p>
            <w:pPr>
              <w:jc w:val="center"/>
              <w:rPr>
                <w:del w:id="2" w:author="svcMRProcess" w:date="2015-10-30T14:07:00Z"/>
              </w:rPr>
            </w:pPr>
            <w:del w:id="3" w:author="svcMRProcess" w:date="2015-10-30T14:07: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5-10-30T14:07:00Z"/>
              </w:rPr>
            </w:pPr>
          </w:p>
        </w:tc>
      </w:tr>
      <w:tr>
        <w:trPr>
          <w:cantSplit/>
          <w:del w:id="5" w:author="svcMRProcess" w:date="2015-10-30T14:07:00Z"/>
        </w:trPr>
        <w:tc>
          <w:tcPr>
            <w:tcW w:w="2434" w:type="dxa"/>
            <w:vMerge/>
          </w:tcPr>
          <w:p>
            <w:pPr>
              <w:rPr>
                <w:del w:id="6" w:author="svcMRProcess" w:date="2015-10-30T14:07:00Z"/>
              </w:rPr>
            </w:pPr>
          </w:p>
        </w:tc>
        <w:tc>
          <w:tcPr>
            <w:tcW w:w="2434" w:type="dxa"/>
            <w:vMerge/>
          </w:tcPr>
          <w:p>
            <w:pPr>
              <w:jc w:val="center"/>
              <w:rPr>
                <w:del w:id="7" w:author="svcMRProcess" w:date="2015-10-30T14:07:00Z"/>
              </w:rPr>
            </w:pPr>
          </w:p>
        </w:tc>
        <w:tc>
          <w:tcPr>
            <w:tcW w:w="2434" w:type="dxa"/>
          </w:tcPr>
          <w:p>
            <w:pPr>
              <w:keepNext/>
              <w:rPr>
                <w:del w:id="8" w:author="svcMRProcess" w:date="2015-10-30T14:07:00Z"/>
                <w:b/>
                <w:sz w:val="22"/>
              </w:rPr>
            </w:pPr>
            <w:del w:id="9" w:author="svcMRProcess" w:date="2015-10-30T14:07: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June 2007</w:delText>
              </w:r>
            </w:del>
          </w:p>
        </w:tc>
      </w:tr>
    </w:tbl>
    <w:p>
      <w:pPr>
        <w:pStyle w:val="WA"/>
        <w:spacing w:before="120"/>
      </w:pPr>
      <w:r>
        <w:t>Western Australia</w:t>
      </w:r>
    </w:p>
    <w:p>
      <w:pPr>
        <w:pStyle w:val="NameofActReg"/>
      </w:pPr>
      <w:r>
        <w:t>Jetties Act 1926</w:t>
      </w:r>
    </w:p>
    <w:p>
      <w:pPr>
        <w:pStyle w:val="LongTitle"/>
        <w:rPr>
          <w:snapToGrid w:val="0"/>
        </w:rPr>
      </w:pPr>
      <w:r>
        <w:rPr>
          <w:snapToGrid w:val="0"/>
        </w:rPr>
        <w:t>A</w:t>
      </w:r>
      <w:bookmarkStart w:id="10" w:name="_GoBack"/>
      <w:bookmarkEnd w:id="10"/>
      <w:r>
        <w:rPr>
          <w:snapToGrid w:val="0"/>
        </w:rPr>
        <w:t>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11" w:name="_Toc417984716"/>
      <w:bookmarkStart w:id="12" w:name="_Toc44987678"/>
      <w:bookmarkStart w:id="13" w:name="_Toc148420867"/>
      <w:bookmarkStart w:id="14" w:name="_Toc178560551"/>
      <w:bookmarkStart w:id="15" w:name="_Toc171751934"/>
      <w:r>
        <w:rPr>
          <w:rStyle w:val="CharSectno"/>
        </w:rPr>
        <w:t>1</w:t>
      </w:r>
      <w:r>
        <w:rPr>
          <w:snapToGrid w:val="0"/>
        </w:rPr>
        <w:t>.</w:t>
      </w:r>
      <w:r>
        <w:rPr>
          <w:snapToGrid w:val="0"/>
        </w:rPr>
        <w:tab/>
        <w:t>Short title</w:t>
      </w:r>
      <w:bookmarkEnd w:id="11"/>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Ednotesection"/>
      </w:pPr>
      <w:r>
        <w:t>[</w:t>
      </w:r>
      <w:r>
        <w:rPr>
          <w:b/>
          <w:bCs/>
        </w:rPr>
        <w:t>2.</w:t>
      </w:r>
      <w:r>
        <w:tab/>
        <w:t>Omitted under the Reprints Act 1984 s. 7(4)(f).]</w:t>
      </w:r>
    </w:p>
    <w:p>
      <w:pPr>
        <w:pStyle w:val="Heading5"/>
        <w:rPr>
          <w:snapToGrid w:val="0"/>
        </w:rPr>
      </w:pPr>
      <w:bookmarkStart w:id="16" w:name="_Toc417984718"/>
      <w:bookmarkStart w:id="17" w:name="_Toc44987680"/>
      <w:bookmarkStart w:id="18" w:name="_Toc148420869"/>
      <w:bookmarkStart w:id="19" w:name="_Toc178560552"/>
      <w:bookmarkStart w:id="20" w:name="_Toc171751935"/>
      <w:r>
        <w:rPr>
          <w:rStyle w:val="CharSectno"/>
        </w:rPr>
        <w:t>3</w:t>
      </w:r>
      <w:r>
        <w:rPr>
          <w:snapToGrid w:val="0"/>
        </w:rPr>
        <w:t>.</w:t>
      </w:r>
      <w:r>
        <w:rPr>
          <w:snapToGrid w:val="0"/>
        </w:rPr>
        <w:tab/>
      </w:r>
      <w:bookmarkEnd w:id="16"/>
      <w:bookmarkEnd w:id="17"/>
      <w:bookmarkEnd w:id="18"/>
      <w:r>
        <w:rPr>
          <w:snapToGrid w:val="0"/>
        </w:rPr>
        <w:t>Terms used in this Act</w:t>
      </w:r>
      <w:bookmarkEnd w:id="19"/>
      <w:bookmarkEnd w:id="20"/>
    </w:p>
    <w:p>
      <w:pPr>
        <w:pStyle w:val="Subsection"/>
        <w:rPr>
          <w:snapToGrid w:val="0"/>
        </w:rPr>
      </w:pPr>
      <w:r>
        <w:rPr>
          <w:snapToGrid w:val="0"/>
        </w:rPr>
        <w:tab/>
      </w:r>
      <w:r>
        <w:rPr>
          <w:snapToGrid w:val="0"/>
        </w:rPr>
        <w:tab/>
        <w:t>In this Act, subject to the context —</w:t>
      </w:r>
    </w:p>
    <w:p>
      <w:pPr>
        <w:pStyle w:val="Defstart"/>
      </w:pPr>
      <w:r>
        <w:rPr>
          <w:b/>
        </w:rPr>
        <w:tab/>
      </w:r>
      <w:del w:id="21" w:author="svcMRProcess" w:date="2015-10-30T14:07:00Z">
        <w:r>
          <w:rPr>
            <w:b/>
          </w:rPr>
          <w:delText>“</w:delText>
        </w:r>
      </w:del>
      <w:r>
        <w:rPr>
          <w:rStyle w:val="CharDefText"/>
        </w:rPr>
        <w:t>chief executive officer</w:t>
      </w:r>
      <w:del w:id="22" w:author="svcMRProcess" w:date="2015-10-30T14:07:00Z">
        <w:r>
          <w:rPr>
            <w:b/>
          </w:rPr>
          <w:delText>”</w:delText>
        </w:r>
      </w:del>
      <w:r>
        <w:t xml:space="preserve"> means the chief executive officer of the Department;</w:t>
      </w:r>
    </w:p>
    <w:p>
      <w:pPr>
        <w:pStyle w:val="Defstart"/>
      </w:pPr>
      <w:r>
        <w:rPr>
          <w:b/>
        </w:rPr>
        <w:tab/>
      </w:r>
      <w:del w:id="23" w:author="svcMRProcess" w:date="2015-10-30T14:07:00Z">
        <w:r>
          <w:rPr>
            <w:b/>
          </w:rPr>
          <w:delText>“</w:delText>
        </w:r>
      </w:del>
      <w:r>
        <w:rPr>
          <w:rStyle w:val="CharDefText"/>
        </w:rPr>
        <w:t>Department</w:t>
      </w:r>
      <w:del w:id="24" w:author="svcMRProcess" w:date="2015-10-30T14:07:00Z">
        <w:r>
          <w:rPr>
            <w:b/>
          </w:rPr>
          <w:delText>”</w:delText>
        </w:r>
      </w:del>
      <w:r>
        <w:t xml:space="preserve"> means the department of the Public Service principally assisting the Minister in the administration of this Act;</w:t>
      </w:r>
    </w:p>
    <w:p>
      <w:pPr>
        <w:pStyle w:val="Defstart"/>
      </w:pPr>
      <w:r>
        <w:rPr>
          <w:b/>
        </w:rPr>
        <w:tab/>
      </w:r>
      <w:del w:id="25" w:author="svcMRProcess" w:date="2015-10-30T14:07:00Z">
        <w:r>
          <w:rPr>
            <w:b/>
          </w:rPr>
          <w:delText>“</w:delText>
        </w:r>
      </w:del>
      <w:r>
        <w:rPr>
          <w:rStyle w:val="CharDefText"/>
        </w:rPr>
        <w:t>Government</w:t>
      </w:r>
      <w:del w:id="26" w:author="svcMRProcess" w:date="2015-10-30T14:07:00Z">
        <w:r>
          <w:rPr>
            <w:b/>
          </w:rPr>
          <w:delText>”</w:delText>
        </w:r>
      </w:del>
      <w:r>
        <w:t xml:space="preserve"> means Her Majesty’s Government of Western Australia;</w:t>
      </w:r>
    </w:p>
    <w:p>
      <w:pPr>
        <w:pStyle w:val="Defstart"/>
        <w:keepNext/>
        <w:ind w:left="1327" w:hanging="1327"/>
      </w:pPr>
      <w:r>
        <w:rPr>
          <w:b/>
        </w:rPr>
        <w:tab/>
      </w:r>
      <w:del w:id="27" w:author="svcMRProcess" w:date="2015-10-30T14:07:00Z">
        <w:r>
          <w:rPr>
            <w:b/>
          </w:rPr>
          <w:delText>“</w:delText>
        </w:r>
      </w:del>
      <w:r>
        <w:rPr>
          <w:rStyle w:val="CharDefText"/>
        </w:rPr>
        <w:t>jetty</w:t>
      </w:r>
      <w:del w:id="28" w:author="svcMRProcess" w:date="2015-10-30T14:07:00Z">
        <w:r>
          <w:rPr>
            <w:b/>
          </w:rPr>
          <w:delText>”</w:delText>
        </w:r>
      </w:del>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p>
    <w:p>
      <w:pPr>
        <w:pStyle w:val="Defstart"/>
      </w:pPr>
      <w:r>
        <w:rPr>
          <w:b/>
        </w:rPr>
        <w:tab/>
      </w:r>
      <w:del w:id="29" w:author="svcMRProcess" w:date="2015-10-30T14:07:00Z">
        <w:r>
          <w:rPr>
            <w:b/>
          </w:rPr>
          <w:delText>“</w:delText>
        </w:r>
      </w:del>
      <w:r>
        <w:rPr>
          <w:rStyle w:val="CharDefText"/>
        </w:rPr>
        <w:t>officer</w:t>
      </w:r>
      <w:del w:id="30" w:author="svcMRProcess" w:date="2015-10-30T14:07:00Z">
        <w:r>
          <w:rPr>
            <w:b/>
          </w:rPr>
          <w:delText>”</w:delText>
        </w:r>
      </w:del>
      <w:r>
        <w:t xml:space="preserve"> means an officer of the department;</w:t>
      </w:r>
    </w:p>
    <w:p>
      <w:pPr>
        <w:pStyle w:val="Defstart"/>
      </w:pPr>
      <w:r>
        <w:rPr>
          <w:b/>
        </w:rPr>
        <w:tab/>
      </w:r>
      <w:del w:id="31" w:author="svcMRProcess" w:date="2015-10-30T14:07:00Z">
        <w:r>
          <w:rPr>
            <w:b/>
          </w:rPr>
          <w:delText>“</w:delText>
        </w:r>
      </w:del>
      <w:r>
        <w:rPr>
          <w:rStyle w:val="CharDefText"/>
        </w:rPr>
        <w:t>private jetty</w:t>
      </w:r>
      <w:del w:id="32" w:author="svcMRProcess" w:date="2015-10-30T14:07:00Z">
        <w:r>
          <w:rPr>
            <w:b/>
          </w:rPr>
          <w:delText>”</w:delText>
        </w:r>
      </w:del>
      <w:r>
        <w:t xml:space="preserve"> means a jetty used and maintained by any person not being a person representing or acting on behalf of the Government;</w:t>
      </w:r>
    </w:p>
    <w:p>
      <w:pPr>
        <w:pStyle w:val="Defstart"/>
      </w:pPr>
      <w:r>
        <w:rPr>
          <w:b/>
        </w:rPr>
        <w:tab/>
      </w:r>
      <w:del w:id="33" w:author="svcMRProcess" w:date="2015-10-30T14:07:00Z">
        <w:r>
          <w:rPr>
            <w:b/>
          </w:rPr>
          <w:delText>“</w:delText>
        </w:r>
      </w:del>
      <w:r>
        <w:rPr>
          <w:rStyle w:val="CharDefText"/>
        </w:rPr>
        <w:t>public jetty</w:t>
      </w:r>
      <w:del w:id="34" w:author="svcMRProcess" w:date="2015-10-30T14:07:00Z">
        <w:r>
          <w:rPr>
            <w:b/>
          </w:rPr>
          <w:delText>”</w:delText>
        </w:r>
      </w:del>
      <w:r>
        <w:t xml:space="preserve"> means any jetty the property of Her Majesty or vested in any person on behalf of Her Majesty;</w:t>
      </w:r>
    </w:p>
    <w:p>
      <w:pPr>
        <w:pStyle w:val="Defstart"/>
      </w:pPr>
      <w:r>
        <w:rPr>
          <w:b/>
        </w:rPr>
        <w:tab/>
      </w:r>
      <w:bookmarkStart w:id="35" w:name="endcomma"/>
      <w:bookmarkEnd w:id="35"/>
      <w:del w:id="36" w:author="svcMRProcess" w:date="2015-10-30T14:07:00Z">
        <w:r>
          <w:rPr>
            <w:b/>
          </w:rPr>
          <w:delText>“</w:delText>
        </w:r>
      </w:del>
      <w:r>
        <w:rPr>
          <w:rStyle w:val="CharDefText"/>
        </w:rPr>
        <w:t>vessel</w:t>
      </w:r>
      <w:del w:id="37" w:author="svcMRProcess" w:date="2015-10-30T14:07:00Z">
        <w:r>
          <w:rPr>
            <w:b/>
          </w:rPr>
          <w:delText>”</w:delText>
        </w:r>
      </w:del>
      <w:r>
        <w:t xml:space="preserve"> </w:t>
      </w:r>
      <w:bookmarkStart w:id="38" w:name="comma"/>
      <w:bookmarkEnd w:id="38"/>
      <w:r>
        <w:t>includes any ship, lighter, barge, boat, raft, or craft of whatsoever description and howsoever navigated.</w:t>
      </w:r>
    </w:p>
    <w:p>
      <w:pPr>
        <w:pStyle w:val="Footnotesection"/>
      </w:pPr>
      <w:r>
        <w:tab/>
        <w:t>[Section 3 amended by No. 35 of 1986 s. 3; No. 47 of 1993 s. 13(1); No. 14 of 1996 s. 4.]</w:t>
      </w:r>
    </w:p>
    <w:p>
      <w:pPr>
        <w:pStyle w:val="Heading5"/>
        <w:rPr>
          <w:snapToGrid w:val="0"/>
        </w:rPr>
      </w:pPr>
      <w:bookmarkStart w:id="39" w:name="_Toc417984719"/>
      <w:bookmarkStart w:id="40" w:name="_Toc44987681"/>
      <w:bookmarkStart w:id="41" w:name="_Toc148420870"/>
      <w:bookmarkStart w:id="42" w:name="_Toc178560553"/>
      <w:bookmarkStart w:id="43" w:name="_Toc171751936"/>
      <w:r>
        <w:rPr>
          <w:rStyle w:val="CharSectno"/>
        </w:rPr>
        <w:t>4</w:t>
      </w:r>
      <w:r>
        <w:rPr>
          <w:snapToGrid w:val="0"/>
        </w:rPr>
        <w:t>.</w:t>
      </w:r>
      <w:r>
        <w:rPr>
          <w:snapToGrid w:val="0"/>
        </w:rPr>
        <w:tab/>
        <w:t>Power to make regulations</w:t>
      </w:r>
      <w:bookmarkEnd w:id="39"/>
      <w:bookmarkEnd w:id="40"/>
      <w:bookmarkEnd w:id="41"/>
      <w:bookmarkEnd w:id="42"/>
      <w:bookmarkEnd w:id="43"/>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the cleansing, repair, maintenance, and preservation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the imposition of a penalty not exceeding $500 for any contravention, by act or omission, of any regulation.</w:t>
      </w:r>
    </w:p>
    <w:p>
      <w:pPr>
        <w:pStyle w:val="Footnotesection"/>
      </w:pPr>
      <w:r>
        <w:tab/>
        <w:t>[Section 4 amended by No. 30 of 1965 s. 2; No. 5 of 1976 s. 2; No. 12 of 1976 s. 15; No. 35 of 1986 s. 4.]</w:t>
      </w:r>
    </w:p>
    <w:p>
      <w:pPr>
        <w:pStyle w:val="Heading5"/>
        <w:rPr>
          <w:snapToGrid w:val="0"/>
        </w:rPr>
      </w:pPr>
      <w:bookmarkStart w:id="44" w:name="_Toc417984720"/>
      <w:bookmarkStart w:id="45" w:name="_Toc44987682"/>
      <w:bookmarkStart w:id="46" w:name="_Toc148420871"/>
      <w:bookmarkStart w:id="47" w:name="_Toc178560554"/>
      <w:bookmarkStart w:id="48" w:name="_Toc171751937"/>
      <w:r>
        <w:rPr>
          <w:rStyle w:val="CharSectno"/>
        </w:rPr>
        <w:t>4A</w:t>
      </w:r>
      <w:r>
        <w:rPr>
          <w:snapToGrid w:val="0"/>
        </w:rPr>
        <w:t>.</w:t>
      </w:r>
      <w:r>
        <w:rPr>
          <w:snapToGrid w:val="0"/>
        </w:rPr>
        <w:tab/>
        <w:t>Adoption of rules, codes, etc.</w:t>
      </w:r>
      <w:bookmarkEnd w:id="44"/>
      <w:bookmarkEnd w:id="45"/>
      <w:bookmarkEnd w:id="46"/>
      <w:bookmarkEnd w:id="47"/>
      <w:bookmarkEnd w:id="48"/>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by No. 12 of 1976 s. 14; amended by No. 74 of 2003 s. 70.]</w:t>
      </w:r>
    </w:p>
    <w:p>
      <w:pPr>
        <w:pStyle w:val="Heading5"/>
        <w:rPr>
          <w:snapToGrid w:val="0"/>
        </w:rPr>
      </w:pPr>
      <w:bookmarkStart w:id="49" w:name="_Toc417984721"/>
      <w:bookmarkStart w:id="50" w:name="_Toc44987683"/>
      <w:bookmarkStart w:id="51" w:name="_Toc148420872"/>
      <w:bookmarkStart w:id="52" w:name="_Toc178560555"/>
      <w:bookmarkStart w:id="53" w:name="_Toc171751938"/>
      <w:r>
        <w:rPr>
          <w:rStyle w:val="CharSectno"/>
        </w:rPr>
        <w:t>5</w:t>
      </w:r>
      <w:r>
        <w:rPr>
          <w:snapToGrid w:val="0"/>
        </w:rPr>
        <w:t>.</w:t>
      </w:r>
      <w:r>
        <w:rPr>
          <w:snapToGrid w:val="0"/>
        </w:rPr>
        <w:tab/>
        <w:t>Application of regulations under this Act</w:t>
      </w:r>
      <w:bookmarkEnd w:id="49"/>
      <w:bookmarkEnd w:id="50"/>
      <w:bookmarkEnd w:id="51"/>
      <w:bookmarkEnd w:id="52"/>
      <w:bookmarkEnd w:id="53"/>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pPr>
        <w:pStyle w:val="Indenta"/>
        <w:rPr>
          <w:snapToGrid w:val="0"/>
        </w:rPr>
      </w:pPr>
      <w:r>
        <w:rPr>
          <w:snapToGrid w:val="0"/>
        </w:rPr>
        <w:tab/>
        <w:t>(e)</w:t>
      </w:r>
      <w:r>
        <w:rPr>
          <w:snapToGrid w:val="0"/>
        </w:rPr>
        <w:tab/>
        <w:t>shall not apply to any jetty or work under the control of the commissioners of a harbour trust or members of a harbour board.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by No. 33 of 1957 s. 2; No. 14 of 1996 s. 4; No. 31 of 2003 s. 148.]</w:t>
      </w:r>
    </w:p>
    <w:p>
      <w:pPr>
        <w:pStyle w:val="Heading5"/>
        <w:rPr>
          <w:snapToGrid w:val="0"/>
        </w:rPr>
      </w:pPr>
      <w:bookmarkStart w:id="54" w:name="_Toc417984722"/>
      <w:bookmarkStart w:id="55" w:name="_Toc44987684"/>
      <w:bookmarkStart w:id="56" w:name="_Toc148420873"/>
      <w:bookmarkStart w:id="57" w:name="_Toc178560556"/>
      <w:bookmarkStart w:id="58" w:name="_Toc171751939"/>
      <w:r>
        <w:rPr>
          <w:rStyle w:val="CharSectno"/>
        </w:rPr>
        <w:t>6</w:t>
      </w:r>
      <w:r>
        <w:rPr>
          <w:snapToGrid w:val="0"/>
        </w:rPr>
        <w:t>.</w:t>
      </w:r>
      <w:r>
        <w:rPr>
          <w:snapToGrid w:val="0"/>
        </w:rPr>
        <w:tab/>
        <w:t>Construction of jetties</w:t>
      </w:r>
      <w:bookmarkEnd w:id="54"/>
      <w:bookmarkEnd w:id="55"/>
      <w:bookmarkEnd w:id="56"/>
      <w:bookmarkEnd w:id="57"/>
      <w:bookmarkEnd w:id="58"/>
    </w:p>
    <w:p>
      <w:pPr>
        <w:pStyle w:val="Subsection"/>
        <w:keepNext/>
        <w:rPr>
          <w:snapToGrid w:val="0"/>
        </w:rPr>
      </w:pPr>
      <w:r>
        <w:rPr>
          <w:snapToGrid w:val="0"/>
        </w:rPr>
        <w:tab/>
        <w:t>(1)</w:t>
      </w:r>
      <w:r>
        <w:rPr>
          <w:snapToGrid w:val="0"/>
        </w:rPr>
        <w:tab/>
        <w:t>The Governor may authorise the Minister to —</w:t>
      </w:r>
    </w:p>
    <w:p>
      <w:pPr>
        <w:pStyle w:val="Indenta"/>
        <w:rPr>
          <w:snapToGrid w:val="0"/>
        </w:rPr>
      </w:pPr>
      <w:r>
        <w:rPr>
          <w:snapToGrid w:val="0"/>
        </w:rPr>
        <w:tab/>
        <w:t>(a)</w:t>
      </w:r>
      <w:r>
        <w:rPr>
          <w:snapToGrid w:val="0"/>
        </w:rPr>
        <w:tab/>
        <w:t>undertake, construct, and provide any jetty;</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Footnotesection"/>
      </w:pPr>
      <w:r>
        <w:tab/>
        <w:t>[Section 6 amended by No. 31 of 1997 s. 142.]</w:t>
      </w:r>
    </w:p>
    <w:p>
      <w:pPr>
        <w:pStyle w:val="Heading5"/>
        <w:rPr>
          <w:snapToGrid w:val="0"/>
        </w:rPr>
      </w:pPr>
      <w:bookmarkStart w:id="59" w:name="_Toc417984723"/>
      <w:bookmarkStart w:id="60" w:name="_Toc44987685"/>
      <w:bookmarkStart w:id="61" w:name="_Toc148420874"/>
      <w:bookmarkStart w:id="62" w:name="_Toc178560557"/>
      <w:bookmarkStart w:id="63" w:name="_Toc171751940"/>
      <w:r>
        <w:rPr>
          <w:rStyle w:val="CharSectno"/>
        </w:rPr>
        <w:t>7</w:t>
      </w:r>
      <w:r>
        <w:rPr>
          <w:snapToGrid w:val="0"/>
        </w:rPr>
        <w:t>.</w:t>
      </w:r>
      <w:r>
        <w:rPr>
          <w:snapToGrid w:val="0"/>
        </w:rPr>
        <w:tab/>
        <w:t>Power to grant licences</w:t>
      </w:r>
      <w:bookmarkEnd w:id="59"/>
      <w:bookmarkEnd w:id="60"/>
      <w:bookmarkEnd w:id="61"/>
      <w:bookmarkEnd w:id="62"/>
      <w:bookmarkEnd w:id="63"/>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w:t>
      </w:r>
      <w:del w:id="64" w:author="svcMRProcess" w:date="2015-10-30T14:07:00Z">
        <w:r>
          <w:rPr>
            <w:snapToGrid w:val="0"/>
          </w:rPr>
          <w:delText xml:space="preserve">section 50 of </w:delText>
        </w:r>
      </w:del>
      <w:r>
        <w:t xml:space="preserve">the </w:t>
      </w:r>
      <w:r>
        <w:rPr>
          <w:i/>
          <w:iCs/>
        </w:rPr>
        <w:t xml:space="preserve">Swan </w:t>
      </w:r>
      <w:del w:id="65" w:author="svcMRProcess" w:date="2015-10-30T14:07:00Z">
        <w:r>
          <w:rPr>
            <w:i/>
            <w:snapToGrid w:val="0"/>
          </w:rPr>
          <w:delText>River Trust</w:delText>
        </w:r>
      </w:del>
      <w:ins w:id="66" w:author="svcMRProcess" w:date="2015-10-30T14:07:00Z">
        <w:r>
          <w:rPr>
            <w:i/>
            <w:iCs/>
          </w:rPr>
          <w:t>and Canning Rivers Management</w:t>
        </w:r>
      </w:ins>
      <w:r>
        <w:rPr>
          <w:i/>
          <w:iCs/>
        </w:rPr>
        <w:t xml:space="preserve"> Act </w:t>
      </w:r>
      <w:del w:id="67" w:author="svcMRProcess" w:date="2015-10-30T14:07:00Z">
        <w:r>
          <w:rPr>
            <w:i/>
            <w:snapToGrid w:val="0"/>
          </w:rPr>
          <w:delText>1988</w:delText>
        </w:r>
      </w:del>
      <w:ins w:id="68" w:author="svcMRProcess" w:date="2015-10-30T14:07:00Z">
        <w:r>
          <w:rPr>
            <w:i/>
            <w:iCs/>
          </w:rPr>
          <w:t>2006</w:t>
        </w:r>
        <w:r>
          <w:t xml:space="preserve"> section 70</w:t>
        </w:r>
      </w:ins>
      <w:r>
        <w:t xml:space="preserve">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by No. 30 of 1965 s. 3; No. 35 of 1986 s. 5; No. 21 of 1988 s. 7; No. 47 of 1993 s. 13(2); No. 55 of 2004 s. 542; No. 38 of 2005 s. </w:t>
      </w:r>
      <w:del w:id="69" w:author="svcMRProcess" w:date="2015-10-30T14:07:00Z">
        <w:r>
          <w:delText>15</w:delText>
        </w:r>
      </w:del>
      <w:ins w:id="70" w:author="svcMRProcess" w:date="2015-10-30T14:07:00Z">
        <w:r>
          <w:t>15; No. 52 of 2006 s. 6</w:t>
        </w:r>
      </w:ins>
      <w:r>
        <w:t>.]</w:t>
      </w:r>
    </w:p>
    <w:p>
      <w:pPr>
        <w:pStyle w:val="Heading5"/>
        <w:rPr>
          <w:snapToGrid w:val="0"/>
        </w:rPr>
      </w:pPr>
      <w:bookmarkStart w:id="71" w:name="_Toc417984724"/>
      <w:bookmarkStart w:id="72" w:name="_Toc44987686"/>
      <w:bookmarkStart w:id="73" w:name="_Toc148420875"/>
      <w:bookmarkStart w:id="74" w:name="_Toc178560558"/>
      <w:bookmarkStart w:id="75" w:name="_Toc171751941"/>
      <w:r>
        <w:rPr>
          <w:rStyle w:val="CharSectno"/>
        </w:rPr>
        <w:t>7A</w:t>
      </w:r>
      <w:r>
        <w:rPr>
          <w:snapToGrid w:val="0"/>
        </w:rPr>
        <w:t>.</w:t>
      </w:r>
      <w:r>
        <w:rPr>
          <w:snapToGrid w:val="0"/>
        </w:rPr>
        <w:tab/>
      </w:r>
      <w:bookmarkEnd w:id="71"/>
      <w:bookmarkEnd w:id="72"/>
      <w:bookmarkEnd w:id="73"/>
      <w:r>
        <w:rPr>
          <w:snapToGrid w:val="0"/>
        </w:rPr>
        <w:t>Reviews</w:t>
      </w:r>
      <w:bookmarkEnd w:id="74"/>
      <w:bookmarkEnd w:id="75"/>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repealed]</w:t>
      </w:r>
    </w:p>
    <w:p>
      <w:pPr>
        <w:pStyle w:val="Footnotesection"/>
      </w:pPr>
      <w:r>
        <w:tab/>
        <w:t>[Section 7A inserted by No. 35 of 1986 s. 6; amended by No. 47 of 1993 s. 13(2); No. 55 of 2004 s. 543.]</w:t>
      </w:r>
    </w:p>
    <w:p>
      <w:pPr>
        <w:pStyle w:val="Heading5"/>
        <w:rPr>
          <w:snapToGrid w:val="0"/>
        </w:rPr>
      </w:pPr>
      <w:bookmarkStart w:id="76" w:name="_Toc417984725"/>
      <w:bookmarkStart w:id="77" w:name="_Toc44987687"/>
      <w:bookmarkStart w:id="78" w:name="_Toc148420876"/>
      <w:bookmarkStart w:id="79" w:name="_Toc178560559"/>
      <w:bookmarkStart w:id="80" w:name="_Toc171751942"/>
      <w:r>
        <w:rPr>
          <w:rStyle w:val="CharSectno"/>
        </w:rPr>
        <w:t>8</w:t>
      </w:r>
      <w:r>
        <w:rPr>
          <w:snapToGrid w:val="0"/>
        </w:rPr>
        <w:t>.</w:t>
      </w:r>
      <w:r>
        <w:rPr>
          <w:snapToGrid w:val="0"/>
        </w:rPr>
        <w:tab/>
        <w:t>Private jetties, not to be maintained except pursuant to licence or lease</w:t>
      </w:r>
      <w:bookmarkEnd w:id="76"/>
      <w:bookmarkEnd w:id="77"/>
      <w:bookmarkEnd w:id="78"/>
      <w:bookmarkEnd w:id="79"/>
      <w:bookmarkEnd w:id="80"/>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Penalty: $2 000.</w:t>
      </w:r>
    </w:p>
    <w:p>
      <w:pPr>
        <w:pStyle w:val="Footnotesection"/>
      </w:pPr>
      <w:r>
        <w:tab/>
        <w:t>[Section 8 amended by No. 113 of 1965 s. 8.]</w:t>
      </w:r>
    </w:p>
    <w:p>
      <w:pPr>
        <w:pStyle w:val="Heading5"/>
        <w:rPr>
          <w:snapToGrid w:val="0"/>
        </w:rPr>
      </w:pPr>
      <w:bookmarkStart w:id="81" w:name="_Toc417984726"/>
      <w:bookmarkStart w:id="82" w:name="_Toc44987688"/>
      <w:bookmarkStart w:id="83" w:name="_Toc148420877"/>
      <w:bookmarkStart w:id="84" w:name="_Toc178560560"/>
      <w:bookmarkStart w:id="85" w:name="_Toc171751943"/>
      <w:r>
        <w:rPr>
          <w:rStyle w:val="CharSectno"/>
        </w:rPr>
        <w:t>8A</w:t>
      </w:r>
      <w:r>
        <w:rPr>
          <w:snapToGrid w:val="0"/>
        </w:rPr>
        <w:t>.</w:t>
      </w:r>
      <w:r>
        <w:rPr>
          <w:snapToGrid w:val="0"/>
        </w:rPr>
        <w:tab/>
        <w:t>Removal of unlicensed jetties</w:t>
      </w:r>
      <w:bookmarkEnd w:id="81"/>
      <w:bookmarkEnd w:id="82"/>
      <w:bookmarkEnd w:id="83"/>
      <w:bookmarkEnd w:id="84"/>
      <w:bookmarkEnd w:id="85"/>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spacing w:before="200"/>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pPr>
        <w:pStyle w:val="Subsection"/>
        <w:keepNext/>
        <w:spacing w:before="200"/>
        <w:rPr>
          <w:snapToGrid w:val="0"/>
        </w:rPr>
      </w:pPr>
      <w:r>
        <w:rPr>
          <w:snapToGrid w:val="0"/>
        </w:rPr>
        <w:tab/>
        <w:t>(5)</w:t>
      </w:r>
      <w:r>
        <w:rPr>
          <w:snapToGrid w:val="0"/>
        </w:rPr>
        <w:tab/>
        <w:t>The proceeds of a sale referred to in subsection (4) 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by No. 35 of 1986 s. 8; amended by No. 6 of 1993 s. 11; No. 49 of 1996 s. 64; No. 77 of 2006 s. 4.]</w:t>
      </w:r>
    </w:p>
    <w:p>
      <w:pPr>
        <w:pStyle w:val="Heading5"/>
        <w:rPr>
          <w:snapToGrid w:val="0"/>
        </w:rPr>
      </w:pPr>
      <w:bookmarkStart w:id="86" w:name="_Toc417984727"/>
      <w:bookmarkStart w:id="87" w:name="_Toc44987689"/>
      <w:bookmarkStart w:id="88" w:name="_Toc148420878"/>
      <w:bookmarkStart w:id="89" w:name="_Toc178560561"/>
      <w:bookmarkStart w:id="90" w:name="_Toc171751944"/>
      <w:r>
        <w:rPr>
          <w:rStyle w:val="CharSectno"/>
        </w:rPr>
        <w:t>9</w:t>
      </w:r>
      <w:r>
        <w:rPr>
          <w:snapToGrid w:val="0"/>
        </w:rPr>
        <w:t>.</w:t>
      </w:r>
      <w:r>
        <w:rPr>
          <w:snapToGrid w:val="0"/>
        </w:rPr>
        <w:tab/>
        <w:t>Regulations regarding buoys</w:t>
      </w:r>
      <w:bookmarkEnd w:id="86"/>
      <w:bookmarkEnd w:id="87"/>
      <w:bookmarkEnd w:id="88"/>
      <w:bookmarkEnd w:id="89"/>
      <w:bookmarkEnd w:id="90"/>
    </w:p>
    <w:p>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pPr>
        <w:pStyle w:val="Footnotesection"/>
      </w:pPr>
      <w:r>
        <w:tab/>
        <w:t>[Section 9 amended by No. 5 of 1976 s. 3; No. 35 of 1986 s. 9.]</w:t>
      </w:r>
    </w:p>
    <w:p>
      <w:pPr>
        <w:pStyle w:val="Heading5"/>
        <w:rPr>
          <w:snapToGrid w:val="0"/>
        </w:rPr>
      </w:pPr>
      <w:bookmarkStart w:id="91" w:name="_Toc417984728"/>
      <w:bookmarkStart w:id="92" w:name="_Toc44987690"/>
      <w:bookmarkStart w:id="93" w:name="_Toc148420879"/>
      <w:bookmarkStart w:id="94" w:name="_Toc178560562"/>
      <w:bookmarkStart w:id="95" w:name="_Toc171751945"/>
      <w:r>
        <w:rPr>
          <w:rStyle w:val="CharSectno"/>
        </w:rPr>
        <w:t>10</w:t>
      </w:r>
      <w:r>
        <w:rPr>
          <w:snapToGrid w:val="0"/>
        </w:rPr>
        <w:t>.</w:t>
      </w:r>
      <w:r>
        <w:rPr>
          <w:snapToGrid w:val="0"/>
        </w:rPr>
        <w:tab/>
        <w:t>Fires not to be allowed near public jetties</w:t>
      </w:r>
      <w:bookmarkEnd w:id="91"/>
      <w:bookmarkEnd w:id="92"/>
      <w:bookmarkEnd w:id="93"/>
      <w:bookmarkEnd w:id="94"/>
      <w:bookmarkEnd w:id="95"/>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Penalty: $2 000.</w:t>
      </w:r>
    </w:p>
    <w:p>
      <w:pPr>
        <w:pStyle w:val="Footnotesection"/>
      </w:pPr>
      <w:r>
        <w:tab/>
        <w:t>[Section 10 amended by No. 113 of 1965 s. 8; No. 35 of 1986 s. 10.]</w:t>
      </w:r>
    </w:p>
    <w:p>
      <w:pPr>
        <w:pStyle w:val="Heading5"/>
        <w:rPr>
          <w:snapToGrid w:val="0"/>
        </w:rPr>
      </w:pPr>
      <w:bookmarkStart w:id="96" w:name="_Toc417984729"/>
      <w:bookmarkStart w:id="97" w:name="_Toc44987691"/>
      <w:bookmarkStart w:id="98" w:name="_Toc148420880"/>
      <w:bookmarkStart w:id="99" w:name="_Toc178560563"/>
      <w:bookmarkStart w:id="100" w:name="_Toc171751946"/>
      <w:r>
        <w:rPr>
          <w:rStyle w:val="CharSectno"/>
        </w:rPr>
        <w:t>11</w:t>
      </w:r>
      <w:r>
        <w:rPr>
          <w:snapToGrid w:val="0"/>
        </w:rPr>
        <w:t>.</w:t>
      </w:r>
      <w:r>
        <w:rPr>
          <w:snapToGrid w:val="0"/>
        </w:rPr>
        <w:tab/>
        <w:t>Vessels, etc., not to be fastened to public buoys</w:t>
      </w:r>
      <w:bookmarkEnd w:id="96"/>
      <w:bookmarkEnd w:id="97"/>
      <w:bookmarkEnd w:id="98"/>
      <w:bookmarkEnd w:id="99"/>
      <w:bookmarkEnd w:id="100"/>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Penalty: $2 000.</w:t>
      </w:r>
    </w:p>
    <w:p>
      <w:pPr>
        <w:pStyle w:val="Footnotesection"/>
      </w:pPr>
      <w:r>
        <w:tab/>
        <w:t>[Section 11 amended by No. 113 of 1965 s. 8; No. 35 of 1986 s. 11.]</w:t>
      </w:r>
    </w:p>
    <w:p>
      <w:pPr>
        <w:pStyle w:val="Heading5"/>
        <w:rPr>
          <w:snapToGrid w:val="0"/>
        </w:rPr>
      </w:pPr>
      <w:bookmarkStart w:id="101" w:name="_Toc417984730"/>
      <w:bookmarkStart w:id="102" w:name="_Toc44987692"/>
      <w:bookmarkStart w:id="103" w:name="_Toc148420881"/>
      <w:bookmarkStart w:id="104" w:name="_Toc178560564"/>
      <w:bookmarkStart w:id="105" w:name="_Toc171751947"/>
      <w:r>
        <w:rPr>
          <w:rStyle w:val="CharSectno"/>
        </w:rPr>
        <w:t>12</w:t>
      </w:r>
      <w:r>
        <w:rPr>
          <w:snapToGrid w:val="0"/>
        </w:rPr>
        <w:t>.</w:t>
      </w:r>
      <w:r>
        <w:rPr>
          <w:snapToGrid w:val="0"/>
        </w:rPr>
        <w:tab/>
        <w:t>Responsibility for injuries to jetties</w:t>
      </w:r>
      <w:bookmarkEnd w:id="101"/>
      <w:bookmarkEnd w:id="102"/>
      <w:bookmarkEnd w:id="103"/>
      <w:bookmarkEnd w:id="104"/>
      <w:bookmarkEnd w:id="105"/>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pPr>
        <w:pStyle w:val="Footnotesection"/>
      </w:pPr>
      <w:r>
        <w:tab/>
        <w:t>[Section 12 amended by No. 5 of 1976 s. 4.]</w:t>
      </w:r>
    </w:p>
    <w:p>
      <w:pPr>
        <w:pStyle w:val="CentredBaseLine"/>
        <w:jc w:val="cente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6" w:name="_Toc92862350"/>
      <w:bookmarkStart w:id="107" w:name="_Toc122753806"/>
      <w:bookmarkStart w:id="108" w:name="_Toc131397402"/>
      <w:bookmarkStart w:id="109" w:name="_Toc148420882"/>
      <w:bookmarkStart w:id="110" w:name="_Toc148420943"/>
      <w:bookmarkStart w:id="111" w:name="_Toc148424036"/>
      <w:bookmarkStart w:id="112" w:name="_Toc148424078"/>
      <w:bookmarkStart w:id="113" w:name="_Toc157918888"/>
      <w:bookmarkStart w:id="114" w:name="_Toc164498392"/>
      <w:bookmarkStart w:id="115" w:name="_Toc164501052"/>
      <w:bookmarkStart w:id="116" w:name="_Toc168803997"/>
      <w:bookmarkStart w:id="117" w:name="_Toc168804515"/>
      <w:bookmarkStart w:id="118" w:name="_Toc170008332"/>
      <w:bookmarkStart w:id="119" w:name="_Toc171751948"/>
      <w:bookmarkStart w:id="120" w:name="_Toc178478677"/>
      <w:bookmarkStart w:id="121" w:name="_Toc178560123"/>
      <w:bookmarkStart w:id="122" w:name="_Toc178560565"/>
      <w:r>
        <w:t>Notes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w:t>
      </w:r>
      <w:del w:id="123" w:author="svcMRProcess" w:date="2015-10-30T14:07:00Z">
        <w:r>
          <w:rPr>
            <w:snapToGrid w:val="0"/>
          </w:rPr>
          <w:delText xml:space="preserve">reprint </w:delText>
        </w:r>
      </w:del>
      <w:r>
        <w:rPr>
          <w:snapToGrid w:val="0"/>
        </w:rPr>
        <w:t>is a compilation</w:t>
      </w:r>
      <w:del w:id="124" w:author="svcMRProcess" w:date="2015-10-30T14:07:00Z">
        <w:r>
          <w:rPr>
            <w:snapToGrid w:val="0"/>
          </w:rPr>
          <w:delText xml:space="preserve"> as at 8 June 2007</w:delText>
        </w:r>
      </w:del>
      <w:r>
        <w:rPr>
          <w:snapToGrid w:val="0"/>
        </w:rPr>
        <w:t xml:space="preserve"> of the </w:t>
      </w:r>
      <w:r>
        <w:rPr>
          <w:i/>
          <w:noProof/>
          <w:snapToGrid w:val="0"/>
        </w:rPr>
        <w:t>Jetties Act 1926</w:t>
      </w:r>
      <w:r>
        <w:rPr>
          <w:snapToGrid w:val="0"/>
        </w:rPr>
        <w:t xml:space="preserve"> and includes the amendments made by the other written laws referred to in the following table</w:t>
      </w:r>
      <w:del w:id="125" w:author="svcMRProcess" w:date="2015-10-30T14: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6" w:name="_Toc178560566"/>
      <w:bookmarkStart w:id="127" w:name="_Toc171751949"/>
      <w:r>
        <w:rPr>
          <w:snapToGrid w:val="0"/>
        </w:rPr>
        <w:t>Compilation table</w:t>
      </w:r>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gridCol w:w="28"/>
      </w:tblGrid>
      <w:tr>
        <w:trPr>
          <w:gridAfter w:val="1"/>
          <w:wAfter w:w="28"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73" w:type="dxa"/>
          </w:tcPr>
          <w:p>
            <w:pPr>
              <w:pStyle w:val="nTable"/>
              <w:spacing w:after="40"/>
              <w:ind w:right="113"/>
              <w:rPr>
                <w:sz w:val="19"/>
              </w:rPr>
            </w:pPr>
            <w:r>
              <w:rPr>
                <w:i/>
                <w:sz w:val="19"/>
              </w:rPr>
              <w:t>Jetties Act 1926</w:t>
            </w:r>
          </w:p>
        </w:tc>
        <w:tc>
          <w:tcPr>
            <w:tcW w:w="1135" w:type="dxa"/>
          </w:tcPr>
          <w:p>
            <w:pPr>
              <w:pStyle w:val="nTable"/>
              <w:spacing w:after="40"/>
              <w:rPr>
                <w:sz w:val="19"/>
              </w:rPr>
            </w:pPr>
            <w:r>
              <w:rPr>
                <w:sz w:val="19"/>
              </w:rPr>
              <w:t>45 of 1926</w:t>
            </w:r>
            <w:r>
              <w:rPr>
                <w:sz w:val="19"/>
              </w:rPr>
              <w:br/>
              <w:t>(17 Geo. V No. 45)</w:t>
            </w:r>
          </w:p>
        </w:tc>
        <w:tc>
          <w:tcPr>
            <w:tcW w:w="1135" w:type="dxa"/>
          </w:tcPr>
          <w:p>
            <w:pPr>
              <w:pStyle w:val="nTable"/>
              <w:spacing w:after="40"/>
              <w:rPr>
                <w:sz w:val="19"/>
              </w:rPr>
            </w:pPr>
            <w:r>
              <w:rPr>
                <w:sz w:val="19"/>
              </w:rPr>
              <w:t>23 Dec 1926</w:t>
            </w:r>
          </w:p>
        </w:tc>
        <w:tc>
          <w:tcPr>
            <w:tcW w:w="2552" w:type="dxa"/>
          </w:tcPr>
          <w:p>
            <w:pPr>
              <w:pStyle w:val="nTable"/>
              <w:spacing w:after="40"/>
              <w:rPr>
                <w:sz w:val="19"/>
              </w:rPr>
            </w:pPr>
            <w:r>
              <w:rPr>
                <w:sz w:val="19"/>
              </w:rPr>
              <w:t>23 Dec 1926</w:t>
            </w:r>
          </w:p>
        </w:tc>
      </w:tr>
      <w:tr>
        <w:trPr>
          <w:gridAfter w:val="1"/>
          <w:wAfter w:w="28" w:type="dxa"/>
          <w:cantSplit/>
        </w:trPr>
        <w:tc>
          <w:tcPr>
            <w:tcW w:w="2273" w:type="dxa"/>
          </w:tcPr>
          <w:p>
            <w:pPr>
              <w:pStyle w:val="nTable"/>
              <w:spacing w:after="40"/>
              <w:ind w:right="113"/>
              <w:rPr>
                <w:i/>
                <w:sz w:val="19"/>
              </w:rPr>
            </w:pPr>
            <w:r>
              <w:rPr>
                <w:i/>
                <w:sz w:val="19"/>
              </w:rPr>
              <w:t>Jetties Act Amendment Act 1957</w:t>
            </w:r>
          </w:p>
        </w:tc>
        <w:tc>
          <w:tcPr>
            <w:tcW w:w="1135" w:type="dxa"/>
          </w:tcPr>
          <w:p>
            <w:pPr>
              <w:pStyle w:val="nTable"/>
              <w:spacing w:after="40"/>
              <w:rPr>
                <w:sz w:val="19"/>
              </w:rPr>
            </w:pPr>
            <w:r>
              <w:rPr>
                <w:sz w:val="19"/>
              </w:rPr>
              <w:t>33 of 1957</w:t>
            </w:r>
            <w:r>
              <w:rPr>
                <w:sz w:val="19"/>
              </w:rPr>
              <w:br/>
              <w:t>(6 Eliz. II No. 33)</w:t>
            </w:r>
          </w:p>
        </w:tc>
        <w:tc>
          <w:tcPr>
            <w:tcW w:w="1135"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gridAfter w:val="1"/>
          <w:wAfter w:w="28" w:type="dxa"/>
          <w:cantSplit/>
        </w:trPr>
        <w:tc>
          <w:tcPr>
            <w:tcW w:w="2273" w:type="dxa"/>
          </w:tcPr>
          <w:p>
            <w:pPr>
              <w:pStyle w:val="nTable"/>
              <w:spacing w:after="40"/>
              <w:ind w:right="113"/>
              <w:rPr>
                <w:sz w:val="19"/>
              </w:rPr>
            </w:pPr>
            <w:r>
              <w:rPr>
                <w:i/>
                <w:sz w:val="19"/>
              </w:rPr>
              <w:t>Jetties Act Amendment Act 1965</w:t>
            </w:r>
          </w:p>
        </w:tc>
        <w:tc>
          <w:tcPr>
            <w:tcW w:w="1135" w:type="dxa"/>
          </w:tcPr>
          <w:p>
            <w:pPr>
              <w:pStyle w:val="nTable"/>
              <w:spacing w:after="40"/>
              <w:rPr>
                <w:sz w:val="19"/>
              </w:rPr>
            </w:pPr>
            <w:r>
              <w:rPr>
                <w:sz w:val="19"/>
              </w:rPr>
              <w:t>30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gridAfter w:val="1"/>
          <w:wAfter w:w="28" w:type="dxa"/>
          <w:cantSplit/>
        </w:trPr>
        <w:tc>
          <w:tcPr>
            <w:tcW w:w="2273" w:type="dxa"/>
          </w:tcPr>
          <w:p>
            <w:pPr>
              <w:pStyle w:val="nTable"/>
              <w:spacing w:after="40"/>
              <w:ind w:right="113"/>
              <w:rPr>
                <w:i/>
                <w:sz w:val="19"/>
              </w:rPr>
            </w:pPr>
            <w:r>
              <w:rPr>
                <w:i/>
                <w:sz w:val="19"/>
              </w:rPr>
              <w:t>Decimal Currency Act 1965</w:t>
            </w:r>
          </w:p>
        </w:tc>
        <w:tc>
          <w:tcPr>
            <w:tcW w:w="1135"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8" w:type="dxa"/>
          <w:cantSplit/>
        </w:trPr>
        <w:tc>
          <w:tcPr>
            <w:tcW w:w="2273" w:type="dxa"/>
          </w:tcPr>
          <w:p>
            <w:pPr>
              <w:pStyle w:val="nTable"/>
              <w:spacing w:after="40"/>
              <w:ind w:right="113"/>
              <w:rPr>
                <w:sz w:val="19"/>
              </w:rPr>
            </w:pPr>
            <w:r>
              <w:rPr>
                <w:i/>
                <w:sz w:val="19"/>
              </w:rPr>
              <w:t>Jetties Act Amendment Act 1976</w:t>
            </w:r>
          </w:p>
        </w:tc>
        <w:tc>
          <w:tcPr>
            <w:tcW w:w="1135" w:type="dxa"/>
          </w:tcPr>
          <w:p>
            <w:pPr>
              <w:pStyle w:val="nTable"/>
              <w:spacing w:after="40"/>
              <w:rPr>
                <w:sz w:val="19"/>
              </w:rPr>
            </w:pPr>
            <w:r>
              <w:rPr>
                <w:sz w:val="19"/>
              </w:rPr>
              <w:t>5 of 1976</w:t>
            </w:r>
          </w:p>
        </w:tc>
        <w:tc>
          <w:tcPr>
            <w:tcW w:w="1135" w:type="dxa"/>
          </w:tcPr>
          <w:p>
            <w:pPr>
              <w:pStyle w:val="nTable"/>
              <w:spacing w:after="40"/>
              <w:rPr>
                <w:sz w:val="19"/>
              </w:rPr>
            </w:pPr>
            <w:r>
              <w:rPr>
                <w:sz w:val="19"/>
              </w:rPr>
              <w:t>25 May 1976</w:t>
            </w:r>
          </w:p>
        </w:tc>
        <w:tc>
          <w:tcPr>
            <w:tcW w:w="2552" w:type="dxa"/>
          </w:tcPr>
          <w:p>
            <w:pPr>
              <w:pStyle w:val="nTable"/>
              <w:spacing w:after="40"/>
              <w:rPr>
                <w:sz w:val="19"/>
              </w:rPr>
            </w:pPr>
            <w:r>
              <w:rPr>
                <w:sz w:val="19"/>
              </w:rPr>
              <w:t>25 May 1976</w:t>
            </w:r>
          </w:p>
        </w:tc>
      </w:tr>
      <w:tr>
        <w:trPr>
          <w:gridAfter w:val="1"/>
          <w:wAfter w:w="28" w:type="dxa"/>
          <w:cantSplit/>
        </w:trPr>
        <w:tc>
          <w:tcPr>
            <w:tcW w:w="2273" w:type="dxa"/>
          </w:tcPr>
          <w:p>
            <w:pPr>
              <w:pStyle w:val="nTable"/>
              <w:spacing w:after="40"/>
              <w:ind w:right="113"/>
              <w:rPr>
                <w:sz w:val="19"/>
              </w:rPr>
            </w:pPr>
            <w:r>
              <w:rPr>
                <w:i/>
                <w:sz w:val="19"/>
              </w:rPr>
              <w:t>Acts Amendment (Port and Marine Regulations) Act 1976</w:t>
            </w:r>
            <w:r>
              <w:rPr>
                <w:sz w:val="19"/>
              </w:rPr>
              <w:t xml:space="preserve"> Pt. VI</w:t>
            </w:r>
          </w:p>
        </w:tc>
        <w:tc>
          <w:tcPr>
            <w:tcW w:w="1135" w:type="dxa"/>
          </w:tcPr>
          <w:p>
            <w:pPr>
              <w:pStyle w:val="nTable"/>
              <w:spacing w:after="40"/>
              <w:rPr>
                <w:sz w:val="19"/>
              </w:rPr>
            </w:pPr>
            <w:r>
              <w:rPr>
                <w:sz w:val="19"/>
              </w:rPr>
              <w:t>12 of 1976</w:t>
            </w:r>
          </w:p>
        </w:tc>
        <w:tc>
          <w:tcPr>
            <w:tcW w:w="1135"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gridAfter w:val="1"/>
          <w:wAfter w:w="28" w:type="dxa"/>
          <w:cantSplit/>
        </w:trPr>
        <w:tc>
          <w:tcPr>
            <w:tcW w:w="7095" w:type="dxa"/>
            <w:gridSpan w:val="4"/>
          </w:tcPr>
          <w:p>
            <w:pPr>
              <w:pStyle w:val="nTable"/>
              <w:spacing w:after="40"/>
              <w:rPr>
                <w:sz w:val="19"/>
              </w:rPr>
            </w:pPr>
            <w:r>
              <w:rPr>
                <w:b/>
                <w:bCs/>
                <w:sz w:val="19"/>
              </w:rPr>
              <w:t xml:space="preserve">Reprint of the </w:t>
            </w:r>
            <w:r>
              <w:rPr>
                <w:b/>
                <w:bCs/>
                <w:i/>
                <w:sz w:val="19"/>
              </w:rPr>
              <w:t>Jetties Act 1926</w:t>
            </w:r>
            <w:r>
              <w:rPr>
                <w:b/>
                <w:bCs/>
                <w:sz w:val="19"/>
              </w:rPr>
              <w:t xml:space="preserve"> approved 11 Aug 1976</w:t>
            </w:r>
            <w:r>
              <w:rPr>
                <w:sz w:val="19"/>
              </w:rPr>
              <w:t xml:space="preserve"> (includes amendments listed above)</w:t>
            </w:r>
          </w:p>
        </w:tc>
      </w:tr>
      <w:tr>
        <w:trPr>
          <w:gridAfter w:val="1"/>
          <w:wAfter w:w="28" w:type="dxa"/>
          <w:cantSplit/>
        </w:trPr>
        <w:tc>
          <w:tcPr>
            <w:tcW w:w="2273" w:type="dxa"/>
          </w:tcPr>
          <w:p>
            <w:pPr>
              <w:pStyle w:val="nTable"/>
              <w:spacing w:after="40"/>
              <w:ind w:right="113"/>
              <w:rPr>
                <w:i/>
                <w:sz w:val="19"/>
              </w:rPr>
            </w:pPr>
            <w:r>
              <w:rPr>
                <w:i/>
                <w:sz w:val="19"/>
              </w:rPr>
              <w:t>Jetties Amendment Act 1986</w:t>
            </w:r>
          </w:p>
        </w:tc>
        <w:tc>
          <w:tcPr>
            <w:tcW w:w="1135" w:type="dxa"/>
          </w:tcPr>
          <w:p>
            <w:pPr>
              <w:pStyle w:val="nTable"/>
              <w:spacing w:after="40"/>
              <w:rPr>
                <w:sz w:val="19"/>
              </w:rPr>
            </w:pPr>
            <w:r>
              <w:rPr>
                <w:sz w:val="19"/>
              </w:rPr>
              <w:t>35 of 1986</w:t>
            </w:r>
          </w:p>
        </w:tc>
        <w:tc>
          <w:tcPr>
            <w:tcW w:w="1135" w:type="dxa"/>
          </w:tcPr>
          <w:p>
            <w:pPr>
              <w:pStyle w:val="nTable"/>
              <w:spacing w:after="40"/>
              <w:rPr>
                <w:sz w:val="19"/>
              </w:rPr>
            </w:pPr>
            <w:r>
              <w:rPr>
                <w:sz w:val="19"/>
              </w:rPr>
              <w:t>1 Aug 1986</w:t>
            </w:r>
          </w:p>
        </w:tc>
        <w:tc>
          <w:tcPr>
            <w:tcW w:w="2552" w:type="dxa"/>
          </w:tcPr>
          <w:p>
            <w:pPr>
              <w:pStyle w:val="nTable"/>
              <w:spacing w:after="40"/>
              <w:rPr>
                <w:sz w:val="19"/>
              </w:rPr>
            </w:pPr>
            <w:r>
              <w:rPr>
                <w:sz w:val="19"/>
              </w:rPr>
              <w:t>29 Aug 1986</w:t>
            </w:r>
          </w:p>
        </w:tc>
      </w:tr>
      <w:tr>
        <w:trPr>
          <w:gridAfter w:val="1"/>
          <w:wAfter w:w="28" w:type="dxa"/>
          <w:cantSplit/>
        </w:trPr>
        <w:tc>
          <w:tcPr>
            <w:tcW w:w="2273" w:type="dxa"/>
          </w:tcPr>
          <w:p>
            <w:pPr>
              <w:pStyle w:val="nTable"/>
              <w:spacing w:after="40"/>
              <w:ind w:right="113"/>
              <w:rPr>
                <w:sz w:val="19"/>
              </w:rPr>
            </w:pPr>
            <w:r>
              <w:rPr>
                <w:i/>
                <w:sz w:val="19"/>
              </w:rPr>
              <w:t>Acts Amendment (Swan River Trust) Act 1988</w:t>
            </w:r>
            <w:r>
              <w:rPr>
                <w:sz w:val="19"/>
              </w:rPr>
              <w:t xml:space="preserve"> Pt. 3</w:t>
            </w:r>
          </w:p>
        </w:tc>
        <w:tc>
          <w:tcPr>
            <w:tcW w:w="1135" w:type="dxa"/>
          </w:tcPr>
          <w:p>
            <w:pPr>
              <w:pStyle w:val="nTable"/>
              <w:spacing w:after="40"/>
              <w:rPr>
                <w:sz w:val="19"/>
              </w:rPr>
            </w:pPr>
            <w:r>
              <w:rPr>
                <w:sz w:val="19"/>
              </w:rPr>
              <w:t>21 of 1988</w:t>
            </w:r>
          </w:p>
        </w:tc>
        <w:tc>
          <w:tcPr>
            <w:tcW w:w="1135"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8"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8" w:type="dxa"/>
          <w:cantSplit/>
        </w:trPr>
        <w:tc>
          <w:tcPr>
            <w:tcW w:w="2273" w:type="dxa"/>
          </w:tcPr>
          <w:p>
            <w:pPr>
              <w:pStyle w:val="nTable"/>
              <w:spacing w:after="40"/>
              <w:ind w:right="113"/>
              <w:rPr>
                <w:sz w:val="19"/>
              </w:rPr>
            </w:pPr>
            <w:r>
              <w:rPr>
                <w:i/>
                <w:sz w:val="19"/>
              </w:rPr>
              <w:t>Acts Amendment (Department of Transport) Act 1993</w:t>
            </w:r>
            <w:r>
              <w:rPr>
                <w:sz w:val="19"/>
              </w:rPr>
              <w:t xml:space="preserve"> Pt. 7</w:t>
            </w:r>
          </w:p>
        </w:tc>
        <w:tc>
          <w:tcPr>
            <w:tcW w:w="1135" w:type="dxa"/>
          </w:tcPr>
          <w:p>
            <w:pPr>
              <w:pStyle w:val="nTable"/>
              <w:spacing w:after="40"/>
              <w:rPr>
                <w:sz w:val="19"/>
              </w:rPr>
            </w:pPr>
            <w:r>
              <w:rPr>
                <w:sz w:val="19"/>
              </w:rPr>
              <w:t>47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gridAfter w:val="1"/>
          <w:wAfter w:w="28"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After w:val="1"/>
          <w:wAfter w:w="28" w:type="dxa"/>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25 Oct 1996 (see s. 2(1))</w:t>
            </w:r>
          </w:p>
        </w:tc>
      </w:tr>
      <w:tr>
        <w:trPr>
          <w:gridAfter w:val="1"/>
          <w:wAfter w:w="28" w:type="dxa"/>
          <w:cantSplit/>
        </w:trPr>
        <w:tc>
          <w:tcPr>
            <w:tcW w:w="2273" w:type="dxa"/>
          </w:tcPr>
          <w:p>
            <w:pPr>
              <w:pStyle w:val="nTable"/>
              <w:spacing w:after="40"/>
              <w:rPr>
                <w:sz w:val="19"/>
              </w:rPr>
            </w:pPr>
            <w:r>
              <w:rPr>
                <w:i/>
                <w:sz w:val="19"/>
              </w:rPr>
              <w:t>Acts Amendment (Land Administration) Act 1997</w:t>
            </w:r>
            <w:r>
              <w:rPr>
                <w:sz w:val="19"/>
              </w:rPr>
              <w:t xml:space="preserve"> s. 142</w:t>
            </w:r>
          </w:p>
        </w:tc>
        <w:tc>
          <w:tcPr>
            <w:tcW w:w="1135"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8" w:type="dxa"/>
          <w:cantSplit/>
        </w:trPr>
        <w:tc>
          <w:tcPr>
            <w:tcW w:w="7095" w:type="dxa"/>
            <w:gridSpan w:val="4"/>
          </w:tcPr>
          <w:p>
            <w:pPr>
              <w:pStyle w:val="nTable"/>
              <w:spacing w:after="40"/>
              <w:rPr>
                <w:sz w:val="19"/>
              </w:rPr>
            </w:pPr>
            <w:r>
              <w:rPr>
                <w:b/>
                <w:bCs/>
                <w:sz w:val="19"/>
              </w:rPr>
              <w:t xml:space="preserve">Reprint of the </w:t>
            </w:r>
            <w:r>
              <w:rPr>
                <w:b/>
                <w:bCs/>
                <w:i/>
                <w:sz w:val="19"/>
              </w:rPr>
              <w:t>Jetties Act 1926</w:t>
            </w:r>
            <w:r>
              <w:rPr>
                <w:b/>
                <w:bCs/>
                <w:sz w:val="19"/>
              </w:rPr>
              <w:t xml:space="preserve"> as at 4 Feb 2000</w:t>
            </w:r>
            <w:r>
              <w:rPr>
                <w:sz w:val="19"/>
              </w:rPr>
              <w:t xml:space="preserve"> (includes amendments listed above)</w:t>
            </w:r>
          </w:p>
        </w:tc>
      </w:tr>
      <w:tr>
        <w:trPr>
          <w:gridAfter w:val="1"/>
          <w:wAfter w:w="28" w:type="dxa"/>
          <w:cantSplit/>
        </w:trPr>
        <w:tc>
          <w:tcPr>
            <w:tcW w:w="2273" w:type="dxa"/>
          </w:tcPr>
          <w:p>
            <w:pPr>
              <w:pStyle w:val="nTable"/>
              <w:spacing w:after="40"/>
              <w:rPr>
                <w:i/>
                <w:sz w:val="19"/>
              </w:rPr>
            </w:pPr>
            <w:r>
              <w:rPr>
                <w:i/>
                <w:sz w:val="19"/>
              </w:rPr>
              <w:t>Public Transport Authority Act 2003</w:t>
            </w:r>
            <w:r>
              <w:rPr>
                <w:sz w:val="19"/>
              </w:rPr>
              <w:t xml:space="preserve"> s. 148</w:t>
            </w:r>
          </w:p>
        </w:tc>
        <w:tc>
          <w:tcPr>
            <w:tcW w:w="1135" w:type="dxa"/>
          </w:tcPr>
          <w:p>
            <w:pPr>
              <w:pStyle w:val="nTable"/>
              <w:keepNext/>
              <w:keepLines/>
              <w:spacing w:after="40"/>
              <w:rPr>
                <w:sz w:val="19"/>
              </w:rPr>
            </w:pPr>
            <w:r>
              <w:rPr>
                <w:sz w:val="19"/>
              </w:rPr>
              <w:t>31 of 2003</w:t>
            </w:r>
          </w:p>
        </w:tc>
        <w:tc>
          <w:tcPr>
            <w:tcW w:w="1135"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8" w:type="dxa"/>
          <w:cantSplit/>
        </w:trPr>
        <w:tc>
          <w:tcPr>
            <w:tcW w:w="2273" w:type="dxa"/>
          </w:tcPr>
          <w:p>
            <w:pPr>
              <w:pStyle w:val="nTable"/>
              <w:spacing w:after="40"/>
              <w:rPr>
                <w:sz w:val="19"/>
              </w:rPr>
            </w:pPr>
            <w:r>
              <w:rPr>
                <w:i/>
                <w:sz w:val="19"/>
              </w:rPr>
              <w:t>Statutes (Repeals and Minor Amendments) Act 2003</w:t>
            </w:r>
            <w:r>
              <w:rPr>
                <w:sz w:val="19"/>
              </w:rPr>
              <w:t xml:space="preserve"> s. 70</w:t>
            </w:r>
          </w:p>
        </w:tc>
        <w:tc>
          <w:tcPr>
            <w:tcW w:w="1135" w:type="dxa"/>
          </w:tcPr>
          <w:p>
            <w:pPr>
              <w:pStyle w:val="nTable"/>
              <w:keepNext/>
              <w:keepLines/>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8" w:type="dxa"/>
          <w:cantSplit/>
        </w:trPr>
        <w:tc>
          <w:tcPr>
            <w:tcW w:w="2273" w:type="dxa"/>
          </w:tcPr>
          <w:p>
            <w:pPr>
              <w:pStyle w:val="nTable"/>
              <w:spacing w:after="4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5" w:type="dxa"/>
          </w:tcPr>
          <w:p>
            <w:pPr>
              <w:pStyle w:val="nTable"/>
              <w:keepNext/>
              <w:keepLines/>
              <w:spacing w:after="40"/>
              <w:rPr>
                <w:sz w:val="19"/>
              </w:rPr>
            </w:pPr>
            <w:r>
              <w:rPr>
                <w:sz w:val="19"/>
              </w:rPr>
              <w:t>55 of 2004</w:t>
            </w:r>
          </w:p>
        </w:tc>
        <w:tc>
          <w:tcPr>
            <w:tcW w:w="1135"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28"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sz w:val="19"/>
              </w:rPr>
              <w:t xml:space="preserve"> s. 15</w:t>
            </w:r>
          </w:p>
        </w:tc>
        <w:tc>
          <w:tcPr>
            <w:tcW w:w="1135" w:type="dxa"/>
          </w:tcPr>
          <w:p>
            <w:pPr>
              <w:pStyle w:val="nTable"/>
              <w:keepNext/>
              <w:keepLines/>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ins w:id="128" w:author="svcMRProcess" w:date="2015-10-30T14:07:00Z"/>
        </w:trPr>
        <w:tc>
          <w:tcPr>
            <w:tcW w:w="2273" w:type="dxa"/>
          </w:tcPr>
          <w:p>
            <w:pPr>
              <w:pStyle w:val="nTable"/>
              <w:spacing w:after="40"/>
              <w:ind w:left="-28"/>
              <w:rPr>
                <w:ins w:id="129" w:author="svcMRProcess" w:date="2015-10-30T14:07:00Z"/>
                <w:i/>
                <w:snapToGrid w:val="0"/>
                <w:sz w:val="19"/>
                <w:lang w:val="en-US"/>
              </w:rPr>
            </w:pPr>
            <w:ins w:id="130" w:author="svcMRProcess" w:date="2015-10-30T14:07:00Z">
              <w:r>
                <w:rPr>
                  <w:i/>
                  <w:iCs/>
                  <w:snapToGrid w:val="0"/>
                  <w:lang w:val="en-US"/>
                </w:rPr>
                <w:t xml:space="preserve">Swan and Canning Rivers (Consequential and Transitional Provisions) Act 2006 </w:t>
              </w:r>
              <w:r>
                <w:rPr>
                  <w:snapToGrid w:val="0"/>
                  <w:lang w:val="en-US"/>
                </w:rPr>
                <w:t>s. 6</w:t>
              </w:r>
            </w:ins>
          </w:p>
        </w:tc>
        <w:tc>
          <w:tcPr>
            <w:tcW w:w="1135" w:type="dxa"/>
          </w:tcPr>
          <w:p>
            <w:pPr>
              <w:pStyle w:val="nTable"/>
              <w:spacing w:after="40"/>
              <w:rPr>
                <w:ins w:id="131" w:author="svcMRProcess" w:date="2015-10-30T14:07:00Z"/>
                <w:snapToGrid w:val="0"/>
                <w:sz w:val="19"/>
                <w:lang w:val="en-US"/>
              </w:rPr>
            </w:pPr>
            <w:ins w:id="132" w:author="svcMRProcess" w:date="2015-10-30T14:07:00Z">
              <w:r>
                <w:rPr>
                  <w:snapToGrid w:val="0"/>
                  <w:lang w:val="en-US"/>
                </w:rPr>
                <w:t>52 of 2006</w:t>
              </w:r>
            </w:ins>
          </w:p>
        </w:tc>
        <w:tc>
          <w:tcPr>
            <w:tcW w:w="1135" w:type="dxa"/>
          </w:tcPr>
          <w:p>
            <w:pPr>
              <w:pStyle w:val="nTable"/>
              <w:spacing w:after="40"/>
              <w:rPr>
                <w:ins w:id="133" w:author="svcMRProcess" w:date="2015-10-30T14:07:00Z"/>
                <w:snapToGrid w:val="0"/>
                <w:sz w:val="19"/>
                <w:lang w:val="en-US"/>
              </w:rPr>
            </w:pPr>
            <w:ins w:id="134" w:author="svcMRProcess" w:date="2015-10-30T14:07:00Z">
              <w:r>
                <w:rPr>
                  <w:snapToGrid w:val="0"/>
                  <w:lang w:val="en-US"/>
                </w:rPr>
                <w:t>6 Oct 2006</w:t>
              </w:r>
            </w:ins>
          </w:p>
        </w:tc>
        <w:tc>
          <w:tcPr>
            <w:tcW w:w="2580" w:type="dxa"/>
            <w:gridSpan w:val="2"/>
          </w:tcPr>
          <w:p>
            <w:pPr>
              <w:pStyle w:val="nTable"/>
              <w:spacing w:after="40"/>
              <w:rPr>
                <w:ins w:id="135" w:author="svcMRProcess" w:date="2015-10-30T14:07:00Z"/>
                <w:snapToGrid w:val="0"/>
                <w:sz w:val="19"/>
                <w:lang w:val="en-US"/>
              </w:rPr>
            </w:pPr>
            <w:ins w:id="136" w:author="svcMRProcess" w:date="2015-10-30T14:07:00Z">
              <w:r>
                <w:rPr>
                  <w:snapToGrid w:val="0"/>
                  <w:lang w:val="en-US"/>
                </w:rPr>
                <w:t xml:space="preserve">25 Sep 2007 (see s. 2 and </w:t>
              </w:r>
              <w:r>
                <w:rPr>
                  <w:i/>
                  <w:iCs/>
                  <w:snapToGrid w:val="0"/>
                  <w:lang w:val="en-US"/>
                </w:rPr>
                <w:t xml:space="preserve">Gazette </w:t>
              </w:r>
              <w:r>
                <w:rPr>
                  <w:snapToGrid w:val="0"/>
                  <w:lang w:val="en-US"/>
                </w:rPr>
                <w:t>25 Sep 2007 p. 4835)</w:t>
              </w:r>
            </w:ins>
          </w:p>
        </w:tc>
      </w:tr>
      <w:tr>
        <w:trPr>
          <w:gridAfter w:val="1"/>
          <w:wAfter w:w="28" w:type="dxa"/>
          <w:cantSplit/>
        </w:trP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5" w:type="dxa"/>
          </w:tcPr>
          <w:p>
            <w:pPr>
              <w:pStyle w:val="nTable"/>
              <w:keepNext/>
              <w:keepLines/>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7095" w:type="dxa"/>
            <w:gridSpan w:val="4"/>
            <w:tcBorders>
              <w:bottom w:val="single" w:sz="8" w:space="0" w:color="auto"/>
            </w:tcBorders>
          </w:tcPr>
          <w:p>
            <w:pPr>
              <w:pStyle w:val="nTable"/>
              <w:spacing w:after="40"/>
              <w:rPr>
                <w:snapToGrid w:val="0"/>
                <w:sz w:val="19"/>
                <w:lang w:val="en-US"/>
              </w:rPr>
            </w:pPr>
            <w:r>
              <w:rPr>
                <w:b/>
                <w:bCs/>
                <w:sz w:val="19"/>
              </w:rPr>
              <w:t xml:space="preserve">Reprint 3: The </w:t>
            </w:r>
            <w:r>
              <w:rPr>
                <w:b/>
                <w:bCs/>
                <w:i/>
                <w:sz w:val="19"/>
              </w:rPr>
              <w:t>Jetties Act 1926</w:t>
            </w:r>
            <w:r>
              <w:rPr>
                <w:b/>
                <w:bCs/>
                <w:sz w:val="19"/>
              </w:rPr>
              <w:t xml:space="preserve"> as at 8 Jun 2007</w:t>
            </w:r>
            <w:r>
              <w:rPr>
                <w:sz w:val="19"/>
              </w:rPr>
              <w:t xml:space="preserve"> (includes amendments listed above</w:t>
            </w:r>
            <w:ins w:id="137" w:author="svcMRProcess" w:date="2015-10-30T14:07:00Z">
              <w:r>
                <w:rPr>
                  <w:sz w:val="19"/>
                </w:rPr>
                <w:t xml:space="preserve"> except those in the </w:t>
              </w:r>
              <w:r>
                <w:rPr>
                  <w:i/>
                  <w:iCs/>
                  <w:snapToGrid w:val="0"/>
                  <w:lang w:val="en-US"/>
                </w:rPr>
                <w:t>Swan and Canning Rivers (Consequential and Transitional Provisions) Act 2006</w:t>
              </w:r>
            </w:ins>
            <w:r>
              <w:rPr>
                <w:sz w:val="19"/>
              </w:rPr>
              <w:t>)</w:t>
            </w:r>
          </w:p>
        </w:tc>
      </w:tr>
    </w:tbl>
    <w:p>
      <w:pPr>
        <w:pStyle w:val="nSubsection"/>
        <w:spacing w:before="360"/>
        <w:ind w:left="482" w:hanging="482"/>
        <w:rPr>
          <w:del w:id="138" w:author="svcMRProcess" w:date="2015-10-30T14:07:00Z"/>
        </w:rPr>
      </w:pPr>
      <w:del w:id="139" w:author="svcMRProcess" w:date="2015-10-30T14:07:00Z">
        <w:r>
          <w:rPr>
            <w:vertAlign w:val="superscript"/>
          </w:rPr>
          <w:delText>1a</w:delText>
        </w:r>
        <w:r>
          <w:tab/>
          <w:delText>On the date as at which thi</w:delText>
        </w:r>
        <w:bookmarkStart w:id="140" w:name="_Hlt507390729"/>
        <w:bookmarkEnd w:id="140"/>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41" w:author="svcMRProcess" w:date="2015-10-30T14:07:00Z"/>
          <w:snapToGrid w:val="0"/>
        </w:rPr>
      </w:pPr>
      <w:bookmarkStart w:id="142" w:name="_Toc171751950"/>
      <w:del w:id="143" w:author="svcMRProcess" w:date="2015-10-30T14:07:00Z">
        <w:r>
          <w:rPr>
            <w:snapToGrid w:val="0"/>
          </w:rPr>
          <w:delText>Provisions tha</w:delText>
        </w:r>
        <w:bookmarkStart w:id="144" w:name="UpToHere"/>
        <w:bookmarkEnd w:id="144"/>
        <w:r>
          <w:rPr>
            <w:snapToGrid w:val="0"/>
          </w:rPr>
          <w:delText>t have not come into operation</w:delText>
        </w:r>
        <w:bookmarkEnd w:id="142"/>
      </w:del>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del w:id="145" w:author="svcMRProcess" w:date="2015-10-30T14:07:00Z"/>
        </w:trPr>
        <w:tc>
          <w:tcPr>
            <w:tcW w:w="2268" w:type="dxa"/>
            <w:tcBorders>
              <w:top w:val="single" w:sz="8" w:space="0" w:color="auto"/>
              <w:bottom w:val="single" w:sz="8" w:space="0" w:color="auto"/>
            </w:tcBorders>
          </w:tcPr>
          <w:p>
            <w:pPr>
              <w:pStyle w:val="nTable"/>
              <w:spacing w:after="40"/>
              <w:ind w:right="113"/>
              <w:rPr>
                <w:del w:id="146" w:author="svcMRProcess" w:date="2015-10-30T14:07:00Z"/>
                <w:b/>
                <w:sz w:val="19"/>
              </w:rPr>
            </w:pPr>
            <w:del w:id="147" w:author="svcMRProcess" w:date="2015-10-30T14:07:00Z">
              <w:r>
                <w:rPr>
                  <w:b/>
                  <w:sz w:val="19"/>
                </w:rPr>
                <w:delText>Short title</w:delText>
              </w:r>
            </w:del>
          </w:p>
        </w:tc>
        <w:tc>
          <w:tcPr>
            <w:tcW w:w="1134" w:type="dxa"/>
            <w:tcBorders>
              <w:top w:val="single" w:sz="8" w:space="0" w:color="auto"/>
              <w:bottom w:val="single" w:sz="8" w:space="0" w:color="auto"/>
            </w:tcBorders>
          </w:tcPr>
          <w:p>
            <w:pPr>
              <w:pStyle w:val="nTable"/>
              <w:spacing w:after="40"/>
              <w:rPr>
                <w:del w:id="148" w:author="svcMRProcess" w:date="2015-10-30T14:07:00Z"/>
                <w:b/>
                <w:sz w:val="19"/>
              </w:rPr>
            </w:pPr>
            <w:del w:id="149" w:author="svcMRProcess" w:date="2015-10-30T14:07:00Z">
              <w:r>
                <w:rPr>
                  <w:b/>
                  <w:sz w:val="19"/>
                </w:rPr>
                <w:delText>Number and year</w:delText>
              </w:r>
            </w:del>
          </w:p>
        </w:tc>
        <w:tc>
          <w:tcPr>
            <w:tcW w:w="1135" w:type="dxa"/>
            <w:tcBorders>
              <w:top w:val="single" w:sz="8" w:space="0" w:color="auto"/>
              <w:bottom w:val="single" w:sz="8" w:space="0" w:color="auto"/>
            </w:tcBorders>
          </w:tcPr>
          <w:p>
            <w:pPr>
              <w:pStyle w:val="nTable"/>
              <w:spacing w:after="40"/>
              <w:rPr>
                <w:del w:id="150" w:author="svcMRProcess" w:date="2015-10-30T14:07:00Z"/>
                <w:b/>
                <w:sz w:val="19"/>
              </w:rPr>
            </w:pPr>
            <w:del w:id="151" w:author="svcMRProcess" w:date="2015-10-30T14:07:00Z">
              <w:r>
                <w:rPr>
                  <w:b/>
                  <w:sz w:val="19"/>
                </w:rPr>
                <w:delText>Assent</w:delText>
              </w:r>
            </w:del>
          </w:p>
        </w:tc>
        <w:tc>
          <w:tcPr>
            <w:tcW w:w="2551" w:type="dxa"/>
            <w:tcBorders>
              <w:top w:val="single" w:sz="8" w:space="0" w:color="auto"/>
              <w:bottom w:val="single" w:sz="8" w:space="0" w:color="auto"/>
            </w:tcBorders>
          </w:tcPr>
          <w:p>
            <w:pPr>
              <w:pStyle w:val="nTable"/>
              <w:spacing w:after="40"/>
              <w:rPr>
                <w:del w:id="152" w:author="svcMRProcess" w:date="2015-10-30T14:07:00Z"/>
                <w:b/>
                <w:sz w:val="19"/>
              </w:rPr>
            </w:pPr>
            <w:del w:id="153" w:author="svcMRProcess" w:date="2015-10-30T14:07:00Z">
              <w:r>
                <w:rPr>
                  <w:b/>
                  <w:sz w:val="19"/>
                </w:rPr>
                <w:delText>Commencement</w:delText>
              </w:r>
            </w:del>
          </w:p>
        </w:tc>
      </w:tr>
      <w:tr>
        <w:trPr>
          <w:cantSplit/>
          <w:tblHeader/>
          <w:del w:id="154" w:author="svcMRProcess" w:date="2015-10-30T14:07:00Z"/>
        </w:trPr>
        <w:tc>
          <w:tcPr>
            <w:tcW w:w="2268" w:type="dxa"/>
            <w:tcBorders>
              <w:top w:val="single" w:sz="8" w:space="0" w:color="auto"/>
              <w:bottom w:val="single" w:sz="8" w:space="0" w:color="auto"/>
            </w:tcBorders>
          </w:tcPr>
          <w:p>
            <w:pPr>
              <w:pStyle w:val="nTable"/>
              <w:spacing w:after="40"/>
              <w:ind w:right="113"/>
              <w:rPr>
                <w:del w:id="155" w:author="svcMRProcess" w:date="2015-10-30T14:07:00Z"/>
                <w:b/>
                <w:sz w:val="19"/>
              </w:rPr>
            </w:pPr>
            <w:del w:id="156" w:author="svcMRProcess" w:date="2015-10-30T14:07:00Z">
              <w:r>
                <w:rPr>
                  <w:i/>
                  <w:snapToGrid w:val="0"/>
                  <w:sz w:val="19"/>
                  <w:lang w:val="en-US"/>
                </w:rPr>
                <w:delText xml:space="preserve">Swan and Canning Rivers (Consequential and Transitional Provisions) Act 2006 </w:delText>
              </w:r>
              <w:r>
                <w:rPr>
                  <w:snapToGrid w:val="0"/>
                  <w:sz w:val="19"/>
                  <w:lang w:val="en-US"/>
                </w:rPr>
                <w:delText>s. 6 </w:delText>
              </w:r>
              <w:r>
                <w:rPr>
                  <w:snapToGrid w:val="0"/>
                  <w:sz w:val="19"/>
                  <w:vertAlign w:val="superscript"/>
                  <w:lang w:val="en-US"/>
                </w:rPr>
                <w:delText>3</w:delText>
              </w:r>
            </w:del>
          </w:p>
        </w:tc>
        <w:tc>
          <w:tcPr>
            <w:tcW w:w="1134" w:type="dxa"/>
            <w:tcBorders>
              <w:top w:val="single" w:sz="8" w:space="0" w:color="auto"/>
              <w:bottom w:val="single" w:sz="8" w:space="0" w:color="auto"/>
            </w:tcBorders>
          </w:tcPr>
          <w:p>
            <w:pPr>
              <w:pStyle w:val="nTable"/>
              <w:spacing w:after="40"/>
              <w:rPr>
                <w:del w:id="157" w:author="svcMRProcess" w:date="2015-10-30T14:07:00Z"/>
                <w:b/>
                <w:sz w:val="19"/>
              </w:rPr>
            </w:pPr>
            <w:del w:id="158" w:author="svcMRProcess" w:date="2015-10-30T14:07:00Z">
              <w:r>
                <w:rPr>
                  <w:snapToGrid w:val="0"/>
                  <w:sz w:val="19"/>
                  <w:lang w:val="en-US"/>
                </w:rPr>
                <w:delText>52 of 2006</w:delText>
              </w:r>
            </w:del>
          </w:p>
        </w:tc>
        <w:tc>
          <w:tcPr>
            <w:tcW w:w="1135" w:type="dxa"/>
            <w:tcBorders>
              <w:top w:val="single" w:sz="8" w:space="0" w:color="auto"/>
              <w:bottom w:val="single" w:sz="8" w:space="0" w:color="auto"/>
            </w:tcBorders>
          </w:tcPr>
          <w:p>
            <w:pPr>
              <w:pStyle w:val="nTable"/>
              <w:spacing w:after="40"/>
              <w:rPr>
                <w:del w:id="159" w:author="svcMRProcess" w:date="2015-10-30T14:07:00Z"/>
                <w:b/>
                <w:sz w:val="19"/>
              </w:rPr>
            </w:pPr>
            <w:del w:id="160" w:author="svcMRProcess" w:date="2015-10-30T14:07:00Z">
              <w:r>
                <w:rPr>
                  <w:snapToGrid w:val="0"/>
                  <w:sz w:val="19"/>
                  <w:lang w:val="en-US"/>
                </w:rPr>
                <w:delText>6 Oct 2006</w:delText>
              </w:r>
            </w:del>
          </w:p>
        </w:tc>
        <w:tc>
          <w:tcPr>
            <w:tcW w:w="2551" w:type="dxa"/>
            <w:tcBorders>
              <w:top w:val="single" w:sz="8" w:space="0" w:color="auto"/>
              <w:bottom w:val="single" w:sz="8" w:space="0" w:color="auto"/>
            </w:tcBorders>
          </w:tcPr>
          <w:p>
            <w:pPr>
              <w:pStyle w:val="nTable"/>
              <w:spacing w:after="40"/>
              <w:rPr>
                <w:del w:id="161" w:author="svcMRProcess" w:date="2015-10-30T14:07:00Z"/>
                <w:b/>
                <w:sz w:val="19"/>
              </w:rPr>
            </w:pPr>
            <w:del w:id="162" w:author="svcMRProcess" w:date="2015-10-30T14:07:00Z">
              <w:r>
                <w:rPr>
                  <w:snapToGrid w:val="0"/>
                  <w:sz w:val="19"/>
                  <w:lang w:val="en-US"/>
                </w:rPr>
                <w:delText>To be proclaimed (see s. 2)</w:delText>
              </w:r>
            </w:del>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63" w:author="svcMRProcess" w:date="2015-10-30T14:07:00Z"/>
          <w:snapToGrid w:val="0"/>
        </w:rPr>
      </w:pPr>
      <w:bookmarkStart w:id="164" w:name="AutoSch"/>
      <w:bookmarkEnd w:id="164"/>
      <w:del w:id="165" w:author="svcMRProcess" w:date="2015-10-30T14:07:00Z">
        <w:r>
          <w:rPr>
            <w:snapToGrid w:val="0"/>
            <w:vertAlign w:val="superscript"/>
          </w:rPr>
          <w:delText>3</w:delText>
        </w:r>
        <w:r>
          <w:rPr>
            <w:snapToGrid w:val="0"/>
          </w:rPr>
          <w:tab/>
          <w:delText xml:space="preserve">On the date as at which this reprint was prepared, the </w:delText>
        </w:r>
        <w:r>
          <w:rPr>
            <w:i/>
            <w:snapToGrid w:val="0"/>
            <w:lang w:val="en-US"/>
          </w:rPr>
          <w:delText xml:space="preserve">Swan and Canning Rivers (Consequential and Transitional Provisions) Act 2006 </w:delText>
        </w:r>
        <w:r>
          <w:rPr>
            <w:snapToGrid w:val="0"/>
            <w:lang w:val="en-US"/>
          </w:rPr>
          <w:delText>s. 6</w:delText>
        </w:r>
        <w:r>
          <w:rPr>
            <w:iCs/>
            <w:snapToGrid w:val="0"/>
            <w:lang w:val="en-US"/>
          </w:rPr>
          <w:delText xml:space="preserve">, </w:delText>
        </w:r>
        <w:r>
          <w:rPr>
            <w:snapToGrid w:val="0"/>
            <w:lang w:val="en-US"/>
          </w:rPr>
          <w:delText xml:space="preserve">which </w:delText>
        </w:r>
        <w:r>
          <w:rPr>
            <w:snapToGrid w:val="0"/>
          </w:rPr>
          <w:delText>gives effect to Sch. 1, had not come into operation.  It reads as follows:</w:delText>
        </w:r>
      </w:del>
    </w:p>
    <w:p>
      <w:pPr>
        <w:pStyle w:val="MiscOpen"/>
        <w:rPr>
          <w:del w:id="166" w:author="svcMRProcess" w:date="2015-10-30T14:07:00Z"/>
          <w:snapToGrid w:val="0"/>
        </w:rPr>
      </w:pPr>
      <w:del w:id="167" w:author="svcMRProcess" w:date="2015-10-30T14:07:00Z">
        <w:r>
          <w:rPr>
            <w:snapToGrid w:val="0"/>
          </w:rPr>
          <w:delText>“</w:delText>
        </w:r>
      </w:del>
    </w:p>
    <w:p>
      <w:pPr>
        <w:pStyle w:val="nzHeading5"/>
        <w:rPr>
          <w:del w:id="168" w:author="svcMRProcess" w:date="2015-10-30T14:07:00Z"/>
        </w:rPr>
      </w:pPr>
      <w:bookmarkStart w:id="169" w:name="_Toc88281034"/>
      <w:bookmarkStart w:id="170" w:name="_Toc119214816"/>
      <w:bookmarkStart w:id="171" w:name="_Toc119381442"/>
      <w:bookmarkStart w:id="172" w:name="_Toc147724981"/>
      <w:bookmarkStart w:id="173" w:name="_Toc148155129"/>
      <w:del w:id="174" w:author="svcMRProcess" w:date="2015-10-30T14:07:00Z">
        <w:r>
          <w:rPr>
            <w:rStyle w:val="CharSectno"/>
          </w:rPr>
          <w:delText>6</w:delText>
        </w:r>
        <w:r>
          <w:delText>.</w:delText>
        </w:r>
        <w:r>
          <w:tab/>
          <w:delText>Acts in Schedule </w:delText>
        </w:r>
        <w:bookmarkEnd w:id="169"/>
        <w:r>
          <w:delText>1: consequential amendments</w:delText>
        </w:r>
        <w:bookmarkEnd w:id="170"/>
        <w:bookmarkEnd w:id="171"/>
        <w:bookmarkEnd w:id="172"/>
        <w:bookmarkEnd w:id="173"/>
      </w:del>
    </w:p>
    <w:p>
      <w:pPr>
        <w:pStyle w:val="nzSubsection"/>
        <w:rPr>
          <w:del w:id="175" w:author="svcMRProcess" w:date="2015-10-30T14:07:00Z"/>
        </w:rPr>
      </w:pPr>
      <w:del w:id="176" w:author="svcMRProcess" w:date="2015-10-30T14:07:00Z">
        <w:r>
          <w:tab/>
        </w:r>
        <w:r>
          <w:tab/>
          <w:delText>The Acts mentioned in Schedule 1 are amended as set out in that Schedule.</w:delText>
        </w:r>
      </w:del>
    </w:p>
    <w:p>
      <w:pPr>
        <w:pStyle w:val="MiscClose"/>
        <w:rPr>
          <w:del w:id="177" w:author="svcMRProcess" w:date="2015-10-30T14:07:00Z"/>
          <w:snapToGrid w:val="0"/>
        </w:rPr>
      </w:pPr>
      <w:del w:id="178" w:author="svcMRProcess" w:date="2015-10-30T14:07:00Z">
        <w:r>
          <w:rPr>
            <w:snapToGrid w:val="0"/>
          </w:rPr>
          <w:delText>”.</w:delText>
        </w:r>
      </w:del>
    </w:p>
    <w:p>
      <w:pPr>
        <w:pStyle w:val="nSubsection"/>
        <w:rPr>
          <w:del w:id="179" w:author="svcMRProcess" w:date="2015-10-30T14:07:00Z"/>
          <w:snapToGrid w:val="0"/>
        </w:rPr>
      </w:pPr>
      <w:del w:id="180" w:author="svcMRProcess" w:date="2015-10-30T14:07:00Z">
        <w:r>
          <w:rPr>
            <w:snapToGrid w:val="0"/>
          </w:rPr>
          <w:tab/>
          <w:delText>Schedule 1 cl. 3 reads as follows:</w:delText>
        </w:r>
      </w:del>
    </w:p>
    <w:p>
      <w:pPr>
        <w:pStyle w:val="nSubsection"/>
        <w:rPr>
          <w:del w:id="181" w:author="svcMRProcess" w:date="2015-10-30T14:07:00Z"/>
          <w:snapToGrid w:val="0"/>
        </w:rPr>
      </w:pPr>
      <w:del w:id="182" w:author="svcMRProcess" w:date="2015-10-30T14:07:00Z">
        <w:r>
          <w:rPr>
            <w:snapToGrid w:val="0"/>
          </w:rPr>
          <w:delText>“</w:delText>
        </w:r>
      </w:del>
    </w:p>
    <w:p>
      <w:pPr>
        <w:pStyle w:val="nzHeading2"/>
        <w:rPr>
          <w:del w:id="183" w:author="svcMRProcess" w:date="2015-10-30T14:07:00Z"/>
        </w:rPr>
      </w:pPr>
      <w:bookmarkStart w:id="184" w:name="_Toc119401169"/>
      <w:bookmarkStart w:id="185" w:name="_Toc119402465"/>
      <w:bookmarkStart w:id="186" w:name="_Toc119403311"/>
      <w:bookmarkStart w:id="187" w:name="_Toc119472271"/>
      <w:bookmarkStart w:id="188" w:name="_Toc119486418"/>
      <w:bookmarkStart w:id="189" w:name="_Toc146519496"/>
      <w:bookmarkStart w:id="190" w:name="_Toc146519676"/>
      <w:bookmarkStart w:id="191" w:name="_Toc147625552"/>
      <w:bookmarkStart w:id="192" w:name="_Toc147724593"/>
      <w:bookmarkStart w:id="193" w:name="_Toc147725001"/>
      <w:bookmarkStart w:id="194" w:name="_Toc148155149"/>
      <w:del w:id="195" w:author="svcMRProcess" w:date="2015-10-30T14:07: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bookmarkEnd w:id="184"/>
        <w:bookmarkEnd w:id="185"/>
        <w:bookmarkEnd w:id="186"/>
        <w:bookmarkEnd w:id="187"/>
        <w:bookmarkEnd w:id="188"/>
        <w:bookmarkEnd w:id="189"/>
        <w:bookmarkEnd w:id="190"/>
        <w:bookmarkEnd w:id="191"/>
        <w:bookmarkEnd w:id="192"/>
        <w:bookmarkEnd w:id="193"/>
        <w:bookmarkEnd w:id="194"/>
      </w:del>
    </w:p>
    <w:p>
      <w:pPr>
        <w:pStyle w:val="nzMiscellaneousBody"/>
        <w:jc w:val="right"/>
        <w:rPr>
          <w:del w:id="196" w:author="svcMRProcess" w:date="2015-10-30T14:07:00Z"/>
        </w:rPr>
      </w:pPr>
      <w:del w:id="197" w:author="svcMRProcess" w:date="2015-10-30T14:07:00Z">
        <w:r>
          <w:delText>[s. 6]</w:delText>
        </w:r>
      </w:del>
    </w:p>
    <w:p>
      <w:pPr>
        <w:pStyle w:val="nzHeading5"/>
        <w:rPr>
          <w:del w:id="198" w:author="svcMRProcess" w:date="2015-10-30T14:07:00Z"/>
        </w:rPr>
      </w:pPr>
      <w:bookmarkStart w:id="199" w:name="_Toc88281058"/>
      <w:bookmarkStart w:id="200" w:name="_Toc119214839"/>
      <w:bookmarkStart w:id="201" w:name="_Toc119381466"/>
      <w:bookmarkStart w:id="202" w:name="_Toc147725004"/>
      <w:bookmarkStart w:id="203" w:name="_Toc148155152"/>
      <w:del w:id="204" w:author="svcMRProcess" w:date="2015-10-30T14:07:00Z">
        <w:r>
          <w:rPr>
            <w:rStyle w:val="CharSClsNo"/>
          </w:rPr>
          <w:delText>3</w:delText>
        </w:r>
        <w:r>
          <w:delText>.</w:delText>
        </w:r>
        <w:r>
          <w:tab/>
        </w:r>
        <w:bookmarkStart w:id="205" w:name="_Toc70998634"/>
        <w:r>
          <w:rPr>
            <w:i/>
          </w:rPr>
          <w:delText>Jetties Act 1926</w:delText>
        </w:r>
        <w:r>
          <w:delText xml:space="preserve"> amended</w:delText>
        </w:r>
        <w:bookmarkEnd w:id="199"/>
        <w:bookmarkEnd w:id="200"/>
        <w:bookmarkEnd w:id="201"/>
        <w:bookmarkEnd w:id="202"/>
        <w:bookmarkEnd w:id="203"/>
        <w:bookmarkEnd w:id="205"/>
      </w:del>
    </w:p>
    <w:p>
      <w:pPr>
        <w:pStyle w:val="nzSubsection"/>
        <w:rPr>
          <w:del w:id="206" w:author="svcMRProcess" w:date="2015-10-30T14:07:00Z"/>
        </w:rPr>
      </w:pPr>
      <w:del w:id="207" w:author="svcMRProcess" w:date="2015-10-30T14:07:00Z">
        <w:r>
          <w:tab/>
          <w:delText>(1)</w:delText>
        </w:r>
        <w:r>
          <w:tab/>
          <w:delText xml:space="preserve">The amendments in this clause are to the </w:delText>
        </w:r>
        <w:r>
          <w:rPr>
            <w:i/>
          </w:rPr>
          <w:delText>Jetties Act 1926.</w:delText>
        </w:r>
      </w:del>
    </w:p>
    <w:p>
      <w:pPr>
        <w:pStyle w:val="nzSubsection"/>
        <w:rPr>
          <w:del w:id="208" w:author="svcMRProcess" w:date="2015-10-30T14:07:00Z"/>
        </w:rPr>
      </w:pPr>
      <w:del w:id="209" w:author="svcMRProcess" w:date="2015-10-30T14:07:00Z">
        <w:r>
          <w:tab/>
          <w:delText>(2)</w:delText>
        </w:r>
        <w:r>
          <w:tab/>
          <w:delText xml:space="preserve">Section 7(3) is amended by deleting “section 50 of the </w:delText>
        </w:r>
        <w:r>
          <w:rPr>
            <w:i/>
          </w:rPr>
          <w:delText>Swan River Trust Act 198</w:delText>
        </w:r>
        <w:r>
          <w:rPr>
            <w:rFonts w:ascii="Times" w:hAnsi="Times"/>
            <w:i/>
            <w:spacing w:val="40"/>
          </w:rPr>
          <w:delText>8</w:delText>
        </w:r>
        <w:r>
          <w:delText>” and inserting instead —</w:delText>
        </w:r>
      </w:del>
    </w:p>
    <w:p>
      <w:pPr>
        <w:pStyle w:val="MiscOpen"/>
        <w:ind w:left="880"/>
        <w:rPr>
          <w:del w:id="210" w:author="svcMRProcess" w:date="2015-10-30T14:07:00Z"/>
        </w:rPr>
      </w:pPr>
      <w:del w:id="211" w:author="svcMRProcess" w:date="2015-10-30T14:07:00Z">
        <w:r>
          <w:delText>“</w:delText>
        </w:r>
      </w:del>
    </w:p>
    <w:p>
      <w:pPr>
        <w:pStyle w:val="nzSubsection"/>
        <w:rPr>
          <w:del w:id="212" w:author="svcMRProcess" w:date="2015-10-30T14:07:00Z"/>
        </w:rPr>
      </w:pPr>
      <w:del w:id="213" w:author="svcMRProcess" w:date="2015-10-30T14:07:00Z">
        <w:r>
          <w:tab/>
        </w:r>
        <w:r>
          <w:tab/>
          <w:delText xml:space="preserve">the </w:delText>
        </w:r>
        <w:r>
          <w:rPr>
            <w:i/>
          </w:rPr>
          <w:delText>Swan and Canning Rivers Management Act 2006</w:delText>
        </w:r>
        <w:r>
          <w:delText xml:space="preserve"> section 70</w:delText>
        </w:r>
      </w:del>
    </w:p>
    <w:p>
      <w:pPr>
        <w:pStyle w:val="MiscClose"/>
        <w:rPr>
          <w:del w:id="214" w:author="svcMRProcess" w:date="2015-10-30T14:07:00Z"/>
        </w:rPr>
      </w:pPr>
      <w:del w:id="215" w:author="svcMRProcess" w:date="2015-10-30T14:07:00Z">
        <w:r>
          <w:delText xml:space="preserve">    ”.</w:delText>
        </w:r>
      </w:del>
    </w:p>
    <w:p>
      <w:pPr>
        <w:pStyle w:val="MiscClose"/>
        <w:rPr>
          <w:del w:id="216" w:author="svcMRProcess" w:date="2015-10-30T14:07:00Z"/>
          <w:snapToGrid w:val="0"/>
        </w:rPr>
      </w:pPr>
      <w:del w:id="217" w:author="svcMRProcess" w:date="2015-10-30T14:07:00Z">
        <w:r>
          <w:rPr>
            <w:snapToGrid w:val="0"/>
          </w:rPr>
          <w:delText>”.</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Jetties Act 1926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Jetties Act 1926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Jetties Act 1926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Jetties Act 1926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3538</Words>
  <Characters>16242</Characters>
  <Application>Microsoft Office Word</Application>
  <DocSecurity>0</DocSecurity>
  <Lines>523</Lines>
  <Paragraphs>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03-a0-01 - 03-b0-03</dc:title>
  <dc:subject/>
  <dc:creator/>
  <cp:keywords/>
  <dc:description/>
  <cp:lastModifiedBy>svcMRProcess</cp:lastModifiedBy>
  <cp:revision>2</cp:revision>
  <cp:lastPrinted>2007-06-25T01:19:00Z</cp:lastPrinted>
  <dcterms:created xsi:type="dcterms:W3CDTF">2015-10-30T06:07:00Z</dcterms:created>
  <dcterms:modified xsi:type="dcterms:W3CDTF">2015-10-30T06:07:00Z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FromSuffix">
    <vt:lpwstr>03-a0-01</vt:lpwstr>
  </property>
  <property fmtid="{D5CDD505-2E9C-101B-9397-08002B2CF9AE}" pid="9" name="FromAsAtDate">
    <vt:lpwstr>08 Jun 2007</vt:lpwstr>
  </property>
  <property fmtid="{D5CDD505-2E9C-101B-9397-08002B2CF9AE}" pid="10" name="ToSuffix">
    <vt:lpwstr>03-b0-03</vt:lpwstr>
  </property>
  <property fmtid="{D5CDD505-2E9C-101B-9397-08002B2CF9AE}" pid="11" name="ToAsAtDate">
    <vt:lpwstr>25 Sep 2007</vt:lpwstr>
  </property>
</Properties>
</file>