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04-d0-05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Bulk Handling Act 1967 </w:t>
      </w:r>
    </w:p>
    <w:p>
      <w:pPr>
        <w:pStyle w:val="LongTitle"/>
        <w:spacing w:before="480"/>
        <w:rPr>
          <w:snapToGrid w:val="0"/>
        </w:rPr>
      </w:pPr>
      <w:r>
        <w:rPr>
          <w:snapToGrid w:val="0"/>
        </w:rPr>
        <w:t>A</w:t>
      </w:r>
      <w:bookmarkStart w:id="0" w:name="_GoBack"/>
      <w:bookmarkEnd w:id="0"/>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506349394"/>
      <w:bookmarkStart w:id="6" w:name="_Toc56486127"/>
      <w:bookmarkStart w:id="7" w:name="_Toc61764443"/>
      <w:bookmarkStart w:id="8" w:name="_Toc62548305"/>
      <w:bookmarkStart w:id="9" w:name="_Toc181001330"/>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0" w:name="_Toc506349395"/>
      <w:bookmarkStart w:id="11" w:name="_Toc56486128"/>
      <w:bookmarkStart w:id="12" w:name="_Toc61764444"/>
      <w:bookmarkStart w:id="13" w:name="_Toc62548306"/>
      <w:bookmarkStart w:id="14" w:name="_Toc181001331"/>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r>
      <w:del w:id="15" w:author="svcMRProcess" w:date="2015-12-08T23:51:00Z">
        <w:r>
          <w:delText>Repealed</w:delText>
        </w:r>
      </w:del>
      <w:ins w:id="16" w:author="svcMRProcess" w:date="2015-12-08T23:51:00Z">
        <w:r>
          <w:t>Deleted</w:t>
        </w:r>
      </w:ins>
      <w:r>
        <w:t xml:space="preserve"> by No. 10 of 1998 s. 76.]</w:t>
      </w:r>
    </w:p>
    <w:p>
      <w:pPr>
        <w:pStyle w:val="Ednotesection"/>
      </w:pPr>
      <w:bookmarkStart w:id="17" w:name="_Toc506349396"/>
      <w:bookmarkStart w:id="18" w:name="_Toc56486129"/>
      <w:r>
        <w:t>[</w:t>
      </w:r>
      <w:r>
        <w:rPr>
          <w:b/>
          <w:bCs/>
        </w:rPr>
        <w:t>4.</w:t>
      </w:r>
      <w:r>
        <w:tab/>
        <w:t>Omitted under the Reprints Act 1984 s. 7(4)(f).]</w:t>
      </w:r>
      <w:bookmarkEnd w:id="17"/>
      <w:bookmarkEnd w:id="18"/>
    </w:p>
    <w:p>
      <w:pPr>
        <w:pStyle w:val="Heading5"/>
        <w:rPr>
          <w:snapToGrid w:val="0"/>
        </w:rPr>
      </w:pPr>
      <w:bookmarkStart w:id="19" w:name="_Toc506349397"/>
      <w:bookmarkStart w:id="20" w:name="_Toc56486130"/>
      <w:bookmarkStart w:id="21" w:name="_Toc61764445"/>
      <w:bookmarkStart w:id="22" w:name="_Toc62548307"/>
      <w:bookmarkStart w:id="23" w:name="_Toc181001332"/>
      <w:r>
        <w:rPr>
          <w:rStyle w:val="CharSectno"/>
        </w:rPr>
        <w:t>5</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4" w:author="svcMRProcess" w:date="2015-12-08T23:51:00Z">
        <w:r>
          <w:rPr>
            <w:b/>
          </w:rPr>
          <w:delText>“</w:delText>
        </w:r>
      </w:del>
      <w:r>
        <w:rPr>
          <w:rStyle w:val="CharDefText"/>
        </w:rPr>
        <w:t>bin</w:t>
      </w:r>
      <w:del w:id="25" w:author="svcMRProcess" w:date="2015-12-08T23:51:00Z">
        <w:r>
          <w:rPr>
            <w:b/>
          </w:rPr>
          <w:delText>”</w:delText>
        </w:r>
      </w:del>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del w:id="26" w:author="svcMRProcess" w:date="2015-12-08T23:51:00Z">
        <w:r>
          <w:rPr>
            <w:b/>
          </w:rPr>
          <w:delText>“</w:delText>
        </w:r>
      </w:del>
      <w:r>
        <w:rPr>
          <w:rStyle w:val="CharDefText"/>
        </w:rPr>
        <w:t>Company</w:t>
      </w:r>
      <w:del w:id="27" w:author="svcMRProcess" w:date="2015-12-08T23:51:00Z">
        <w:r>
          <w:rPr>
            <w:b/>
          </w:rPr>
          <w:delText>”</w:delText>
        </w:r>
      </w:del>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and having its registered office at Wellington Street, Perth</w:t>
      </w:r>
      <w:r>
        <w:rPr>
          <w:vertAlign w:val="superscript"/>
        </w:rPr>
        <w:t xml:space="preserve"> 3</w:t>
      </w:r>
      <w:r>
        <w:t>;</w:t>
      </w:r>
    </w:p>
    <w:p>
      <w:pPr>
        <w:pStyle w:val="Defstart"/>
      </w:pPr>
      <w:r>
        <w:rPr>
          <w:b/>
        </w:rPr>
        <w:tab/>
      </w:r>
      <w:del w:id="28" w:author="svcMRProcess" w:date="2015-12-08T23:51:00Z">
        <w:r>
          <w:rPr>
            <w:b/>
          </w:rPr>
          <w:delText>“</w:delText>
        </w:r>
      </w:del>
      <w:r>
        <w:rPr>
          <w:rStyle w:val="CharDefText"/>
        </w:rPr>
        <w:t>grade</w:t>
      </w:r>
      <w:del w:id="29" w:author="svcMRProcess" w:date="2015-12-08T23:51:00Z">
        <w:r>
          <w:rPr>
            <w:b/>
          </w:rPr>
          <w:delText>”</w:delText>
        </w:r>
        <w:r>
          <w:delText>,</w:delText>
        </w:r>
      </w:del>
      <w:ins w:id="30" w:author="svcMRProcess" w:date="2015-12-08T23:51:00Z">
        <w:r>
          <w:t>,</w:t>
        </w:r>
      </w:ins>
      <w:r>
        <w:t xml:space="preserve">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del w:id="31" w:author="svcMRProcess" w:date="2015-12-08T23:51:00Z">
        <w:r>
          <w:rPr>
            <w:b/>
          </w:rPr>
          <w:delText>“</w:delText>
        </w:r>
      </w:del>
      <w:r>
        <w:rPr>
          <w:rStyle w:val="CharDefText"/>
        </w:rPr>
        <w:t>grain</w:t>
      </w:r>
      <w:del w:id="32" w:author="svcMRProcess" w:date="2015-12-08T23:51:00Z">
        <w:r>
          <w:rPr>
            <w:b/>
          </w:rPr>
          <w:delText>”</w:delText>
        </w:r>
      </w:del>
      <w:r>
        <w:t xml:space="preserve"> means the seeds of the cereal grasses wheat and barley;</w:t>
      </w:r>
    </w:p>
    <w:p>
      <w:pPr>
        <w:pStyle w:val="Defstart"/>
      </w:pPr>
      <w:r>
        <w:rPr>
          <w:b/>
        </w:rPr>
        <w:tab/>
      </w:r>
      <w:del w:id="33" w:author="svcMRProcess" w:date="2015-12-08T23:51:00Z">
        <w:r>
          <w:rPr>
            <w:b/>
          </w:rPr>
          <w:delText>“</w:delText>
        </w:r>
      </w:del>
      <w:r>
        <w:rPr>
          <w:rStyle w:val="CharDefText"/>
        </w:rPr>
        <w:t>grain received in bulk</w:t>
      </w:r>
      <w:del w:id="34" w:author="svcMRProcess" w:date="2015-12-08T23:51:00Z">
        <w:r>
          <w:rPr>
            <w:b/>
          </w:rPr>
          <w:delText>”</w:delText>
        </w:r>
      </w:del>
      <w:r>
        <w:t xml:space="preserve"> means grain in respect of which the Company renders a service;</w:t>
      </w:r>
    </w:p>
    <w:p>
      <w:pPr>
        <w:pStyle w:val="Defstart"/>
      </w:pPr>
      <w:r>
        <w:rPr>
          <w:b/>
        </w:rPr>
        <w:tab/>
      </w:r>
      <w:del w:id="35" w:author="svcMRProcess" w:date="2015-12-08T23:51:00Z">
        <w:r>
          <w:rPr>
            <w:b/>
          </w:rPr>
          <w:delText>“</w:delText>
        </w:r>
      </w:del>
      <w:r>
        <w:rPr>
          <w:rStyle w:val="CharDefText"/>
        </w:rPr>
        <w:t>grower</w:t>
      </w:r>
      <w:del w:id="36" w:author="svcMRProcess" w:date="2015-12-08T23:51:00Z">
        <w:r>
          <w:rPr>
            <w:b/>
          </w:rPr>
          <w:delText>”</w:delText>
        </w:r>
      </w:del>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del w:id="37" w:author="svcMRProcess" w:date="2015-12-08T23:51:00Z">
        <w:r>
          <w:rPr>
            <w:b/>
          </w:rPr>
          <w:delText>“</w:delText>
        </w:r>
      </w:del>
      <w:r>
        <w:rPr>
          <w:rStyle w:val="CharDefText"/>
        </w:rPr>
        <w:t>marketing authority</w:t>
      </w:r>
      <w:del w:id="38" w:author="svcMRProcess" w:date="2015-12-08T23:51:00Z">
        <w:r>
          <w:rPr>
            <w:b/>
          </w:rPr>
          <w:delText>”</w:delText>
        </w:r>
      </w:del>
      <w:r>
        <w:t xml:space="preserve"> means the Australian Wheat Board or any other marketing authority constituted by or under any law of the Commonwealth or of the State for the marketing of any type of grain;</w:t>
      </w:r>
    </w:p>
    <w:p>
      <w:pPr>
        <w:pStyle w:val="Defstart"/>
      </w:pPr>
      <w:r>
        <w:rPr>
          <w:b/>
        </w:rPr>
        <w:tab/>
      </w:r>
      <w:del w:id="39" w:author="svcMRProcess" w:date="2015-12-08T23:51:00Z">
        <w:r>
          <w:rPr>
            <w:b/>
          </w:rPr>
          <w:delText>“</w:delText>
        </w:r>
      </w:del>
      <w:r>
        <w:rPr>
          <w:rStyle w:val="CharDefText"/>
        </w:rPr>
        <w:t>miller</w:t>
      </w:r>
      <w:del w:id="40" w:author="svcMRProcess" w:date="2015-12-08T23:51:00Z">
        <w:r>
          <w:rPr>
            <w:b/>
          </w:rPr>
          <w:delText>”</w:delText>
        </w:r>
      </w:del>
      <w:r>
        <w:t xml:space="preserve"> means a person whose business includes the milling, other processing or use of grain;</w:t>
      </w:r>
    </w:p>
    <w:p>
      <w:pPr>
        <w:pStyle w:val="Defstart"/>
      </w:pPr>
      <w:r>
        <w:rPr>
          <w:b/>
        </w:rPr>
        <w:tab/>
      </w:r>
      <w:del w:id="41" w:author="svcMRProcess" w:date="2015-12-08T23:51:00Z">
        <w:r>
          <w:rPr>
            <w:b/>
          </w:rPr>
          <w:delText>“</w:delText>
        </w:r>
      </w:del>
      <w:r>
        <w:rPr>
          <w:rStyle w:val="CharDefText"/>
        </w:rPr>
        <w:t>representative</w:t>
      </w:r>
      <w:del w:id="42" w:author="svcMRProcess" w:date="2015-12-08T23:51:00Z">
        <w:r>
          <w:rPr>
            <w:b/>
          </w:rPr>
          <w:delText>”</w:delText>
        </w:r>
        <w:r>
          <w:delText>,</w:delText>
        </w:r>
      </w:del>
      <w:ins w:id="43" w:author="svcMRProcess" w:date="2015-12-08T23:51:00Z">
        <w:r>
          <w:t>,</w:t>
        </w:r>
      </w:ins>
      <w:r>
        <w:t xml:space="preserve"> in relation to a grower, means a person acting under the express or implied authority of the grower and includes a person tendering grain to the Company on behalf of the grower;</w:t>
      </w:r>
    </w:p>
    <w:p>
      <w:pPr>
        <w:pStyle w:val="Defstart"/>
      </w:pPr>
      <w:r>
        <w:rPr>
          <w:b/>
        </w:rPr>
        <w:tab/>
      </w:r>
      <w:del w:id="44" w:author="svcMRProcess" w:date="2015-12-08T23:51:00Z">
        <w:r>
          <w:rPr>
            <w:b/>
          </w:rPr>
          <w:delText>“</w:delText>
        </w:r>
      </w:del>
      <w:r>
        <w:rPr>
          <w:rStyle w:val="CharDefText"/>
        </w:rPr>
        <w:t>season</w:t>
      </w:r>
      <w:del w:id="45" w:author="svcMRProcess" w:date="2015-12-08T23:51:00Z">
        <w:r>
          <w:rPr>
            <w:b/>
          </w:rPr>
          <w:delText>”</w:delText>
        </w:r>
        <w:r>
          <w:delText>,</w:delText>
        </w:r>
      </w:del>
      <w:ins w:id="46" w:author="svcMRProcess" w:date="2015-12-08T23:51:00Z">
        <w:r>
          <w:t>,</w:t>
        </w:r>
      </w:ins>
      <w:r>
        <w:t xml:space="preserve"> in relation to grain, means the period extending from 1 November in any year, or, if grain is received prior to 1 November, then from the date of receival of the grain, to 31 October in the following year;</w:t>
      </w:r>
    </w:p>
    <w:p>
      <w:pPr>
        <w:pStyle w:val="Defstart"/>
      </w:pPr>
      <w:r>
        <w:rPr>
          <w:b/>
        </w:rPr>
        <w:tab/>
      </w:r>
      <w:del w:id="47" w:author="svcMRProcess" w:date="2015-12-08T23:51:00Z">
        <w:r>
          <w:rPr>
            <w:b/>
          </w:rPr>
          <w:delText>“</w:delText>
        </w:r>
      </w:del>
      <w:r>
        <w:rPr>
          <w:rStyle w:val="CharDefText"/>
        </w:rPr>
        <w:t>section</w:t>
      </w:r>
      <w:del w:id="48" w:author="svcMRProcess" w:date="2015-12-08T23:51:00Z">
        <w:r>
          <w:rPr>
            <w:b/>
          </w:rPr>
          <w:delText>”</w:delText>
        </w:r>
      </w:del>
      <w:r>
        <w:t xml:space="preserve"> means a section of this Act;</w:t>
      </w:r>
    </w:p>
    <w:p>
      <w:pPr>
        <w:pStyle w:val="Defstart"/>
      </w:pPr>
      <w:r>
        <w:rPr>
          <w:b/>
        </w:rPr>
        <w:tab/>
      </w:r>
      <w:del w:id="49" w:author="svcMRProcess" w:date="2015-12-08T23:51:00Z">
        <w:r>
          <w:rPr>
            <w:b/>
          </w:rPr>
          <w:delText>“</w:delText>
        </w:r>
      </w:del>
      <w:r>
        <w:rPr>
          <w:rStyle w:val="CharDefText"/>
        </w:rPr>
        <w:t>terminal elevator</w:t>
      </w:r>
      <w:del w:id="50" w:author="svcMRProcess" w:date="2015-12-08T23:51:00Z">
        <w:r>
          <w:rPr>
            <w:b/>
          </w:rPr>
          <w:delText>”</w:delText>
        </w:r>
      </w:del>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51" w:name="_Toc62547947"/>
      <w:bookmarkStart w:id="52" w:name="_Toc62547995"/>
      <w:bookmarkStart w:id="53" w:name="_Toc180552226"/>
      <w:bookmarkStart w:id="54" w:name="_Toc181001333"/>
      <w:r>
        <w:rPr>
          <w:rStyle w:val="CharPartNo"/>
        </w:rPr>
        <w:t>Part II</w:t>
      </w:r>
      <w:r>
        <w:rPr>
          <w:rStyle w:val="CharDivNo"/>
        </w:rPr>
        <w:t> </w:t>
      </w:r>
      <w:r>
        <w:t>—</w:t>
      </w:r>
      <w:r>
        <w:rPr>
          <w:rStyle w:val="CharDivText"/>
        </w:rPr>
        <w:t> </w:t>
      </w:r>
      <w:r>
        <w:rPr>
          <w:rStyle w:val="CharPartText"/>
        </w:rPr>
        <w:t>Obligations of the Company</w:t>
      </w:r>
      <w:bookmarkEnd w:id="51"/>
      <w:bookmarkEnd w:id="52"/>
      <w:bookmarkEnd w:id="53"/>
      <w:bookmarkEnd w:id="54"/>
      <w:r>
        <w:rPr>
          <w:rStyle w:val="CharPartText"/>
        </w:rPr>
        <w:t xml:space="preserve"> </w:t>
      </w:r>
    </w:p>
    <w:p>
      <w:pPr>
        <w:pStyle w:val="Ednotesection"/>
      </w:pPr>
      <w:bookmarkStart w:id="55" w:name="_Toc506349399"/>
      <w:r>
        <w:t>[</w:t>
      </w:r>
      <w:r>
        <w:rPr>
          <w:b/>
        </w:rPr>
        <w:t>6.</w:t>
      </w:r>
      <w:r>
        <w:tab/>
      </w:r>
      <w:del w:id="56" w:author="svcMRProcess" w:date="2015-12-08T23:51:00Z">
        <w:r>
          <w:delText>Repealed</w:delText>
        </w:r>
      </w:del>
      <w:ins w:id="57" w:author="svcMRProcess" w:date="2015-12-08T23:51:00Z">
        <w:r>
          <w:t>Deleted</w:t>
        </w:r>
      </w:ins>
      <w:r>
        <w:t xml:space="preserve"> by No. 29 of 2002 s. 5.]</w:t>
      </w:r>
    </w:p>
    <w:p>
      <w:pPr>
        <w:pStyle w:val="Heading5"/>
      </w:pPr>
      <w:bookmarkStart w:id="58" w:name="_Toc56486131"/>
      <w:bookmarkStart w:id="59" w:name="_Toc61764446"/>
      <w:bookmarkStart w:id="60" w:name="_Toc62548308"/>
      <w:bookmarkStart w:id="61" w:name="_Toc181001334"/>
      <w:bookmarkStart w:id="62" w:name="_Toc506349400"/>
      <w:bookmarkEnd w:id="55"/>
      <w:r>
        <w:rPr>
          <w:rStyle w:val="CharSectno"/>
        </w:rPr>
        <w:t>6A</w:t>
      </w:r>
      <w:r>
        <w:t>.</w:t>
      </w:r>
      <w:r>
        <w:tab/>
        <w:t>Determination of standards</w:t>
      </w:r>
      <w:bookmarkEnd w:id="58"/>
      <w:bookmarkEnd w:id="59"/>
      <w:bookmarkEnd w:id="60"/>
      <w:bookmarkEnd w:id="61"/>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63" w:name="_Toc56486132"/>
      <w:bookmarkStart w:id="64" w:name="_Toc61764447"/>
      <w:bookmarkStart w:id="65" w:name="_Toc62548309"/>
      <w:bookmarkStart w:id="66" w:name="_Toc181001335"/>
      <w:r>
        <w:rPr>
          <w:rStyle w:val="CharSectno"/>
        </w:rPr>
        <w:t>7</w:t>
      </w:r>
      <w:r>
        <w:rPr>
          <w:snapToGrid w:val="0"/>
        </w:rPr>
        <w:t>.</w:t>
      </w:r>
      <w:r>
        <w:rPr>
          <w:snapToGrid w:val="0"/>
        </w:rPr>
        <w:tab/>
        <w:t>Liability of Company for conversion</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67" w:name="_Toc506349404"/>
      <w:r>
        <w:t>[</w:t>
      </w:r>
      <w:r>
        <w:rPr>
          <w:b/>
        </w:rPr>
        <w:t>8</w:t>
      </w:r>
      <w:r>
        <w:rPr>
          <w:b/>
        </w:rPr>
        <w:noBreakHyphen/>
        <w:t>10.</w:t>
      </w:r>
      <w:r>
        <w:tab/>
      </w:r>
      <w:del w:id="68" w:author="svcMRProcess" w:date="2015-12-08T23:51:00Z">
        <w:r>
          <w:delText>Repealed</w:delText>
        </w:r>
      </w:del>
      <w:ins w:id="69" w:author="svcMRProcess" w:date="2015-12-08T23:51:00Z">
        <w:r>
          <w:t>Deleted</w:t>
        </w:r>
      </w:ins>
      <w:r>
        <w:t xml:space="preserve"> by No. 29 of 2002 s. 5.]</w:t>
      </w:r>
    </w:p>
    <w:p>
      <w:pPr>
        <w:pStyle w:val="Heading5"/>
        <w:rPr>
          <w:snapToGrid w:val="0"/>
        </w:rPr>
      </w:pPr>
      <w:bookmarkStart w:id="70" w:name="_Toc56486133"/>
      <w:bookmarkStart w:id="71" w:name="_Toc61764448"/>
      <w:bookmarkStart w:id="72" w:name="_Toc62548310"/>
      <w:bookmarkStart w:id="73" w:name="_Toc181001336"/>
      <w:r>
        <w:rPr>
          <w:rStyle w:val="CharSectno"/>
        </w:rPr>
        <w:t>11</w:t>
      </w:r>
      <w:r>
        <w:rPr>
          <w:snapToGrid w:val="0"/>
        </w:rPr>
        <w:t>.</w:t>
      </w:r>
      <w:r>
        <w:rPr>
          <w:snapToGrid w:val="0"/>
        </w:rPr>
        <w:tab/>
        <w:t>Company to insure grain</w:t>
      </w:r>
      <w:bookmarkEnd w:id="67"/>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74" w:name="_Toc506349405"/>
      <w:bookmarkStart w:id="75" w:name="_Toc56486134"/>
      <w:bookmarkStart w:id="76" w:name="_Toc61764449"/>
      <w:bookmarkStart w:id="77" w:name="_Toc62548311"/>
      <w:bookmarkStart w:id="78" w:name="_Toc181001337"/>
      <w:r>
        <w:rPr>
          <w:rStyle w:val="CharSectno"/>
        </w:rPr>
        <w:t>12</w:t>
      </w:r>
      <w:r>
        <w:rPr>
          <w:snapToGrid w:val="0"/>
        </w:rPr>
        <w:t>.</w:t>
      </w:r>
      <w:r>
        <w:rPr>
          <w:snapToGrid w:val="0"/>
        </w:rPr>
        <w:tab/>
        <w:t>Company to furnish balance sheet and revenue account to Minister</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79" w:name="_Toc506349406"/>
      <w:bookmarkStart w:id="80" w:name="_Toc56486135"/>
      <w:bookmarkStart w:id="81" w:name="_Toc61764450"/>
      <w:bookmarkStart w:id="82" w:name="_Toc62548312"/>
      <w:bookmarkStart w:id="83" w:name="_Toc181001338"/>
      <w:r>
        <w:rPr>
          <w:rStyle w:val="CharSectno"/>
        </w:rPr>
        <w:t>13</w:t>
      </w:r>
      <w:r>
        <w:rPr>
          <w:snapToGrid w:val="0"/>
        </w:rPr>
        <w:t>.</w:t>
      </w:r>
      <w:r>
        <w:rPr>
          <w:snapToGrid w:val="0"/>
        </w:rPr>
        <w:tab/>
        <w:t>Power of Company to purchase shares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84" w:name="_Toc506349407"/>
      <w:bookmarkStart w:id="85" w:name="_Toc56486136"/>
      <w:bookmarkStart w:id="86" w:name="_Toc61764451"/>
      <w:bookmarkStart w:id="87" w:name="_Toc62548313"/>
      <w:bookmarkStart w:id="88" w:name="_Toc181001339"/>
      <w:r>
        <w:rPr>
          <w:rStyle w:val="CharSectno"/>
        </w:rPr>
        <w:t>14</w:t>
      </w:r>
      <w:r>
        <w:rPr>
          <w:snapToGrid w:val="0"/>
        </w:rPr>
        <w:t>.</w:t>
      </w:r>
      <w:r>
        <w:rPr>
          <w:snapToGrid w:val="0"/>
        </w:rPr>
        <w:tab/>
        <w:t>Application of moneys received from excess of outturn</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89" w:name="_Toc506349408"/>
      <w:bookmarkStart w:id="90" w:name="_Toc56486137"/>
      <w:bookmarkStart w:id="91" w:name="_Toc61764452"/>
      <w:bookmarkStart w:id="92" w:name="_Toc62548314"/>
      <w:bookmarkStart w:id="93" w:name="_Toc181001340"/>
      <w:r>
        <w:rPr>
          <w:rStyle w:val="CharSectno"/>
        </w:rPr>
        <w:t>15</w:t>
      </w:r>
      <w:r>
        <w:rPr>
          <w:snapToGrid w:val="0"/>
        </w:rPr>
        <w:t>.</w:t>
      </w:r>
      <w:r>
        <w:rPr>
          <w:snapToGrid w:val="0"/>
        </w:rPr>
        <w:tab/>
        <w:t>Company not liable for act of God or unforeseen loss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94" w:name="_Toc506349409"/>
      <w:bookmarkStart w:id="95" w:name="_Toc56486138"/>
      <w:bookmarkStart w:id="96" w:name="_Toc61764453"/>
      <w:bookmarkStart w:id="97" w:name="_Toc62548315"/>
      <w:bookmarkStart w:id="98" w:name="_Toc181001341"/>
      <w:r>
        <w:rPr>
          <w:rStyle w:val="CharSectno"/>
        </w:rPr>
        <w:t>16</w:t>
      </w:r>
      <w:r>
        <w:rPr>
          <w:snapToGrid w:val="0"/>
        </w:rPr>
        <w:t>.</w:t>
      </w:r>
      <w:r>
        <w:rPr>
          <w:snapToGrid w:val="0"/>
        </w:rPr>
        <w:tab/>
        <w:t>Company’s liability for shortages in stocks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99" w:name="_Toc506349410"/>
      <w:bookmarkStart w:id="100" w:name="_Toc56486139"/>
      <w:bookmarkStart w:id="101" w:name="_Toc61764454"/>
      <w:bookmarkStart w:id="102" w:name="_Toc62548316"/>
      <w:bookmarkStart w:id="103" w:name="_Toc181001342"/>
      <w:r>
        <w:rPr>
          <w:rStyle w:val="CharSectno"/>
        </w:rPr>
        <w:t>17</w:t>
      </w:r>
      <w:r>
        <w:rPr>
          <w:snapToGrid w:val="0"/>
        </w:rPr>
        <w:t>.</w:t>
      </w:r>
      <w:r>
        <w:rPr>
          <w:snapToGrid w:val="0"/>
        </w:rPr>
        <w:tab/>
        <w:t>Polls of growers to be taken by secret ballot</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104" w:name="_Toc506349411"/>
      <w:bookmarkStart w:id="105" w:name="_Toc56486140"/>
      <w:bookmarkStart w:id="106" w:name="_Toc61764455"/>
      <w:bookmarkStart w:id="107" w:name="_Toc62548317"/>
      <w:bookmarkStart w:id="108" w:name="_Toc181001343"/>
      <w:r>
        <w:rPr>
          <w:rStyle w:val="CharSectno"/>
        </w:rPr>
        <w:t>18</w:t>
      </w:r>
      <w:r>
        <w:rPr>
          <w:snapToGrid w:val="0"/>
        </w:rPr>
        <w:t>.</w:t>
      </w:r>
      <w:r>
        <w:rPr>
          <w:snapToGrid w:val="0"/>
        </w:rPr>
        <w:tab/>
        <w:t>Title to grain in Company’s care</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109" w:name="_Toc506349412"/>
      <w:bookmarkStart w:id="110" w:name="_Toc56486141"/>
      <w:bookmarkStart w:id="111" w:name="_Toc61764456"/>
      <w:bookmarkStart w:id="112" w:name="_Toc62548318"/>
      <w:bookmarkStart w:id="113" w:name="_Toc181001344"/>
      <w:r>
        <w:rPr>
          <w:rStyle w:val="CharSectno"/>
        </w:rPr>
        <w:t>19</w:t>
      </w:r>
      <w:r>
        <w:rPr>
          <w:snapToGrid w:val="0"/>
        </w:rPr>
        <w:t>.</w:t>
      </w:r>
      <w:r>
        <w:rPr>
          <w:snapToGrid w:val="0"/>
        </w:rPr>
        <w:tab/>
        <w:t>Company to allow use of port facilities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 xml:space="preserve">[Parts III and IV </w:t>
      </w:r>
      <w:del w:id="114" w:author="svcMRProcess" w:date="2015-12-08T23:51:00Z">
        <w:r>
          <w:delText>repealed</w:delText>
        </w:r>
      </w:del>
      <w:ins w:id="115" w:author="svcMRProcess" w:date="2015-12-08T23:51:00Z">
        <w:r>
          <w:t>deleted</w:t>
        </w:r>
      </w:ins>
      <w:r>
        <w:t xml:space="preserve"> by No. 29 of 2002 s. 8.]</w:t>
      </w:r>
    </w:p>
    <w:p>
      <w:pPr>
        <w:pStyle w:val="Heading2"/>
      </w:pPr>
      <w:bookmarkStart w:id="116" w:name="_Toc62547959"/>
      <w:bookmarkStart w:id="117" w:name="_Toc62548007"/>
      <w:bookmarkStart w:id="118" w:name="_Toc180552238"/>
      <w:bookmarkStart w:id="119" w:name="_Toc181001345"/>
      <w:bookmarkStart w:id="120" w:name="_Toc506349424"/>
      <w:r>
        <w:rPr>
          <w:rStyle w:val="CharPartNo"/>
        </w:rPr>
        <w:t>Part V</w:t>
      </w:r>
      <w:r>
        <w:t> — </w:t>
      </w:r>
      <w:r>
        <w:rPr>
          <w:rStyle w:val="CharPartText"/>
        </w:rPr>
        <w:t>Charges</w:t>
      </w:r>
      <w:bookmarkEnd w:id="116"/>
      <w:bookmarkEnd w:id="117"/>
      <w:bookmarkEnd w:id="118"/>
      <w:bookmarkEnd w:id="119"/>
    </w:p>
    <w:p>
      <w:pPr>
        <w:pStyle w:val="Footnoteheading"/>
      </w:pPr>
      <w:r>
        <w:tab/>
        <w:t>[Heading inserted by No. 29 of 2002 s. 9.]</w:t>
      </w:r>
    </w:p>
    <w:p>
      <w:pPr>
        <w:pStyle w:val="Ednotesection"/>
      </w:pPr>
      <w:bookmarkStart w:id="121" w:name="_Toc506349427"/>
      <w:bookmarkEnd w:id="120"/>
      <w:r>
        <w:t>[</w:t>
      </w:r>
      <w:r>
        <w:rPr>
          <w:b/>
        </w:rPr>
        <w:t>31</w:t>
      </w:r>
      <w:r>
        <w:rPr>
          <w:b/>
        </w:rPr>
        <w:noBreakHyphen/>
        <w:t>33.</w:t>
      </w:r>
      <w:r>
        <w:tab/>
      </w:r>
      <w:del w:id="122" w:author="svcMRProcess" w:date="2015-12-08T23:51:00Z">
        <w:r>
          <w:delText>Repealed</w:delText>
        </w:r>
      </w:del>
      <w:ins w:id="123" w:author="svcMRProcess" w:date="2015-12-08T23:51:00Z">
        <w:r>
          <w:t>Deleted</w:t>
        </w:r>
      </w:ins>
      <w:r>
        <w:t xml:space="preserve"> by No. 29 of 2002 s 10</w:t>
      </w:r>
      <w:r>
        <w:rPr>
          <w:vertAlign w:val="superscript"/>
        </w:rPr>
        <w:t> 5</w:t>
      </w:r>
      <w:r>
        <w:t>.]</w:t>
      </w:r>
    </w:p>
    <w:p>
      <w:pPr>
        <w:pStyle w:val="Heading5"/>
        <w:rPr>
          <w:snapToGrid w:val="0"/>
        </w:rPr>
      </w:pPr>
      <w:bookmarkStart w:id="124" w:name="_Toc56486142"/>
      <w:bookmarkStart w:id="125" w:name="_Toc61764457"/>
      <w:bookmarkStart w:id="126" w:name="_Toc62548319"/>
      <w:bookmarkStart w:id="127" w:name="_Toc181001346"/>
      <w:r>
        <w:rPr>
          <w:rStyle w:val="CharSectno"/>
        </w:rPr>
        <w:t>34</w:t>
      </w:r>
      <w:r>
        <w:rPr>
          <w:snapToGrid w:val="0"/>
        </w:rPr>
        <w:t>.</w:t>
      </w:r>
      <w:r>
        <w:rPr>
          <w:snapToGrid w:val="0"/>
        </w:rPr>
        <w:tab/>
        <w:t xml:space="preserve">Charges by Company to be </w:t>
      </w:r>
      <w:bookmarkEnd w:id="121"/>
      <w:r>
        <w:rPr>
          <w:snapToGrid w:val="0"/>
        </w:rPr>
        <w:t>fixed by the Company’s board of directors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r>
      <w:del w:id="128" w:author="svcMRProcess" w:date="2015-12-08T23:51:00Z">
        <w:r>
          <w:delText>repealed</w:delText>
        </w:r>
      </w:del>
      <w:ins w:id="129" w:author="svcMRProcess" w:date="2015-12-08T23:51:00Z">
        <w:r>
          <w:t>deleted</w:t>
        </w:r>
      </w:ins>
      <w:r>
        <w:t>]</w:t>
      </w:r>
    </w:p>
    <w:p>
      <w:pPr>
        <w:pStyle w:val="Footnotesection"/>
      </w:pPr>
      <w:r>
        <w:tab/>
        <w:t>[Section 34 amended by No. 10 of 1998 s. 19; No. 29 of 2002 s. 11.]</w:t>
      </w:r>
    </w:p>
    <w:p>
      <w:pPr>
        <w:pStyle w:val="Heading5"/>
        <w:rPr>
          <w:snapToGrid w:val="0"/>
        </w:rPr>
      </w:pPr>
      <w:bookmarkStart w:id="130" w:name="_Toc506349428"/>
      <w:bookmarkStart w:id="131" w:name="_Toc56486143"/>
      <w:bookmarkStart w:id="132" w:name="_Toc61764458"/>
      <w:bookmarkStart w:id="133" w:name="_Toc62548320"/>
      <w:bookmarkStart w:id="134" w:name="_Toc181001347"/>
      <w:r>
        <w:rPr>
          <w:rStyle w:val="CharSectno"/>
        </w:rPr>
        <w:t>34A</w:t>
      </w:r>
      <w:r>
        <w:rPr>
          <w:snapToGrid w:val="0"/>
        </w:rPr>
        <w:t>.</w:t>
      </w:r>
      <w:r>
        <w:rPr>
          <w:snapToGrid w:val="0"/>
        </w:rPr>
        <w:tab/>
        <w:t>Special object charges</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35" w:name="_Toc506349430"/>
      <w:r>
        <w:t>[</w:t>
      </w:r>
      <w:r>
        <w:rPr>
          <w:b/>
        </w:rPr>
        <w:t>34B.</w:t>
      </w:r>
      <w:r>
        <w:tab/>
      </w:r>
      <w:del w:id="136" w:author="svcMRProcess" w:date="2015-12-08T23:51:00Z">
        <w:r>
          <w:delText>Repealed</w:delText>
        </w:r>
      </w:del>
      <w:ins w:id="137" w:author="svcMRProcess" w:date="2015-12-08T23:51:00Z">
        <w:r>
          <w:t>Deleted</w:t>
        </w:r>
      </w:ins>
      <w:r>
        <w:t xml:space="preserve"> by No. 29 of 2002 s. 10.]</w:t>
      </w:r>
    </w:p>
    <w:p>
      <w:pPr>
        <w:pStyle w:val="Heading5"/>
        <w:rPr>
          <w:snapToGrid w:val="0"/>
        </w:rPr>
      </w:pPr>
      <w:bookmarkStart w:id="138" w:name="_Toc56486144"/>
      <w:bookmarkStart w:id="139" w:name="_Toc61764459"/>
      <w:bookmarkStart w:id="140" w:name="_Toc62548321"/>
      <w:bookmarkStart w:id="141" w:name="_Toc181001348"/>
      <w:r>
        <w:rPr>
          <w:rStyle w:val="CharSectno"/>
        </w:rPr>
        <w:t>34C</w:t>
      </w:r>
      <w:r>
        <w:rPr>
          <w:snapToGrid w:val="0"/>
        </w:rPr>
        <w:t>.</w:t>
      </w:r>
      <w:r>
        <w:rPr>
          <w:snapToGrid w:val="0"/>
        </w:rPr>
        <w:tab/>
        <w:t>Special object charges for seasons subsequent to 1973</w:t>
      </w:r>
      <w:r>
        <w:rPr>
          <w:snapToGrid w:val="0"/>
        </w:rPr>
        <w:noBreakHyphen/>
        <w:t>1974 season</w:t>
      </w:r>
      <w:bookmarkEnd w:id="135"/>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rPr>
          <w:snapToGrid w:val="0"/>
        </w:rPr>
      </w:pPr>
      <w:bookmarkStart w:id="142" w:name="_Toc506349431"/>
      <w:bookmarkStart w:id="143" w:name="_Toc56486145"/>
      <w:bookmarkStart w:id="144" w:name="_Toc61764460"/>
      <w:bookmarkStart w:id="145" w:name="_Toc62548322"/>
      <w:bookmarkStart w:id="146" w:name="_Toc181001349"/>
      <w:r>
        <w:rPr>
          <w:rStyle w:val="CharSectno"/>
        </w:rPr>
        <w:t>34D</w:t>
      </w:r>
      <w:r>
        <w:rPr>
          <w:snapToGrid w:val="0"/>
        </w:rPr>
        <w:t>.</w:t>
      </w:r>
      <w:r>
        <w:rPr>
          <w:snapToGrid w:val="0"/>
        </w:rPr>
        <w:tab/>
        <w:t>Company authorised to pay Skeleton Weed Fund contributions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Company is authorised, without further warrant than this section, to pay to the Skeleton Weed Eradication Fund or the Plant Diseases Eradication Fund, as the case requires, established under the </w:t>
      </w:r>
      <w:r>
        <w:rPr>
          <w:i/>
          <w:snapToGrid w:val="0"/>
        </w:rPr>
        <w:t>Plant Pests and Diseases (Eradication Funds) Act 1974</w:t>
      </w:r>
      <w:r>
        <w:rPr>
          <w:snapToGrid w:val="0"/>
        </w:rPr>
        <w:t xml:space="preserve"> the amount of any contribution which appears to the Company to be payable to that Fund by a grower who has delivered grain or other seeds to the Company and any amount so paid by the Company to that Fund — </w:t>
      </w:r>
    </w:p>
    <w:p>
      <w:pPr>
        <w:pStyle w:val="Indenta"/>
        <w:rPr>
          <w:snapToGrid w:val="0"/>
        </w:rPr>
      </w:pPr>
      <w:r>
        <w:rPr>
          <w:snapToGrid w:val="0"/>
        </w:rPr>
        <w:tab/>
        <w:t>(a)</w:t>
      </w:r>
      <w:r>
        <w:rPr>
          <w:snapToGrid w:val="0"/>
        </w:rPr>
        <w:tab/>
        <w:t>shall operate to discharge the grower in respect of whom it is paid from liability to pay the contribution; and</w:t>
      </w:r>
    </w:p>
    <w:p>
      <w:pPr>
        <w:pStyle w:val="Indenta"/>
        <w:rPr>
          <w:snapToGrid w:val="0"/>
        </w:rPr>
      </w:pPr>
      <w:r>
        <w:rPr>
          <w:snapToGrid w:val="0"/>
        </w:rPr>
        <w:tab/>
        <w:t>(b)</w:t>
      </w:r>
      <w:r>
        <w:rPr>
          <w:snapToGrid w:val="0"/>
        </w:rPr>
        <w:tab/>
        <w:t>is a debt due to the Company from the grower in respect of whom it is paid.</w:t>
      </w:r>
    </w:p>
    <w:p>
      <w:pPr>
        <w:pStyle w:val="Subsection"/>
        <w:rPr>
          <w:snapToGrid w:val="0"/>
        </w:rPr>
      </w:pPr>
      <w:r>
        <w:rPr>
          <w:snapToGrid w:val="0"/>
        </w:rPr>
        <w:tab/>
        <w:t>(2)</w:t>
      </w:r>
      <w:r>
        <w:rPr>
          <w:snapToGrid w:val="0"/>
        </w:rPr>
        <w:tab/>
        <w:t>The amount of the contribution paid by the Company pursuant to subsection (1) shall be a first charge in priority to all claims, other than a charge created under any other section, on the moneys payable to a grower in respect of grain or seed.</w:t>
      </w:r>
    </w:p>
    <w:p>
      <w:pPr>
        <w:pStyle w:val="Footnotesection"/>
      </w:pPr>
      <w:r>
        <w:tab/>
        <w:t xml:space="preserve">[Section 34D inserted by No. 64 of 1974 s. 4; amended by No. 3 of 1981 s. 6; No. 53 of 1996 s. 13.] </w:t>
      </w:r>
    </w:p>
    <w:p>
      <w:pPr>
        <w:pStyle w:val="Heading5"/>
        <w:rPr>
          <w:snapToGrid w:val="0"/>
        </w:rPr>
      </w:pPr>
      <w:bookmarkStart w:id="147" w:name="_Toc506349432"/>
      <w:bookmarkStart w:id="148" w:name="_Toc56486146"/>
      <w:bookmarkStart w:id="149" w:name="_Toc61764461"/>
      <w:bookmarkStart w:id="150" w:name="_Toc62548323"/>
      <w:bookmarkStart w:id="151" w:name="_Toc181001350"/>
      <w:r>
        <w:rPr>
          <w:rStyle w:val="CharSectno"/>
        </w:rPr>
        <w:t>35</w:t>
      </w:r>
      <w:r>
        <w:rPr>
          <w:snapToGrid w:val="0"/>
        </w:rPr>
        <w:t>.</w:t>
      </w:r>
      <w:r>
        <w:rPr>
          <w:snapToGrid w:val="0"/>
        </w:rPr>
        <w:tab/>
        <w:t>Company to have priority lien for charges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152" w:name="_Toc62547965"/>
      <w:bookmarkStart w:id="153" w:name="_Toc62548013"/>
      <w:bookmarkStart w:id="154" w:name="_Toc180552244"/>
      <w:bookmarkStart w:id="155" w:name="_Toc181001351"/>
      <w:r>
        <w:rPr>
          <w:rStyle w:val="CharPartNo"/>
        </w:rPr>
        <w:t>Part VA</w:t>
      </w:r>
      <w:r>
        <w:rPr>
          <w:rStyle w:val="CharDivNo"/>
        </w:rPr>
        <w:t> </w:t>
      </w:r>
      <w:r>
        <w:t>—</w:t>
      </w:r>
      <w:r>
        <w:rPr>
          <w:rStyle w:val="CharDivText"/>
        </w:rPr>
        <w:t> </w:t>
      </w:r>
      <w:r>
        <w:rPr>
          <w:rStyle w:val="CharPartText"/>
        </w:rPr>
        <w:t>Application of income and property</w:t>
      </w:r>
      <w:bookmarkEnd w:id="152"/>
      <w:bookmarkEnd w:id="153"/>
      <w:bookmarkEnd w:id="154"/>
      <w:bookmarkEnd w:id="155"/>
      <w:r>
        <w:rPr>
          <w:rStyle w:val="CharPartText"/>
        </w:rPr>
        <w:t xml:space="preserve"> </w:t>
      </w:r>
    </w:p>
    <w:p>
      <w:pPr>
        <w:pStyle w:val="Footnoteheading"/>
      </w:pPr>
      <w:r>
        <w:tab/>
        <w:t>[Heading inserted by No. 4 of 1971 s. 3.]</w:t>
      </w:r>
    </w:p>
    <w:p>
      <w:pPr>
        <w:pStyle w:val="Heading5"/>
        <w:rPr>
          <w:snapToGrid w:val="0"/>
        </w:rPr>
      </w:pPr>
      <w:bookmarkStart w:id="156" w:name="_Toc506349433"/>
      <w:bookmarkStart w:id="157" w:name="_Toc56486147"/>
      <w:bookmarkStart w:id="158" w:name="_Toc61764462"/>
      <w:bookmarkStart w:id="159" w:name="_Toc62548324"/>
      <w:bookmarkStart w:id="160" w:name="_Toc181001352"/>
      <w:r>
        <w:rPr>
          <w:rStyle w:val="CharSectno"/>
        </w:rPr>
        <w:t>35A</w:t>
      </w:r>
      <w:r>
        <w:rPr>
          <w:snapToGrid w:val="0"/>
        </w:rPr>
        <w:t>.</w:t>
      </w:r>
      <w:r>
        <w:rPr>
          <w:snapToGrid w:val="0"/>
        </w:rPr>
        <w:tab/>
        <w:t>Manner of applying income and property of the Company</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61" w:name="_Toc62547967"/>
      <w:bookmarkStart w:id="162" w:name="_Toc62548015"/>
      <w:bookmarkStart w:id="163" w:name="_Toc180552246"/>
      <w:bookmarkStart w:id="164" w:name="_Toc181001353"/>
      <w:r>
        <w:rPr>
          <w:rStyle w:val="CharPartNo"/>
        </w:rPr>
        <w:t>Part VI</w:t>
      </w:r>
      <w:r>
        <w:rPr>
          <w:rStyle w:val="CharDivNo"/>
        </w:rPr>
        <w:t> </w:t>
      </w:r>
      <w:r>
        <w:t>—</w:t>
      </w:r>
      <w:r>
        <w:rPr>
          <w:rStyle w:val="CharDivText"/>
        </w:rPr>
        <w:t> </w:t>
      </w:r>
      <w:r>
        <w:rPr>
          <w:rStyle w:val="CharPartText"/>
        </w:rPr>
        <w:t>Weighbridge tickets and warrants</w:t>
      </w:r>
      <w:bookmarkEnd w:id="161"/>
      <w:bookmarkEnd w:id="162"/>
      <w:bookmarkEnd w:id="163"/>
      <w:bookmarkEnd w:id="164"/>
      <w:r>
        <w:rPr>
          <w:rStyle w:val="CharPartText"/>
        </w:rPr>
        <w:t xml:space="preserve"> </w:t>
      </w:r>
    </w:p>
    <w:p>
      <w:pPr>
        <w:pStyle w:val="Heading5"/>
        <w:rPr>
          <w:snapToGrid w:val="0"/>
        </w:rPr>
      </w:pPr>
      <w:bookmarkStart w:id="165" w:name="_Toc506349434"/>
      <w:bookmarkStart w:id="166" w:name="_Toc56486148"/>
      <w:bookmarkStart w:id="167" w:name="_Toc61764463"/>
      <w:bookmarkStart w:id="168" w:name="_Toc62548325"/>
      <w:bookmarkStart w:id="169" w:name="_Toc181001354"/>
      <w:r>
        <w:rPr>
          <w:rStyle w:val="CharSectno"/>
        </w:rPr>
        <w:t>36</w:t>
      </w:r>
      <w:r>
        <w:rPr>
          <w:snapToGrid w:val="0"/>
        </w:rPr>
        <w:t>.</w:t>
      </w:r>
      <w:r>
        <w:rPr>
          <w:snapToGrid w:val="0"/>
        </w:rPr>
        <w:tab/>
        <w:t>Company to issue weighbridge ticket on receipt of grain</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70" w:name="_Toc506349435"/>
      <w:bookmarkStart w:id="171" w:name="_Toc56486149"/>
      <w:bookmarkStart w:id="172" w:name="_Toc61764464"/>
      <w:bookmarkStart w:id="173" w:name="_Toc62548326"/>
      <w:bookmarkStart w:id="174" w:name="_Toc181001355"/>
      <w:r>
        <w:rPr>
          <w:rStyle w:val="CharSectno"/>
        </w:rPr>
        <w:t>37</w:t>
      </w:r>
      <w:r>
        <w:rPr>
          <w:snapToGrid w:val="0"/>
        </w:rPr>
        <w:t>.</w:t>
      </w:r>
      <w:r>
        <w:rPr>
          <w:snapToGrid w:val="0"/>
        </w:rPr>
        <w:tab/>
        <w:t>Company to issue warrants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75" w:name="_Toc506349436"/>
      <w:bookmarkStart w:id="176" w:name="_Toc56486150"/>
      <w:bookmarkStart w:id="177" w:name="_Toc61764465"/>
      <w:bookmarkStart w:id="178" w:name="_Toc62548327"/>
      <w:bookmarkStart w:id="179" w:name="_Toc181001356"/>
      <w:r>
        <w:rPr>
          <w:rStyle w:val="CharSectno"/>
        </w:rPr>
        <w:t>38</w:t>
      </w:r>
      <w:r>
        <w:rPr>
          <w:snapToGrid w:val="0"/>
        </w:rPr>
        <w:t>.</w:t>
      </w:r>
      <w:r>
        <w:rPr>
          <w:snapToGrid w:val="0"/>
        </w:rPr>
        <w:tab/>
        <w:t>Liability of persons for conversion</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80" w:name="_Toc62547971"/>
      <w:bookmarkStart w:id="181" w:name="_Toc62548019"/>
      <w:bookmarkStart w:id="182" w:name="_Toc180552250"/>
      <w:bookmarkStart w:id="183" w:name="_Toc181001357"/>
      <w:r>
        <w:rPr>
          <w:rStyle w:val="CharPartNo"/>
        </w:rPr>
        <w:t>Part VII</w:t>
      </w:r>
      <w:r>
        <w:rPr>
          <w:rStyle w:val="CharDivNo"/>
        </w:rPr>
        <w:t> </w:t>
      </w:r>
      <w:r>
        <w:t>—</w:t>
      </w:r>
      <w:r>
        <w:rPr>
          <w:rStyle w:val="CharDivText"/>
        </w:rPr>
        <w:t> </w:t>
      </w:r>
      <w:r>
        <w:rPr>
          <w:rStyle w:val="CharPartText"/>
        </w:rPr>
        <w:t>Receival and delivery of grain by the Company</w:t>
      </w:r>
      <w:bookmarkEnd w:id="180"/>
      <w:bookmarkEnd w:id="181"/>
      <w:bookmarkEnd w:id="182"/>
      <w:bookmarkEnd w:id="183"/>
      <w:r>
        <w:rPr>
          <w:rStyle w:val="CharPartText"/>
        </w:rPr>
        <w:t xml:space="preserve"> </w:t>
      </w:r>
    </w:p>
    <w:p>
      <w:pPr>
        <w:pStyle w:val="Ednotesection"/>
      </w:pPr>
      <w:bookmarkStart w:id="184" w:name="_Toc506349438"/>
      <w:r>
        <w:t>[</w:t>
      </w:r>
      <w:r>
        <w:rPr>
          <w:b/>
        </w:rPr>
        <w:t>39.</w:t>
      </w:r>
      <w:r>
        <w:tab/>
      </w:r>
      <w:del w:id="185" w:author="svcMRProcess" w:date="2015-12-08T23:51:00Z">
        <w:r>
          <w:delText>Repealed</w:delText>
        </w:r>
      </w:del>
      <w:ins w:id="186" w:author="svcMRProcess" w:date="2015-12-08T23:51:00Z">
        <w:r>
          <w:t>Deleted</w:t>
        </w:r>
      </w:ins>
      <w:r>
        <w:t xml:space="preserve"> by No. 29 of 2002 s. 15.]</w:t>
      </w:r>
    </w:p>
    <w:p>
      <w:pPr>
        <w:pStyle w:val="Heading5"/>
        <w:rPr>
          <w:snapToGrid w:val="0"/>
        </w:rPr>
      </w:pPr>
      <w:bookmarkStart w:id="187" w:name="_Toc56486151"/>
      <w:bookmarkStart w:id="188" w:name="_Toc61764466"/>
      <w:bookmarkStart w:id="189" w:name="_Toc62548328"/>
      <w:bookmarkStart w:id="190" w:name="_Toc181001358"/>
      <w:r>
        <w:rPr>
          <w:rStyle w:val="CharSectno"/>
        </w:rPr>
        <w:t>40</w:t>
      </w:r>
      <w:r>
        <w:rPr>
          <w:snapToGrid w:val="0"/>
        </w:rPr>
        <w:t>.</w:t>
      </w:r>
      <w:r>
        <w:rPr>
          <w:snapToGrid w:val="0"/>
        </w:rPr>
        <w:tab/>
        <w:t>Company to provide statement showing handling conditions</w:t>
      </w:r>
      <w:bookmarkEnd w:id="184"/>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91" w:name="_Toc506349439"/>
      <w:bookmarkStart w:id="192" w:name="_Toc56486152"/>
      <w:bookmarkStart w:id="193" w:name="_Toc61764467"/>
      <w:bookmarkStart w:id="194" w:name="_Toc62548329"/>
      <w:bookmarkStart w:id="195" w:name="_Toc181001359"/>
      <w:r>
        <w:rPr>
          <w:rStyle w:val="CharSectno"/>
        </w:rPr>
        <w:t>41</w:t>
      </w:r>
      <w:r>
        <w:rPr>
          <w:snapToGrid w:val="0"/>
        </w:rPr>
        <w:t>.</w:t>
      </w:r>
      <w:r>
        <w:rPr>
          <w:snapToGrid w:val="0"/>
        </w:rPr>
        <w:tab/>
        <w:t>Company to handle grain in accordance with Act</w:t>
      </w:r>
      <w:bookmarkEnd w:id="191"/>
      <w:bookmarkEnd w:id="192"/>
      <w:bookmarkEnd w:id="193"/>
      <w:bookmarkEnd w:id="194"/>
      <w:bookmarkEnd w:id="195"/>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96" w:name="_Toc506349440"/>
      <w:bookmarkStart w:id="197" w:name="_Toc56486153"/>
      <w:bookmarkStart w:id="198" w:name="_Toc61764468"/>
      <w:bookmarkStart w:id="199" w:name="_Toc62548330"/>
      <w:bookmarkStart w:id="200" w:name="_Toc181001360"/>
      <w:r>
        <w:rPr>
          <w:rStyle w:val="CharSectno"/>
        </w:rPr>
        <w:t>42</w:t>
      </w:r>
      <w:r>
        <w:rPr>
          <w:snapToGrid w:val="0"/>
        </w:rPr>
        <w:t>.</w:t>
      </w:r>
      <w:r>
        <w:rPr>
          <w:snapToGrid w:val="0"/>
        </w:rPr>
        <w:tab/>
        <w:t>Company to receive all bulk grain tendered</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201" w:name="_Toc506349441"/>
      <w:bookmarkStart w:id="202" w:name="_Toc56486154"/>
      <w:bookmarkStart w:id="203" w:name="_Toc61764469"/>
      <w:bookmarkStart w:id="204" w:name="_Toc62548331"/>
      <w:bookmarkStart w:id="205" w:name="_Toc181001361"/>
      <w:r>
        <w:rPr>
          <w:rStyle w:val="CharSectno"/>
        </w:rPr>
        <w:t>43</w:t>
      </w:r>
      <w:r>
        <w:rPr>
          <w:snapToGrid w:val="0"/>
        </w:rPr>
        <w:t>.</w:t>
      </w:r>
      <w:r>
        <w:rPr>
          <w:snapToGrid w:val="0"/>
        </w:rPr>
        <w:tab/>
        <w:t>Determination of grade of grain</w:t>
      </w:r>
      <w:bookmarkEnd w:id="201"/>
      <w:bookmarkEnd w:id="202"/>
      <w:bookmarkEnd w:id="203"/>
      <w:bookmarkEnd w:id="204"/>
      <w:bookmarkEnd w:id="205"/>
      <w:r>
        <w:rPr>
          <w:snapToGrid w:val="0"/>
        </w:rPr>
        <w:t xml:space="preserve"> </w:t>
      </w:r>
    </w:p>
    <w:p>
      <w:pPr>
        <w:pStyle w:val="Ednotesubsection"/>
      </w:pPr>
      <w:r>
        <w:tab/>
        <w:t>[(1)</w:t>
      </w:r>
      <w:r>
        <w:tab/>
      </w:r>
      <w:del w:id="206" w:author="svcMRProcess" w:date="2015-12-08T23:51:00Z">
        <w:r>
          <w:delText>repealed</w:delText>
        </w:r>
      </w:del>
      <w:ins w:id="207" w:author="svcMRProcess" w:date="2015-12-08T23:51:00Z">
        <w:r>
          <w:t>deleted</w:t>
        </w:r>
      </w:ins>
      <w:r>
        <w:t>]</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A determination made by an officer of the Company in Perth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208" w:name="_Toc506349442"/>
      <w:bookmarkStart w:id="209" w:name="_Toc56486155"/>
      <w:bookmarkStart w:id="210" w:name="_Toc61764470"/>
      <w:bookmarkStart w:id="211" w:name="_Toc62548332"/>
      <w:bookmarkStart w:id="212" w:name="_Toc181001362"/>
      <w:r>
        <w:rPr>
          <w:rStyle w:val="CharSectno"/>
        </w:rPr>
        <w:t>44</w:t>
      </w:r>
      <w:r>
        <w:rPr>
          <w:snapToGrid w:val="0"/>
        </w:rPr>
        <w:t>.</w:t>
      </w:r>
      <w:r>
        <w:rPr>
          <w:snapToGrid w:val="0"/>
        </w:rPr>
        <w:tab/>
        <w:t>Guarantee of quality and quantity</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13" w:name="_Toc506349443"/>
      <w:bookmarkStart w:id="214" w:name="_Toc56486156"/>
      <w:bookmarkStart w:id="215" w:name="_Toc61764471"/>
      <w:bookmarkStart w:id="216" w:name="_Toc62548333"/>
      <w:bookmarkStart w:id="217" w:name="_Toc181001363"/>
      <w:r>
        <w:rPr>
          <w:rStyle w:val="CharSectno"/>
        </w:rPr>
        <w:t>45</w:t>
      </w:r>
      <w:r>
        <w:rPr>
          <w:snapToGrid w:val="0"/>
        </w:rPr>
        <w:t>.</w:t>
      </w:r>
      <w:r>
        <w:rPr>
          <w:snapToGrid w:val="0"/>
        </w:rPr>
        <w:tab/>
        <w:t>Company may sell if delivery not taken by 30 September</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18" w:name="_Toc506349444"/>
      <w:bookmarkStart w:id="219" w:name="_Toc56486157"/>
      <w:bookmarkStart w:id="220" w:name="_Toc61764472"/>
      <w:bookmarkStart w:id="221" w:name="_Toc62548334"/>
      <w:bookmarkStart w:id="222" w:name="_Toc181001364"/>
      <w:r>
        <w:rPr>
          <w:rStyle w:val="CharSectno"/>
        </w:rPr>
        <w:t>46</w:t>
      </w:r>
      <w:r>
        <w:rPr>
          <w:snapToGrid w:val="0"/>
        </w:rPr>
        <w:t>.</w:t>
      </w:r>
      <w:r>
        <w:rPr>
          <w:snapToGrid w:val="0"/>
        </w:rPr>
        <w:tab/>
        <w:t>Shippers to give notice of charter</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23" w:name="_Toc506349445"/>
      <w:bookmarkStart w:id="224" w:name="_Toc56486158"/>
      <w:bookmarkStart w:id="225" w:name="_Toc61764473"/>
      <w:bookmarkStart w:id="226" w:name="_Toc62548335"/>
      <w:bookmarkStart w:id="227" w:name="_Toc181001365"/>
      <w:r>
        <w:rPr>
          <w:rStyle w:val="CharSectno"/>
        </w:rPr>
        <w:t>47</w:t>
      </w:r>
      <w:r>
        <w:rPr>
          <w:snapToGrid w:val="0"/>
        </w:rPr>
        <w:t>.</w:t>
      </w:r>
      <w:r>
        <w:rPr>
          <w:snapToGrid w:val="0"/>
        </w:rPr>
        <w:tab/>
        <w:t>Warrant holder’s right to sample grain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28" w:name="_Toc506349446"/>
      <w:bookmarkStart w:id="229" w:name="_Toc56486159"/>
      <w:bookmarkStart w:id="230" w:name="_Toc61764474"/>
      <w:bookmarkStart w:id="231" w:name="_Toc62548336"/>
      <w:bookmarkStart w:id="232" w:name="_Toc181001366"/>
      <w:r>
        <w:rPr>
          <w:rStyle w:val="CharSectno"/>
        </w:rPr>
        <w:t>48</w:t>
      </w:r>
      <w:r>
        <w:rPr>
          <w:snapToGrid w:val="0"/>
        </w:rPr>
        <w:t>.</w:t>
      </w:r>
      <w:r>
        <w:rPr>
          <w:snapToGrid w:val="0"/>
        </w:rPr>
        <w:tab/>
        <w:t>Disputes as to quality of grain for shipment</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33" w:name="_Toc506349447"/>
      <w:bookmarkStart w:id="234" w:name="_Toc56486160"/>
      <w:bookmarkStart w:id="235" w:name="_Toc61764475"/>
      <w:bookmarkStart w:id="236" w:name="_Toc62548337"/>
      <w:bookmarkStart w:id="237" w:name="_Toc181001367"/>
      <w:r>
        <w:rPr>
          <w:rStyle w:val="CharSectno"/>
        </w:rPr>
        <w:t>49</w:t>
      </w:r>
      <w:r>
        <w:rPr>
          <w:snapToGrid w:val="0"/>
        </w:rPr>
        <w:t>.</w:t>
      </w:r>
      <w:r>
        <w:rPr>
          <w:snapToGrid w:val="0"/>
        </w:rPr>
        <w:tab/>
        <w:t>Disputes as to quality of grain delivered other than for shipment</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38" w:name="_Toc506349448"/>
      <w:bookmarkStart w:id="239" w:name="_Toc56486161"/>
      <w:bookmarkStart w:id="240" w:name="_Toc61764476"/>
      <w:bookmarkStart w:id="241" w:name="_Toc62548338"/>
      <w:bookmarkStart w:id="242" w:name="_Toc181001368"/>
      <w:r>
        <w:rPr>
          <w:rStyle w:val="CharSectno"/>
        </w:rPr>
        <w:t>50</w:t>
      </w:r>
      <w:r>
        <w:rPr>
          <w:snapToGrid w:val="0"/>
        </w:rPr>
        <w:t>.</w:t>
      </w:r>
      <w:r>
        <w:rPr>
          <w:snapToGrid w:val="0"/>
        </w:rPr>
        <w:tab/>
        <w:t>Costs of arbitration</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43" w:name="_Toc62547983"/>
      <w:bookmarkStart w:id="244" w:name="_Toc62548031"/>
      <w:bookmarkStart w:id="245" w:name="_Toc180552262"/>
      <w:bookmarkStart w:id="246" w:name="_Toc181001369"/>
      <w:r>
        <w:rPr>
          <w:rStyle w:val="CharPartNo"/>
        </w:rPr>
        <w:t>Part VIII</w:t>
      </w:r>
      <w:r>
        <w:rPr>
          <w:rStyle w:val="CharDivNo"/>
        </w:rPr>
        <w:t> </w:t>
      </w:r>
      <w:r>
        <w:t>—</w:t>
      </w:r>
      <w:r>
        <w:rPr>
          <w:rStyle w:val="CharDivText"/>
        </w:rPr>
        <w:t> </w:t>
      </w:r>
      <w:r>
        <w:rPr>
          <w:rStyle w:val="CharPartText"/>
        </w:rPr>
        <w:t>Miscellaneous</w:t>
      </w:r>
      <w:bookmarkEnd w:id="243"/>
      <w:bookmarkEnd w:id="244"/>
      <w:bookmarkEnd w:id="245"/>
      <w:bookmarkEnd w:id="246"/>
      <w:r>
        <w:rPr>
          <w:rStyle w:val="CharPartText"/>
        </w:rPr>
        <w:t xml:space="preserve"> </w:t>
      </w:r>
    </w:p>
    <w:p>
      <w:pPr>
        <w:pStyle w:val="Ednotesection"/>
      </w:pPr>
      <w:bookmarkStart w:id="247" w:name="_Toc506349450"/>
      <w:r>
        <w:t>[</w:t>
      </w:r>
      <w:r>
        <w:rPr>
          <w:b/>
        </w:rPr>
        <w:t>50A.</w:t>
      </w:r>
      <w:r>
        <w:tab/>
      </w:r>
      <w:del w:id="248" w:author="svcMRProcess" w:date="2015-12-08T23:51:00Z">
        <w:r>
          <w:delText>Repealed</w:delText>
        </w:r>
      </w:del>
      <w:ins w:id="249" w:author="svcMRProcess" w:date="2015-12-08T23:51:00Z">
        <w:r>
          <w:t>Deleted</w:t>
        </w:r>
      </w:ins>
      <w:r>
        <w:t xml:space="preserve"> by No. 29 of 2002 s. 20.]</w:t>
      </w:r>
    </w:p>
    <w:p>
      <w:pPr>
        <w:pStyle w:val="Heading5"/>
        <w:rPr>
          <w:snapToGrid w:val="0"/>
        </w:rPr>
      </w:pPr>
      <w:bookmarkStart w:id="250" w:name="_Toc56486162"/>
      <w:bookmarkStart w:id="251" w:name="_Toc61764477"/>
      <w:bookmarkStart w:id="252" w:name="_Toc62548339"/>
      <w:bookmarkStart w:id="253" w:name="_Toc181001370"/>
      <w:r>
        <w:rPr>
          <w:rStyle w:val="CharSectno"/>
        </w:rPr>
        <w:t>51</w:t>
      </w:r>
      <w:r>
        <w:rPr>
          <w:snapToGrid w:val="0"/>
        </w:rPr>
        <w:t>.</w:t>
      </w:r>
      <w:r>
        <w:rPr>
          <w:snapToGrid w:val="0"/>
        </w:rPr>
        <w:tab/>
        <w:t>Compulsory marketing</w:t>
      </w:r>
      <w:bookmarkEnd w:id="247"/>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t xml:space="preserve">the contribution paid by the Company in respect of a grower under the </w:t>
      </w:r>
      <w:r>
        <w:rPr>
          <w:i/>
          <w:snapToGrid w:val="0"/>
        </w:rPr>
        <w:t>Plant Pests and Diseases (Eradication Funds) Act 1974</w:t>
      </w:r>
      <w:r>
        <w:rPr>
          <w:snapToGrid w:val="0"/>
        </w:rPr>
        <w:t xml:space="preserve"> 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 xml:space="preserve">[Section 51 amended by No. 64 of 1974 s. 5; No. 3 of 1981 s. 10; No. 115 of 1982 s. 3; No. 53 of 1996 s. 13; No. 29 of 2002 s. 21.] </w:t>
      </w:r>
    </w:p>
    <w:p>
      <w:pPr>
        <w:pStyle w:val="Heading5"/>
        <w:rPr>
          <w:snapToGrid w:val="0"/>
        </w:rPr>
      </w:pPr>
      <w:bookmarkStart w:id="254" w:name="_Toc506349451"/>
      <w:bookmarkStart w:id="255" w:name="_Toc56486163"/>
      <w:bookmarkStart w:id="256" w:name="_Toc61764478"/>
      <w:bookmarkStart w:id="257" w:name="_Toc62548340"/>
      <w:bookmarkStart w:id="258" w:name="_Toc181001371"/>
      <w:r>
        <w:rPr>
          <w:rStyle w:val="CharSectno"/>
        </w:rPr>
        <w:t>52</w:t>
      </w:r>
      <w:r>
        <w:rPr>
          <w:snapToGrid w:val="0"/>
        </w:rPr>
        <w:t>.</w:t>
      </w:r>
      <w:r>
        <w:rPr>
          <w:snapToGrid w:val="0"/>
        </w:rPr>
        <w:tab/>
        <w:t>Contracts for bulk handling of grains other than wheat or barley</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59" w:name="_Toc506349452"/>
      <w:bookmarkStart w:id="260" w:name="_Toc56486164"/>
      <w:bookmarkStart w:id="261" w:name="_Toc61764479"/>
      <w:bookmarkStart w:id="262" w:name="_Toc62548341"/>
      <w:bookmarkStart w:id="263" w:name="_Toc181001372"/>
      <w:r>
        <w:rPr>
          <w:rStyle w:val="CharSectno"/>
        </w:rPr>
        <w:t>52A</w:t>
      </w:r>
      <w:r>
        <w:rPr>
          <w:snapToGrid w:val="0"/>
        </w:rPr>
        <w:t>.</w:t>
      </w:r>
      <w:r>
        <w:rPr>
          <w:snapToGrid w:val="0"/>
        </w:rPr>
        <w:tab/>
        <w:t>Company water rate</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264" w:name="_Toc506349453"/>
      <w:bookmarkStart w:id="265" w:name="_Toc56486165"/>
      <w:bookmarkStart w:id="266" w:name="_Toc61764480"/>
      <w:bookmarkStart w:id="267" w:name="_Toc62548342"/>
      <w:bookmarkStart w:id="268" w:name="_Toc181001373"/>
      <w:r>
        <w:rPr>
          <w:rStyle w:val="CharSectno"/>
        </w:rPr>
        <w:t>53</w:t>
      </w:r>
      <w:r>
        <w:rPr>
          <w:snapToGrid w:val="0"/>
        </w:rPr>
        <w:t>.</w:t>
      </w:r>
      <w:r>
        <w:rPr>
          <w:snapToGrid w:val="0"/>
        </w:rPr>
        <w:tab/>
        <w:t>Regulations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269" w:name="_Toc506349454"/>
      <w:bookmarkStart w:id="270" w:name="_Toc56486166"/>
      <w:bookmarkStart w:id="271" w:name="_Toc61764481"/>
      <w:bookmarkStart w:id="272" w:name="_Toc62548343"/>
      <w:bookmarkStart w:id="273" w:name="_Toc181001374"/>
      <w:r>
        <w:rPr>
          <w:rStyle w:val="CharSectno"/>
        </w:rPr>
        <w:t>54</w:t>
      </w:r>
      <w:r>
        <w:rPr>
          <w:snapToGrid w:val="0"/>
        </w:rPr>
        <w:t>.</w:t>
      </w:r>
      <w:r>
        <w:rPr>
          <w:snapToGrid w:val="0"/>
        </w:rPr>
        <w:tab/>
        <w:t>General penalty</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74" w:name="_Toc62547989"/>
      <w:bookmarkStart w:id="275" w:name="_Toc62548037"/>
      <w:bookmarkStart w:id="276" w:name="_Toc180552268"/>
      <w:bookmarkStart w:id="277" w:name="_Toc181001375"/>
      <w:r>
        <w:t>Notes</w:t>
      </w:r>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 </w:t>
      </w:r>
      <w:ins w:id="278" w:author="svcMRProcess" w:date="2015-12-08T23:51:00Z">
        <w:r>
          <w:rPr>
            <w:snapToGrid w:val="0"/>
            <w:vertAlign w:val="superscript"/>
          </w:rPr>
          <w:t>1a, </w:t>
        </w:r>
      </w:ins>
      <w:r>
        <w:rPr>
          <w:snapToGrid w:val="0"/>
          <w:vertAlign w:val="superscript"/>
        </w:rPr>
        <w:t>8</w:t>
      </w:r>
      <w:r>
        <w:rPr>
          <w:snapToGrid w:val="0"/>
        </w:rPr>
        <w:t>.  The table also contains information about any reprint.</w:t>
      </w:r>
    </w:p>
    <w:p>
      <w:pPr>
        <w:pStyle w:val="nHeading3"/>
      </w:pPr>
      <w:bookmarkStart w:id="279" w:name="_Toc61764482"/>
      <w:bookmarkStart w:id="280" w:name="_Toc62548344"/>
      <w:bookmarkStart w:id="281" w:name="_Toc181001376"/>
      <w:r>
        <w:t>Compilation table</w:t>
      </w:r>
      <w:bookmarkEnd w:id="279"/>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7"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1"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1"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1"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7" w:type="dxa"/>
            <w:gridSpan w:val="4"/>
            <w:tcBorders>
              <w:bottom w:val="single" w:sz="4" w:space="0" w:color="auto"/>
            </w:tcBorders>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bl>
    <w:p>
      <w:pPr>
        <w:pStyle w:val="nSubsection"/>
        <w:tabs>
          <w:tab w:val="clear" w:pos="454"/>
          <w:tab w:val="left" w:pos="567"/>
        </w:tabs>
        <w:spacing w:before="120"/>
        <w:ind w:left="567" w:hanging="567"/>
        <w:rPr>
          <w:ins w:id="282" w:author="svcMRProcess" w:date="2015-12-08T23:51:00Z"/>
          <w:snapToGrid w:val="0"/>
        </w:rPr>
      </w:pPr>
      <w:ins w:id="283" w:author="svcMRProcess" w:date="2015-12-08T23: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4" w:author="svcMRProcess" w:date="2015-12-08T23:51:00Z"/>
        </w:rPr>
      </w:pPr>
      <w:bookmarkStart w:id="285" w:name="_Toc7405065"/>
      <w:bookmarkStart w:id="286" w:name="_Toc181001377"/>
      <w:ins w:id="287" w:author="svcMRProcess" w:date="2015-12-08T23:51:00Z">
        <w:r>
          <w:t>Provisions that have not come into operation</w:t>
        </w:r>
        <w:bookmarkEnd w:id="285"/>
        <w:bookmarkEnd w:id="28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88" w:author="svcMRProcess" w:date="2015-12-08T23:51:00Z"/>
        </w:trPr>
        <w:tc>
          <w:tcPr>
            <w:tcW w:w="2268" w:type="dxa"/>
            <w:tcBorders>
              <w:top w:val="single" w:sz="8" w:space="0" w:color="auto"/>
              <w:bottom w:val="single" w:sz="8" w:space="0" w:color="auto"/>
            </w:tcBorders>
          </w:tcPr>
          <w:p>
            <w:pPr>
              <w:pStyle w:val="nTable"/>
              <w:spacing w:after="40"/>
              <w:rPr>
                <w:ins w:id="289" w:author="svcMRProcess" w:date="2015-12-08T23:51:00Z"/>
                <w:b/>
                <w:sz w:val="19"/>
              </w:rPr>
            </w:pPr>
            <w:ins w:id="290" w:author="svcMRProcess" w:date="2015-12-08T23:51:00Z">
              <w:r>
                <w:rPr>
                  <w:b/>
                  <w:sz w:val="19"/>
                </w:rPr>
                <w:t>Short title</w:t>
              </w:r>
            </w:ins>
          </w:p>
        </w:tc>
        <w:tc>
          <w:tcPr>
            <w:tcW w:w="1134" w:type="dxa"/>
            <w:tcBorders>
              <w:top w:val="single" w:sz="8" w:space="0" w:color="auto"/>
              <w:bottom w:val="single" w:sz="8" w:space="0" w:color="auto"/>
            </w:tcBorders>
          </w:tcPr>
          <w:p>
            <w:pPr>
              <w:pStyle w:val="nTable"/>
              <w:spacing w:after="40"/>
              <w:rPr>
                <w:ins w:id="291" w:author="svcMRProcess" w:date="2015-12-08T23:51:00Z"/>
                <w:b/>
                <w:sz w:val="19"/>
              </w:rPr>
            </w:pPr>
            <w:ins w:id="292" w:author="svcMRProcess" w:date="2015-12-08T23:51:00Z">
              <w:r>
                <w:rPr>
                  <w:b/>
                  <w:sz w:val="19"/>
                </w:rPr>
                <w:t>Number and year</w:t>
              </w:r>
            </w:ins>
          </w:p>
        </w:tc>
        <w:tc>
          <w:tcPr>
            <w:tcW w:w="1134" w:type="dxa"/>
            <w:tcBorders>
              <w:top w:val="single" w:sz="8" w:space="0" w:color="auto"/>
              <w:bottom w:val="single" w:sz="8" w:space="0" w:color="auto"/>
            </w:tcBorders>
          </w:tcPr>
          <w:p>
            <w:pPr>
              <w:pStyle w:val="nTable"/>
              <w:spacing w:after="40"/>
              <w:rPr>
                <w:ins w:id="293" w:author="svcMRProcess" w:date="2015-12-08T23:51:00Z"/>
                <w:b/>
                <w:sz w:val="19"/>
              </w:rPr>
            </w:pPr>
            <w:ins w:id="294" w:author="svcMRProcess" w:date="2015-12-08T23:51:00Z">
              <w:r>
                <w:rPr>
                  <w:b/>
                  <w:sz w:val="19"/>
                </w:rPr>
                <w:t>Assent</w:t>
              </w:r>
            </w:ins>
          </w:p>
        </w:tc>
        <w:tc>
          <w:tcPr>
            <w:tcW w:w="2552" w:type="dxa"/>
            <w:tcBorders>
              <w:top w:val="single" w:sz="8" w:space="0" w:color="auto"/>
              <w:bottom w:val="single" w:sz="8" w:space="0" w:color="auto"/>
            </w:tcBorders>
          </w:tcPr>
          <w:p>
            <w:pPr>
              <w:pStyle w:val="nTable"/>
              <w:spacing w:after="40"/>
              <w:rPr>
                <w:ins w:id="295" w:author="svcMRProcess" w:date="2015-12-08T23:51:00Z"/>
                <w:b/>
                <w:sz w:val="19"/>
              </w:rPr>
            </w:pPr>
            <w:ins w:id="296" w:author="svcMRProcess" w:date="2015-12-08T23:51:00Z">
              <w:r>
                <w:rPr>
                  <w:b/>
                  <w:sz w:val="19"/>
                </w:rPr>
                <w:t>Commencement</w:t>
              </w:r>
            </w:ins>
          </w:p>
        </w:tc>
      </w:tr>
      <w:tr>
        <w:trPr>
          <w:cantSplit/>
          <w:ins w:id="297" w:author="svcMRProcess" w:date="2015-12-08T23:51:00Z"/>
        </w:trPr>
        <w:tc>
          <w:tcPr>
            <w:tcW w:w="2268" w:type="dxa"/>
            <w:tcBorders>
              <w:top w:val="single" w:sz="8" w:space="0" w:color="auto"/>
              <w:bottom w:val="single" w:sz="4" w:space="0" w:color="auto"/>
            </w:tcBorders>
          </w:tcPr>
          <w:p>
            <w:pPr>
              <w:pStyle w:val="nTable"/>
              <w:spacing w:after="40"/>
              <w:rPr>
                <w:ins w:id="298" w:author="svcMRProcess" w:date="2015-12-08T23:51:00Z"/>
                <w:sz w:val="19"/>
                <w:vertAlign w:val="superscript"/>
              </w:rPr>
            </w:pPr>
            <w:ins w:id="299" w:author="svcMRProcess" w:date="2015-12-08T23:51:00Z">
              <w:r>
                <w:rPr>
                  <w:i/>
                  <w:snapToGrid w:val="0"/>
                  <w:sz w:val="19"/>
                  <w:lang w:val="en-US"/>
                </w:rPr>
                <w:t>Biosecurity and Agriculture Management (Repeal and Consequential Provisions) Act 2007</w:t>
              </w:r>
              <w:r>
                <w:rPr>
                  <w:iCs/>
                  <w:snapToGrid w:val="0"/>
                  <w:sz w:val="19"/>
                  <w:lang w:val="en-US"/>
                </w:rPr>
                <w:t xml:space="preserve"> s. 69 </w:t>
              </w:r>
              <w:r>
                <w:rPr>
                  <w:iCs/>
                  <w:snapToGrid w:val="0"/>
                  <w:sz w:val="19"/>
                  <w:vertAlign w:val="superscript"/>
                  <w:lang w:val="en-US"/>
                </w:rPr>
                <w:t>11</w:t>
              </w:r>
            </w:ins>
          </w:p>
        </w:tc>
        <w:tc>
          <w:tcPr>
            <w:tcW w:w="1134" w:type="dxa"/>
            <w:tcBorders>
              <w:top w:val="single" w:sz="8" w:space="0" w:color="auto"/>
              <w:bottom w:val="single" w:sz="4" w:space="0" w:color="auto"/>
            </w:tcBorders>
          </w:tcPr>
          <w:p>
            <w:pPr>
              <w:pStyle w:val="nTable"/>
              <w:spacing w:after="40"/>
              <w:rPr>
                <w:ins w:id="300" w:author="svcMRProcess" w:date="2015-12-08T23:51:00Z"/>
                <w:sz w:val="19"/>
              </w:rPr>
            </w:pPr>
            <w:ins w:id="301" w:author="svcMRProcess" w:date="2015-12-08T23:51: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302" w:author="svcMRProcess" w:date="2015-12-08T23:51:00Z"/>
                <w:sz w:val="19"/>
              </w:rPr>
            </w:pPr>
            <w:ins w:id="303" w:author="svcMRProcess" w:date="2015-12-08T23:51: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304" w:author="svcMRProcess" w:date="2015-12-08T23:51:00Z"/>
                <w:sz w:val="19"/>
              </w:rPr>
            </w:pPr>
            <w:ins w:id="305" w:author="svcMRProcess" w:date="2015-12-08T23:51:00Z">
              <w:r>
                <w:rPr>
                  <w:snapToGrid w:val="0"/>
                  <w:sz w:val="19"/>
                  <w:lang w:val="en-US"/>
                </w:rPr>
                <w:t>To be proclaimed (s. 2(2))</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Now 30 Delhi Street, West Perth.</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306" w:name="_Hlt16561895"/>
      <w:bookmarkEnd w:id="306"/>
    </w:p>
    <w:p>
      <w:pPr>
        <w:pStyle w:val="nzMiscellaneousHeading"/>
        <w:keepLines/>
        <w:rPr>
          <w:b/>
          <w:sz w:val="24"/>
        </w:rPr>
      </w:pPr>
      <w:bookmarkStart w:id="307" w:name="_Toc18914309"/>
      <w:bookmarkStart w:id="308" w:name="_Toc18915332"/>
      <w:r>
        <w:rPr>
          <w:rStyle w:val="CharSchNo"/>
          <w:b/>
          <w:sz w:val="24"/>
        </w:rPr>
        <w:t>Schedule 1</w:t>
      </w:r>
      <w:r>
        <w:rPr>
          <w:b/>
          <w:sz w:val="24"/>
        </w:rPr>
        <w:t xml:space="preserve"> — </w:t>
      </w:r>
      <w:r>
        <w:rPr>
          <w:rStyle w:val="CharSchText"/>
          <w:b/>
          <w:sz w:val="24"/>
        </w:rPr>
        <w:t>Transitional and savings</w:t>
      </w:r>
      <w:bookmarkEnd w:id="307"/>
      <w:bookmarkEnd w:id="308"/>
    </w:p>
    <w:p>
      <w:pPr>
        <w:pStyle w:val="nzMiscellaneousBody"/>
        <w:keepLines/>
        <w:jc w:val="right"/>
      </w:pPr>
      <w:r>
        <w:t>[s. 24]</w:t>
      </w:r>
    </w:p>
    <w:p>
      <w:pPr>
        <w:pStyle w:val="nzHeading5"/>
      </w:pPr>
      <w:bookmarkStart w:id="309" w:name="_Toc18915333"/>
      <w:r>
        <w:t>1.</w:t>
      </w:r>
      <w:r>
        <w:tab/>
        <w:t>Interpretation</w:t>
      </w:r>
      <w:bookmarkEnd w:id="309"/>
    </w:p>
    <w:p>
      <w:pPr>
        <w:pStyle w:val="nzSubsection"/>
      </w:pPr>
      <w:r>
        <w:tab/>
      </w:r>
      <w:r>
        <w:tab/>
        <w:t xml:space="preserve">In this Schedule — </w:t>
      </w:r>
    </w:p>
    <w:p>
      <w:pPr>
        <w:pStyle w:val="nzDefstart"/>
      </w:pPr>
      <w:r>
        <w:tab/>
      </w:r>
      <w:del w:id="310" w:author="svcMRProcess" w:date="2015-12-08T23:51:00Z">
        <w:r>
          <w:rPr>
            <w:b/>
          </w:rPr>
          <w:delText>“</w:delText>
        </w:r>
      </w:del>
      <w:r>
        <w:rPr>
          <w:rStyle w:val="CharDefText"/>
        </w:rPr>
        <w:t>CBH</w:t>
      </w:r>
      <w:del w:id="311" w:author="svcMRProcess" w:date="2015-12-08T23:51:00Z">
        <w:r>
          <w:rPr>
            <w:b/>
          </w:rPr>
          <w:delText>”</w:delText>
        </w:r>
      </w:del>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del w:id="312" w:author="svcMRProcess" w:date="2015-12-08T23:51:00Z">
        <w:r>
          <w:rPr>
            <w:b/>
          </w:rPr>
          <w:delText>“</w:delText>
        </w:r>
      </w:del>
      <w:r>
        <w:rPr>
          <w:rStyle w:val="CharDefText"/>
        </w:rPr>
        <w:t>commencement day</w:t>
      </w:r>
      <w:del w:id="313" w:author="svcMRProcess" w:date="2015-12-08T23:51:00Z">
        <w:r>
          <w:rPr>
            <w:b/>
          </w:rPr>
          <w:delText>”</w:delText>
        </w:r>
      </w:del>
      <w:r>
        <w:t xml:space="preserve"> means the day on which this Act comes into operation.</w:t>
      </w:r>
    </w:p>
    <w:p>
      <w:pPr>
        <w:pStyle w:val="nzHeading5"/>
      </w:pPr>
      <w:bookmarkStart w:id="314" w:name="_Toc18915334"/>
      <w:r>
        <w:t>2.</w:t>
      </w:r>
      <w:r>
        <w:tab/>
        <w:t>Tolls and debentures (s. 31 and 32)</w:t>
      </w:r>
      <w:bookmarkEnd w:id="314"/>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ins w:id="315" w:author="svcMRProcess" w:date="2015-12-08T23:51:00Z"/>
          <w:snapToGrid w:val="0"/>
        </w:rPr>
      </w:pPr>
      <w:ins w:id="316" w:author="svcMRProcess" w:date="2015-12-08T23:5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69 </w:t>
        </w:r>
        <w:r>
          <w:rPr>
            <w:snapToGrid w:val="0"/>
          </w:rPr>
          <w:t>had not come into operation.  It reads as follows:</w:t>
        </w:r>
      </w:ins>
    </w:p>
    <w:p>
      <w:pPr>
        <w:pStyle w:val="MiscOpen"/>
        <w:keepNext w:val="0"/>
        <w:spacing w:before="60"/>
        <w:rPr>
          <w:ins w:id="317" w:author="svcMRProcess" w:date="2015-12-08T23:51:00Z"/>
          <w:sz w:val="20"/>
        </w:rPr>
      </w:pPr>
      <w:ins w:id="318" w:author="svcMRProcess" w:date="2015-12-08T23:51:00Z">
        <w:r>
          <w:rPr>
            <w:sz w:val="20"/>
          </w:rPr>
          <w:t>“</w:t>
        </w:r>
      </w:ins>
    </w:p>
    <w:p>
      <w:pPr>
        <w:pStyle w:val="nzHeading5"/>
        <w:rPr>
          <w:ins w:id="319" w:author="svcMRProcess" w:date="2015-12-08T23:51:00Z"/>
        </w:rPr>
      </w:pPr>
      <w:bookmarkStart w:id="320" w:name="_Toc117571279"/>
      <w:bookmarkStart w:id="321" w:name="_Toc179685687"/>
      <w:bookmarkStart w:id="322" w:name="_Toc180227185"/>
      <w:ins w:id="323" w:author="svcMRProcess" w:date="2015-12-08T23:51:00Z">
        <w:r>
          <w:rPr>
            <w:rStyle w:val="CharSectno"/>
          </w:rPr>
          <w:t>69</w:t>
        </w:r>
        <w:r>
          <w:t>.</w:t>
        </w:r>
        <w:r>
          <w:tab/>
        </w:r>
        <w:r>
          <w:rPr>
            <w:i/>
            <w:iCs/>
          </w:rPr>
          <w:t>Bulk Handling Act 1967</w:t>
        </w:r>
        <w:r>
          <w:t xml:space="preserve"> amended</w:t>
        </w:r>
        <w:bookmarkEnd w:id="320"/>
        <w:bookmarkEnd w:id="321"/>
        <w:bookmarkEnd w:id="322"/>
      </w:ins>
    </w:p>
    <w:p>
      <w:pPr>
        <w:pStyle w:val="nzSubsection"/>
        <w:rPr>
          <w:ins w:id="324" w:author="svcMRProcess" w:date="2015-12-08T23:51:00Z"/>
        </w:rPr>
      </w:pPr>
      <w:ins w:id="325" w:author="svcMRProcess" w:date="2015-12-08T23:51:00Z">
        <w:r>
          <w:tab/>
          <w:t>(1)</w:t>
        </w:r>
        <w:r>
          <w:tab/>
          <w:t xml:space="preserve">The amendments in this section are to the </w:t>
        </w:r>
        <w:r>
          <w:rPr>
            <w:i/>
            <w:iCs/>
          </w:rPr>
          <w:t>Bulk Handling Act 1967</w:t>
        </w:r>
        <w:r>
          <w:t>.</w:t>
        </w:r>
      </w:ins>
    </w:p>
    <w:p>
      <w:pPr>
        <w:pStyle w:val="nzSubsection"/>
        <w:rPr>
          <w:ins w:id="326" w:author="svcMRProcess" w:date="2015-12-08T23:51:00Z"/>
        </w:rPr>
      </w:pPr>
      <w:ins w:id="327" w:author="svcMRProcess" w:date="2015-12-08T23:51:00Z">
        <w:r>
          <w:tab/>
          <w:t>(2)</w:t>
        </w:r>
        <w:r>
          <w:tab/>
          <w:t xml:space="preserve">Section 34D is repealed and the following section is inserted instead — </w:t>
        </w:r>
      </w:ins>
    </w:p>
    <w:p>
      <w:pPr>
        <w:pStyle w:val="MiscOpen"/>
        <w:rPr>
          <w:ins w:id="328" w:author="svcMRProcess" w:date="2015-12-08T23:51:00Z"/>
        </w:rPr>
      </w:pPr>
      <w:ins w:id="329" w:author="svcMRProcess" w:date="2015-12-08T23:51:00Z">
        <w:r>
          <w:t xml:space="preserve">“    </w:t>
        </w:r>
      </w:ins>
    </w:p>
    <w:p>
      <w:pPr>
        <w:pStyle w:val="nzHeading5"/>
        <w:rPr>
          <w:ins w:id="330" w:author="svcMRProcess" w:date="2015-12-08T23:51:00Z"/>
        </w:rPr>
      </w:pPr>
      <w:bookmarkStart w:id="331" w:name="_Toc179685688"/>
      <w:bookmarkStart w:id="332" w:name="_Toc180227186"/>
      <w:ins w:id="333" w:author="svcMRProcess" w:date="2015-12-08T23:51:00Z">
        <w:r>
          <w:t>34D.</w:t>
        </w:r>
        <w:r>
          <w:tab/>
          <w:t>Company authorised to pay certain statutory contributions</w:t>
        </w:r>
        <w:bookmarkEnd w:id="331"/>
        <w:bookmarkEnd w:id="332"/>
      </w:ins>
    </w:p>
    <w:p>
      <w:pPr>
        <w:pStyle w:val="nzSubsection"/>
        <w:rPr>
          <w:ins w:id="334" w:author="svcMRProcess" w:date="2015-12-08T23:51:00Z"/>
        </w:rPr>
      </w:pPr>
      <w:ins w:id="335" w:author="svcMRProcess" w:date="2015-12-08T23:51:00Z">
        <w:r>
          <w:tab/>
          <w:t>(1)</w:t>
        </w:r>
        <w:r>
          <w:tab/>
          <w:t xml:space="preserve">The Company is authorised, without further authority than this section, to pay, in accordance with the provisions of — </w:t>
        </w:r>
      </w:ins>
    </w:p>
    <w:p>
      <w:pPr>
        <w:pStyle w:val="nzIndenta"/>
        <w:rPr>
          <w:ins w:id="336" w:author="svcMRProcess" w:date="2015-12-08T23:51:00Z"/>
        </w:rPr>
      </w:pPr>
      <w:ins w:id="337" w:author="svcMRProcess" w:date="2015-12-08T23:51:00Z">
        <w:r>
          <w:tab/>
          <w:t>(a)</w:t>
        </w:r>
        <w:r>
          <w:tab/>
          <w:t xml:space="preserve">the </w:t>
        </w:r>
        <w:r>
          <w:rPr>
            <w:i/>
            <w:iCs/>
          </w:rPr>
          <w:t>Plant Pests and Diseases (Eradication Funds) Act 1974</w:t>
        </w:r>
        <w:r>
          <w:t>; or</w:t>
        </w:r>
      </w:ins>
    </w:p>
    <w:p>
      <w:pPr>
        <w:pStyle w:val="nzIndenta"/>
        <w:rPr>
          <w:ins w:id="338" w:author="svcMRProcess" w:date="2015-12-08T23:51:00Z"/>
        </w:rPr>
      </w:pPr>
      <w:ins w:id="339" w:author="svcMRProcess" w:date="2015-12-08T23:51:00Z">
        <w:r>
          <w:tab/>
          <w:t>(b)</w:t>
        </w:r>
        <w:r>
          <w:tab/>
          <w:t xml:space="preserve">regulations made for the purposes of the </w:t>
        </w:r>
        <w:r>
          <w:rPr>
            <w:i/>
          </w:rPr>
          <w:t>Biosecurity and Agriculture Management Act 2007</w:t>
        </w:r>
        <w:r>
          <w:rPr>
            <w:iCs/>
          </w:rPr>
          <w:t xml:space="preserve"> section 141,</w:t>
        </w:r>
      </w:ins>
    </w:p>
    <w:p>
      <w:pPr>
        <w:pStyle w:val="nzSubsection"/>
        <w:rPr>
          <w:ins w:id="340" w:author="svcMRProcess" w:date="2015-12-08T23:51:00Z"/>
        </w:rPr>
      </w:pPr>
      <w:ins w:id="341" w:author="svcMRProcess" w:date="2015-12-08T23:51:00Z">
        <w:r>
          <w:tab/>
        </w:r>
        <w:r>
          <w:tab/>
          <w:t>the amount of any contribution for which a person who has delivered any grain or seed to the Company appears to be liable under those provisions.</w:t>
        </w:r>
      </w:ins>
    </w:p>
    <w:p>
      <w:pPr>
        <w:pStyle w:val="nzSubsection"/>
        <w:rPr>
          <w:ins w:id="342" w:author="svcMRProcess" w:date="2015-12-08T23:51:00Z"/>
        </w:rPr>
      </w:pPr>
      <w:ins w:id="343" w:author="svcMRProcess" w:date="2015-12-08T23:51:00Z">
        <w:r>
          <w:tab/>
          <w:t>(2)</w:t>
        </w:r>
        <w:r>
          <w:tab/>
          <w:t xml:space="preserve">The amount of a contribution so paid — </w:t>
        </w:r>
      </w:ins>
    </w:p>
    <w:p>
      <w:pPr>
        <w:pStyle w:val="nzIndenta"/>
        <w:rPr>
          <w:ins w:id="344" w:author="svcMRProcess" w:date="2015-12-08T23:51:00Z"/>
        </w:rPr>
      </w:pPr>
      <w:ins w:id="345" w:author="svcMRProcess" w:date="2015-12-08T23:51:00Z">
        <w:r>
          <w:tab/>
          <w:t>(a)</w:t>
        </w:r>
        <w:r>
          <w:tab/>
          <w:t>is a debt due to the Company by the person in respect of whom it is paid; and</w:t>
        </w:r>
      </w:ins>
    </w:p>
    <w:p>
      <w:pPr>
        <w:pStyle w:val="nzIndenta"/>
        <w:rPr>
          <w:ins w:id="346" w:author="svcMRProcess" w:date="2015-12-08T23:51:00Z"/>
        </w:rPr>
      </w:pPr>
      <w:ins w:id="347" w:author="svcMRProcess" w:date="2015-12-08T23:51:00Z">
        <w:r>
          <w:tab/>
          <w:t>(b)</w:t>
        </w:r>
        <w:r>
          <w:tab/>
          <w:t>is a first charge in priority to all claims on the moneys payable to that person in respect of grain and seed, other than a charge created under any other section.</w:t>
        </w:r>
      </w:ins>
    </w:p>
    <w:p>
      <w:pPr>
        <w:pStyle w:val="nzSubsection"/>
        <w:rPr>
          <w:ins w:id="348" w:author="svcMRProcess" w:date="2015-12-08T23:51:00Z"/>
        </w:rPr>
      </w:pPr>
      <w:ins w:id="349" w:author="svcMRProcess" w:date="2015-12-08T23:51:00Z">
        <w:r>
          <w:tab/>
          <w:t>(3)</w:t>
        </w:r>
        <w:r>
          <w:tab/>
          <w:t>Payment of an amount under subsection (1) operates to discharge the person from liability for that amount.</w:t>
        </w:r>
      </w:ins>
    </w:p>
    <w:p>
      <w:pPr>
        <w:pStyle w:val="MiscClose"/>
        <w:rPr>
          <w:ins w:id="350" w:author="svcMRProcess" w:date="2015-12-08T23:51:00Z"/>
        </w:rPr>
      </w:pPr>
      <w:ins w:id="351" w:author="svcMRProcess" w:date="2015-12-08T23:51:00Z">
        <w:r>
          <w:t xml:space="preserve">    ”.</w:t>
        </w:r>
      </w:ins>
    </w:p>
    <w:p>
      <w:pPr>
        <w:pStyle w:val="nzSubsection"/>
        <w:rPr>
          <w:ins w:id="352" w:author="svcMRProcess" w:date="2015-12-08T23:51:00Z"/>
        </w:rPr>
      </w:pPr>
      <w:ins w:id="353" w:author="svcMRProcess" w:date="2015-12-08T23:51:00Z">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ins>
    </w:p>
    <w:p>
      <w:pPr>
        <w:pStyle w:val="MiscOpen"/>
        <w:spacing w:before="60"/>
        <w:ind w:left="879"/>
        <w:rPr>
          <w:ins w:id="354" w:author="svcMRProcess" w:date="2015-12-08T23:51:00Z"/>
        </w:rPr>
      </w:pPr>
      <w:ins w:id="355" w:author="svcMRProcess" w:date="2015-12-08T23:51:00Z">
        <w:r>
          <w:t xml:space="preserve">“    </w:t>
        </w:r>
      </w:ins>
    </w:p>
    <w:p>
      <w:pPr>
        <w:pStyle w:val="nzSubsection"/>
        <w:rPr>
          <w:ins w:id="356" w:author="svcMRProcess" w:date="2015-12-08T23:51:00Z"/>
        </w:rPr>
      </w:pPr>
      <w:ins w:id="357" w:author="svcMRProcess" w:date="2015-12-08T23:51:00Z">
        <w:r>
          <w:tab/>
        </w:r>
        <w:r>
          <w:tab/>
          <w:t>a contribution paid by the Company in respect of a person in accordance with a written law referred to in section 34D(1)</w:t>
        </w:r>
      </w:ins>
    </w:p>
    <w:p>
      <w:pPr>
        <w:pStyle w:val="MiscClose"/>
        <w:keepLines w:val="0"/>
        <w:rPr>
          <w:ins w:id="358" w:author="svcMRProcess" w:date="2015-12-08T23:51:00Z"/>
        </w:rPr>
      </w:pPr>
      <w:ins w:id="359" w:author="svcMRProcess" w:date="2015-12-08T23:51:00Z">
        <w:r>
          <w:t xml:space="preserve">    ”.</w:t>
        </w:r>
      </w:ins>
    </w:p>
    <w:p>
      <w:pPr>
        <w:pStyle w:val="MiscClose"/>
        <w:rPr>
          <w:ins w:id="360" w:author="svcMRProcess" w:date="2015-12-08T23:51:00Z"/>
        </w:rPr>
      </w:pPr>
      <w:ins w:id="361" w:author="svcMRProcess" w:date="2015-12-08T23:51:00Z">
        <w:r>
          <w:t>”.</w:t>
        </w:r>
      </w:ins>
    </w:p>
    <w:p/>
    <w:p>
      <w:pPr>
        <w:sectPr>
          <w:headerReference w:type="defaul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83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5A36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C66B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C498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3A8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3647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201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0287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B43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302ED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82CEF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5A8EA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01"/>
    <w:docVar w:name="WAFER_20151207124901" w:val="RemoveTrackChanges"/>
    <w:docVar w:name="WAFER_20151207124901_GUID" w:val="a9b0a911-573e-49c4-a84e-b3ddc94700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7936</Words>
  <Characters>36033</Characters>
  <Application>Microsoft Office Word</Application>
  <DocSecurity>0</DocSecurity>
  <Lines>973</Lines>
  <Paragraphs>472</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04-c0-03 - 04-d0-05</dc:title>
  <dc:subject/>
  <dc:creator/>
  <cp:keywords/>
  <dc:description/>
  <cp:lastModifiedBy>svcMRProcess</cp:lastModifiedBy>
  <cp:revision>2</cp:revision>
  <cp:lastPrinted>2003-12-17T07:22:00Z</cp:lastPrinted>
  <dcterms:created xsi:type="dcterms:W3CDTF">2015-12-08T15:51:00Z</dcterms:created>
  <dcterms:modified xsi:type="dcterms:W3CDTF">2015-12-08T15:51:00Z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90</vt:i4>
  </property>
  <property fmtid="{D5CDD505-2E9C-101B-9397-08002B2CF9AE}" pid="6" name="FromSuffix">
    <vt:lpwstr>04-c0-03</vt:lpwstr>
  </property>
  <property fmtid="{D5CDD505-2E9C-101B-9397-08002B2CF9AE}" pid="7" name="FromAsAtDate">
    <vt:lpwstr>04 Jul 2006</vt:lpwstr>
  </property>
  <property fmtid="{D5CDD505-2E9C-101B-9397-08002B2CF9AE}" pid="8" name="ToSuffix">
    <vt:lpwstr>04-d0-05</vt:lpwstr>
  </property>
  <property fmtid="{D5CDD505-2E9C-101B-9397-08002B2CF9AE}" pid="9" name="ToAsAtDate">
    <vt:lpwstr>12 Oct 2007</vt:lpwstr>
  </property>
</Properties>
</file>