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(Towed Agricultural Implements)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Feb 2007</w:t>
      </w:r>
      <w:r>
        <w:fldChar w:fldCharType="end"/>
      </w:r>
      <w:r>
        <w:t xml:space="preserve">, </w:t>
      </w:r>
      <w:r>
        <w:fldChar w:fldCharType="begin"/>
      </w:r>
      <w:r>
        <w:instrText xml:space="preserve"> DocProperty FromSuffix </w:instrText>
      </w:r>
      <w:r>
        <w:fldChar w:fldCharType="separate"/>
      </w:r>
      <w:r>
        <w:t>02-a0-04</w:t>
      </w:r>
      <w:r>
        <w:fldChar w:fldCharType="end"/>
      </w:r>
      <w:r>
        <w:t>] and [</w:t>
      </w:r>
      <w:r>
        <w:fldChar w:fldCharType="begin"/>
      </w:r>
      <w:r>
        <w:instrText xml:space="preserve"> DocProperty ToAsAtDate</w:instrText>
      </w:r>
      <w:r>
        <w:fldChar w:fldCharType="separate"/>
      </w:r>
      <w:r>
        <w:t>25 Oct 2007</w:t>
      </w:r>
      <w:r>
        <w:fldChar w:fldCharType="end"/>
      </w:r>
      <w:r>
        <w:t xml:space="preserve">, </w:t>
      </w:r>
      <w:r>
        <w:fldChar w:fldCharType="begin"/>
      </w:r>
      <w:r>
        <w:instrText xml:space="preserve"> DocProperty ToSuffix</w:instrText>
      </w:r>
      <w:r>
        <w:fldChar w:fldCharType="separate"/>
      </w:r>
      <w:r>
        <w:t>02-b0-04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0:14:00Z"/>
        </w:trPr>
        <w:tc>
          <w:tcPr>
            <w:tcW w:w="2434" w:type="dxa"/>
            <w:vMerge w:val="restart"/>
          </w:tcPr>
          <w:p>
            <w:pPr>
              <w:rPr>
                <w:del w:id="1" w:author="Master Repository Process" w:date="2021-09-12T10:14:00Z"/>
              </w:rPr>
            </w:pPr>
          </w:p>
        </w:tc>
        <w:tc>
          <w:tcPr>
            <w:tcW w:w="2434" w:type="dxa"/>
            <w:vMerge w:val="restart"/>
          </w:tcPr>
          <w:p>
            <w:pPr>
              <w:jc w:val="center"/>
              <w:rPr>
                <w:del w:id="2" w:author="Master Repository Process" w:date="2021-09-12T10:14:00Z"/>
              </w:rPr>
            </w:pPr>
            <w:del w:id="3" w:author="Master Repository Process" w:date="2021-09-12T10:1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2T10:14:00Z"/>
              </w:rPr>
            </w:pPr>
          </w:p>
        </w:tc>
      </w:tr>
      <w:tr>
        <w:trPr>
          <w:cantSplit/>
          <w:del w:id="5" w:author="Master Repository Process" w:date="2021-09-12T10:14:00Z"/>
        </w:trPr>
        <w:tc>
          <w:tcPr>
            <w:tcW w:w="2434" w:type="dxa"/>
            <w:vMerge/>
          </w:tcPr>
          <w:p>
            <w:pPr>
              <w:rPr>
                <w:del w:id="6" w:author="Master Repository Process" w:date="2021-09-12T10:14:00Z"/>
              </w:rPr>
            </w:pPr>
          </w:p>
        </w:tc>
        <w:tc>
          <w:tcPr>
            <w:tcW w:w="2434" w:type="dxa"/>
            <w:vMerge/>
          </w:tcPr>
          <w:p>
            <w:pPr>
              <w:jc w:val="center"/>
              <w:rPr>
                <w:del w:id="7" w:author="Master Repository Process" w:date="2021-09-12T10:14:00Z"/>
              </w:rPr>
            </w:pPr>
          </w:p>
        </w:tc>
        <w:tc>
          <w:tcPr>
            <w:tcW w:w="2434" w:type="dxa"/>
          </w:tcPr>
          <w:p>
            <w:pPr>
              <w:keepNext/>
              <w:rPr>
                <w:del w:id="8" w:author="Master Repository Process" w:date="2021-09-12T10:14:00Z"/>
                <w:b/>
                <w:sz w:val="22"/>
              </w:rPr>
            </w:pPr>
            <w:del w:id="9" w:author="Master Repository Process" w:date="2021-09-12T10:14:00Z">
              <w:r>
                <w:rPr>
                  <w:b/>
                  <w:sz w:val="22"/>
                </w:rPr>
                <w:delText xml:space="preserve">Reprinted under the </w:delText>
              </w:r>
              <w:r>
                <w:rPr>
                  <w:b/>
                  <w:i/>
                  <w:sz w:val="22"/>
                </w:rPr>
                <w:delText>Reprints Act 1984</w:delText>
              </w:r>
              <w:r>
                <w:rPr>
                  <w:b/>
                  <w:sz w:val="22"/>
                </w:rPr>
                <w:delText xml:space="preserve"> as at 9</w:delText>
              </w:r>
              <w:r>
                <w:rPr>
                  <w:b/>
                  <w:snapToGrid w:val="0"/>
                  <w:sz w:val="22"/>
                </w:rPr>
                <w:delText xml:space="preserve"> February 2007</w:delText>
              </w:r>
            </w:del>
          </w:p>
        </w:tc>
      </w:tr>
    </w:tbl>
    <w:p>
      <w:pPr>
        <w:pStyle w:val="WA"/>
      </w:pPr>
      <w:r>
        <w:t>Western Australia</w:t>
      </w:r>
    </w:p>
    <w:p>
      <w:pPr>
        <w:pStyle w:val="PrincipalActReg"/>
      </w:pPr>
      <w:r>
        <w:t>Road Traffic Act 1974</w:t>
      </w:r>
    </w:p>
    <w:p>
      <w:pPr>
        <w:pStyle w:val="NameofActReg"/>
        <w:spacing w:before="400"/>
      </w:pPr>
      <w:r>
        <w:t>Road Traffic (Towed Agricultural Implements) Regulations 1995</w:t>
      </w:r>
    </w:p>
    <w:p>
      <w:pPr>
        <w:pStyle w:val="Heading5"/>
        <w:spacing w:before="180"/>
        <w:rPr>
          <w:snapToGrid w:val="0"/>
        </w:rPr>
      </w:pPr>
      <w:bookmarkStart w:id="10" w:name="_Toc23927369"/>
      <w:bookmarkStart w:id="11" w:name="_Toc29275698"/>
      <w:bookmarkStart w:id="12" w:name="_Toc38944389"/>
      <w:bookmarkStart w:id="13" w:name="_Toc128541303"/>
      <w:bookmarkStart w:id="14" w:name="_Toc181010923"/>
      <w:bookmarkStart w:id="15" w:name="_Toc159743429"/>
      <w:r>
        <w:rPr>
          <w:rStyle w:val="CharSectno"/>
        </w:rPr>
        <w:t>1</w:t>
      </w:r>
      <w:bookmarkStart w:id="16" w:name="_GoBack"/>
      <w:bookmarkEnd w:id="16"/>
      <w:r>
        <w:rPr>
          <w:snapToGrid w:val="0"/>
        </w:rPr>
        <w:t>.</w:t>
      </w:r>
      <w:r>
        <w:rPr>
          <w:snapToGrid w:val="0"/>
        </w:rPr>
        <w:tab/>
        <w:t>Citation</w:t>
      </w:r>
      <w:bookmarkEnd w:id="10"/>
      <w:bookmarkEnd w:id="11"/>
      <w:bookmarkEnd w:id="12"/>
      <w:bookmarkEnd w:id="13"/>
      <w:bookmarkEnd w:id="14"/>
      <w:bookmarkEnd w:id="15"/>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Road Traffic (Towed Agricultural Implements) Regulations 1995</w:t>
      </w:r>
      <w:r>
        <w:rPr>
          <w:snapToGrid w:val="0"/>
          <w:vertAlign w:val="superscript"/>
        </w:rPr>
        <w:t> 1</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17" w:name="_Toc23927371"/>
      <w:bookmarkStart w:id="18" w:name="_Toc29275700"/>
      <w:bookmarkStart w:id="19" w:name="_Toc38944391"/>
      <w:bookmarkStart w:id="20" w:name="_Toc128541304"/>
      <w:bookmarkStart w:id="21" w:name="_Toc181010924"/>
      <w:bookmarkStart w:id="22" w:name="_Toc159743430"/>
      <w:r>
        <w:rPr>
          <w:rStyle w:val="CharSectno"/>
        </w:rPr>
        <w:t>3</w:t>
      </w:r>
      <w:r>
        <w:rPr>
          <w:snapToGrid w:val="0"/>
        </w:rPr>
        <w:t>.</w:t>
      </w:r>
      <w:r>
        <w:rPr>
          <w:snapToGrid w:val="0"/>
        </w:rPr>
        <w:tab/>
      </w:r>
      <w:bookmarkEnd w:id="17"/>
      <w:bookmarkEnd w:id="18"/>
      <w:bookmarkEnd w:id="19"/>
      <w:bookmarkEnd w:id="20"/>
      <w:r>
        <w:rPr>
          <w:snapToGrid w:val="0"/>
        </w:rPr>
        <w:t>Terms used in these regulations</w:t>
      </w:r>
      <w:bookmarkEnd w:id="21"/>
      <w:bookmarkEnd w:id="22"/>
    </w:p>
    <w:p>
      <w:pPr>
        <w:pStyle w:val="Subsection"/>
        <w:spacing w:before="120"/>
        <w:rPr>
          <w:snapToGrid w:val="0"/>
        </w:rPr>
      </w:pPr>
      <w:r>
        <w:rPr>
          <w:snapToGrid w:val="0"/>
        </w:rPr>
        <w:tab/>
        <w:t>(1)</w:t>
      </w:r>
      <w:r>
        <w:rPr>
          <w:snapToGrid w:val="0"/>
        </w:rPr>
        <w:tab/>
        <w:t>In these regulations, unless the contrary intention appears — </w:t>
      </w:r>
    </w:p>
    <w:p>
      <w:pPr>
        <w:pStyle w:val="Defstart"/>
      </w:pPr>
      <w:r>
        <w:rPr>
          <w:b/>
        </w:rPr>
        <w:tab/>
      </w:r>
      <w:del w:id="23" w:author="Master Repository Process" w:date="2021-09-12T10:14:00Z">
        <w:r>
          <w:rPr>
            <w:b/>
          </w:rPr>
          <w:delText>“</w:delText>
        </w:r>
      </w:del>
      <w:r>
        <w:rPr>
          <w:rStyle w:val="CharDefText"/>
        </w:rPr>
        <w:t>flashing amber light</w:t>
      </w:r>
      <w:del w:id="24" w:author="Master Repository Process" w:date="2021-09-12T10:14:00Z">
        <w:r>
          <w:rPr>
            <w:b/>
          </w:rPr>
          <w:delText>”</w:delText>
        </w:r>
      </w:del>
      <w:r>
        <w:t xml:space="preserve"> has a meaning that is affected by regulation 11;</w:t>
      </w:r>
    </w:p>
    <w:p>
      <w:pPr>
        <w:pStyle w:val="Defstart"/>
        <w:rPr>
          <w:ins w:id="25" w:author="Master Repository Process" w:date="2021-09-12T10:14:00Z"/>
        </w:rPr>
      </w:pPr>
      <w:del w:id="26" w:author="Master Repository Process" w:date="2021-09-12T10:14:00Z">
        <w:r>
          <w:rPr>
            <w:b/>
          </w:rPr>
          <w:tab/>
          <w:delText>“</w:delText>
        </w:r>
      </w:del>
      <w:ins w:id="27" w:author="Master Repository Process" w:date="2021-09-12T10:14:00Z">
        <w:r>
          <w:rPr>
            <w:b/>
          </w:rPr>
          <w:tab/>
        </w:r>
        <w:r>
          <w:rPr>
            <w:rStyle w:val="CharDefText"/>
          </w:rPr>
          <w:t>gate to gate</w:t>
        </w:r>
        <w:r>
          <w:t xml:space="preserve"> means 2 gates facing each other, one on each side of a road, where the distance between the 2 centrelines, drawn at right angles to the road, of each gate is 20 metres or less;</w:t>
        </w:r>
      </w:ins>
    </w:p>
    <w:p>
      <w:pPr>
        <w:pStyle w:val="Defstart"/>
      </w:pPr>
      <w:ins w:id="28" w:author="Master Repository Process" w:date="2021-09-12T10:14:00Z">
        <w:r>
          <w:rPr>
            <w:b/>
          </w:rPr>
          <w:tab/>
        </w:r>
      </w:ins>
      <w:r>
        <w:rPr>
          <w:rStyle w:val="CharDefText"/>
        </w:rPr>
        <w:t>night</w:t>
      </w:r>
      <w:r>
        <w:rPr>
          <w:rStyle w:val="CharDefText"/>
        </w:rPr>
        <w:noBreakHyphen/>
        <w:t>time</w:t>
      </w:r>
      <w:del w:id="29" w:author="Master Repository Process" w:date="2021-09-12T10:14:00Z">
        <w:r>
          <w:rPr>
            <w:b/>
          </w:rPr>
          <w:delText>”</w:delText>
        </w:r>
      </w:del>
      <w:r>
        <w:t xml:space="preserve"> means the period between sunset and sunrise;</w:t>
      </w:r>
    </w:p>
    <w:p>
      <w:pPr>
        <w:pStyle w:val="Defstart"/>
      </w:pPr>
      <w:r>
        <w:rPr>
          <w:b/>
        </w:rPr>
        <w:tab/>
      </w:r>
      <w:del w:id="30" w:author="Master Repository Process" w:date="2021-09-12T10:14:00Z">
        <w:r>
          <w:rPr>
            <w:b/>
          </w:rPr>
          <w:delText>“</w:delText>
        </w:r>
      </w:del>
      <w:r>
        <w:rPr>
          <w:rStyle w:val="CharDefText"/>
        </w:rPr>
        <w:t>on a road</w:t>
      </w:r>
      <w:del w:id="31" w:author="Master Repository Process" w:date="2021-09-12T10:14:00Z">
        <w:r>
          <w:rPr>
            <w:b/>
          </w:rPr>
          <w:delText>”</w:delText>
        </w:r>
      </w:del>
      <w:r>
        <w:t xml:space="preserve"> includes partly on a road</w:t>
      </w:r>
      <w:ins w:id="32" w:author="Master Repository Process" w:date="2021-09-12T10:14:00Z">
        <w:r>
          <w:t xml:space="preserve"> but does not include on a road when an agricultural implement is being towed from gate to gate</w:t>
        </w:r>
      </w:ins>
      <w:r>
        <w:t>;</w:t>
      </w:r>
    </w:p>
    <w:p>
      <w:pPr>
        <w:pStyle w:val="Defstart"/>
      </w:pPr>
      <w:r>
        <w:rPr>
          <w:b/>
        </w:rPr>
        <w:tab/>
      </w:r>
      <w:del w:id="33" w:author="Master Repository Process" w:date="2021-09-12T10:14:00Z">
        <w:r>
          <w:rPr>
            <w:b/>
          </w:rPr>
          <w:delText>“</w:delText>
        </w:r>
      </w:del>
      <w:r>
        <w:rPr>
          <w:rStyle w:val="CharDefText"/>
        </w:rPr>
        <w:t>tow</w:t>
      </w:r>
      <w:del w:id="34" w:author="Master Repository Process" w:date="2021-09-12T10:14:00Z">
        <w:r>
          <w:rPr>
            <w:b/>
          </w:rPr>
          <w:delText>”</w:delText>
        </w:r>
      </w:del>
      <w:r>
        <w:t xml:space="preserve"> includes haul;</w:t>
      </w:r>
    </w:p>
    <w:p>
      <w:pPr>
        <w:pStyle w:val="Defstart"/>
      </w:pPr>
      <w:r>
        <w:rPr>
          <w:b/>
        </w:rPr>
        <w:tab/>
      </w:r>
      <w:del w:id="35" w:author="Master Repository Process" w:date="2021-09-12T10:14:00Z">
        <w:r>
          <w:rPr>
            <w:b/>
          </w:rPr>
          <w:delText>“</w:delText>
        </w:r>
      </w:del>
      <w:r>
        <w:rPr>
          <w:rStyle w:val="CharDefText"/>
        </w:rPr>
        <w:t>towed implement</w:t>
      </w:r>
      <w:del w:id="36" w:author="Master Repository Process" w:date="2021-09-12T10:14:00Z">
        <w:r>
          <w:rPr>
            <w:b/>
          </w:rPr>
          <w:delText>”</w:delText>
        </w:r>
      </w:del>
      <w:r>
        <w:t xml:space="preserve"> means an agricultural implement which is being towed by a motor vehicle or is attached to a motor vehicle for the purpose of being towed by it;</w:t>
      </w:r>
    </w:p>
    <w:p>
      <w:pPr>
        <w:pStyle w:val="Defstart"/>
        <w:spacing w:before="60"/>
      </w:pPr>
      <w:r>
        <w:rPr>
          <w:b/>
        </w:rPr>
        <w:tab/>
      </w:r>
      <w:del w:id="37" w:author="Master Repository Process" w:date="2021-09-12T10:14:00Z">
        <w:r>
          <w:rPr>
            <w:b/>
          </w:rPr>
          <w:delText>“</w:delText>
        </w:r>
      </w:del>
      <w:r>
        <w:rPr>
          <w:rStyle w:val="CharDefText"/>
        </w:rPr>
        <w:t>towing vehicle</w:t>
      </w:r>
      <w:del w:id="38" w:author="Master Repository Process" w:date="2021-09-12T10:14:00Z">
        <w:r>
          <w:rPr>
            <w:b/>
          </w:rPr>
          <w:delText>”</w:delText>
        </w:r>
      </w:del>
      <w:r>
        <w:t xml:space="preserve"> means a motor vehicle which is towing an agricultural implement or is attached to an agricultural implement for the purpose of towing it;</w:t>
      </w:r>
    </w:p>
    <w:p>
      <w:pPr>
        <w:pStyle w:val="Defstart"/>
      </w:pPr>
      <w:r>
        <w:rPr>
          <w:b/>
        </w:rPr>
        <w:tab/>
      </w:r>
      <w:del w:id="39" w:author="Master Repository Process" w:date="2021-09-12T10:14:00Z">
        <w:r>
          <w:rPr>
            <w:b/>
          </w:rPr>
          <w:delText>“</w:delText>
        </w:r>
      </w:del>
      <w:r>
        <w:rPr>
          <w:rStyle w:val="CharDefText"/>
        </w:rPr>
        <w:t>used</w:t>
      </w:r>
      <w:del w:id="40" w:author="Master Repository Process" w:date="2021-09-12T10:14:00Z">
        <w:r>
          <w:rPr>
            <w:b/>
          </w:rPr>
          <w:delText>”</w:delText>
        </w:r>
        <w:r>
          <w:delText>,</w:delText>
        </w:r>
      </w:del>
      <w:ins w:id="41" w:author="Master Repository Process" w:date="2021-09-12T10:14:00Z">
        <w:r>
          <w:t>,</w:t>
        </w:r>
      </w:ins>
      <w:r>
        <w:t xml:space="preserve"> in relation to a vehicle or a combination, includes being driven, or towed, and being left stationary;</w:t>
      </w:r>
    </w:p>
    <w:p>
      <w:pPr>
        <w:pStyle w:val="Defstart"/>
      </w:pPr>
      <w:r>
        <w:rPr>
          <w:b/>
        </w:rPr>
        <w:tab/>
      </w:r>
      <w:del w:id="42" w:author="Master Repository Process" w:date="2021-09-12T10:14:00Z">
        <w:r>
          <w:rPr>
            <w:b/>
          </w:rPr>
          <w:delText>“</w:delText>
        </w:r>
      </w:del>
      <w:r>
        <w:rPr>
          <w:rStyle w:val="CharDefText"/>
        </w:rPr>
        <w:t>Vehicle Standards</w:t>
      </w:r>
      <w:del w:id="43" w:author="Master Repository Process" w:date="2021-09-12T10:14:00Z">
        <w:r>
          <w:rPr>
            <w:b/>
          </w:rPr>
          <w:delText>”</w:delText>
        </w:r>
      </w:del>
      <w:r>
        <w:t xml:space="preserve"> means the </w:t>
      </w:r>
      <w:r>
        <w:rPr>
          <w:i/>
        </w:rPr>
        <w:t>Road Traffic (Vehicle Standards) Regulations 2002</w:t>
      </w:r>
      <w:r>
        <w:t xml:space="preserve">, the </w:t>
      </w:r>
      <w:r>
        <w:rPr>
          <w:i/>
        </w:rPr>
        <w:t>Road Traffic (Vehicle Standards) Rules 2002</w:t>
      </w:r>
      <w:r>
        <w:t xml:space="preserve"> and the </w:t>
      </w:r>
      <w:r>
        <w:rPr>
          <w:i/>
        </w:rPr>
        <w:t>Road Traffic (Animal Drawn Vehicles) Regulations 2002</w:t>
      </w:r>
      <w:r>
        <w:t>.</w:t>
      </w:r>
    </w:p>
    <w:p>
      <w:pPr>
        <w:pStyle w:val="Subsection"/>
        <w:rPr>
          <w:snapToGrid w:val="0"/>
        </w:rPr>
      </w:pPr>
      <w:r>
        <w:rPr>
          <w:snapToGrid w:val="0"/>
        </w:rPr>
        <w:tab/>
        <w:t>(2)</w:t>
      </w:r>
      <w:r>
        <w:rPr>
          <w:snapToGrid w:val="0"/>
        </w:rPr>
        <w:tab/>
        <w:t>Nothing in these regulations prevents the application to a towing vehicle, a pilot vehicle or an escort vehicle, of any other written law.</w:t>
      </w:r>
    </w:p>
    <w:p>
      <w:pPr>
        <w:pStyle w:val="Subsection"/>
      </w:pPr>
      <w:r>
        <w:tab/>
        <w:t>(3)</w:t>
      </w:r>
      <w:r>
        <w:tab/>
        <w:t xml:space="preserve">Unless the contrary intention appears, a term used in these regulations has the same meaning as it has in the </w:t>
      </w:r>
      <w:r>
        <w:rPr>
          <w:i/>
          <w:iCs/>
        </w:rPr>
        <w:t>Road Traffic (Vehicle Standards) Regulations 2002</w:t>
      </w:r>
      <w:r>
        <w:t>.</w:t>
      </w:r>
    </w:p>
    <w:p>
      <w:pPr>
        <w:pStyle w:val="Subsection"/>
        <w:rPr>
          <w:ins w:id="44" w:author="Master Repository Process" w:date="2021-09-12T10:14:00Z"/>
        </w:rPr>
      </w:pPr>
      <w:ins w:id="45" w:author="Master Repository Process" w:date="2021-09-12T10:14:00Z">
        <w:r>
          <w:tab/>
          <w:t>(4)</w:t>
        </w:r>
        <w:r>
          <w:tab/>
          <w:t xml:space="preserve">An agricultural implement is not subject to regulations that would apply to it under the </w:t>
        </w:r>
        <w:r>
          <w:rPr>
            <w:i/>
            <w:iCs/>
          </w:rPr>
          <w:t>Road Traffic Act 1974</w:t>
        </w:r>
        <w:r>
          <w:t>, other than regulation 31 of these regulations, while the agricultural implement is being towed from gate to gate in accordance with regulation 31 of these regulations.</w:t>
        </w:r>
      </w:ins>
    </w:p>
    <w:p>
      <w:pPr>
        <w:pStyle w:val="Footnotesection"/>
      </w:pPr>
      <w:r>
        <w:tab/>
        <w:t>[Regulation 3 amended in Gazette 1 Nov 2002 p. 5394; 24 Feb 2006 p. 885</w:t>
      </w:r>
      <w:ins w:id="46" w:author="Master Repository Process" w:date="2021-09-12T10:14:00Z">
        <w:r>
          <w:t xml:space="preserve">; </w:t>
        </w:r>
        <w:r>
          <w:rPr>
            <w:iCs/>
          </w:rPr>
          <w:t>24 Oct 2007 p. 5647</w:t>
        </w:r>
        <w:r>
          <w:rPr>
            <w:iCs/>
          </w:rPr>
          <w:noBreakHyphen/>
          <w:t>8</w:t>
        </w:r>
      </w:ins>
      <w:r>
        <w:t>.]</w:t>
      </w:r>
    </w:p>
    <w:p>
      <w:pPr>
        <w:pStyle w:val="Heading5"/>
        <w:rPr>
          <w:snapToGrid w:val="0"/>
        </w:rPr>
      </w:pPr>
      <w:bookmarkStart w:id="47" w:name="_Toc23927372"/>
      <w:bookmarkStart w:id="48" w:name="_Toc29275701"/>
      <w:bookmarkStart w:id="49" w:name="_Toc38944392"/>
      <w:bookmarkStart w:id="50" w:name="_Toc128541305"/>
      <w:bookmarkStart w:id="51" w:name="_Toc181010925"/>
      <w:bookmarkStart w:id="52" w:name="_Toc159743431"/>
      <w:r>
        <w:rPr>
          <w:rStyle w:val="CharSectno"/>
        </w:rPr>
        <w:t>4</w:t>
      </w:r>
      <w:r>
        <w:rPr>
          <w:snapToGrid w:val="0"/>
        </w:rPr>
        <w:t>.</w:t>
      </w:r>
      <w:r>
        <w:rPr>
          <w:snapToGrid w:val="0"/>
        </w:rPr>
        <w:tab/>
        <w:t>Lighting equipment generally</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 xml:space="preserve">If a towed implement is being towed on a road </w:t>
      </w:r>
      <w:r>
        <w:t>at night</w:t>
      </w:r>
      <w:r>
        <w:noBreakHyphen/>
        <w:t>time</w:t>
      </w:r>
      <w:r>
        <w:rPr>
          <w:snapToGrid w:val="0"/>
        </w:rPr>
        <w:t xml:space="preserve"> there must be fitted to the towed implement, and connected electrically to the towing vehicle, lighting equipment which complies with these regulations.</w:t>
      </w:r>
    </w:p>
    <w:p>
      <w:pPr>
        <w:pStyle w:val="Subsection"/>
        <w:rPr>
          <w:snapToGrid w:val="0"/>
        </w:rPr>
      </w:pPr>
      <w:r>
        <w:rPr>
          <w:snapToGrid w:val="0"/>
        </w:rPr>
        <w:tab/>
        <w:t>(2)</w:t>
      </w:r>
      <w:r>
        <w:rPr>
          <w:snapToGrid w:val="0"/>
        </w:rPr>
        <w:tab/>
        <w:t>Where the lighting equipment referred to in subregulation (1)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Subsection"/>
        <w:rPr>
          <w:snapToGrid w:val="0"/>
        </w:rPr>
      </w:pPr>
      <w:r>
        <w:rPr>
          <w:snapToGrid w:val="0"/>
        </w:rPr>
        <w:tab/>
        <w:t>(3)</w:t>
      </w:r>
      <w:r>
        <w:rPr>
          <w:snapToGrid w:val="0"/>
        </w:rPr>
        <w:tab/>
        <w:t xml:space="preserve">In this regulation </w:t>
      </w:r>
      <w:del w:id="53" w:author="Master Repository Process" w:date="2021-09-12T10:14:00Z">
        <w:r>
          <w:rPr>
            <w:b/>
            <w:snapToGrid w:val="0"/>
          </w:rPr>
          <w:delText>“</w:delText>
        </w:r>
      </w:del>
      <w:r>
        <w:rPr>
          <w:rStyle w:val="CharDefText"/>
        </w:rPr>
        <w:t>lighting equipment</w:t>
      </w:r>
      <w:del w:id="54" w:author="Master Repository Process" w:date="2021-09-12T10:14:00Z">
        <w:r>
          <w:rPr>
            <w:b/>
            <w:snapToGrid w:val="0"/>
          </w:rPr>
          <w:delText>”</w:delText>
        </w:r>
      </w:del>
      <w:r>
        <w:rPr>
          <w:snapToGrid w:val="0"/>
        </w:rPr>
        <w:t xml:space="preserve"> means</w:t>
      </w:r>
      <w:r>
        <w:t xml:space="preserve"> lights</w:t>
      </w:r>
      <w:r>
        <w:rPr>
          <w:snapToGrid w:val="0"/>
        </w:rPr>
        <w:t>, reflectors and ancillary equipment.</w:t>
      </w:r>
    </w:p>
    <w:p>
      <w:pPr>
        <w:pStyle w:val="Footnotesection"/>
      </w:pPr>
      <w:r>
        <w:tab/>
        <w:t>[Regulation 4 amended in Gazette 1 Nov 2002 p. 5395; 24 Feb 2006 p. 888.]</w:t>
      </w:r>
    </w:p>
    <w:p>
      <w:pPr>
        <w:pStyle w:val="Heading5"/>
        <w:rPr>
          <w:snapToGrid w:val="0"/>
        </w:rPr>
      </w:pPr>
      <w:bookmarkStart w:id="55" w:name="_Toc23927373"/>
      <w:bookmarkStart w:id="56" w:name="_Toc29275702"/>
      <w:bookmarkStart w:id="57" w:name="_Toc38944393"/>
      <w:bookmarkStart w:id="58" w:name="_Toc128541306"/>
      <w:bookmarkStart w:id="59" w:name="_Toc181010926"/>
      <w:bookmarkStart w:id="60" w:name="_Toc159743432"/>
      <w:r>
        <w:rPr>
          <w:rStyle w:val="CharSectno"/>
        </w:rPr>
        <w:t>5</w:t>
      </w:r>
      <w:r>
        <w:rPr>
          <w:snapToGrid w:val="0"/>
        </w:rPr>
        <w:t>.</w:t>
      </w:r>
      <w:r>
        <w:rPr>
          <w:snapToGrid w:val="0"/>
        </w:rPr>
        <w:tab/>
        <w:t>Positioning of lighting equipment generally</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 xml:space="preserve">All </w:t>
      </w:r>
      <w:r>
        <w:t>light</w:t>
      </w:r>
      <w:r>
        <w:rPr>
          <w:snapToGrid w:val="0"/>
        </w:rPr>
        <w:t>s and reflectors required by these regulations — </w:t>
      </w:r>
    </w:p>
    <w:p>
      <w:pPr>
        <w:pStyle w:val="Indenta"/>
        <w:rPr>
          <w:snapToGrid w:val="0"/>
        </w:rPr>
      </w:pPr>
      <w:r>
        <w:rPr>
          <w:snapToGrid w:val="0"/>
        </w:rPr>
        <w:tab/>
        <w:t>(a)</w:t>
      </w:r>
      <w:r>
        <w:rPr>
          <w:snapToGrid w:val="0"/>
        </w:rPr>
        <w:tab/>
        <w:t>subject to paragraph (b), must be fitted not less than 400 mm and not more than 1.5 m above ground level;</w:t>
      </w:r>
    </w:p>
    <w:p>
      <w:pPr>
        <w:pStyle w:val="Indenta"/>
        <w:rPr>
          <w:snapToGrid w:val="0"/>
        </w:rPr>
      </w:pPr>
      <w:r>
        <w:rPr>
          <w:snapToGrid w:val="0"/>
        </w:rPr>
        <w:tab/>
        <w:t>(b)</w:t>
      </w:r>
      <w:r>
        <w:rPr>
          <w:snapToGrid w:val="0"/>
        </w:rPr>
        <w:tab/>
        <w:t xml:space="preserve">where there is no suitable structure not more than 1.5 m above ground level to which those </w:t>
      </w:r>
      <w:r>
        <w:t>lights</w:t>
      </w:r>
      <w:r>
        <w:rPr>
          <w:snapToGrid w:val="0"/>
        </w:rPr>
        <w:t xml:space="preserve"> and reflectors can be fitted, may be fitted higher than, but as near as possible to 1.5 m above ground level;</w:t>
      </w:r>
    </w:p>
    <w:p>
      <w:pPr>
        <w:pStyle w:val="Indenta"/>
        <w:rPr>
          <w:snapToGrid w:val="0"/>
        </w:rPr>
      </w:pPr>
      <w:r>
        <w:rPr>
          <w:snapToGrid w:val="0"/>
        </w:rPr>
        <w:tab/>
        <w:t>(c)</w:t>
      </w:r>
      <w:r>
        <w:rPr>
          <w:snapToGrid w:val="0"/>
        </w:rPr>
        <w:tab/>
        <w:t>must be fitted symmetrically, to each side of the rear of the agricultural implement,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where it is not possible to fit those </w:t>
      </w:r>
      <w:r>
        <w:t>lights</w:t>
      </w:r>
      <w:r>
        <w:rPr>
          <w:snapToGrid w:val="0"/>
        </w:rPr>
        <w:t xml:space="preserve"> and reflectors in accordance with subparagraph (i), be fitted vertically, in the sequence referred to with the stop </w:t>
      </w:r>
      <w:r>
        <w:t>light</w:t>
      </w:r>
      <w:r>
        <w:rPr>
          <w:snapToGrid w:val="0"/>
        </w:rPr>
        <w:t xml:space="preserve"> on the top and the signalling </w:t>
      </w:r>
      <w:r>
        <w:t>light</w:t>
      </w:r>
      <w:r>
        <w:rPr>
          <w:snapToGrid w:val="0"/>
        </w:rPr>
        <w:t xml:space="preserve"> on the bottom;</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 agricultural implement;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Footnotesection"/>
      </w:pPr>
      <w:r>
        <w:tab/>
        <w:t>[Regulation 5 amended in Gazette 1 Nov 2002 p. 5395</w:t>
      </w:r>
      <w:r>
        <w:noBreakHyphen/>
        <w:t>6.]</w:t>
      </w:r>
    </w:p>
    <w:p>
      <w:pPr>
        <w:pStyle w:val="Heading5"/>
        <w:spacing w:before="180"/>
        <w:rPr>
          <w:snapToGrid w:val="0"/>
        </w:rPr>
      </w:pPr>
      <w:bookmarkStart w:id="61" w:name="_Toc23927374"/>
      <w:bookmarkStart w:id="62" w:name="_Toc29275703"/>
      <w:bookmarkStart w:id="63" w:name="_Toc38944394"/>
      <w:bookmarkStart w:id="64" w:name="_Toc128541307"/>
      <w:bookmarkStart w:id="65" w:name="_Toc181010927"/>
      <w:bookmarkStart w:id="66" w:name="_Toc159743433"/>
      <w:r>
        <w:rPr>
          <w:rStyle w:val="CharSectno"/>
        </w:rPr>
        <w:t>6</w:t>
      </w:r>
      <w:r>
        <w:rPr>
          <w:snapToGrid w:val="0"/>
        </w:rPr>
        <w:t>.</w:t>
      </w:r>
      <w:r>
        <w:rPr>
          <w:snapToGrid w:val="0"/>
        </w:rPr>
        <w:tab/>
        <w:t>Stop lights</w:t>
      </w:r>
      <w:bookmarkEnd w:id="61"/>
      <w:bookmarkEnd w:id="62"/>
      <w:bookmarkEnd w:id="63"/>
      <w:bookmarkEnd w:id="64"/>
      <w:bookmarkEnd w:id="65"/>
      <w:bookmarkEnd w:id="66"/>
      <w:r>
        <w:rPr>
          <w:snapToGrid w:val="0"/>
        </w:rPr>
        <w:t xml:space="preserve"> </w:t>
      </w:r>
    </w:p>
    <w:p>
      <w:pPr>
        <w:pStyle w:val="Subsection"/>
        <w:spacing w:before="120"/>
        <w:rPr>
          <w:snapToGrid w:val="0"/>
        </w:rPr>
      </w:pPr>
      <w:r>
        <w:rPr>
          <w:snapToGrid w:val="0"/>
        </w:rPr>
        <w:tab/>
        <w:t>(1)</w:t>
      </w:r>
      <w:r>
        <w:rPr>
          <w:snapToGrid w:val="0"/>
        </w:rPr>
        <w:tab/>
        <w:t>Subject to subregulation (2), there must be fitted to each towed implement towed on a road 2 stop</w:t>
      </w:r>
      <w:r>
        <w:t xml:space="preserve"> lights</w:t>
      </w:r>
      <w:r>
        <w:rPr>
          <w:snapToGrid w:val="0"/>
        </w:rPr>
        <w:t>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implement; and</w:t>
      </w:r>
    </w:p>
    <w:p>
      <w:pPr>
        <w:pStyle w:val="Indenta"/>
        <w:rPr>
          <w:snapToGrid w:val="0"/>
        </w:rPr>
      </w:pPr>
      <w:r>
        <w:rPr>
          <w:snapToGrid w:val="0"/>
        </w:rPr>
        <w:tab/>
        <w:t>(b)</w:t>
      </w:r>
      <w:r>
        <w:rPr>
          <w:snapToGrid w:val="0"/>
        </w:rPr>
        <w:tab/>
        <w:t xml:space="preserve">each of which is lighted when the foot brake of the towing vehicle is applied. </w:t>
      </w:r>
    </w:p>
    <w:p>
      <w:pPr>
        <w:pStyle w:val="Subsection"/>
        <w:rPr>
          <w:snapToGrid w:val="0"/>
        </w:rPr>
      </w:pPr>
      <w:r>
        <w:rPr>
          <w:snapToGrid w:val="0"/>
        </w:rPr>
        <w:tab/>
        <w:t>(2)</w:t>
      </w:r>
      <w:r>
        <w:rPr>
          <w:snapToGrid w:val="0"/>
        </w:rPr>
        <w:tab/>
        <w:t>Subregulation (1) does not apply if the combination</w:t>
      </w:r>
      <w:r>
        <w:t xml:space="preserve"> of which the towed implement is a part</w:t>
      </w:r>
      <w:r>
        <w:rPr>
          <w:snapToGrid w:val="0"/>
        </w:rPr>
        <w:t xml:space="preserve"> is fitted with a flashing amber light in accordance with regulation 11 and that light is operating whenever the combination is being moved on a road.</w:t>
      </w:r>
    </w:p>
    <w:p>
      <w:pPr>
        <w:pStyle w:val="Footnotesection"/>
      </w:pPr>
      <w:r>
        <w:tab/>
        <w:t>[Regulation 6 amended in Gazette 1 Nov 2002 p. 5395</w:t>
      </w:r>
      <w:r>
        <w:noBreakHyphen/>
        <w:t>6; 24 Feb 2006 p. 885.]</w:t>
      </w:r>
    </w:p>
    <w:p>
      <w:pPr>
        <w:pStyle w:val="Heading5"/>
        <w:rPr>
          <w:snapToGrid w:val="0"/>
        </w:rPr>
      </w:pPr>
      <w:bookmarkStart w:id="67" w:name="_Toc23927375"/>
      <w:bookmarkStart w:id="68" w:name="_Toc29275704"/>
      <w:bookmarkStart w:id="69" w:name="_Toc38944395"/>
      <w:bookmarkStart w:id="70" w:name="_Toc128541308"/>
      <w:bookmarkStart w:id="71" w:name="_Toc181010928"/>
      <w:bookmarkStart w:id="72" w:name="_Toc159743434"/>
      <w:r>
        <w:rPr>
          <w:rStyle w:val="CharSectno"/>
        </w:rPr>
        <w:t>7</w:t>
      </w:r>
      <w:r>
        <w:rPr>
          <w:snapToGrid w:val="0"/>
        </w:rPr>
        <w:t>.</w:t>
      </w:r>
      <w:r>
        <w:rPr>
          <w:snapToGrid w:val="0"/>
        </w:rPr>
        <w:tab/>
        <w:t>Reflectors</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Where an agricultural implement is towed or left stationary on a road </w:t>
      </w:r>
      <w:r>
        <w:t>at night</w:t>
      </w:r>
      <w:r>
        <w:noBreakHyphen/>
        <w:t>time</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1 towed implement, the rear implement of that combination, is fitted with 2 reflectors — </w:t>
      </w:r>
    </w:p>
    <w:p>
      <w:pPr>
        <w:pStyle w:val="Indenta"/>
        <w:rPr>
          <w:snapToGrid w:val="0"/>
        </w:rPr>
      </w:pPr>
      <w:r>
        <w:rPr>
          <w:snapToGrid w:val="0"/>
        </w:rPr>
        <w:tab/>
        <w:t>(a)</w:t>
      </w:r>
      <w:r>
        <w:rPr>
          <w:snapToGrid w:val="0"/>
        </w:rPr>
        <w:tab/>
        <w:t xml:space="preserve">each of which, </w:t>
      </w:r>
      <w:r>
        <w:t>at night</w:t>
      </w:r>
      <w:r>
        <w:noBreakHyphen/>
        <w:t>time</w:t>
      </w:r>
      <w:r>
        <w:rPr>
          <w:snapToGrid w:val="0"/>
        </w:rPr>
        <w:t xml:space="preserve">, emits a red reflection of the light projected on to that reflector by a </w:t>
      </w:r>
      <w:r>
        <w:t xml:space="preserve">headlight complying with Part 8 Division 2 of the </w:t>
      </w:r>
      <w:r>
        <w:rPr>
          <w:i/>
        </w:rPr>
        <w:t xml:space="preserve">Road Traffic (Vehicle Standards) Rules 2002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Subsection"/>
        <w:rPr>
          <w:snapToGrid w:val="0"/>
        </w:rPr>
      </w:pPr>
      <w:r>
        <w:rPr>
          <w:snapToGrid w:val="0"/>
        </w:rPr>
        <w:tab/>
        <w:t>(2)</w:t>
      </w:r>
      <w:r>
        <w:rPr>
          <w:snapToGrid w:val="0"/>
        </w:rPr>
        <w:tab/>
        <w:t>In addition to the reflectors required under subregulation (1) there may be fitted to an agricultural implement a third reflector which — </w:t>
      </w:r>
    </w:p>
    <w:p>
      <w:pPr>
        <w:pStyle w:val="Indenta"/>
        <w:rPr>
          <w:snapToGrid w:val="0"/>
        </w:rPr>
      </w:pPr>
      <w:r>
        <w:rPr>
          <w:snapToGrid w:val="0"/>
        </w:rPr>
        <w:tab/>
        <w:t>(a)</w:t>
      </w:r>
      <w:r>
        <w:rPr>
          <w:snapToGrid w:val="0"/>
        </w:rPr>
        <w:tab/>
        <w:t>complies with the requirements of subregulation (1)(b); and</w:t>
      </w:r>
    </w:p>
    <w:p>
      <w:pPr>
        <w:pStyle w:val="Indenta"/>
        <w:keepNext/>
        <w:rPr>
          <w:snapToGrid w:val="0"/>
        </w:rPr>
      </w:pPr>
      <w:r>
        <w:rPr>
          <w:snapToGrid w:val="0"/>
        </w:rPr>
        <w:tab/>
        <w:t>(b)</w:t>
      </w:r>
      <w:r>
        <w:rPr>
          <w:snapToGrid w:val="0"/>
        </w:rPr>
        <w:tab/>
        <w:t xml:space="preserve">occupies a central position between the signalling </w:t>
      </w:r>
      <w:r>
        <w:t>lights</w:t>
      </w:r>
      <w:r>
        <w:rPr>
          <w:snapToGrid w:val="0"/>
        </w:rPr>
        <w:t xml:space="preserve"> referred to in regulation 9.</w:t>
      </w:r>
    </w:p>
    <w:p>
      <w:pPr>
        <w:pStyle w:val="Footnotesection"/>
      </w:pPr>
      <w:r>
        <w:tab/>
        <w:t>[Regulation 7 amended in Gazette 1 Nov 2002 p. 5394 and 5395; 24 Feb 2006 p. 885 and 888.]</w:t>
      </w:r>
    </w:p>
    <w:p>
      <w:pPr>
        <w:pStyle w:val="Heading5"/>
        <w:rPr>
          <w:snapToGrid w:val="0"/>
        </w:rPr>
      </w:pPr>
      <w:bookmarkStart w:id="73" w:name="_Toc23927376"/>
      <w:bookmarkStart w:id="74" w:name="_Toc29275705"/>
      <w:bookmarkStart w:id="75" w:name="_Toc38944396"/>
      <w:bookmarkStart w:id="76" w:name="_Toc128541309"/>
      <w:bookmarkStart w:id="77" w:name="_Toc181010929"/>
      <w:bookmarkStart w:id="78" w:name="_Toc159743435"/>
      <w:r>
        <w:rPr>
          <w:rStyle w:val="CharSectno"/>
        </w:rPr>
        <w:t>8</w:t>
      </w:r>
      <w:r>
        <w:rPr>
          <w:snapToGrid w:val="0"/>
        </w:rPr>
        <w:t>.</w:t>
      </w:r>
      <w:r>
        <w:rPr>
          <w:snapToGrid w:val="0"/>
        </w:rPr>
        <w:tab/>
        <w:t xml:space="preserve">Rear </w:t>
      </w:r>
      <w:r>
        <w:t>lights</w:t>
      </w:r>
      <w:bookmarkEnd w:id="73"/>
      <w:bookmarkEnd w:id="74"/>
      <w:bookmarkEnd w:id="75"/>
      <w:bookmarkEnd w:id="76"/>
      <w:bookmarkEnd w:id="77"/>
      <w:bookmarkEnd w:id="78"/>
    </w:p>
    <w:p>
      <w:pPr>
        <w:pStyle w:val="Subsection"/>
        <w:rPr>
          <w:snapToGrid w:val="0"/>
        </w:rPr>
      </w:pPr>
      <w:r>
        <w:rPr>
          <w:snapToGrid w:val="0"/>
        </w:rPr>
        <w:tab/>
      </w:r>
      <w:r>
        <w:rPr>
          <w:snapToGrid w:val="0"/>
        </w:rPr>
        <w:tab/>
        <w:t>Where an agricultural implement is towed on a road</w:t>
      </w:r>
      <w:r>
        <w:t xml:space="preserve"> at night</w:t>
      </w:r>
      <w:r>
        <w:noBreakHyphen/>
        <w:t>time</w:t>
      </w:r>
      <w:r>
        <w:rPr>
          <w:snapToGrid w:val="0"/>
        </w:rPr>
        <w:t xml:space="preserve">, there must be fitted to that implement, or, in the case of </w:t>
      </w:r>
      <w:r>
        <w:t>an agricultural combination</w:t>
      </w:r>
      <w:r>
        <w:rPr>
          <w:snapToGrid w:val="0"/>
        </w:rPr>
        <w:t xml:space="preserve"> consisting of more than 1 towed implement, the rear implement of that combination, 2 rear</w:t>
      </w:r>
      <w:r>
        <w:t xml:space="preserve"> lights</w:t>
      </w:r>
      <w:r>
        <w:rPr>
          <w:snapToGrid w:val="0"/>
        </w:rPr>
        <w:t> — </w:t>
      </w:r>
    </w:p>
    <w:p>
      <w:pPr>
        <w:pStyle w:val="Indenta"/>
        <w:rPr>
          <w:snapToGrid w:val="0"/>
        </w:rPr>
      </w:pPr>
      <w:r>
        <w:rPr>
          <w:snapToGrid w:val="0"/>
        </w:rPr>
        <w:tab/>
        <w:t>(a)</w:t>
      </w:r>
      <w:r>
        <w:rPr>
          <w:snapToGrid w:val="0"/>
        </w:rPr>
        <w:tab/>
        <w:t>each of which is of a power not exceeding 7 watts;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implement.</w:t>
      </w:r>
    </w:p>
    <w:p>
      <w:pPr>
        <w:pStyle w:val="Footnotesection"/>
      </w:pPr>
      <w:r>
        <w:tab/>
        <w:t>[Regulation 8 amended in Gazette 1 Nov 2002 p. 5395; 24 Feb 2006 p. 888.]</w:t>
      </w:r>
    </w:p>
    <w:p>
      <w:pPr>
        <w:pStyle w:val="Heading5"/>
        <w:rPr>
          <w:snapToGrid w:val="0"/>
        </w:rPr>
      </w:pPr>
      <w:bookmarkStart w:id="79" w:name="_Toc23927377"/>
      <w:bookmarkStart w:id="80" w:name="_Toc29275706"/>
      <w:bookmarkStart w:id="81" w:name="_Toc38944397"/>
      <w:bookmarkStart w:id="82" w:name="_Toc128541310"/>
      <w:bookmarkStart w:id="83" w:name="_Toc181010930"/>
      <w:bookmarkStart w:id="84" w:name="_Toc159743436"/>
      <w:r>
        <w:rPr>
          <w:rStyle w:val="CharSectno"/>
        </w:rPr>
        <w:t>9</w:t>
      </w:r>
      <w:r>
        <w:rPr>
          <w:snapToGrid w:val="0"/>
        </w:rPr>
        <w:t>.</w:t>
      </w:r>
      <w:r>
        <w:rPr>
          <w:snapToGrid w:val="0"/>
        </w:rPr>
        <w:tab/>
        <w:t xml:space="preserve">Signalling </w:t>
      </w:r>
      <w:r>
        <w:t>lights</w:t>
      </w:r>
      <w:bookmarkEnd w:id="79"/>
      <w:bookmarkEnd w:id="80"/>
      <w:bookmarkEnd w:id="81"/>
      <w:bookmarkEnd w:id="82"/>
      <w:bookmarkEnd w:id="83"/>
      <w:bookmarkEnd w:id="84"/>
    </w:p>
    <w:p>
      <w:pPr>
        <w:pStyle w:val="Subsection"/>
        <w:rPr>
          <w:snapToGrid w:val="0"/>
        </w:rPr>
      </w:pPr>
      <w:r>
        <w:rPr>
          <w:snapToGrid w:val="0"/>
        </w:rPr>
        <w:tab/>
      </w:r>
      <w:r>
        <w:rPr>
          <w:snapToGrid w:val="0"/>
        </w:rPr>
        <w:tab/>
        <w:t>Where an agricultural implement is towed on a road</w:t>
      </w:r>
      <w:r>
        <w:t xml:space="preserve"> at night</w:t>
      </w:r>
      <w:r>
        <w:noBreakHyphen/>
        <w:t>time</w:t>
      </w:r>
      <w:r>
        <w:rPr>
          <w:snapToGrid w:val="0"/>
        </w:rPr>
        <w:t xml:space="preserve">, there must be fitted to that implement, or, in the case of </w:t>
      </w:r>
      <w:r>
        <w:t>an agricultural combination</w:t>
      </w:r>
      <w:r>
        <w:rPr>
          <w:snapToGrid w:val="0"/>
        </w:rPr>
        <w:t xml:space="preserve"> consisting of more than 1 towed implement, the rear implement of that combination, 2 signalling</w:t>
      </w:r>
      <w:r>
        <w:t xml:space="preserve"> lights</w:t>
      </w:r>
      <w:r>
        <w:rPr>
          <w:snapToGrid w:val="0"/>
        </w:rPr>
        <w:t>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implement;</w:t>
      </w:r>
    </w:p>
    <w:p>
      <w:pPr>
        <w:pStyle w:val="Indenta"/>
        <w:rPr>
          <w:snapToGrid w:val="0"/>
        </w:rPr>
      </w:pPr>
      <w:r>
        <w:rPr>
          <w:snapToGrid w:val="0"/>
        </w:rPr>
        <w:tab/>
        <w:t>(b)</w:t>
      </w:r>
      <w:r>
        <w:rPr>
          <w:snapToGrid w:val="0"/>
        </w:rPr>
        <w:tab/>
        <w:t>which are readily operated by the driver of the towing vehicle from his or her proper driving position;</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Footnotesection"/>
      </w:pPr>
      <w:r>
        <w:tab/>
        <w:t>[Regulation 9 amended in Gazette 1 Nov 2002 p. 5395</w:t>
      </w:r>
      <w:r>
        <w:noBreakHyphen/>
        <w:t>6; 24 Feb 2006 p. 888.]</w:t>
      </w:r>
    </w:p>
    <w:p>
      <w:pPr>
        <w:pStyle w:val="Heading5"/>
        <w:rPr>
          <w:snapToGrid w:val="0"/>
        </w:rPr>
      </w:pPr>
      <w:bookmarkStart w:id="85" w:name="_Toc23927378"/>
      <w:bookmarkStart w:id="86" w:name="_Toc29275707"/>
      <w:bookmarkStart w:id="87" w:name="_Toc38944398"/>
      <w:bookmarkStart w:id="88" w:name="_Toc128541311"/>
      <w:bookmarkStart w:id="89" w:name="_Toc181010931"/>
      <w:bookmarkStart w:id="90" w:name="_Toc159743437"/>
      <w:r>
        <w:rPr>
          <w:rStyle w:val="CharSectno"/>
        </w:rPr>
        <w:t>10</w:t>
      </w:r>
      <w:r>
        <w:rPr>
          <w:snapToGrid w:val="0"/>
        </w:rPr>
        <w:t>.</w:t>
      </w:r>
      <w:r>
        <w:rPr>
          <w:snapToGrid w:val="0"/>
        </w:rPr>
        <w:tab/>
        <w:t>Clearance lights</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Where an agricultural implement with a width exceeding 2.5 m is towed on a road</w:t>
      </w:r>
      <w:r>
        <w:t xml:space="preserve"> at night</w:t>
      </w:r>
      <w:r>
        <w:noBreakHyphen/>
        <w:t>time</w:t>
      </w:r>
      <w:r>
        <w:rPr>
          <w:snapToGrid w:val="0"/>
        </w:rPr>
        <w:t xml:space="preserve">, a clearance </w:t>
      </w:r>
      <w:r>
        <w:t>light</w:t>
      </w:r>
      <w:r>
        <w:rPr>
          <w:snapToGrid w:val="0"/>
        </w:rPr>
        <w:t xml:space="preserve"> must be fitted to each side of that implement.</w:t>
      </w:r>
    </w:p>
    <w:p>
      <w:pPr>
        <w:pStyle w:val="Subsection"/>
        <w:rPr>
          <w:snapToGrid w:val="0"/>
        </w:rPr>
      </w:pPr>
      <w:r>
        <w:rPr>
          <w:snapToGrid w:val="0"/>
        </w:rPr>
        <w:tab/>
        <w:t>(2)</w:t>
      </w:r>
      <w:r>
        <w:rPr>
          <w:snapToGrid w:val="0"/>
        </w:rPr>
        <w:tab/>
        <w:t xml:space="preserve">In this regulation, </w:t>
      </w:r>
      <w:del w:id="91" w:author="Master Repository Process" w:date="2021-09-12T10:14:00Z">
        <w:r>
          <w:rPr>
            <w:b/>
            <w:snapToGrid w:val="0"/>
          </w:rPr>
          <w:delText>“</w:delText>
        </w:r>
      </w:del>
      <w:r>
        <w:rPr>
          <w:rStyle w:val="CharDefText"/>
        </w:rPr>
        <w:t>clearance light</w:t>
      </w:r>
      <w:del w:id="92" w:author="Master Repository Process" w:date="2021-09-12T10:14:00Z">
        <w:r>
          <w:rPr>
            <w:b/>
            <w:snapToGrid w:val="0"/>
          </w:rPr>
          <w:delText>”</w:delText>
        </w:r>
      </w:del>
      <w:r>
        <w:rPr>
          <w:snapToGrid w:val="0"/>
        </w:rPr>
        <w:t xml:space="preserve"> means a </w:t>
      </w:r>
      <w:r>
        <w:t>light</w:t>
      </w:r>
      <w:r>
        <w:rPr>
          <w:snapToGrid w:val="0"/>
        </w:rPr>
        <w:t xml:space="preserve"> which, when lighted, gives an indication of the width of the towed implement from the front and from the rear of that implement.</w:t>
      </w:r>
    </w:p>
    <w:p>
      <w:pPr>
        <w:pStyle w:val="Footnotesection"/>
      </w:pPr>
      <w:r>
        <w:tab/>
        <w:t>[Regulation 10 amended in Gazette 1 Nov 2002 p. 5395; 24 Feb 2006 p. 888.]</w:t>
      </w:r>
    </w:p>
    <w:p>
      <w:pPr>
        <w:pStyle w:val="Heading5"/>
      </w:pPr>
      <w:bookmarkStart w:id="93" w:name="_Toc124041266"/>
      <w:bookmarkStart w:id="94" w:name="_Toc128472558"/>
      <w:bookmarkStart w:id="95" w:name="_Toc128541312"/>
      <w:bookmarkStart w:id="96" w:name="_Toc181010932"/>
      <w:bookmarkStart w:id="97" w:name="_Toc159743438"/>
      <w:bookmarkStart w:id="98" w:name="_Toc23927380"/>
      <w:bookmarkStart w:id="99" w:name="_Toc29275709"/>
      <w:bookmarkStart w:id="100" w:name="_Toc38944400"/>
      <w:r>
        <w:rPr>
          <w:rStyle w:val="CharSectno"/>
        </w:rPr>
        <w:t>11</w:t>
      </w:r>
      <w:r>
        <w:t>.</w:t>
      </w:r>
      <w:r>
        <w:tab/>
        <w:t>Flashing amber light</w:t>
      </w:r>
      <w:bookmarkEnd w:id="93"/>
      <w:bookmarkEnd w:id="94"/>
      <w:bookmarkEnd w:id="95"/>
      <w:bookmarkEnd w:id="96"/>
      <w:bookmarkEnd w:id="97"/>
    </w:p>
    <w:p>
      <w:pPr>
        <w:pStyle w:val="Subsection"/>
      </w:pPr>
      <w:r>
        <w:tab/>
      </w:r>
      <w:r>
        <w:tab/>
        <w:t xml:space="preserve">If a provision of these regulations requires the use of a flashing amber light, the light and its use must comply with Schedule 2 clauses 39(a) and (b) and 40, and if the light is not a strobe light, clause 39(c) of the </w:t>
      </w:r>
      <w:r>
        <w:rPr>
          <w:i/>
          <w:iCs/>
        </w:rPr>
        <w:t>Road Traffic (Vehicle Standards) Regulations 2002</w:t>
      </w:r>
      <w:r>
        <w:t>.</w:t>
      </w:r>
    </w:p>
    <w:p>
      <w:pPr>
        <w:pStyle w:val="Footnotesection"/>
      </w:pPr>
      <w:r>
        <w:tab/>
        <w:t>[Regulation 11 inserted in Gazette 24 Feb 2006 p. 885.]</w:t>
      </w:r>
    </w:p>
    <w:p>
      <w:pPr>
        <w:pStyle w:val="Heading5"/>
        <w:rPr>
          <w:snapToGrid w:val="0"/>
        </w:rPr>
      </w:pPr>
      <w:bookmarkStart w:id="101" w:name="_Toc128541313"/>
      <w:bookmarkStart w:id="102" w:name="_Toc181010933"/>
      <w:bookmarkStart w:id="103" w:name="_Toc159743439"/>
      <w:r>
        <w:rPr>
          <w:rStyle w:val="CharSectno"/>
        </w:rPr>
        <w:t>12</w:t>
      </w:r>
      <w:r>
        <w:rPr>
          <w:snapToGrid w:val="0"/>
        </w:rPr>
        <w:t>.</w:t>
      </w:r>
      <w:r>
        <w:rPr>
          <w:snapToGrid w:val="0"/>
        </w:rPr>
        <w:tab/>
        <w:t>Brakes</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r>
      <w:r>
        <w:rPr>
          <w:snapToGrid w:val="0"/>
        </w:rPr>
        <w:tab/>
        <w:t>whichever is the lower, within a distance not exceeding 15 m.</w:t>
      </w:r>
    </w:p>
    <w:p>
      <w:pPr>
        <w:pStyle w:val="Subsection"/>
        <w:rPr>
          <w:snapToGrid w:val="0"/>
        </w:rPr>
      </w:pPr>
      <w:r>
        <w:rPr>
          <w:snapToGrid w:val="0"/>
        </w:rPr>
        <w:tab/>
        <w:t>(2)</w:t>
      </w:r>
      <w:r>
        <w:rPr>
          <w:snapToGrid w:val="0"/>
        </w:rPr>
        <w:tab/>
        <w:t>Any braking system on a towed implement which is capable of being connected to the towing vehicle must be connected to that vehicle while it and the towed implement are in motion on a road.</w:t>
      </w:r>
    </w:p>
    <w:p>
      <w:pPr>
        <w:pStyle w:val="Footnotesection"/>
      </w:pPr>
      <w:r>
        <w:tab/>
        <w:t>[Regulation 12 amended in Gazette 24 Feb 2006 p. 888.]</w:t>
      </w:r>
    </w:p>
    <w:p>
      <w:pPr>
        <w:pStyle w:val="Heading5"/>
        <w:rPr>
          <w:snapToGrid w:val="0"/>
        </w:rPr>
      </w:pPr>
      <w:bookmarkStart w:id="104" w:name="_Toc23927381"/>
      <w:bookmarkStart w:id="105" w:name="_Toc29275710"/>
      <w:bookmarkStart w:id="106" w:name="_Toc38944401"/>
      <w:bookmarkStart w:id="107" w:name="_Toc128541314"/>
      <w:bookmarkStart w:id="108" w:name="_Toc181010934"/>
      <w:bookmarkStart w:id="109" w:name="_Toc159743440"/>
      <w:r>
        <w:rPr>
          <w:rStyle w:val="CharSectno"/>
        </w:rPr>
        <w:t>13</w:t>
      </w:r>
      <w:r>
        <w:rPr>
          <w:snapToGrid w:val="0"/>
        </w:rPr>
        <w:t>.</w:t>
      </w:r>
      <w:r>
        <w:rPr>
          <w:snapToGrid w:val="0"/>
        </w:rPr>
        <w:tab/>
        <w:t>Safety of components and attachments</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Every component of a towed implement being towed on a road must be maintained in such a condition as to be unlikely to render the use of that towed implement unsafe.</w:t>
      </w:r>
    </w:p>
    <w:p>
      <w:pPr>
        <w:pStyle w:val="Subsection"/>
        <w:rPr>
          <w:snapToGrid w:val="0"/>
        </w:rPr>
      </w:pPr>
      <w:r>
        <w:rPr>
          <w:snapToGrid w:val="0"/>
        </w:rPr>
        <w:tab/>
        <w:t>(2)</w:t>
      </w:r>
      <w:r>
        <w:rPr>
          <w:snapToGrid w:val="0"/>
        </w:rPr>
        <w:tab/>
        <w:t>Any folded arm, mechanism or structure which — </w:t>
      </w:r>
    </w:p>
    <w:p>
      <w:pPr>
        <w:pStyle w:val="Indenta"/>
        <w:rPr>
          <w:snapToGrid w:val="0"/>
        </w:rPr>
      </w:pPr>
      <w:r>
        <w:rPr>
          <w:snapToGrid w:val="0"/>
        </w:rPr>
        <w:tab/>
        <w:t>(a)</w:t>
      </w:r>
      <w:r>
        <w:rPr>
          <w:snapToGrid w:val="0"/>
        </w:rPr>
        <w:tab/>
        <w:t>forms part of a towed implement; and</w:t>
      </w:r>
    </w:p>
    <w:p>
      <w:pPr>
        <w:pStyle w:val="Indenta"/>
        <w:rPr>
          <w:snapToGrid w:val="0"/>
        </w:rPr>
      </w:pPr>
      <w:r>
        <w:rPr>
          <w:snapToGrid w:val="0"/>
        </w:rPr>
        <w:tab/>
        <w:t>(b)</w:t>
      </w:r>
      <w:r>
        <w:rPr>
          <w:snapToGrid w:val="0"/>
        </w:rPr>
        <w:tab/>
        <w:t>is capable of moving so as to increase any of the dimensions of the towed implement,</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implement which is capable of becoming loose or detached from that towed implement must be secured to prevent it from becoming loose or detached.</w:t>
      </w:r>
    </w:p>
    <w:p>
      <w:pPr>
        <w:pStyle w:val="Heading5"/>
        <w:rPr>
          <w:snapToGrid w:val="0"/>
        </w:rPr>
      </w:pPr>
      <w:bookmarkStart w:id="110" w:name="_Toc23927382"/>
      <w:bookmarkStart w:id="111" w:name="_Toc29275711"/>
      <w:bookmarkStart w:id="112" w:name="_Toc38944402"/>
      <w:bookmarkStart w:id="113" w:name="_Toc128541315"/>
      <w:bookmarkStart w:id="114" w:name="_Toc181010935"/>
      <w:bookmarkStart w:id="115" w:name="_Toc159743441"/>
      <w:r>
        <w:rPr>
          <w:rStyle w:val="CharSectno"/>
        </w:rPr>
        <w:t>14</w:t>
      </w:r>
      <w:r>
        <w:rPr>
          <w:snapToGrid w:val="0"/>
        </w:rPr>
        <w:t>.</w:t>
      </w:r>
      <w:r>
        <w:rPr>
          <w:snapToGrid w:val="0"/>
        </w:rPr>
        <w:tab/>
        <w:t>Safety chains</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implement, to the implement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referred to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Safety chains referred to in subregulation (1) must — </w:t>
      </w:r>
    </w:p>
    <w:p>
      <w:pPr>
        <w:pStyle w:val="Indenta"/>
        <w:rPr>
          <w:snapToGrid w:val="0"/>
        </w:rPr>
      </w:pPr>
      <w:r>
        <w:rPr>
          <w:snapToGrid w:val="0"/>
        </w:rPr>
        <w:tab/>
        <w:t>(a)</w:t>
      </w:r>
      <w:r>
        <w:rPr>
          <w:snapToGrid w:val="0"/>
        </w:rPr>
        <w:tab/>
        <w:t>consist of 2 chains;</w:t>
      </w:r>
    </w:p>
    <w:p>
      <w:pPr>
        <w:pStyle w:val="Indenta"/>
        <w:rPr>
          <w:snapToGrid w:val="0"/>
        </w:rPr>
      </w:pPr>
      <w:r>
        <w:rPr>
          <w:snapToGrid w:val="0"/>
        </w:rPr>
        <w:tab/>
        <w:t>(b)</w:t>
      </w:r>
      <w:r>
        <w:rPr>
          <w:snapToGrid w:val="0"/>
        </w:rPr>
        <w:tab/>
        <w:t>be capable of keeping the agricultural implement in tow in the event of the failure or accidental disconnection of the coupling between that implement and the towing vehicle or the implement in front of that implement, as the case requires;</w:t>
      </w:r>
    </w:p>
    <w:p>
      <w:pPr>
        <w:pStyle w:val="Indenta"/>
        <w:rPr>
          <w:snapToGrid w:val="0"/>
        </w:rPr>
      </w:pPr>
      <w:r>
        <w:rPr>
          <w:snapToGrid w:val="0"/>
        </w:rPr>
        <w:tab/>
        <w:t>(c)</w:t>
      </w:r>
      <w:r>
        <w:rPr>
          <w:snapToGrid w:val="0"/>
        </w:rPr>
        <w:tab/>
        <w:t>be fitted to the frame or other substantial portion of the agricultural implement and to a substantial portion of the towing vehicle or the implement in front of that implement, as the case requires;</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referred to in paragraph (b) without unnecessary slack in the chains referred to in paragraph (a).</w:t>
      </w:r>
    </w:p>
    <w:p>
      <w:pPr>
        <w:pStyle w:val="Subsection"/>
        <w:rPr>
          <w:snapToGrid w:val="0"/>
        </w:rPr>
      </w:pPr>
      <w:r>
        <w:rPr>
          <w:snapToGrid w:val="0"/>
        </w:rPr>
        <w:tab/>
        <w:t>(4)</w:t>
      </w:r>
      <w:r>
        <w:rPr>
          <w:snapToGrid w:val="0"/>
        </w:rPr>
        <w:tab/>
        <w:t>The chains referred to in subregulation (3)(a) must — </w:t>
      </w:r>
    </w:p>
    <w:p>
      <w:pPr>
        <w:pStyle w:val="Indenta"/>
        <w:rPr>
          <w:snapToGrid w:val="0"/>
        </w:rPr>
      </w:pPr>
      <w:r>
        <w:rPr>
          <w:snapToGrid w:val="0"/>
        </w:rPr>
        <w:tab/>
        <w:t>(a)</w:t>
      </w:r>
      <w:r>
        <w:rPr>
          <w:snapToGrid w:val="0"/>
        </w:rPr>
        <w:tab/>
        <w:t>be as short as practicable;</w:t>
      </w:r>
    </w:p>
    <w:p>
      <w:pPr>
        <w:pStyle w:val="Indenta"/>
        <w:rPr>
          <w:snapToGrid w:val="0"/>
        </w:rPr>
      </w:pPr>
      <w:r>
        <w:rPr>
          <w:snapToGrid w:val="0"/>
        </w:rPr>
        <w:tab/>
        <w:t>(b)</w:t>
      </w:r>
      <w:r>
        <w:rPr>
          <w:snapToGrid w:val="0"/>
        </w:rPr>
        <w:tab/>
        <w:t>be fitted in a crossed over position so as to prevent the forward end of the drawbar of the towed implement from striking the ground in the event of accidental disconnection of the coupling referred to in subregulation (3)(b);</w:t>
      </w:r>
    </w:p>
    <w:p>
      <w:pPr>
        <w:pStyle w:val="Indenta"/>
        <w:rPr>
          <w:snapToGrid w:val="0"/>
        </w:rPr>
      </w:pPr>
      <w:r>
        <w:rPr>
          <w:snapToGrid w:val="0"/>
        </w:rPr>
        <w:tab/>
        <w:t>(c)</w:t>
      </w:r>
      <w:r>
        <w:rPr>
          <w:snapToGrid w:val="0"/>
        </w:rPr>
        <w:tab/>
        <w:t>have their forward ends fitted to the towing vehicle or another towed implement, as the case requires, as close to the pivot of the coupling referred to in subregulation (3)(b) as practicable;</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Footnotesection"/>
      </w:pPr>
      <w:r>
        <w:tab/>
        <w:t>[Regulation 14 amended in Gazette 24 Feb 2006 p. 885</w:t>
      </w:r>
      <w:r>
        <w:noBreakHyphen/>
        <w:t>6.]</w:t>
      </w:r>
    </w:p>
    <w:p>
      <w:pPr>
        <w:pStyle w:val="Heading5"/>
        <w:rPr>
          <w:snapToGrid w:val="0"/>
        </w:rPr>
      </w:pPr>
      <w:bookmarkStart w:id="116" w:name="_Toc23927383"/>
      <w:bookmarkStart w:id="117" w:name="_Toc29275712"/>
      <w:bookmarkStart w:id="118" w:name="_Toc38944403"/>
      <w:bookmarkStart w:id="119" w:name="_Toc128541316"/>
      <w:bookmarkStart w:id="120" w:name="_Toc181010936"/>
      <w:bookmarkStart w:id="121" w:name="_Toc159743442"/>
      <w:r>
        <w:rPr>
          <w:rStyle w:val="CharSectno"/>
        </w:rPr>
        <w:t>15</w:t>
      </w:r>
      <w:r>
        <w:rPr>
          <w:snapToGrid w:val="0"/>
        </w:rPr>
        <w:t>.</w:t>
      </w:r>
      <w:r>
        <w:rPr>
          <w:snapToGrid w:val="0"/>
        </w:rPr>
        <w:tab/>
        <w:t>Portable warning signs</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regulation </w:t>
      </w:r>
      <w:r>
        <w:t xml:space="preserve">191 of the </w:t>
      </w:r>
      <w:r>
        <w:rPr>
          <w:i/>
        </w:rPr>
        <w:t>Road Traffic Code 2000</w:t>
      </w:r>
      <w:r>
        <w:rPr>
          <w:snapToGrid w:val="0"/>
        </w:rPr>
        <w:t>, as though a reference in that regulation to a “heavy vehicle” included a reference to</w:t>
      </w:r>
      <w:r>
        <w:t xml:space="preserve"> an agricultural combination</w:t>
      </w:r>
      <w:r>
        <w:rPr>
          <w:snapToGrid w:val="0"/>
        </w:rPr>
        <w:t>.</w:t>
      </w:r>
    </w:p>
    <w:p>
      <w:pPr>
        <w:pStyle w:val="Footnotesection"/>
        <w:ind w:left="890" w:hanging="890"/>
      </w:pPr>
      <w:r>
        <w:tab/>
        <w:t>[Regulation 15 amended in Gazette 27 Jul 2004 p. 3081; 24 Feb 2006 p. 886 and 888.]</w:t>
      </w:r>
    </w:p>
    <w:p>
      <w:pPr>
        <w:pStyle w:val="Heading5"/>
        <w:rPr>
          <w:snapToGrid w:val="0"/>
        </w:rPr>
      </w:pPr>
      <w:bookmarkStart w:id="122" w:name="_Toc23927384"/>
      <w:bookmarkStart w:id="123" w:name="_Toc29275713"/>
      <w:bookmarkStart w:id="124" w:name="_Toc38944404"/>
      <w:bookmarkStart w:id="125" w:name="_Toc128541317"/>
      <w:bookmarkStart w:id="126" w:name="_Toc181010937"/>
      <w:bookmarkStart w:id="127" w:name="_Toc159743443"/>
      <w:r>
        <w:rPr>
          <w:rStyle w:val="CharSectno"/>
        </w:rPr>
        <w:t>16</w:t>
      </w:r>
      <w:r>
        <w:rPr>
          <w:snapToGrid w:val="0"/>
        </w:rPr>
        <w:t>.</w:t>
      </w:r>
      <w:r>
        <w:rPr>
          <w:snapToGrid w:val="0"/>
        </w:rPr>
        <w:tab/>
        <w:t>Towed mass ratios</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 xml:space="preserve">The mass of a towed implement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Subsection"/>
        <w:rPr>
          <w:snapToGrid w:val="0"/>
        </w:rPr>
      </w:pPr>
      <w:r>
        <w:rPr>
          <w:snapToGrid w:val="0"/>
        </w:rPr>
        <w:tab/>
        <w:t>(2)</w:t>
      </w:r>
      <w:r>
        <w:rPr>
          <w:snapToGrid w:val="0"/>
        </w:rPr>
        <w:tab/>
        <w:t>In this regulation — </w:t>
      </w:r>
    </w:p>
    <w:p>
      <w:pPr>
        <w:pStyle w:val="Defstart"/>
      </w:pPr>
      <w:r>
        <w:tab/>
      </w:r>
      <w:del w:id="128" w:author="Master Repository Process" w:date="2021-09-12T10:14:00Z">
        <w:r>
          <w:rPr>
            <w:b/>
            <w:bCs/>
          </w:rPr>
          <w:delText>“</w:delText>
        </w:r>
      </w:del>
      <w:r>
        <w:rPr>
          <w:rStyle w:val="CharDefText"/>
        </w:rPr>
        <w:t>agricultural machine</w:t>
      </w:r>
      <w:del w:id="129" w:author="Master Repository Process" w:date="2021-09-12T10:14:00Z">
        <w:r>
          <w:rPr>
            <w:b/>
            <w:bCs/>
          </w:rPr>
          <w:delText>”</w:delText>
        </w:r>
      </w:del>
      <w:r>
        <w:t xml:space="preserve"> has the meaning given to that term in the </w:t>
      </w:r>
      <w:r>
        <w:rPr>
          <w:i/>
          <w:iCs/>
        </w:rPr>
        <w:t>Road Traffic (Vehicle Standards) Regulations 2002</w:t>
      </w:r>
      <w:r>
        <w:t>;</w:t>
      </w:r>
    </w:p>
    <w:p>
      <w:pPr>
        <w:pStyle w:val="Defstart"/>
      </w:pPr>
      <w:r>
        <w:tab/>
      </w:r>
      <w:del w:id="130" w:author="Master Repository Process" w:date="2021-09-12T10:14:00Z">
        <w:r>
          <w:rPr>
            <w:b/>
          </w:rPr>
          <w:delText>“</w:delText>
        </w:r>
      </w:del>
      <w:r>
        <w:rPr>
          <w:rStyle w:val="CharDefText"/>
        </w:rPr>
        <w:t>unloaded mass</w:t>
      </w:r>
      <w:del w:id="131" w:author="Master Repository Process" w:date="2021-09-12T10:14:00Z">
        <w:r>
          <w:rPr>
            <w:b/>
          </w:rPr>
          <w:delText>”</w:delText>
        </w:r>
      </w:del>
      <w:r>
        <w:t xml:space="preserve"> has the same meaning as it has in the Vehicle Standards. </w:t>
      </w:r>
    </w:p>
    <w:p>
      <w:pPr>
        <w:pStyle w:val="Footnotesection"/>
      </w:pPr>
      <w:r>
        <w:tab/>
        <w:t>[Regulation 16 amended in Gazette 1 Nov 2002 p. 5394</w:t>
      </w:r>
      <w:r>
        <w:noBreakHyphen/>
        <w:t>5; 3 Jan 2003 p. 11; 24 Feb 2006 p. 886; 28 Nov 2006 p. 4917.]</w:t>
      </w:r>
    </w:p>
    <w:p>
      <w:pPr>
        <w:pStyle w:val="Heading5"/>
        <w:rPr>
          <w:snapToGrid w:val="0"/>
        </w:rPr>
      </w:pPr>
      <w:bookmarkStart w:id="132" w:name="_Toc23927385"/>
      <w:bookmarkStart w:id="133" w:name="_Toc29275714"/>
      <w:bookmarkStart w:id="134" w:name="_Toc38944405"/>
      <w:bookmarkStart w:id="135" w:name="_Toc128541318"/>
      <w:bookmarkStart w:id="136" w:name="_Toc181010938"/>
      <w:bookmarkStart w:id="137" w:name="_Toc159743444"/>
      <w:r>
        <w:rPr>
          <w:rStyle w:val="CharSectno"/>
        </w:rPr>
        <w:t>17</w:t>
      </w:r>
      <w:r>
        <w:rPr>
          <w:snapToGrid w:val="0"/>
        </w:rPr>
        <w:t>.</w:t>
      </w:r>
      <w:r>
        <w:rPr>
          <w:snapToGrid w:val="0"/>
        </w:rPr>
        <w:tab/>
        <w:t xml:space="preserve">Towing on a road </w:t>
      </w:r>
      <w:bookmarkEnd w:id="132"/>
      <w:bookmarkEnd w:id="133"/>
      <w:bookmarkEnd w:id="134"/>
      <w:r>
        <w:t>at night</w:t>
      </w:r>
      <w:r>
        <w:noBreakHyphen/>
        <w:t>time</w:t>
      </w:r>
      <w:bookmarkEnd w:id="135"/>
      <w:bookmarkEnd w:id="136"/>
      <w:bookmarkEnd w:id="137"/>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noBreakHyphen/>
        <w:t>time</w:t>
      </w:r>
      <w:r>
        <w:rPr>
          <w:snapToGrid w:val="0"/>
        </w:rPr>
        <w:t xml:space="preserve"> if it exceeds 3.5 m in width or 25 m in length.</w:t>
      </w:r>
    </w:p>
    <w:p>
      <w:pPr>
        <w:pStyle w:val="Subsection"/>
        <w:rPr>
          <w:snapToGrid w:val="0"/>
        </w:rPr>
      </w:pPr>
      <w:r>
        <w:rPr>
          <w:snapToGrid w:val="0"/>
        </w:rPr>
        <w:tab/>
        <w:t>(2)</w:t>
      </w:r>
      <w:r>
        <w:rPr>
          <w:snapToGrid w:val="0"/>
        </w:rPr>
        <w:tab/>
      </w:r>
      <w:r>
        <w:t>An agricultural combination</w:t>
      </w:r>
      <w:r>
        <w:rPr>
          <w:snapToGrid w:val="0"/>
        </w:rPr>
        <w:t xml:space="preserve">, other than a combination referred to in subregulation (1), may be used on a road </w:t>
      </w:r>
      <w:r>
        <w:t>at night</w:t>
      </w:r>
      <w:r>
        <w:noBreakHyphen/>
        <w:t>time</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11 and that light is operating whenever the combination is being moved on a road; and</w:t>
      </w:r>
    </w:p>
    <w:p>
      <w:pPr>
        <w:pStyle w:val="Indenta"/>
        <w:rPr>
          <w:snapToGrid w:val="0"/>
        </w:rPr>
      </w:pPr>
      <w:r>
        <w:rPr>
          <w:snapToGrid w:val="0"/>
        </w:rPr>
        <w:tab/>
        <w:t>(b)</w:t>
      </w:r>
      <w:r>
        <w:rPr>
          <w:snapToGrid w:val="0"/>
        </w:rPr>
        <w:tab/>
        <w:t>complies with regulations 7, 8, 9 and 10.</w:t>
      </w:r>
    </w:p>
    <w:p>
      <w:pPr>
        <w:pStyle w:val="Footnotesection"/>
      </w:pPr>
      <w:r>
        <w:tab/>
        <w:t>[Regulation 17 amended in Gazette 24 Feb 2006 p. 888.]</w:t>
      </w:r>
    </w:p>
    <w:p>
      <w:pPr>
        <w:pStyle w:val="Heading5"/>
        <w:rPr>
          <w:snapToGrid w:val="0"/>
        </w:rPr>
      </w:pPr>
      <w:bookmarkStart w:id="138" w:name="_Toc23927386"/>
      <w:bookmarkStart w:id="139" w:name="_Toc29275715"/>
      <w:bookmarkStart w:id="140" w:name="_Toc38944406"/>
      <w:bookmarkStart w:id="141" w:name="_Toc128541319"/>
      <w:bookmarkStart w:id="142" w:name="_Toc181010939"/>
      <w:bookmarkStart w:id="143" w:name="_Toc159743445"/>
      <w:r>
        <w:rPr>
          <w:rStyle w:val="CharSectno"/>
        </w:rPr>
        <w:t>18</w:t>
      </w:r>
      <w:r>
        <w:rPr>
          <w:snapToGrid w:val="0"/>
        </w:rPr>
        <w:t>.</w:t>
      </w:r>
      <w:r>
        <w:rPr>
          <w:snapToGrid w:val="0"/>
        </w:rPr>
        <w:tab/>
        <w:t>Speed restrictions</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r>
      <w:r>
        <w:t>An agricultural combination</w:t>
      </w:r>
      <w:r>
        <w:rPr>
          <w:snapToGrid w:val="0"/>
        </w:rPr>
        <w:t xml:space="preserve"> must not travel at a speed exceeding 20 km/h below the local speed limit or, where the local speed limit is 80 km/h or more, 80 km/h.</w:t>
      </w:r>
    </w:p>
    <w:p>
      <w:pPr>
        <w:pStyle w:val="Footnotesection"/>
        <w:ind w:left="890" w:hanging="890"/>
      </w:pPr>
      <w:r>
        <w:tab/>
        <w:t>[Regulation 18 amended in Gazette 24 Feb 2006 p. 888.]</w:t>
      </w:r>
    </w:p>
    <w:p>
      <w:pPr>
        <w:pStyle w:val="Heading5"/>
        <w:rPr>
          <w:snapToGrid w:val="0"/>
        </w:rPr>
      </w:pPr>
      <w:bookmarkStart w:id="144" w:name="_Toc23927387"/>
      <w:bookmarkStart w:id="145" w:name="_Toc29275716"/>
      <w:bookmarkStart w:id="146" w:name="_Toc38944407"/>
      <w:bookmarkStart w:id="147" w:name="_Toc128541320"/>
      <w:bookmarkStart w:id="148" w:name="_Toc181010940"/>
      <w:bookmarkStart w:id="149" w:name="_Toc159743446"/>
      <w:r>
        <w:rPr>
          <w:rStyle w:val="CharSectno"/>
        </w:rPr>
        <w:t>19</w:t>
      </w:r>
      <w:r>
        <w:rPr>
          <w:snapToGrid w:val="0"/>
        </w:rPr>
        <w:t>.</w:t>
      </w:r>
      <w:r>
        <w:rPr>
          <w:snapToGrid w:val="0"/>
        </w:rPr>
        <w:tab/>
        <w:t xml:space="preserve">Movements of </w:t>
      </w:r>
      <w:r>
        <w:t>agricultural</w:t>
      </w:r>
      <w:r>
        <w:rPr>
          <w:snapToGrid w:val="0"/>
        </w:rPr>
        <w:t xml:space="preserve"> combinations within the metropolitan area, during peak hours and on freeways</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a radius of 30 km of the G.P.O.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a radius of 30 km of the G.P.O. without the approval of the Commissioner of Main Roads under the </w:t>
      </w:r>
      <w:r>
        <w:rPr>
          <w:i/>
          <w:snapToGrid w:val="0"/>
        </w:rPr>
        <w:t>Main Roads Act 1930</w:t>
      </w:r>
      <w:r>
        <w:rPr>
          <w:snapToGrid w:val="0"/>
        </w:rPr>
        <w:t>.</w:t>
      </w:r>
    </w:p>
    <w:p>
      <w:pPr>
        <w:pStyle w:val="Subsection"/>
        <w:rPr>
          <w:snapToGrid w:val="0"/>
        </w:rPr>
      </w:pPr>
      <w:r>
        <w:rPr>
          <w:snapToGrid w:val="0"/>
        </w:rPr>
        <w:tab/>
        <w:t>(3)</w:t>
      </w:r>
      <w:r>
        <w:rPr>
          <w:snapToGrid w:val="0"/>
        </w:rPr>
        <w:tab/>
      </w:r>
      <w:r>
        <w:t>An agricultural combination</w:t>
      </w:r>
      <w:r>
        <w:rPr>
          <w:snapToGrid w:val="0"/>
        </w:rPr>
        <w:t xml:space="preserve"> must not be used on a freeway.</w:t>
      </w:r>
    </w:p>
    <w:p>
      <w:pPr>
        <w:pStyle w:val="Subsection"/>
        <w:rPr>
          <w:snapToGrid w:val="0"/>
        </w:rPr>
      </w:pPr>
      <w:r>
        <w:rPr>
          <w:snapToGrid w:val="0"/>
        </w:rPr>
        <w:tab/>
        <w:t>(4)</w:t>
      </w:r>
      <w:r>
        <w:rPr>
          <w:snapToGrid w:val="0"/>
        </w:rPr>
        <w:tab/>
        <w:t>In this regulation — </w:t>
      </w:r>
    </w:p>
    <w:p>
      <w:pPr>
        <w:pStyle w:val="Defstart"/>
      </w:pPr>
      <w:r>
        <w:rPr>
          <w:b/>
        </w:rPr>
        <w:tab/>
      </w:r>
      <w:del w:id="150" w:author="Master Repository Process" w:date="2021-09-12T10:14:00Z">
        <w:r>
          <w:rPr>
            <w:b/>
          </w:rPr>
          <w:delText>“</w:delText>
        </w:r>
      </w:del>
      <w:r>
        <w:rPr>
          <w:rStyle w:val="CharDefText"/>
        </w:rPr>
        <w:t>freeway</w:t>
      </w:r>
      <w:del w:id="151" w:author="Master Repository Process" w:date="2021-09-12T10:14:00Z">
        <w:r>
          <w:rPr>
            <w:b/>
          </w:rPr>
          <w:delText>”</w:delText>
        </w:r>
      </w:del>
      <w:r>
        <w:t xml:space="preserve"> means a road or portion of a road that is designated as a freeway by signs erected thereon or adjacent thereto; </w:t>
      </w:r>
    </w:p>
    <w:p>
      <w:pPr>
        <w:pStyle w:val="Defstart"/>
      </w:pPr>
      <w:r>
        <w:rPr>
          <w:b/>
        </w:rPr>
        <w:tab/>
      </w:r>
      <w:del w:id="152" w:author="Master Repository Process" w:date="2021-09-12T10:14:00Z">
        <w:r>
          <w:rPr>
            <w:b/>
          </w:rPr>
          <w:delText>“</w:delText>
        </w:r>
      </w:del>
      <w:r>
        <w:rPr>
          <w:rStyle w:val="CharDefText"/>
        </w:rPr>
        <w:t>peak hours</w:t>
      </w:r>
      <w:del w:id="153" w:author="Master Repository Process" w:date="2021-09-12T10:14:00Z">
        <w:r>
          <w:rPr>
            <w:b/>
          </w:rPr>
          <w:delText>”</w:delText>
        </w:r>
      </w:del>
      <w:r>
        <w:t xml:space="preserve"> means 7.30 a.m. to 9.00 a.m. and 4.30 p.m. to 6.00 p.m. on a Monday, Tuesday, Wednesday, Thursday or Friday, other than a public holiday.</w:t>
      </w:r>
    </w:p>
    <w:p>
      <w:pPr>
        <w:pStyle w:val="Footnotesection"/>
      </w:pPr>
      <w:r>
        <w:tab/>
        <w:t>[Regulation 19 amended in Gazette 24 Feb 2006 p. 888.]</w:t>
      </w:r>
    </w:p>
    <w:p>
      <w:pPr>
        <w:pStyle w:val="Heading5"/>
        <w:rPr>
          <w:snapToGrid w:val="0"/>
        </w:rPr>
      </w:pPr>
      <w:bookmarkStart w:id="154" w:name="_Toc23927388"/>
      <w:bookmarkStart w:id="155" w:name="_Toc29275717"/>
      <w:bookmarkStart w:id="156" w:name="_Toc38944408"/>
      <w:bookmarkStart w:id="157" w:name="_Toc128541321"/>
      <w:bookmarkStart w:id="158" w:name="_Toc181010941"/>
      <w:bookmarkStart w:id="159" w:name="_Toc159743447"/>
      <w:r>
        <w:rPr>
          <w:rStyle w:val="CharSectno"/>
        </w:rPr>
        <w:t>20</w:t>
      </w:r>
      <w:r>
        <w:rPr>
          <w:snapToGrid w:val="0"/>
        </w:rPr>
        <w:t>.</w:t>
      </w:r>
      <w:r>
        <w:rPr>
          <w:snapToGrid w:val="0"/>
        </w:rPr>
        <w:tab/>
        <w:t xml:space="preserve">Parking of </w:t>
      </w:r>
      <w:r>
        <w:t>agricultural</w:t>
      </w:r>
      <w:r>
        <w:rPr>
          <w:snapToGrid w:val="0"/>
        </w:rPr>
        <w:t xml:space="preserve"> combinations on a carriageway</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softHyphen/>
      </w:r>
      <w:r>
        <w:rPr>
          <w:snapToGrid w:val="0"/>
        </w:rPr>
        <w:noBreakHyphen/>
        <w:t>up area, except in a truck bay or other area set aside for the parking of vehicles.</w:t>
      </w:r>
    </w:p>
    <w:p>
      <w:pPr>
        <w:pStyle w:val="Subsection"/>
        <w:rPr>
          <w:snapToGrid w:val="0"/>
        </w:rPr>
      </w:pPr>
      <w:r>
        <w:rPr>
          <w:snapToGrid w:val="0"/>
        </w:rPr>
        <w:tab/>
        <w:t>(2)</w:t>
      </w:r>
      <w:r>
        <w:rPr>
          <w:snapToGrid w:val="0"/>
        </w:rPr>
        <w:tab/>
        <w:t xml:space="preserve">In this regulation </w:t>
      </w:r>
      <w:del w:id="160" w:author="Master Repository Process" w:date="2021-09-12T10:14:00Z">
        <w:r>
          <w:rPr>
            <w:b/>
            <w:snapToGrid w:val="0"/>
          </w:rPr>
          <w:delText>“</w:delText>
        </w:r>
      </w:del>
      <w:r>
        <w:rPr>
          <w:rStyle w:val="CharDefText"/>
        </w:rPr>
        <w:t>built</w:t>
      </w:r>
      <w:r>
        <w:rPr>
          <w:rStyle w:val="CharDefText"/>
        </w:rPr>
        <w:noBreakHyphen/>
        <w:t>up area</w:t>
      </w:r>
      <w:del w:id="161" w:author="Master Repository Process" w:date="2021-09-12T10:14:00Z">
        <w:r>
          <w:rPr>
            <w:b/>
            <w:snapToGrid w:val="0"/>
          </w:rPr>
          <w:delText>”</w:delText>
        </w:r>
      </w:del>
      <w:r>
        <w:rPr>
          <w:snapToGrid w:val="0"/>
        </w:rP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xml:space="preserve">; </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one half kilometre;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Footnotesection"/>
        <w:ind w:left="890" w:hanging="890"/>
      </w:pPr>
      <w:r>
        <w:tab/>
        <w:t>[Regulation 20 amended in Gazette 1 Nov 2002 p. 5395</w:t>
      </w:r>
      <w:r>
        <w:noBreakHyphen/>
        <w:t>6; 24 Feb 2006 p. 886 and 888.]</w:t>
      </w:r>
    </w:p>
    <w:p>
      <w:pPr>
        <w:pStyle w:val="Heading5"/>
        <w:spacing w:before="180"/>
      </w:pPr>
      <w:bookmarkStart w:id="162" w:name="_Toc124041272"/>
      <w:bookmarkStart w:id="163" w:name="_Toc128472564"/>
      <w:bookmarkStart w:id="164" w:name="_Toc128541322"/>
      <w:bookmarkStart w:id="165" w:name="_Toc181010942"/>
      <w:bookmarkStart w:id="166" w:name="_Toc159743448"/>
      <w:bookmarkStart w:id="167" w:name="_Toc23927390"/>
      <w:bookmarkStart w:id="168" w:name="_Toc29275719"/>
      <w:bookmarkStart w:id="169" w:name="_Toc38944410"/>
      <w:r>
        <w:rPr>
          <w:rStyle w:val="CharSectno"/>
        </w:rPr>
        <w:t>21</w:t>
      </w:r>
      <w:r>
        <w:t>.</w:t>
      </w:r>
      <w:r>
        <w:tab/>
        <w:t>Head lights</w:t>
      </w:r>
      <w:bookmarkEnd w:id="162"/>
      <w:bookmarkEnd w:id="163"/>
      <w:bookmarkEnd w:id="164"/>
      <w:bookmarkEnd w:id="165"/>
      <w:bookmarkEnd w:id="166"/>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 Vehicle Standards to have headlights.</w:t>
      </w:r>
    </w:p>
    <w:p>
      <w:pPr>
        <w:pStyle w:val="Footnotesection"/>
      </w:pPr>
      <w:r>
        <w:tab/>
        <w:t>[Regulation 21 inserted in Gazette 24 Feb 2006 p. 886.]</w:t>
      </w:r>
    </w:p>
    <w:p>
      <w:pPr>
        <w:pStyle w:val="Heading5"/>
        <w:spacing w:before="180"/>
        <w:rPr>
          <w:snapToGrid w:val="0"/>
        </w:rPr>
      </w:pPr>
      <w:bookmarkStart w:id="170" w:name="_Toc128541323"/>
      <w:bookmarkStart w:id="171" w:name="_Toc181010943"/>
      <w:bookmarkStart w:id="172" w:name="_Toc159743449"/>
      <w:r>
        <w:rPr>
          <w:rStyle w:val="CharSectno"/>
        </w:rPr>
        <w:t>22</w:t>
      </w:r>
      <w:r>
        <w:rPr>
          <w:snapToGrid w:val="0"/>
        </w:rPr>
        <w:t>.</w:t>
      </w:r>
      <w:r>
        <w:rPr>
          <w:snapToGrid w:val="0"/>
        </w:rPr>
        <w:tab/>
        <w:t>Mirrors</w:t>
      </w:r>
      <w:bookmarkEnd w:id="167"/>
      <w:bookmarkEnd w:id="168"/>
      <w:bookmarkEnd w:id="169"/>
      <w:bookmarkEnd w:id="170"/>
      <w:bookmarkEnd w:id="171"/>
      <w:bookmarkEnd w:id="172"/>
      <w:r>
        <w:rPr>
          <w:snapToGrid w:val="0"/>
        </w:rPr>
        <w:t xml:space="preserve"> </w:t>
      </w:r>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11 and is operated whenever the combination is being moved on a road a towing vehicle must be equipped with mirrors which enable the driver to see vehicles approaching from the rear.</w:t>
      </w:r>
    </w:p>
    <w:p>
      <w:pPr>
        <w:pStyle w:val="Footnotesection"/>
      </w:pPr>
      <w:r>
        <w:tab/>
        <w:t>[Regulation 22 amended in Gazette 24 Feb 2006 p. 888.]</w:t>
      </w:r>
    </w:p>
    <w:p>
      <w:pPr>
        <w:pStyle w:val="Heading5"/>
        <w:spacing w:before="180"/>
        <w:rPr>
          <w:snapToGrid w:val="0"/>
        </w:rPr>
      </w:pPr>
      <w:bookmarkStart w:id="173" w:name="_Toc23927391"/>
      <w:bookmarkStart w:id="174" w:name="_Toc29275720"/>
      <w:bookmarkStart w:id="175" w:name="_Toc38944411"/>
      <w:bookmarkStart w:id="176" w:name="_Toc128541324"/>
      <w:bookmarkStart w:id="177" w:name="_Toc181010944"/>
      <w:bookmarkStart w:id="178" w:name="_Toc159743450"/>
      <w:r>
        <w:rPr>
          <w:rStyle w:val="CharSectno"/>
        </w:rPr>
        <w:t>23</w:t>
      </w:r>
      <w:r>
        <w:rPr>
          <w:snapToGrid w:val="0"/>
        </w:rPr>
        <w:t>.</w:t>
      </w:r>
      <w:r>
        <w:rPr>
          <w:snapToGrid w:val="0"/>
        </w:rPr>
        <w:tab/>
        <w:t>Warning flags</w:t>
      </w:r>
      <w:bookmarkEnd w:id="173"/>
      <w:bookmarkEnd w:id="174"/>
      <w:bookmarkEnd w:id="175"/>
      <w:bookmarkEnd w:id="176"/>
      <w:bookmarkEnd w:id="177"/>
      <w:bookmarkEnd w:id="178"/>
      <w:r>
        <w:rPr>
          <w:snapToGrid w:val="0"/>
        </w:rPr>
        <w:t xml:space="preserve"> </w:t>
      </w:r>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0.45 sq m in size are attached to each lateral extremity of the combination.</w:t>
      </w:r>
    </w:p>
    <w:p>
      <w:pPr>
        <w:pStyle w:val="Footnotesection"/>
        <w:spacing w:before="80"/>
        <w:ind w:left="890" w:hanging="890"/>
      </w:pPr>
      <w:r>
        <w:tab/>
        <w:t>[Regulation 23 amended in Gazette 24 Feb 2006 p. 888.]</w:t>
      </w:r>
    </w:p>
    <w:p>
      <w:pPr>
        <w:pStyle w:val="Heading5"/>
        <w:rPr>
          <w:snapToGrid w:val="0"/>
        </w:rPr>
      </w:pPr>
      <w:bookmarkStart w:id="179" w:name="_Toc23927392"/>
      <w:bookmarkStart w:id="180" w:name="_Toc29275721"/>
      <w:bookmarkStart w:id="181" w:name="_Toc38944412"/>
      <w:bookmarkStart w:id="182" w:name="_Toc128541325"/>
      <w:bookmarkStart w:id="183" w:name="_Toc181010945"/>
      <w:bookmarkStart w:id="184" w:name="_Toc159743451"/>
      <w:r>
        <w:rPr>
          <w:rStyle w:val="CharSectno"/>
        </w:rPr>
        <w:t>24</w:t>
      </w:r>
      <w:r>
        <w:rPr>
          <w:snapToGrid w:val="0"/>
        </w:rPr>
        <w:t>.</w:t>
      </w:r>
      <w:r>
        <w:rPr>
          <w:snapToGrid w:val="0"/>
        </w:rPr>
        <w:tab/>
        <w:t>Certain vehicles may be equipped with flashing amber light</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A towing vehicle, a pilot vehicle and an escort vehicle may be fitted with a flashing amber light in accordance with regulation 11 which may only be operated while — </w:t>
      </w:r>
    </w:p>
    <w:p>
      <w:pPr>
        <w:pStyle w:val="Indenta"/>
        <w:rPr>
          <w:snapToGrid w:val="0"/>
        </w:rPr>
      </w:pPr>
      <w:r>
        <w:rPr>
          <w:snapToGrid w:val="0"/>
        </w:rPr>
        <w:tab/>
        <w:t>(a)</w:t>
      </w:r>
      <w:r>
        <w:rPr>
          <w:snapToGrid w:val="0"/>
        </w:rPr>
        <w:tab/>
        <w:t>the towing vehicle is towing, on a road, an agricultural implement — </w:t>
      </w:r>
    </w:p>
    <w:p>
      <w:pPr>
        <w:pStyle w:val="Indenti"/>
        <w:rPr>
          <w:snapToGrid w:val="0"/>
        </w:rPr>
      </w:pPr>
      <w:r>
        <w:rPr>
          <w:snapToGrid w:val="0"/>
        </w:rPr>
        <w:tab/>
        <w:t>(i)</w:t>
      </w:r>
      <w:r>
        <w:rPr>
          <w:snapToGrid w:val="0"/>
        </w:rPr>
        <w:tab/>
      </w:r>
      <w:r>
        <w:t>at night</w:t>
      </w:r>
      <w:r>
        <w:noBreakHyphen/>
        <w:t>time</w:t>
      </w:r>
      <w:r>
        <w:rPr>
          <w:snapToGrid w:val="0"/>
        </w:rPr>
        <w:t>; or</w:t>
      </w:r>
    </w:p>
    <w:p>
      <w:pPr>
        <w:pStyle w:val="Indenti"/>
        <w:rPr>
          <w:snapToGrid w:val="0"/>
        </w:rPr>
      </w:pPr>
      <w:r>
        <w:rPr>
          <w:snapToGrid w:val="0"/>
        </w:rPr>
        <w:tab/>
        <w:t>(ii)</w:t>
      </w:r>
      <w:r>
        <w:rPr>
          <w:snapToGrid w:val="0"/>
        </w:rPr>
        <w:tab/>
        <w:t>exceeding 2.5 m in width and 25 m in length; or</w:t>
      </w:r>
    </w:p>
    <w:p>
      <w:pPr>
        <w:pStyle w:val="Indenti"/>
        <w:rPr>
          <w:snapToGrid w:val="0"/>
        </w:rPr>
      </w:pPr>
      <w:r>
        <w:rPr>
          <w:snapToGrid w:val="0"/>
        </w:rPr>
        <w:tab/>
        <w:t>(iii)</w:t>
      </w:r>
      <w:r>
        <w:rPr>
          <w:snapToGrid w:val="0"/>
        </w:rPr>
        <w:tab/>
        <w:t>the shape and dimensions of which are such as to obscure the driver’s rearward view;</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Subsection"/>
        <w:rPr>
          <w:snapToGrid w:val="0"/>
        </w:rPr>
      </w:pPr>
      <w:r>
        <w:rPr>
          <w:snapToGrid w:val="0"/>
        </w:rPr>
        <w:tab/>
      </w:r>
      <w:r>
        <w:rPr>
          <w:snapToGrid w:val="0"/>
        </w:rPr>
        <w:tab/>
        <w:t>as the case requires.</w:t>
      </w:r>
    </w:p>
    <w:p>
      <w:pPr>
        <w:pStyle w:val="Footnotesection"/>
      </w:pPr>
      <w:r>
        <w:tab/>
        <w:t>[Regulation 24 amended in Gazette 24 Feb 2006 p. 888.]</w:t>
      </w:r>
    </w:p>
    <w:p>
      <w:pPr>
        <w:pStyle w:val="Heading5"/>
        <w:rPr>
          <w:snapToGrid w:val="0"/>
        </w:rPr>
      </w:pPr>
      <w:bookmarkStart w:id="185" w:name="_Toc23927393"/>
      <w:bookmarkStart w:id="186" w:name="_Toc29275722"/>
      <w:bookmarkStart w:id="187" w:name="_Toc38944413"/>
      <w:bookmarkStart w:id="188" w:name="_Toc128541326"/>
      <w:bookmarkStart w:id="189" w:name="_Toc181010946"/>
      <w:bookmarkStart w:id="190" w:name="_Toc159743452"/>
      <w:r>
        <w:rPr>
          <w:rStyle w:val="CharSectno"/>
        </w:rPr>
        <w:t>25</w:t>
      </w:r>
      <w:r>
        <w:rPr>
          <w:snapToGrid w:val="0"/>
        </w:rPr>
        <w:t>.</w:t>
      </w:r>
      <w:r>
        <w:rPr>
          <w:snapToGrid w:val="0"/>
        </w:rPr>
        <w:tab/>
        <w:t xml:space="preserve">Oversize </w:t>
      </w:r>
      <w:r>
        <w:t>agricultural</w:t>
      </w:r>
      <w:r>
        <w:rPr>
          <w:snapToGrid w:val="0"/>
        </w:rPr>
        <w:t xml:space="preserve"> combinations</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implement or, in the case of a combination consisting of more than 1 towed implement, the rear towed implement;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On and from 1 January 1997 warning signs referred to in subregulation (1) and warning signs on pilot vehicles must — </w:t>
      </w:r>
    </w:p>
    <w:p>
      <w:pPr>
        <w:pStyle w:val="Indenta"/>
        <w:rPr>
          <w:snapToGrid w:val="0"/>
        </w:rPr>
      </w:pPr>
      <w:r>
        <w:rPr>
          <w:snapToGrid w:val="0"/>
        </w:rPr>
        <w:tab/>
        <w:t>(a)</w:t>
      </w:r>
      <w:r>
        <w:rPr>
          <w:snapToGrid w:val="0"/>
        </w:rPr>
        <w:tab/>
        <w:t>subject to subregulation (3), be made of a rigid material;</w:t>
      </w:r>
    </w:p>
    <w:p>
      <w:pPr>
        <w:pStyle w:val="Indenta"/>
        <w:rPr>
          <w:snapToGrid w:val="0"/>
        </w:rPr>
      </w:pPr>
      <w:r>
        <w:rPr>
          <w:snapToGrid w:val="0"/>
        </w:rPr>
        <w:tab/>
        <w:t>(b)</w:t>
      </w:r>
      <w:r>
        <w:rPr>
          <w:snapToGrid w:val="0"/>
        </w:rPr>
        <w:tab/>
        <w:t>have lettering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in black on a yellow reflective background; and</w:t>
      </w:r>
    </w:p>
    <w:p>
      <w:pPr>
        <w:pStyle w:val="Indenta"/>
        <w:rPr>
          <w:snapToGrid w:val="0"/>
        </w:rPr>
      </w:pPr>
      <w:r>
        <w:rPr>
          <w:snapToGrid w:val="0"/>
        </w:rPr>
        <w:tab/>
        <w:t>(c)</w:t>
      </w:r>
      <w:r>
        <w:rPr>
          <w:snapToGrid w:val="0"/>
        </w:rPr>
        <w:tab/>
        <w:t>be of the following dimensions — </w:t>
      </w:r>
    </w:p>
    <w:p>
      <w:pPr>
        <w:pStyle w:val="Indenti"/>
        <w:rPr>
          <w:snapToGrid w:val="0"/>
        </w:rPr>
      </w:pPr>
      <w:r>
        <w:rPr>
          <w:snapToGrid w:val="0"/>
        </w:rPr>
        <w:tab/>
        <w:t>(i)</w:t>
      </w:r>
      <w:r>
        <w:rPr>
          <w:snapToGrid w:val="0"/>
        </w:rPr>
        <w:tab/>
        <w:t>1 200 mm long and 450 mm wide in the case of a single line of lettering; or</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Where a rigid sign cannot adequately be mounted on the rear of a towed implement a flexible sign, not being made of paper or cloth, which otherwise complies with subregulation (2) may be used on that implement.</w:t>
      </w:r>
    </w:p>
    <w:p>
      <w:pPr>
        <w:pStyle w:val="Subsection"/>
        <w:rPr>
          <w:snapToGrid w:val="0"/>
        </w:rPr>
      </w:pPr>
      <w:r>
        <w:rPr>
          <w:snapToGrid w:val="0"/>
        </w:rPr>
        <w:tab/>
        <w:t>(4)</w:t>
      </w:r>
      <w:r>
        <w:rPr>
          <w:snapToGrid w:val="0"/>
        </w:rPr>
        <w:tab/>
        <w:t>A pilot vehicle may carry a load or tow a trailer or an agricultural implement as long as the vehicle, together with its load, if any — </w:t>
      </w:r>
    </w:p>
    <w:p>
      <w:pPr>
        <w:pStyle w:val="Indenta"/>
      </w:pPr>
      <w:r>
        <w:tab/>
        <w:t>(a)</w:t>
      </w:r>
      <w:r>
        <w:tab/>
        <w:t>has a loaded mass (ascertained in accordance with the Vehicle Standards)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11 and that light is operating whenever the combination is being moved on a road.</w:t>
      </w:r>
    </w:p>
    <w:p>
      <w:pPr>
        <w:pStyle w:val="Footnotesection"/>
      </w:pPr>
      <w:r>
        <w:tab/>
        <w:t>[Regulation 25 amended in Gazette 1 Nov 2002 p. 5395; 24 Feb 2006 p. 886</w:t>
      </w:r>
      <w:r>
        <w:noBreakHyphen/>
        <w:t>7 and 888.]</w:t>
      </w:r>
    </w:p>
    <w:p>
      <w:pPr>
        <w:pStyle w:val="Heading5"/>
      </w:pPr>
      <w:bookmarkStart w:id="191" w:name="_Toc124041275"/>
      <w:bookmarkStart w:id="192" w:name="_Toc128472567"/>
      <w:bookmarkStart w:id="193" w:name="_Toc128541327"/>
      <w:bookmarkStart w:id="194" w:name="_Toc181010947"/>
      <w:bookmarkStart w:id="195" w:name="_Toc159743453"/>
      <w:bookmarkStart w:id="196" w:name="_Toc23927394"/>
      <w:bookmarkStart w:id="197" w:name="_Toc29275723"/>
      <w:bookmarkStart w:id="198" w:name="_Toc38944414"/>
      <w:r>
        <w:rPr>
          <w:rStyle w:val="CharSectno"/>
        </w:rPr>
        <w:t>25A</w:t>
      </w:r>
      <w:r>
        <w:t>.</w:t>
      </w:r>
      <w:r>
        <w:tab/>
        <w:t>Communication between drivers</w:t>
      </w:r>
      <w:bookmarkEnd w:id="191"/>
      <w:bookmarkEnd w:id="192"/>
      <w:bookmarkEnd w:id="193"/>
      <w:bookmarkEnd w:id="194"/>
      <w:bookmarkEnd w:id="195"/>
    </w:p>
    <w:p>
      <w:pPr>
        <w:pStyle w:val="Subsection"/>
        <w:spacing w:before="180"/>
      </w:pPr>
      <w:r>
        <w:tab/>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t>(2)</w:t>
      </w:r>
      <w:r>
        <w:tab/>
        <w:t xml:space="preserve">Subregulation (1) does not apply if — </w:t>
      </w:r>
    </w:p>
    <w:p>
      <w:pPr>
        <w:pStyle w:val="Indenta"/>
      </w:pPr>
      <w:r>
        <w:tab/>
        <w:t>(a)</w:t>
      </w:r>
      <w:r>
        <w:tab/>
        <w:t>the combination includes an oversize agricultural machine; or</w:t>
      </w:r>
    </w:p>
    <w:p>
      <w:pPr>
        <w:pStyle w:val="Indenta"/>
      </w:pPr>
      <w:r>
        <w:tab/>
        <w:t>(b)</w:t>
      </w:r>
      <w:r>
        <w:tab/>
        <w:t>the escort vehicle (if there is one) is a police vehicle.</w:t>
      </w:r>
    </w:p>
    <w:p>
      <w:pPr>
        <w:pStyle w:val="Footnotesection"/>
      </w:pPr>
      <w:r>
        <w:tab/>
        <w:t>[Regulation 25A inserted in Gazette 24 Feb 2006 p. 887.]</w:t>
      </w:r>
    </w:p>
    <w:p>
      <w:pPr>
        <w:pStyle w:val="Heading5"/>
        <w:rPr>
          <w:snapToGrid w:val="0"/>
        </w:rPr>
      </w:pPr>
      <w:bookmarkStart w:id="199" w:name="_Toc128541328"/>
      <w:bookmarkStart w:id="200" w:name="_Toc181010948"/>
      <w:bookmarkStart w:id="201" w:name="_Toc159743454"/>
      <w:r>
        <w:rPr>
          <w:rStyle w:val="CharSectno"/>
        </w:rPr>
        <w:t>26</w:t>
      </w:r>
      <w:r>
        <w:rPr>
          <w:snapToGrid w:val="0"/>
        </w:rPr>
        <w:t>.</w:t>
      </w:r>
      <w:r>
        <w:rPr>
          <w:snapToGrid w:val="0"/>
        </w:rPr>
        <w:tab/>
        <w:t>Convoys</w:t>
      </w:r>
      <w:bookmarkEnd w:id="196"/>
      <w:bookmarkEnd w:id="197"/>
      <w:bookmarkEnd w:id="198"/>
      <w:bookmarkEnd w:id="199"/>
      <w:bookmarkEnd w:id="200"/>
      <w:bookmarkEnd w:id="201"/>
      <w:r>
        <w:rPr>
          <w:snapToGrid w:val="0"/>
        </w:rPr>
        <w:t xml:space="preserve"> </w:t>
      </w:r>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 xml:space="preserve">Regulation 25(1)(b) 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11 which is operating whenever the convoy is being moved on a road.</w:t>
      </w:r>
    </w:p>
    <w:p>
      <w:pPr>
        <w:pStyle w:val="Footnotesection"/>
      </w:pPr>
      <w:bookmarkStart w:id="202" w:name="_Toc23927395"/>
      <w:bookmarkStart w:id="203" w:name="_Toc29275724"/>
      <w:bookmarkStart w:id="204" w:name="_Toc38944415"/>
      <w:r>
        <w:tab/>
        <w:t>[Regulation 26 amended in Gazette 24 Feb 2006 p. 887.]</w:t>
      </w:r>
    </w:p>
    <w:p>
      <w:pPr>
        <w:pStyle w:val="Heading5"/>
        <w:rPr>
          <w:snapToGrid w:val="0"/>
        </w:rPr>
      </w:pPr>
      <w:bookmarkStart w:id="205" w:name="_Toc128541329"/>
      <w:bookmarkStart w:id="206" w:name="_Toc181010949"/>
      <w:bookmarkStart w:id="207" w:name="_Toc159743455"/>
      <w:r>
        <w:rPr>
          <w:rStyle w:val="CharSectno"/>
        </w:rPr>
        <w:t>27</w:t>
      </w:r>
      <w:r>
        <w:rPr>
          <w:snapToGrid w:val="0"/>
        </w:rPr>
        <w:t>.</w:t>
      </w:r>
      <w:r>
        <w:rPr>
          <w:snapToGrid w:val="0"/>
        </w:rPr>
        <w:tab/>
        <w:t xml:space="preserve">Movement of excessively high </w:t>
      </w:r>
      <w:r>
        <w:t>agricultural</w:t>
      </w:r>
      <w:r>
        <w:rPr>
          <w:snapToGrid w:val="0"/>
        </w:rPr>
        <w:t xml:space="preserve"> combinations</w:t>
      </w:r>
      <w:bookmarkEnd w:id="202"/>
      <w:bookmarkEnd w:id="203"/>
      <w:bookmarkEnd w:id="204"/>
      <w:bookmarkEnd w:id="205"/>
      <w:bookmarkEnd w:id="206"/>
      <w:bookmarkEnd w:id="207"/>
      <w:r>
        <w:rPr>
          <w:snapToGrid w:val="0"/>
        </w:rPr>
        <w:t xml:space="preserve"> </w:t>
      </w:r>
    </w:p>
    <w:p>
      <w:pPr>
        <w:pStyle w:val="Subsection"/>
      </w:pPr>
      <w:r>
        <w:rPr>
          <w:snapToGrid w:val="0"/>
        </w:rPr>
        <w:tab/>
        <w:t>(1)</w:t>
      </w:r>
      <w:r>
        <w:rPr>
          <w:snapToGrid w:val="0"/>
        </w:rPr>
        <w:tab/>
        <w:t xml:space="preserve">Where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 </w:t>
      </w:r>
    </w:p>
    <w:p>
      <w:pPr>
        <w:pStyle w:val="Indenta"/>
      </w:pPr>
      <w:r>
        <w:tab/>
        <w:t>(a)</w:t>
      </w:r>
      <w:r>
        <w:tab/>
        <w:t xml:space="preserve">the Electricity Networks Corporation established by section 4(1)(b) of the </w:t>
      </w:r>
      <w:r>
        <w:rPr>
          <w:i/>
          <w:iCs/>
        </w:rPr>
        <w:t>Electricity Corporations Act 2005</w:t>
      </w:r>
      <w:r>
        <w:t>; or</w:t>
      </w:r>
    </w:p>
    <w:p>
      <w:pPr>
        <w:pStyle w:val="Indenta"/>
      </w:pPr>
      <w:r>
        <w:tab/>
        <w:t>(b)</w:t>
      </w:r>
      <w:r>
        <w:tab/>
        <w:t xml:space="preserve">the Regional Power Corporation established by section 4(1)(d) of the </w:t>
      </w:r>
      <w:r>
        <w:rPr>
          <w:i/>
          <w:iCs/>
        </w:rPr>
        <w:t>Electricity Corporations Act 2005</w:t>
      </w:r>
      <w:r>
        <w:t>,</w:t>
      </w:r>
    </w:p>
    <w:p>
      <w:pPr>
        <w:pStyle w:val="Subsection"/>
        <w:rPr>
          <w:snapToGrid w:val="0"/>
        </w:rPr>
      </w:pPr>
      <w:r>
        <w:tab/>
      </w:r>
      <w:r>
        <w:tab/>
        <w:t>as the case requires.</w:t>
      </w:r>
    </w:p>
    <w:p>
      <w:pPr>
        <w:pStyle w:val="Subsection"/>
        <w:rPr>
          <w:snapToGrid w:val="0"/>
        </w:rPr>
      </w:pPr>
      <w:r>
        <w:rPr>
          <w:snapToGrid w:val="0"/>
        </w:rPr>
        <w:tab/>
        <w:t>(2)</w:t>
      </w:r>
      <w:r>
        <w:rPr>
          <w:snapToGrid w:val="0"/>
        </w:rPr>
        <w:tab/>
        <w:t>A written permission under subregulation (1)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under subregulation (1) is valid for 12 months from the day it is obtained.</w:t>
      </w:r>
    </w:p>
    <w:p>
      <w:pPr>
        <w:pStyle w:val="Footnotesection"/>
      </w:pPr>
      <w:bookmarkStart w:id="208" w:name="_Toc23927396"/>
      <w:bookmarkStart w:id="209" w:name="_Toc29275725"/>
      <w:bookmarkStart w:id="210" w:name="_Toc38944416"/>
      <w:r>
        <w:tab/>
        <w:t>[Regulation 27 amended in Gazette 24 Feb 2006 p. 887 and 888; 31 Mar 2006 p. 1352.]</w:t>
      </w:r>
    </w:p>
    <w:p>
      <w:pPr>
        <w:pStyle w:val="Heading5"/>
        <w:rPr>
          <w:snapToGrid w:val="0"/>
        </w:rPr>
      </w:pPr>
      <w:bookmarkStart w:id="211" w:name="_Toc128541330"/>
      <w:bookmarkStart w:id="212" w:name="_Toc181010950"/>
      <w:bookmarkStart w:id="213" w:name="_Toc159743456"/>
      <w:r>
        <w:rPr>
          <w:rStyle w:val="CharSectno"/>
        </w:rPr>
        <w:t>28</w:t>
      </w:r>
      <w:r>
        <w:rPr>
          <w:snapToGrid w:val="0"/>
        </w:rPr>
        <w:t>.</w:t>
      </w:r>
      <w:r>
        <w:rPr>
          <w:snapToGrid w:val="0"/>
        </w:rPr>
        <w:tab/>
        <w:t xml:space="preserve">Movement of excessively wide or long </w:t>
      </w:r>
      <w:r>
        <w:t>agricultural</w:t>
      </w:r>
      <w:r>
        <w:rPr>
          <w:snapToGrid w:val="0"/>
        </w:rPr>
        <w:t xml:space="preserve"> combinations</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 xml:space="preserve">Where </w:t>
      </w:r>
      <w:r>
        <w:t>an agricultural combination</w:t>
      </w:r>
      <w:r>
        <w:rPr>
          <w:snapToGrid w:val="0"/>
        </w:rPr>
        <w:t xml:space="preserve"> exceeds 7.5 m in width or 30 m in length it shall not be used on a road unless a permit issued under this regulation is in force in relation to that combination and any conditions to which that permit is subject are complied with.</w:t>
      </w:r>
    </w:p>
    <w:p>
      <w:pPr>
        <w:pStyle w:val="Subsection"/>
        <w:rPr>
          <w:snapToGrid w:val="0"/>
        </w:rPr>
      </w:pPr>
      <w:r>
        <w:rPr>
          <w:snapToGrid w:val="0"/>
        </w:rPr>
        <w:tab/>
        <w:t>(2)</w:t>
      </w:r>
      <w:r>
        <w:rPr>
          <w:snapToGrid w:val="0"/>
        </w:rPr>
        <w:tab/>
        <w:t xml:space="preserve">A permit issued under this regulation must be in a form approved by the Commissioner of Police and may be issued by a police officer or an employee, within the meaning of the </w:t>
      </w:r>
      <w:r>
        <w:rPr>
          <w:i/>
          <w:snapToGrid w:val="0"/>
        </w:rPr>
        <w:t>Public Sector Management Act 1994</w:t>
      </w:r>
      <w:r>
        <w:rPr>
          <w:snapToGrid w:val="0"/>
        </w:rPr>
        <w:t>, of the Police</w:t>
      </w:r>
      <w:r>
        <w:t xml:space="preserve"> Service</w:t>
      </w:r>
      <w:r>
        <w:rPr>
          <w:snapToGrid w:val="0"/>
        </w:rPr>
        <w:t>, authorised for that purpose.</w:t>
      </w:r>
    </w:p>
    <w:p>
      <w:pPr>
        <w:pStyle w:val="Subsection"/>
        <w:rPr>
          <w:snapToGrid w:val="0"/>
        </w:rPr>
      </w:pPr>
      <w:r>
        <w:rPr>
          <w:snapToGrid w:val="0"/>
        </w:rPr>
        <w:tab/>
        <w:t>(3)</w:t>
      </w:r>
      <w:r>
        <w:rPr>
          <w:snapToGrid w:val="0"/>
        </w:rPr>
        <w:tab/>
        <w:t>A permit issued under this regulation may be subject to such specified conditions as the person issuing the permit considers necessary to ensure the combination is moved safely, including — </w:t>
      </w:r>
    </w:p>
    <w:p>
      <w:pPr>
        <w:pStyle w:val="Indenta"/>
        <w:rPr>
          <w:snapToGrid w:val="0"/>
        </w:rPr>
      </w:pPr>
      <w:r>
        <w:rPr>
          <w:snapToGrid w:val="0"/>
        </w:rPr>
        <w:tab/>
        <w:t>(a)</w:t>
      </w:r>
      <w:r>
        <w:rPr>
          <w:snapToGrid w:val="0"/>
        </w:rPr>
        <w:tab/>
        <w:t>any speed limit to be observed while moving the combination;</w:t>
      </w:r>
    </w:p>
    <w:p>
      <w:pPr>
        <w:pStyle w:val="Indenta"/>
        <w:rPr>
          <w:snapToGrid w:val="0"/>
        </w:rPr>
      </w:pPr>
      <w:r>
        <w:rPr>
          <w:snapToGrid w:val="0"/>
        </w:rPr>
        <w:tab/>
        <w:t>(b)</w:t>
      </w:r>
      <w:r>
        <w:rPr>
          <w:snapToGrid w:val="0"/>
        </w:rPr>
        <w:tab/>
        <w:t>the route to be followed by the combination;</w:t>
      </w:r>
    </w:p>
    <w:p>
      <w:pPr>
        <w:pStyle w:val="Indenta"/>
        <w:rPr>
          <w:snapToGrid w:val="0"/>
        </w:rPr>
      </w:pPr>
      <w:r>
        <w:rPr>
          <w:snapToGrid w:val="0"/>
        </w:rPr>
        <w:tab/>
        <w:t>(c)</w:t>
      </w:r>
      <w:r>
        <w:rPr>
          <w:snapToGrid w:val="0"/>
        </w:rPr>
        <w:tab/>
        <w:t>the times during which the combination may be used on a road; and</w:t>
      </w:r>
    </w:p>
    <w:p>
      <w:pPr>
        <w:pStyle w:val="Indenta"/>
        <w:rPr>
          <w:snapToGrid w:val="0"/>
        </w:rPr>
      </w:pPr>
      <w:r>
        <w:rPr>
          <w:snapToGrid w:val="0"/>
        </w:rPr>
        <w:tab/>
        <w:t>(d)</w:t>
      </w:r>
      <w:r>
        <w:rPr>
          <w:snapToGrid w:val="0"/>
        </w:rPr>
        <w:tab/>
        <w:t>whether the combination must be accompanied by a police escort when being used on a road.</w:t>
      </w:r>
    </w:p>
    <w:p>
      <w:pPr>
        <w:pStyle w:val="Subsection"/>
        <w:rPr>
          <w:snapToGrid w:val="0"/>
        </w:rPr>
      </w:pPr>
      <w:r>
        <w:rPr>
          <w:snapToGrid w:val="0"/>
        </w:rPr>
        <w:tab/>
        <w:t>(4)</w:t>
      </w:r>
      <w:r>
        <w:rPr>
          <w:snapToGrid w:val="0"/>
        </w:rPr>
        <w:tab/>
        <w:t>A permit issued under this regulation may be obtained without payment of a fee and is valid for 12 months from the day on which it was issued.</w:t>
      </w:r>
    </w:p>
    <w:p>
      <w:pPr>
        <w:pStyle w:val="Subsection"/>
        <w:rPr>
          <w:snapToGrid w:val="0"/>
        </w:rPr>
      </w:pPr>
      <w:r>
        <w:rPr>
          <w:snapToGrid w:val="0"/>
        </w:rPr>
        <w:tab/>
        <w:t>(5)</w:t>
      </w:r>
      <w:r>
        <w:rPr>
          <w:snapToGrid w:val="0"/>
        </w:rPr>
        <w:tab/>
        <w:t xml:space="preserve">A police officer or employee of the Police </w:t>
      </w:r>
      <w:r>
        <w:t>Service</w:t>
      </w:r>
      <w:r>
        <w:rPr>
          <w:snapToGrid w:val="0"/>
        </w:rPr>
        <w:t xml:space="preserve"> must not refuse to issue a permit under this regulation unless the use of the combination on a road forming the whole or any part of the route to be followed by that combination would endanger safety.</w:t>
      </w:r>
    </w:p>
    <w:p>
      <w:pPr>
        <w:pStyle w:val="Footnotesection"/>
      </w:pPr>
      <w:bookmarkStart w:id="214" w:name="_Toc23927397"/>
      <w:bookmarkStart w:id="215" w:name="_Toc29275726"/>
      <w:bookmarkStart w:id="216" w:name="_Toc38944417"/>
      <w:r>
        <w:tab/>
        <w:t>[Regulation 28 amended in Gazette 24 Feb 2006 p. 887 and 888.]</w:t>
      </w:r>
    </w:p>
    <w:p>
      <w:pPr>
        <w:pStyle w:val="Heading5"/>
        <w:rPr>
          <w:snapToGrid w:val="0"/>
        </w:rPr>
      </w:pPr>
      <w:bookmarkStart w:id="217" w:name="_Toc128541331"/>
      <w:bookmarkStart w:id="218" w:name="_Toc181010951"/>
      <w:bookmarkStart w:id="219" w:name="_Toc159743457"/>
      <w:r>
        <w:rPr>
          <w:rStyle w:val="CharSectno"/>
        </w:rPr>
        <w:t>29</w:t>
      </w:r>
      <w:r>
        <w:rPr>
          <w:snapToGrid w:val="0"/>
        </w:rPr>
        <w:t>.</w:t>
      </w:r>
      <w:r>
        <w:rPr>
          <w:snapToGrid w:val="0"/>
        </w:rPr>
        <w:tab/>
        <w:t xml:space="preserve">Limit on </w:t>
      </w:r>
      <w:r>
        <w:t>agricultural</w:t>
      </w:r>
      <w:r>
        <w:rPr>
          <w:snapToGrid w:val="0"/>
        </w:rPr>
        <w:t xml:space="preserve"> combinations</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No more than 3 agricultural implements may be towed in</w:t>
      </w:r>
      <w:r>
        <w:t xml:space="preserve"> an agricultural combination</w:t>
      </w:r>
      <w:r>
        <w:rPr>
          <w:snapToGrid w:val="0"/>
        </w:rPr>
        <w:t>.</w:t>
      </w:r>
    </w:p>
    <w:p>
      <w:pPr>
        <w:pStyle w:val="Footnotesection"/>
      </w:pPr>
      <w:r>
        <w:tab/>
        <w:t>[Regulation 29 amended in Gazette 24 Feb 2006 p. 888.]</w:t>
      </w:r>
    </w:p>
    <w:p>
      <w:pPr>
        <w:pStyle w:val="Heading5"/>
      </w:pPr>
      <w:bookmarkStart w:id="220" w:name="_Toc23927398"/>
      <w:bookmarkStart w:id="221" w:name="_Toc29275727"/>
      <w:bookmarkStart w:id="222" w:name="_Toc38944418"/>
      <w:bookmarkStart w:id="223" w:name="_Toc128541332"/>
      <w:bookmarkStart w:id="224" w:name="_Toc181010952"/>
      <w:bookmarkStart w:id="225" w:name="_Toc159743458"/>
      <w:r>
        <w:rPr>
          <w:rStyle w:val="CharSectno"/>
        </w:rPr>
        <w:t>29A</w:t>
      </w:r>
      <w:r>
        <w:t>.</w:t>
      </w:r>
      <w:r>
        <w:tab/>
        <w:t>Director General may grant exemptions</w:t>
      </w:r>
      <w:bookmarkEnd w:id="220"/>
      <w:bookmarkEnd w:id="221"/>
      <w:bookmarkEnd w:id="222"/>
      <w:bookmarkEnd w:id="223"/>
      <w:bookmarkEnd w:id="224"/>
      <w:bookmarkEnd w:id="225"/>
    </w:p>
    <w:p>
      <w:pPr>
        <w:pStyle w:val="Subsection"/>
      </w:pPr>
      <w:r>
        <w:tab/>
        <w:t>(1)</w:t>
      </w:r>
      <w:r>
        <w:tab/>
      </w:r>
      <w:r>
        <w:rPr>
          <w:snapToGrid w:val="0"/>
        </w:rPr>
        <w:t>Subject</w:t>
      </w:r>
      <w:r>
        <w:t xml:space="preserve"> to subregulation (4), the Director General may, by notice published in the </w:t>
      </w:r>
      <w:r>
        <w:rPr>
          <w:i/>
        </w:rPr>
        <w:t>Gazette</w:t>
      </w:r>
      <w:r>
        <w:t xml:space="preserve"> — </w:t>
      </w:r>
    </w:p>
    <w:p>
      <w:pPr>
        <w:pStyle w:val="Indenta"/>
      </w:pPr>
      <w:r>
        <w:tab/>
        <w:t>(a)</w:t>
      </w:r>
      <w:r>
        <w:tab/>
        <w:t>exempt any agricultural implement or any class or classes of agricultural implement from the operation of any of these regulations; and</w:t>
      </w:r>
    </w:p>
    <w:p>
      <w:pPr>
        <w:pStyle w:val="Indenta"/>
      </w:pPr>
      <w:r>
        <w:tab/>
        <w:t>(b)</w:t>
      </w:r>
      <w:r>
        <w:tab/>
        <w:t xml:space="preserve">vary or </w:t>
      </w:r>
      <w:r>
        <w:rPr>
          <w:snapToGrid w:val="0"/>
        </w:rPr>
        <w:t>revoke</w:t>
      </w:r>
      <w:r>
        <w:t xml:space="preserve"> a notice under paragraph (a).</w:t>
      </w:r>
    </w:p>
    <w:p>
      <w:pPr>
        <w:pStyle w:val="Subsection"/>
      </w:pPr>
      <w:r>
        <w:tab/>
        <w:t>(2)</w:t>
      </w:r>
      <w:r>
        <w:tab/>
        <w:t xml:space="preserve">An </w:t>
      </w:r>
      <w:r>
        <w:rPr>
          <w:snapToGrid w:val="0"/>
        </w:rPr>
        <w:t>exemption</w:t>
      </w:r>
      <w:r>
        <w:t xml:space="preserve"> is subject to any conditions specified by the Director General in the notice.</w:t>
      </w:r>
    </w:p>
    <w:p>
      <w:pPr>
        <w:pStyle w:val="Subsection"/>
      </w:pPr>
      <w:r>
        <w:tab/>
        <w:t>(3)</w:t>
      </w:r>
      <w:r>
        <w:tab/>
        <w:t xml:space="preserve">If a </w:t>
      </w:r>
      <w:r>
        <w:rPr>
          <w:snapToGrid w:val="0"/>
        </w:rPr>
        <w:t>condition</w:t>
      </w:r>
      <w:r>
        <w:t xml:space="preserve"> to which an exemption is subject is not complied with, the exemption ceases to have effect.</w:t>
      </w:r>
    </w:p>
    <w:p>
      <w:pPr>
        <w:pStyle w:val="Subsection"/>
      </w:pPr>
      <w:r>
        <w:tab/>
        <w:t>(4)</w:t>
      </w:r>
      <w:r>
        <w:tab/>
        <w:t xml:space="preserve">A </w:t>
      </w:r>
      <w:r>
        <w:rPr>
          <w:snapToGrid w:val="0"/>
        </w:rPr>
        <w:t>notice</w:t>
      </w:r>
      <w:r>
        <w:t xml:space="preserve"> published under this regulation cannot limit the operation of regulation 13, 14, 18, 19, 20, 27, 28 or 29.</w:t>
      </w:r>
    </w:p>
    <w:p>
      <w:pPr>
        <w:pStyle w:val="Footnotesection"/>
      </w:pPr>
      <w:r>
        <w:tab/>
        <w:t>[Regulation 29A inserted in Gazette 15 Jan 1999 p. 117</w:t>
      </w:r>
      <w:r>
        <w:noBreakHyphen/>
        <w:t>18.]</w:t>
      </w:r>
    </w:p>
    <w:p>
      <w:pPr>
        <w:pStyle w:val="Heading5"/>
      </w:pPr>
      <w:bookmarkStart w:id="226" w:name="_Toc23927399"/>
      <w:bookmarkStart w:id="227" w:name="_Toc29275728"/>
      <w:bookmarkStart w:id="228" w:name="_Toc38944419"/>
      <w:bookmarkStart w:id="229" w:name="_Toc128541333"/>
      <w:bookmarkStart w:id="230" w:name="_Toc181010953"/>
      <w:bookmarkStart w:id="231" w:name="_Toc159743459"/>
      <w:r>
        <w:rPr>
          <w:rStyle w:val="CharSectno"/>
        </w:rPr>
        <w:t>29B</w:t>
      </w:r>
      <w:r>
        <w:t>.</w:t>
      </w:r>
      <w:r>
        <w:tab/>
        <w:t>Movements of agricultural combinations may be authorised by permits</w:t>
      </w:r>
      <w:bookmarkEnd w:id="226"/>
      <w:bookmarkEnd w:id="227"/>
      <w:bookmarkEnd w:id="228"/>
      <w:bookmarkEnd w:id="229"/>
      <w:bookmarkEnd w:id="230"/>
      <w:bookmarkEnd w:id="231"/>
    </w:p>
    <w:p>
      <w:pPr>
        <w:pStyle w:val="Subsection"/>
      </w:pPr>
      <w:r>
        <w:tab/>
        <w:t>(1)</w:t>
      </w:r>
      <w:r>
        <w:tab/>
        <w:t xml:space="preserve">If </w:t>
      </w:r>
      <w:r>
        <w:rPr>
          <w:snapToGrid w:val="0"/>
        </w:rPr>
        <w:t>the</w:t>
      </w:r>
      <w:r>
        <w:t xml:space="preserve"> Director General is satisfied that it is appropriate to do so in respect of a proposed movement of an agricultural combination, the Director General may, subject to subregulation (7), issue a permit under this regulation that authorises the combination to be moved on a road otherwise than in accordance with any of these regulations, as specified in the permit.</w:t>
      </w:r>
    </w:p>
    <w:p>
      <w:pPr>
        <w:pStyle w:val="Subsection"/>
      </w:pPr>
      <w:r>
        <w:tab/>
        <w:t>(2)</w:t>
      </w:r>
      <w:r>
        <w:tab/>
        <w:t xml:space="preserve">A </w:t>
      </w:r>
      <w:r>
        <w:rPr>
          <w:snapToGrid w:val="0"/>
        </w:rPr>
        <w:t>permit</w:t>
      </w:r>
      <w:r>
        <w:t xml:space="preserve"> issued under this regulation must be in a form approved by the Director General.</w:t>
      </w:r>
    </w:p>
    <w:p>
      <w:pPr>
        <w:pStyle w:val="Subsection"/>
      </w:pPr>
      <w:r>
        <w:tab/>
        <w:t>(3)</w:t>
      </w:r>
      <w:r>
        <w:tab/>
        <w:t xml:space="preserve">A </w:t>
      </w:r>
      <w:r>
        <w:rPr>
          <w:snapToGrid w:val="0"/>
        </w:rPr>
        <w:t>permit</w:t>
      </w:r>
      <w:r>
        <w:t xml:space="preserve"> issued under this regulation is subject to — </w:t>
      </w:r>
    </w:p>
    <w:p>
      <w:pPr>
        <w:pStyle w:val="Indenta"/>
      </w:pPr>
      <w:r>
        <w:tab/>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t>(b)</w:t>
      </w:r>
      <w:r>
        <w:tab/>
        <w:t xml:space="preserve">any </w:t>
      </w:r>
      <w:r>
        <w:rPr>
          <w:snapToGrid w:val="0"/>
        </w:rPr>
        <w:t>conditions</w:t>
      </w:r>
      <w:r>
        <w:t xml:space="preserve"> that the Director General considers necessary to ensure the combination is moved safely that are specified in the permit.</w:t>
      </w:r>
    </w:p>
    <w:p>
      <w:pPr>
        <w:pStyle w:val="Subsection"/>
      </w:pPr>
      <w:r>
        <w:tab/>
        <w:t>(4)</w:t>
      </w:r>
      <w:r>
        <w:tab/>
      </w:r>
      <w:r>
        <w:rPr>
          <w:snapToGrid w:val="0"/>
        </w:rPr>
        <w:t>Without</w:t>
      </w:r>
      <w:r>
        <w:t xml:space="preserve"> limiting paragraph (b) of subregulation (3), the conditions that may be specified under that paragraph include — </w:t>
      </w:r>
    </w:p>
    <w:p>
      <w:pPr>
        <w:pStyle w:val="Indenta"/>
      </w:pPr>
      <w:r>
        <w:tab/>
        <w:t>(a)</w:t>
      </w:r>
      <w:r>
        <w:tab/>
        <w:t xml:space="preserve">any </w:t>
      </w:r>
      <w:r>
        <w:rPr>
          <w:snapToGrid w:val="0"/>
        </w:rPr>
        <w:t>speed</w:t>
      </w:r>
      <w:r>
        <w:t xml:space="preserve"> limit to be observed by the person driving the towing vehicle;</w:t>
      </w:r>
    </w:p>
    <w:p>
      <w:pPr>
        <w:pStyle w:val="Indenta"/>
      </w:pPr>
      <w:r>
        <w:tab/>
        <w:t>(b)</w:t>
      </w:r>
      <w:r>
        <w:tab/>
        <w:t xml:space="preserve">the </w:t>
      </w:r>
      <w:r>
        <w:rPr>
          <w:snapToGrid w:val="0"/>
        </w:rPr>
        <w:t>route</w:t>
      </w:r>
      <w:r>
        <w:t xml:space="preserve"> to be followed by the combination;</w:t>
      </w:r>
    </w:p>
    <w:p>
      <w:pPr>
        <w:pStyle w:val="Indenta"/>
      </w:pPr>
      <w:r>
        <w:tab/>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t>(d)</w:t>
      </w:r>
      <w:r>
        <w:tab/>
        <w:t>whether the combination must be accompanied by a police escort when being moved on a road.</w:t>
      </w:r>
    </w:p>
    <w:p>
      <w:pPr>
        <w:pStyle w:val="Subsection"/>
      </w:pPr>
      <w:r>
        <w:tab/>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Subsection"/>
      </w:pPr>
      <w:r>
        <w:tab/>
        <w:t>(7)</w:t>
      </w:r>
      <w:r>
        <w:tab/>
        <w:t xml:space="preserve">A </w:t>
      </w:r>
      <w:r>
        <w:rPr>
          <w:snapToGrid w:val="0"/>
        </w:rPr>
        <w:t>permit</w:t>
      </w:r>
      <w:r>
        <w:t xml:space="preserve"> issued under this </w:t>
      </w:r>
      <w:r>
        <w:rPr>
          <w:snapToGrid w:val="0"/>
        </w:rPr>
        <w:t>regulation</w:t>
      </w:r>
      <w:r>
        <w:t xml:space="preserve"> cannot limit the operation of regulation 13, 14, 18, 19, 20, 27, 28 or 29.</w:t>
      </w:r>
    </w:p>
    <w:p>
      <w:pPr>
        <w:pStyle w:val="Footnotesection"/>
      </w:pPr>
      <w:r>
        <w:tab/>
        <w:t>[Regulation 29B inserted in Gazette 15 Jan 1999 p. 118</w:t>
      </w:r>
      <w:r>
        <w:noBreakHyphen/>
        <w:t>19; amended in Gazette 24 Feb 2006 p. 888.]</w:t>
      </w:r>
    </w:p>
    <w:p>
      <w:pPr>
        <w:pStyle w:val="Heading5"/>
        <w:rPr>
          <w:snapToGrid w:val="0"/>
        </w:rPr>
      </w:pPr>
      <w:bookmarkStart w:id="232" w:name="_Toc23927400"/>
      <w:bookmarkStart w:id="233" w:name="_Toc29275729"/>
      <w:bookmarkStart w:id="234" w:name="_Toc38944420"/>
      <w:bookmarkStart w:id="235" w:name="_Toc128541334"/>
      <w:bookmarkStart w:id="236" w:name="_Toc181010954"/>
      <w:bookmarkStart w:id="237" w:name="_Toc159743460"/>
      <w:r>
        <w:rPr>
          <w:rStyle w:val="CharSectno"/>
        </w:rPr>
        <w:t>30</w:t>
      </w:r>
      <w:r>
        <w:rPr>
          <w:snapToGrid w:val="0"/>
        </w:rPr>
        <w:t>.</w:t>
      </w:r>
      <w:r>
        <w:rPr>
          <w:snapToGrid w:val="0"/>
        </w:rPr>
        <w:tab/>
        <w:t>General duty of drivers and offences and penalties</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Except where otherwise provided by these regulations the driver of a towing vehicle shall ensure that these regulations are complied with.</w:t>
      </w:r>
    </w:p>
    <w:p>
      <w:pPr>
        <w:pStyle w:val="Subsection"/>
        <w:rPr>
          <w:snapToGrid w:val="0"/>
        </w:rPr>
      </w:pPr>
      <w:r>
        <w:rPr>
          <w:snapToGrid w:val="0"/>
        </w:rPr>
        <w:tab/>
        <w:t>(2)</w:t>
      </w:r>
      <w:r>
        <w:rPr>
          <w:snapToGrid w:val="0"/>
        </w:rPr>
        <w:tab/>
        <w:t>A person who contravenes subregulation (1) or regulation 7(1) commits an offence.</w:t>
      </w:r>
    </w:p>
    <w:p>
      <w:pPr>
        <w:pStyle w:val="Penstart"/>
        <w:rPr>
          <w:snapToGrid w:val="0"/>
        </w:rPr>
      </w:pPr>
      <w:r>
        <w:rPr>
          <w:snapToGrid w:val="0"/>
        </w:rPr>
        <w:tab/>
        <w:t>Penalty: Eight penalty units (8 PU).</w:t>
      </w:r>
    </w:p>
    <w:p>
      <w:pPr>
        <w:pStyle w:val="Footnotesection"/>
      </w:pPr>
      <w:r>
        <w:tab/>
        <w:t xml:space="preserve">[Regulation 30 amended in Gazette 23 Dec 1997 p. 7460.] </w:t>
      </w:r>
    </w:p>
    <w:p>
      <w:pPr>
        <w:pStyle w:val="Heading5"/>
        <w:rPr>
          <w:ins w:id="238" w:author="Master Repository Process" w:date="2021-09-12T10:14:00Z"/>
        </w:rPr>
      </w:pPr>
      <w:bookmarkStart w:id="239" w:name="_Toc181010955"/>
      <w:del w:id="240" w:author="Master Repository Process" w:date="2021-09-12T10:14:00Z">
        <w:r>
          <w:delText>[</w:delText>
        </w:r>
      </w:del>
      <w:r>
        <w:rPr>
          <w:rStyle w:val="CharSectno"/>
        </w:rPr>
        <w:t>31</w:t>
      </w:r>
      <w:r>
        <w:t>.</w:t>
      </w:r>
      <w:r>
        <w:tab/>
      </w:r>
      <w:del w:id="241" w:author="Master Repository Process" w:date="2021-09-12T10:14:00Z">
        <w:r>
          <w:delText>Omitted</w:delText>
        </w:r>
      </w:del>
      <w:ins w:id="242" w:author="Master Repository Process" w:date="2021-09-12T10:14:00Z">
        <w:r>
          <w:t>Gate to gate towing</w:t>
        </w:r>
        <w:bookmarkEnd w:id="239"/>
      </w:ins>
    </w:p>
    <w:p>
      <w:pPr>
        <w:pStyle w:val="Subsection"/>
        <w:rPr>
          <w:ins w:id="243" w:author="Master Repository Process" w:date="2021-09-12T10:14:00Z"/>
        </w:rPr>
      </w:pPr>
      <w:ins w:id="244" w:author="Master Repository Process" w:date="2021-09-12T10:14:00Z">
        <w:r>
          <w:tab/>
          <w:t>(1)</w:t>
        </w:r>
        <w:r>
          <w:tab/>
          <w:t xml:space="preserve">Despite these regulations, a person may tow an agricultural implement or an agricultural combination from gate to gate — </w:t>
        </w:r>
      </w:ins>
    </w:p>
    <w:p>
      <w:pPr>
        <w:pStyle w:val="Indenta"/>
        <w:rPr>
          <w:ins w:id="245" w:author="Master Repository Process" w:date="2021-09-12T10:14:00Z"/>
        </w:rPr>
      </w:pPr>
      <w:ins w:id="246" w:author="Master Repository Process" w:date="2021-09-12T10:14:00Z">
        <w:r>
          <w:tab/>
          <w:t>(a)</w:t>
        </w:r>
        <w:r>
          <w:tab/>
          <w:t>where the road across which the crossing is to be made is a road that is the responsibility of the Commissioner of Main Roads, if the written approval of the Commissioner has been obtained in writing; and</w:t>
        </w:r>
      </w:ins>
    </w:p>
    <w:p>
      <w:pPr>
        <w:pStyle w:val="Indenta"/>
        <w:rPr>
          <w:ins w:id="247" w:author="Master Repository Process" w:date="2021-09-12T10:14:00Z"/>
        </w:rPr>
      </w:pPr>
      <w:ins w:id="248" w:author="Master Repository Process" w:date="2021-09-12T10:14:00Z">
        <w:r>
          <w:tab/>
          <w:t>(b)</w:t>
        </w:r>
        <w:r>
          <w:tab/>
          <w:t xml:space="preserve">if the traffic management plan entitled “Traffic Management Requirements </w:t>
        </w:r>
        <w:r>
          <w:noBreakHyphen/>
          <w:t xml:space="preserve"> Towed Agricultural Implements Crossings </w:t>
        </w:r>
        <w:r>
          <w:rPr>
            <w:i/>
            <w:iCs/>
            <w:sz w:val="22"/>
          </w:rPr>
          <w:t>Ref Number 07/2071 D07#103477</w:t>
        </w:r>
        <w:r>
          <w:t xml:space="preserve">” has been approved by the Commissioner of Main Roads and published in the </w:t>
        </w:r>
        <w:r>
          <w:rPr>
            <w:i/>
            <w:iCs/>
          </w:rPr>
          <w:t>Gazette</w:t>
        </w:r>
        <w:r>
          <w:t>.</w:t>
        </w:r>
      </w:ins>
    </w:p>
    <w:p>
      <w:pPr>
        <w:pStyle w:val="Subsection"/>
        <w:rPr>
          <w:ins w:id="249" w:author="Master Repository Process" w:date="2021-09-12T10:14:00Z"/>
        </w:rPr>
      </w:pPr>
      <w:ins w:id="250" w:author="Master Repository Process" w:date="2021-09-12T10:14:00Z">
        <w:r>
          <w:tab/>
          <w:t>(2)</w:t>
        </w:r>
        <w:r>
          <w:tab/>
          <w:t>A person is not towing an agricultural implement or an agricultural combination from gate to gate in accordance with this regulation if the towing is carried out in a manner contrary to the approved management plan.</w:t>
        </w:r>
      </w:ins>
    </w:p>
    <w:p>
      <w:pPr>
        <w:pStyle w:val="Subsection"/>
        <w:rPr>
          <w:ins w:id="251" w:author="Master Repository Process" w:date="2021-09-12T10:14:00Z"/>
        </w:rPr>
      </w:pPr>
      <w:ins w:id="252" w:author="Master Repository Process" w:date="2021-09-12T10:14:00Z">
        <w:r>
          <w:tab/>
          <w:t>(3)</w:t>
        </w:r>
        <w:r>
          <w:tab/>
          <w:t>Approval</w:t>
        </w:r>
      </w:ins>
      <w:r>
        <w:t xml:space="preserve"> under </w:t>
      </w:r>
      <w:del w:id="253" w:author="Master Repository Process" w:date="2021-09-12T10:14:00Z">
        <w:r>
          <w:delText>the Reprints Act 1984 s. 7</w:delText>
        </w:r>
      </w:del>
      <w:ins w:id="254" w:author="Master Repository Process" w:date="2021-09-12T10:14:00Z">
        <w:r>
          <w:t>subregulation (1)(a) is to be sought and obtained in writing.</w:t>
        </w:r>
      </w:ins>
    </w:p>
    <w:p>
      <w:pPr>
        <w:pStyle w:val="Subsection"/>
      </w:pPr>
      <w:ins w:id="255" w:author="Master Repository Process" w:date="2021-09-12T10:14:00Z">
        <w:r>
          <w:tab/>
        </w:r>
      </w:ins>
      <w:r>
        <w:t>(4</w:t>
      </w:r>
      <w:del w:id="256" w:author="Master Repository Process" w:date="2021-09-12T10:14:00Z">
        <w:r>
          <w:delText>)(e).]</w:delText>
        </w:r>
      </w:del>
      <w:ins w:id="257" w:author="Master Repository Process" w:date="2021-09-12T10:14:00Z">
        <w:r>
          <w:t>)</w:t>
        </w:r>
        <w:r>
          <w:tab/>
          <w:t>A person may tow an agricultural implement or an agricultural combination from gate to gate in accordance with this regulation during the day</w:t>
        </w:r>
        <w:r>
          <w:noBreakHyphen/>
          <w:t>time or the night</w:t>
        </w:r>
        <w:r>
          <w:noBreakHyphen/>
          <w:t>time.</w:t>
        </w:r>
      </w:ins>
    </w:p>
    <w:p>
      <w:pPr>
        <w:pStyle w:val="Footnotesection"/>
        <w:rPr>
          <w:ins w:id="258" w:author="Master Repository Process" w:date="2021-09-12T10:14:00Z"/>
        </w:rPr>
      </w:pPr>
      <w:ins w:id="259" w:author="Master Repository Process" w:date="2021-09-12T10:14:00Z">
        <w:r>
          <w:tab/>
          <w:t>[Regulation 31 inserted in Gazette 24 Oct 2007 p. 5648.]</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60" w:name="_Toc78624230"/>
      <w:bookmarkStart w:id="261" w:name="_Toc78685384"/>
      <w:bookmarkStart w:id="262" w:name="_Toc128475844"/>
      <w:bookmarkStart w:id="263" w:name="_Toc128541335"/>
      <w:bookmarkStart w:id="264" w:name="_Toc128541560"/>
      <w:bookmarkStart w:id="265" w:name="_Toc131831520"/>
      <w:bookmarkStart w:id="266" w:name="_Toc152738019"/>
      <w:bookmarkStart w:id="267" w:name="_Toc156373647"/>
      <w:bookmarkStart w:id="268" w:name="_Toc156373770"/>
      <w:bookmarkStart w:id="269" w:name="_Toc158088605"/>
      <w:bookmarkStart w:id="270" w:name="_Toc159743461"/>
      <w:bookmarkStart w:id="271" w:name="_Toc181002044"/>
      <w:bookmarkStart w:id="272" w:name="_Toc181010956"/>
      <w:r>
        <w:t>Notes</w:t>
      </w:r>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nSubsection"/>
        <w:rPr>
          <w:snapToGrid w:val="0"/>
        </w:rPr>
      </w:pPr>
      <w:r>
        <w:rPr>
          <w:snapToGrid w:val="0"/>
          <w:vertAlign w:val="superscript"/>
        </w:rPr>
        <w:t>1</w:t>
      </w:r>
      <w:r>
        <w:rPr>
          <w:snapToGrid w:val="0"/>
        </w:rPr>
        <w:tab/>
        <w:t xml:space="preserve">This </w:t>
      </w:r>
      <w:del w:id="273" w:author="Master Repository Process" w:date="2021-09-12T10:14:00Z">
        <w:r>
          <w:rPr>
            <w:snapToGrid w:val="0"/>
          </w:rPr>
          <w:delText xml:space="preserve">reprint </w:delText>
        </w:r>
      </w:del>
      <w:r>
        <w:rPr>
          <w:snapToGrid w:val="0"/>
        </w:rPr>
        <w:t>is a compilation</w:t>
      </w:r>
      <w:del w:id="274" w:author="Master Repository Process" w:date="2021-09-12T10:14:00Z">
        <w:r>
          <w:rPr>
            <w:snapToGrid w:val="0"/>
          </w:rPr>
          <w:delText xml:space="preserve"> as at 9 February 2007</w:delText>
        </w:r>
      </w:del>
      <w:r>
        <w:rPr>
          <w:snapToGrid w:val="0"/>
        </w:rPr>
        <w:t xml:space="preserve"> of the </w:t>
      </w:r>
      <w:r>
        <w:rPr>
          <w:i/>
          <w:noProof/>
          <w:snapToGrid w:val="0"/>
        </w:rPr>
        <w:t>Road Traffic (Towed Agricultural Implements)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5" w:name="_Toc181010957"/>
      <w:bookmarkStart w:id="276" w:name="_Toc159743462"/>
      <w:r>
        <w:rPr>
          <w:snapToGrid w:val="0"/>
        </w:rPr>
        <w:t>Compilation table</w:t>
      </w:r>
      <w:bookmarkEnd w:id="275"/>
      <w:bookmarkEnd w:id="276"/>
    </w:p>
    <w:tbl>
      <w:tblPr>
        <w:tblW w:w="0" w:type="auto"/>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nil"/>
            </w:tcBorders>
          </w:tcPr>
          <w:p>
            <w:pPr>
              <w:pStyle w:val="nTable"/>
              <w:spacing w:after="40"/>
              <w:rPr>
                <w:sz w:val="19"/>
              </w:rPr>
            </w:pPr>
            <w:r>
              <w:rPr>
                <w:i/>
                <w:sz w:val="19"/>
              </w:rPr>
              <w:t>Road Traffic (Towed Agricultural Implements) Regulations 1995</w:t>
            </w:r>
          </w:p>
        </w:tc>
        <w:tc>
          <w:tcPr>
            <w:tcW w:w="1276" w:type="dxa"/>
            <w:tcBorders>
              <w:top w:val="nil"/>
            </w:tcBorders>
          </w:tcPr>
          <w:p>
            <w:pPr>
              <w:pStyle w:val="nTable"/>
              <w:spacing w:after="40"/>
              <w:rPr>
                <w:sz w:val="19"/>
              </w:rPr>
            </w:pPr>
            <w:r>
              <w:rPr>
                <w:sz w:val="19"/>
              </w:rPr>
              <w:t>12 May 1995 p. 1809</w:t>
            </w:r>
            <w:r>
              <w:rPr>
                <w:sz w:val="19"/>
              </w:rPr>
              <w:noBreakHyphen/>
              <w:t>18</w:t>
            </w:r>
          </w:p>
        </w:tc>
        <w:tc>
          <w:tcPr>
            <w:tcW w:w="2693" w:type="dxa"/>
            <w:tcBorders>
              <w:top w:val="nil"/>
            </w:tcBorders>
          </w:tcPr>
          <w:p>
            <w:pPr>
              <w:pStyle w:val="nTable"/>
              <w:spacing w:after="40"/>
              <w:rPr>
                <w:sz w:val="19"/>
              </w:rPr>
            </w:pPr>
            <w:r>
              <w:rPr>
                <w:sz w:val="19"/>
              </w:rPr>
              <w:t>12 May 1995</w:t>
            </w:r>
          </w:p>
        </w:tc>
      </w:tr>
      <w:tr>
        <w:tc>
          <w:tcPr>
            <w:tcW w:w="3118" w:type="dxa"/>
          </w:tcPr>
          <w:p>
            <w:pPr>
              <w:pStyle w:val="nTable"/>
              <w:spacing w:after="40"/>
              <w:rPr>
                <w:sz w:val="19"/>
              </w:rPr>
            </w:pPr>
            <w:r>
              <w:rPr>
                <w:i/>
                <w:sz w:val="19"/>
              </w:rPr>
              <w:t>Road Traffic (Towed Agricultural Implements) Amendment Regulations 1997</w:t>
            </w:r>
          </w:p>
        </w:tc>
        <w:tc>
          <w:tcPr>
            <w:tcW w:w="1276" w:type="dxa"/>
          </w:tcPr>
          <w:p>
            <w:pPr>
              <w:pStyle w:val="nTable"/>
              <w:spacing w:after="40"/>
              <w:rPr>
                <w:sz w:val="19"/>
              </w:rPr>
            </w:pPr>
            <w:r>
              <w:rPr>
                <w:sz w:val="19"/>
              </w:rPr>
              <w:t>23 Dec 1997 p. 7459</w:t>
            </w:r>
            <w:r>
              <w:rPr>
                <w:sz w:val="19"/>
              </w:rPr>
              <w:noBreakHyphen/>
              <w:t>60</w:t>
            </w:r>
          </w:p>
        </w:tc>
        <w:tc>
          <w:tcPr>
            <w:tcW w:w="2693" w:type="dxa"/>
          </w:tcPr>
          <w:p>
            <w:pPr>
              <w:pStyle w:val="nTable"/>
              <w:spacing w:after="40"/>
              <w:rPr>
                <w:sz w:val="19"/>
              </w:rPr>
            </w:pPr>
            <w:r>
              <w:rPr>
                <w:sz w:val="19"/>
              </w:rPr>
              <w:t xml:space="preserve">1 Jan 1998 (see r. 2 and </w:t>
            </w:r>
            <w:r>
              <w:rPr>
                <w:i/>
                <w:sz w:val="19"/>
              </w:rPr>
              <w:t>Gazette</w:t>
            </w:r>
            <w:r>
              <w:rPr>
                <w:sz w:val="19"/>
              </w:rPr>
              <w:t xml:space="preserve"> 23 Dec 1997 p. 7400)</w:t>
            </w:r>
          </w:p>
        </w:tc>
      </w:tr>
      <w:tr>
        <w:tc>
          <w:tcPr>
            <w:tcW w:w="3118" w:type="dxa"/>
          </w:tcPr>
          <w:p>
            <w:pPr>
              <w:pStyle w:val="nTable"/>
              <w:spacing w:after="40"/>
              <w:rPr>
                <w:i/>
                <w:sz w:val="19"/>
              </w:rPr>
            </w:pPr>
            <w:r>
              <w:rPr>
                <w:i/>
                <w:sz w:val="19"/>
              </w:rPr>
              <w:t>Road Traffic (Towed Agricultural Implements) Amendment Regulations 1999</w:t>
            </w:r>
          </w:p>
        </w:tc>
        <w:tc>
          <w:tcPr>
            <w:tcW w:w="1276" w:type="dxa"/>
          </w:tcPr>
          <w:p>
            <w:pPr>
              <w:pStyle w:val="nTable"/>
              <w:spacing w:after="40"/>
              <w:rPr>
                <w:sz w:val="19"/>
              </w:rPr>
            </w:pPr>
            <w:r>
              <w:rPr>
                <w:sz w:val="19"/>
              </w:rPr>
              <w:t>15 Jan 1999 p. 117</w:t>
            </w:r>
            <w:r>
              <w:rPr>
                <w:sz w:val="19"/>
              </w:rPr>
              <w:noBreakHyphen/>
              <w:t>19</w:t>
            </w:r>
          </w:p>
        </w:tc>
        <w:tc>
          <w:tcPr>
            <w:tcW w:w="2693" w:type="dxa"/>
          </w:tcPr>
          <w:p>
            <w:pPr>
              <w:pStyle w:val="nTable"/>
              <w:spacing w:after="40"/>
              <w:rPr>
                <w:sz w:val="19"/>
              </w:rPr>
            </w:pPr>
            <w:r>
              <w:rPr>
                <w:sz w:val="19"/>
              </w:rPr>
              <w:t>15 Jan 1999</w:t>
            </w:r>
          </w:p>
        </w:tc>
      </w:tr>
      <w:tr>
        <w:tc>
          <w:tcPr>
            <w:tcW w:w="3118" w:type="dxa"/>
          </w:tcPr>
          <w:p>
            <w:pPr>
              <w:pStyle w:val="nTable"/>
              <w:spacing w:after="40"/>
              <w:rPr>
                <w:sz w:val="19"/>
              </w:rPr>
            </w:pPr>
            <w:r>
              <w:rPr>
                <w:i/>
                <w:sz w:val="19"/>
              </w:rPr>
              <w:t>Road Traffic (Vehicle Standards) (Consequential Provisions) Regulations 2002</w:t>
            </w:r>
            <w:r>
              <w:rPr>
                <w:sz w:val="19"/>
              </w:rPr>
              <w:t xml:space="preserve"> Pt. 5</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c>
          <w:tcPr>
            <w:tcW w:w="3118" w:type="dxa"/>
          </w:tcPr>
          <w:p>
            <w:pPr>
              <w:pStyle w:val="nTable"/>
              <w:spacing w:after="40"/>
              <w:rPr>
                <w:sz w:val="19"/>
              </w:rPr>
            </w:pPr>
            <w:r>
              <w:rPr>
                <w:i/>
                <w:sz w:val="19"/>
              </w:rPr>
              <w:t>Road Traffic (Vehicle Standards 2002) Amendment Regulations 2002</w:t>
            </w:r>
            <w:r>
              <w:rPr>
                <w:sz w:val="19"/>
              </w:rPr>
              <w:t xml:space="preserve"> r. 13(2)</w:t>
            </w:r>
          </w:p>
        </w:tc>
        <w:tc>
          <w:tcPr>
            <w:tcW w:w="1276" w:type="dxa"/>
          </w:tcPr>
          <w:p>
            <w:pPr>
              <w:pStyle w:val="nTable"/>
              <w:spacing w:after="40"/>
              <w:rPr>
                <w:sz w:val="19"/>
              </w:rPr>
            </w:pPr>
            <w:r>
              <w:rPr>
                <w:sz w:val="19"/>
              </w:rPr>
              <w:t>3 Jan 2003 p. 5</w:t>
            </w:r>
            <w:r>
              <w:rPr>
                <w:sz w:val="19"/>
              </w:rPr>
              <w:noBreakHyphen/>
              <w:t>11</w:t>
            </w:r>
          </w:p>
        </w:tc>
        <w:tc>
          <w:tcPr>
            <w:tcW w:w="2693" w:type="dxa"/>
          </w:tcPr>
          <w:p>
            <w:pPr>
              <w:pStyle w:val="nTable"/>
              <w:spacing w:after="40"/>
              <w:rPr>
                <w:sz w:val="19"/>
              </w:rPr>
            </w:pPr>
            <w:r>
              <w:rPr>
                <w:sz w:val="19"/>
              </w:rPr>
              <w:t>3 Jan 2003</w:t>
            </w:r>
          </w:p>
        </w:tc>
      </w:tr>
      <w:tr>
        <w:trPr>
          <w:cantSplit/>
        </w:trPr>
        <w:tc>
          <w:tcPr>
            <w:tcW w:w="7087" w:type="dxa"/>
            <w:gridSpan w:val="3"/>
          </w:tcPr>
          <w:p>
            <w:pPr>
              <w:pStyle w:val="nTable"/>
              <w:spacing w:after="40"/>
              <w:rPr>
                <w:sz w:val="19"/>
              </w:rPr>
            </w:pPr>
            <w:r>
              <w:rPr>
                <w:b/>
                <w:sz w:val="19"/>
              </w:rPr>
              <w:t xml:space="preserve">Reprint 1:  The </w:t>
            </w:r>
            <w:r>
              <w:rPr>
                <w:b/>
                <w:i/>
                <w:sz w:val="19"/>
              </w:rPr>
              <w:t>Road Traffic (Towed Agricultural Implements) Regulations 1995</w:t>
            </w:r>
            <w:r>
              <w:rPr>
                <w:b/>
                <w:sz w:val="19"/>
              </w:rPr>
              <w:t xml:space="preserve"> as at 9 May 2003 </w:t>
            </w:r>
            <w:r>
              <w:rPr>
                <w:sz w:val="19"/>
              </w:rPr>
              <w:t>(includes amendments listed above)</w:t>
            </w:r>
          </w:p>
        </w:tc>
      </w:tr>
      <w:tr>
        <w:tc>
          <w:tcPr>
            <w:tcW w:w="3118" w:type="dxa"/>
          </w:tcPr>
          <w:p>
            <w:pPr>
              <w:pStyle w:val="nTable"/>
              <w:spacing w:after="40"/>
              <w:rPr>
                <w:i/>
                <w:sz w:val="19"/>
              </w:rPr>
            </w:pPr>
            <w:r>
              <w:rPr>
                <w:i/>
                <w:sz w:val="19"/>
              </w:rPr>
              <w:t>Road Traffic (Towed Agricultural Implements) Amendment Regulations 2004</w:t>
            </w:r>
          </w:p>
        </w:tc>
        <w:tc>
          <w:tcPr>
            <w:tcW w:w="1276" w:type="dxa"/>
          </w:tcPr>
          <w:p>
            <w:pPr>
              <w:pStyle w:val="nTable"/>
              <w:spacing w:after="40"/>
              <w:rPr>
                <w:sz w:val="19"/>
              </w:rPr>
            </w:pPr>
            <w:r>
              <w:rPr>
                <w:sz w:val="19"/>
              </w:rPr>
              <w:t>27 Jul 2004 p. 3081</w:t>
            </w:r>
          </w:p>
        </w:tc>
        <w:tc>
          <w:tcPr>
            <w:tcW w:w="2693" w:type="dxa"/>
          </w:tcPr>
          <w:p>
            <w:pPr>
              <w:pStyle w:val="nTable"/>
              <w:spacing w:after="40"/>
              <w:rPr>
                <w:sz w:val="19"/>
              </w:rPr>
            </w:pPr>
            <w:r>
              <w:rPr>
                <w:sz w:val="19"/>
              </w:rPr>
              <w:t>27 Jul 2004</w:t>
            </w:r>
          </w:p>
        </w:tc>
      </w:tr>
      <w:tr>
        <w:tc>
          <w:tcPr>
            <w:tcW w:w="3118" w:type="dxa"/>
          </w:tcPr>
          <w:p>
            <w:pPr>
              <w:pStyle w:val="nTable"/>
              <w:spacing w:after="40"/>
              <w:rPr>
                <w:i/>
                <w:sz w:val="19"/>
              </w:rPr>
            </w:pPr>
            <w:r>
              <w:rPr>
                <w:i/>
                <w:sz w:val="19"/>
              </w:rPr>
              <w:t>Road Traffic (Towed Agricultural Implements) Amendment Regulations 2006</w:t>
            </w:r>
          </w:p>
        </w:tc>
        <w:tc>
          <w:tcPr>
            <w:tcW w:w="1276" w:type="dxa"/>
          </w:tcPr>
          <w:p>
            <w:pPr>
              <w:pStyle w:val="nTable"/>
              <w:spacing w:after="40"/>
              <w:rPr>
                <w:sz w:val="19"/>
              </w:rPr>
            </w:pPr>
            <w:r>
              <w:rPr>
                <w:sz w:val="19"/>
              </w:rPr>
              <w:t>24 Feb 2006 p. 884</w:t>
            </w:r>
            <w:r>
              <w:rPr>
                <w:sz w:val="19"/>
              </w:rPr>
              <w:noBreakHyphen/>
              <w:t>8</w:t>
            </w:r>
          </w:p>
        </w:tc>
        <w:tc>
          <w:tcPr>
            <w:tcW w:w="2693" w:type="dxa"/>
          </w:tcPr>
          <w:p>
            <w:pPr>
              <w:pStyle w:val="nTable"/>
              <w:spacing w:after="40"/>
              <w:rPr>
                <w:sz w:val="19"/>
              </w:rPr>
            </w:pPr>
            <w:r>
              <w:rPr>
                <w:sz w:val="19"/>
              </w:rPr>
              <w:t>24 Feb 2006</w:t>
            </w:r>
          </w:p>
        </w:tc>
      </w:tr>
      <w:tr>
        <w:tblPrEx>
          <w:tblBorders>
            <w:bottom w:val="none" w:sz="0" w:space="0" w:color="auto"/>
          </w:tblBorders>
        </w:tblPrEx>
        <w:tc>
          <w:tcPr>
            <w:tcW w:w="3118" w:type="dxa"/>
          </w:tcPr>
          <w:p>
            <w:pPr>
              <w:pStyle w:val="nTable"/>
              <w:spacing w:after="40"/>
              <w:rPr>
                <w:sz w:val="19"/>
              </w:rPr>
            </w:pPr>
            <w:r>
              <w:rPr>
                <w:i/>
                <w:sz w:val="19"/>
              </w:rPr>
              <w:t>Electricity Corporations (Consequential Amendments) Regulations 2006</w:t>
            </w:r>
            <w:r>
              <w:rPr>
                <w:iCs/>
                <w:sz w:val="19"/>
              </w:rPr>
              <w:t xml:space="preserve"> r. 85</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blPrEx>
          <w:tblBorders>
            <w:bottom w:val="none" w:sz="0" w:space="0" w:color="auto"/>
          </w:tblBorders>
        </w:tblPrEx>
        <w:tc>
          <w:tcPr>
            <w:tcW w:w="3118" w:type="dxa"/>
          </w:tcPr>
          <w:p>
            <w:pPr>
              <w:pStyle w:val="nTable"/>
              <w:spacing w:after="40"/>
              <w:rPr>
                <w:i/>
                <w:sz w:val="19"/>
              </w:rPr>
            </w:pPr>
            <w:r>
              <w:rPr>
                <w:i/>
                <w:sz w:val="19"/>
              </w:rPr>
              <w:t>Road Traffic (Towed Agricultural Implements) Amendment Regulations (No. 2) 2006</w:t>
            </w:r>
          </w:p>
        </w:tc>
        <w:tc>
          <w:tcPr>
            <w:tcW w:w="1276" w:type="dxa"/>
          </w:tcPr>
          <w:p>
            <w:pPr>
              <w:pStyle w:val="nTable"/>
              <w:spacing w:after="40"/>
              <w:rPr>
                <w:sz w:val="19"/>
              </w:rPr>
            </w:pPr>
            <w:r>
              <w:rPr>
                <w:sz w:val="19"/>
              </w:rPr>
              <w:t>28 Nov 2006 p. 4917</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blPrEx>
          <w:tblBorders>
            <w:bottom w:val="none" w:sz="0" w:space="0" w:color="auto"/>
          </w:tblBorders>
        </w:tblPrEx>
        <w:trPr>
          <w:cantSplit/>
        </w:trPr>
        <w:tc>
          <w:tcPr>
            <w:tcW w:w="7087" w:type="dxa"/>
            <w:gridSpan w:val="3"/>
          </w:tcPr>
          <w:p>
            <w:pPr>
              <w:pStyle w:val="nTable"/>
              <w:spacing w:after="40"/>
              <w:rPr>
                <w:sz w:val="19"/>
              </w:rPr>
            </w:pPr>
            <w:r>
              <w:rPr>
                <w:b/>
                <w:bCs/>
                <w:sz w:val="19"/>
              </w:rPr>
              <w:t xml:space="preserve">Reprint 2:  The </w:t>
            </w:r>
            <w:r>
              <w:rPr>
                <w:b/>
                <w:bCs/>
                <w:i/>
                <w:sz w:val="19"/>
              </w:rPr>
              <w:t>Road Traffic (Towed Agricultural Implements) Regulations 1995</w:t>
            </w:r>
            <w:r>
              <w:rPr>
                <w:b/>
                <w:bCs/>
                <w:sz w:val="19"/>
              </w:rPr>
              <w:t xml:space="preserve"> as at 9 Feb 2007</w:t>
            </w:r>
            <w:r>
              <w:rPr>
                <w:sz w:val="19"/>
              </w:rPr>
              <w:t xml:space="preserve"> (includes amendments listed above)</w:t>
            </w:r>
          </w:p>
        </w:tc>
      </w:tr>
      <w:tr>
        <w:tblPrEx>
          <w:tblBorders>
            <w:bottom w:val="none" w:sz="0" w:space="0" w:color="auto"/>
          </w:tblBorders>
        </w:tblPrEx>
        <w:trPr>
          <w:ins w:id="277" w:author="Master Repository Process" w:date="2021-09-12T10:14:00Z"/>
        </w:trPr>
        <w:tc>
          <w:tcPr>
            <w:tcW w:w="3118" w:type="dxa"/>
            <w:tcBorders>
              <w:bottom w:val="single" w:sz="4" w:space="0" w:color="auto"/>
            </w:tcBorders>
          </w:tcPr>
          <w:p>
            <w:pPr>
              <w:pStyle w:val="nTable"/>
              <w:spacing w:after="40"/>
              <w:rPr>
                <w:ins w:id="278" w:author="Master Repository Process" w:date="2021-09-12T10:14:00Z"/>
                <w:sz w:val="19"/>
              </w:rPr>
            </w:pPr>
            <w:ins w:id="279" w:author="Master Repository Process" w:date="2021-09-12T10:14:00Z">
              <w:r>
                <w:rPr>
                  <w:i/>
                  <w:sz w:val="19"/>
                </w:rPr>
                <w:t>Road Traffic (Towed Agricultural Implements) Amendment Regulations 2007</w:t>
              </w:r>
            </w:ins>
          </w:p>
        </w:tc>
        <w:tc>
          <w:tcPr>
            <w:tcW w:w="1276" w:type="dxa"/>
            <w:tcBorders>
              <w:bottom w:val="single" w:sz="4" w:space="0" w:color="auto"/>
            </w:tcBorders>
          </w:tcPr>
          <w:p>
            <w:pPr>
              <w:pStyle w:val="nTable"/>
              <w:spacing w:after="40"/>
              <w:rPr>
                <w:ins w:id="280" w:author="Master Repository Process" w:date="2021-09-12T10:14:00Z"/>
                <w:sz w:val="19"/>
              </w:rPr>
            </w:pPr>
            <w:ins w:id="281" w:author="Master Repository Process" w:date="2021-09-12T10:14:00Z">
              <w:r>
                <w:rPr>
                  <w:sz w:val="19"/>
                </w:rPr>
                <w:t>24 Oct 2007 p. 5647</w:t>
              </w:r>
              <w:r>
                <w:rPr>
                  <w:sz w:val="19"/>
                </w:rPr>
                <w:noBreakHyphen/>
                <w:t>8</w:t>
              </w:r>
            </w:ins>
          </w:p>
        </w:tc>
        <w:tc>
          <w:tcPr>
            <w:tcW w:w="2693" w:type="dxa"/>
            <w:tcBorders>
              <w:bottom w:val="single" w:sz="4" w:space="0" w:color="auto"/>
            </w:tcBorders>
          </w:tcPr>
          <w:p>
            <w:pPr>
              <w:pStyle w:val="nTable"/>
              <w:spacing w:after="40"/>
              <w:rPr>
                <w:ins w:id="282" w:author="Master Repository Process" w:date="2021-09-12T10:14:00Z"/>
                <w:sz w:val="19"/>
              </w:rPr>
            </w:pPr>
            <w:ins w:id="283" w:author="Master Repository Process" w:date="2021-09-12T10:14:00Z">
              <w:r>
                <w:rPr>
                  <w:sz w:val="19"/>
                </w:rPr>
                <w:t>r. 1 and 2: 24 Oct 2007 (see r. 2(a);</w:t>
              </w:r>
              <w:r>
                <w:rPr>
                  <w:sz w:val="19"/>
                </w:rPr>
                <w:br/>
                <w:t>Regulations other than r. 1 and 2: 25 Oct 2007 (see r. 2(b))</w:t>
              </w:r>
            </w:ins>
          </w:p>
        </w:tc>
      </w:tr>
    </w:tbl>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(Towed Agricultural Implements)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(Towed Agricultural Implements)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(Towed Agricultural Implements) Regulations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(Towed Agricultural Implements) Regulations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(Towed Agricultural Implements)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(Towed Agricultural Implements)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408"/>
    <w:docVar w:name="WAFER_20151209123408" w:val="RemoveTrackChanges"/>
    <w:docVar w:name="WAFER_20151209123408_GUID" w:val="5bf6e75c-61b2-4df8-9744-cc64ba8bc8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7BA872-8886-4724-BC43-FB6B21E1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5154</Words>
  <Characters>24486</Characters>
  <Application>Microsoft Office Word</Application>
  <DocSecurity>0</DocSecurity>
  <Lines>680</Lines>
  <Paragraphs>357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(Towed Agricultural Implements) Regulations 1995 02-a0-04 - 02-b0-04</dc:title>
  <dc:subject/>
  <dc:creator/>
  <cp:keywords/>
  <dc:description/>
  <cp:lastModifiedBy>Master Repository Process</cp:lastModifiedBy>
  <cp:revision>2</cp:revision>
  <cp:lastPrinted>2007-02-05T01:23:00Z</cp:lastPrinted>
  <dcterms:created xsi:type="dcterms:W3CDTF">2021-09-12T02:13:00Z</dcterms:created>
  <dcterms:modified xsi:type="dcterms:W3CDTF">2021-09-12T02:14:00Z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May 1995 pp.1809-18</vt:lpwstr>
  </property>
  <property fmtid="{D5CDD505-2E9C-101B-9397-08002B2CF9AE}" pid="3" name="CommencementDate">
    <vt:lpwstr>20071025</vt:lpwstr>
  </property>
  <property fmtid="{D5CDD505-2E9C-101B-9397-08002B2CF9AE}" pid="4" name="DocumentType">
    <vt:lpwstr>Reg</vt:lpwstr>
  </property>
  <property fmtid="{D5CDD505-2E9C-101B-9397-08002B2CF9AE}" pid="5" name="OwlsUID">
    <vt:i4>4757</vt:i4>
  </property>
  <property fmtid="{D5CDD505-2E9C-101B-9397-08002B2CF9AE}" pid="6" name="ReprintNo">
    <vt:lpwstr>2</vt:lpwstr>
  </property>
  <property fmtid="{D5CDD505-2E9C-101B-9397-08002B2CF9AE}" pid="7" name="FromSuffix">
    <vt:lpwstr>02-a0-04</vt:lpwstr>
  </property>
  <property fmtid="{D5CDD505-2E9C-101B-9397-08002B2CF9AE}" pid="8" name="FromAsAtDate">
    <vt:lpwstr>09 Feb 2007</vt:lpwstr>
  </property>
  <property fmtid="{D5CDD505-2E9C-101B-9397-08002B2CF9AE}" pid="9" name="ToSuffix">
    <vt:lpwstr>02-b0-04</vt:lpwstr>
  </property>
  <property fmtid="{D5CDD505-2E9C-101B-9397-08002B2CF9AE}" pid="10" name="ToAsAtDate">
    <vt:lpwstr>25 Oct 2007</vt:lpwstr>
  </property>
</Properties>
</file>