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2000</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27 Oct 2007</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0" w:name="_Toc378085917"/>
      <w:bookmarkStart w:id="1" w:name="_Toc125534396"/>
      <w:bookmarkStart w:id="2" w:name="_Toc126985531"/>
      <w:bookmarkStart w:id="3" w:name="_Toc126985617"/>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378085918"/>
      <w:bookmarkStart w:id="6" w:name="_Toc459093738"/>
      <w:bookmarkStart w:id="7" w:name="_Toc483366556"/>
      <w:bookmarkStart w:id="8" w:name="_Toc125534397"/>
      <w:bookmarkStart w:id="9" w:name="_Toc126985618"/>
      <w:r>
        <w:rPr>
          <w:rStyle w:val="CharSectno"/>
        </w:rPr>
        <w:t>1</w:t>
      </w:r>
      <w:r>
        <w:rPr>
          <w:snapToGrid w:val="0"/>
        </w:rPr>
        <w:t>.</w:t>
      </w:r>
      <w:r>
        <w:rPr>
          <w:snapToGrid w:val="0"/>
        </w:rPr>
        <w:tab/>
        <w:t>Citation</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0" w:name="_Toc378085919"/>
      <w:bookmarkStart w:id="11" w:name="_Toc459093739"/>
      <w:bookmarkStart w:id="12" w:name="_Toc483366557"/>
      <w:bookmarkStart w:id="13" w:name="_Toc125534398"/>
      <w:bookmarkStart w:id="14" w:name="_Toc126985619"/>
      <w:r>
        <w:rPr>
          <w:rStyle w:val="CharSectno"/>
        </w:rPr>
        <w:t>2</w:t>
      </w:r>
      <w:r>
        <w:rPr>
          <w:snapToGrid w:val="0"/>
        </w:rPr>
        <w:t>.</w:t>
      </w:r>
      <w:r>
        <w:rPr>
          <w:snapToGrid w:val="0"/>
        </w:rPr>
        <w:tab/>
        <w:t>Interpretation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del w:id="15" w:author="Master Repository Process" w:date="2021-07-31T15:45:00Z">
        <w:r>
          <w:rPr>
            <w:b/>
          </w:rPr>
          <w:delText>“</w:delText>
        </w:r>
      </w:del>
      <w:r>
        <w:rPr>
          <w:rStyle w:val="CharDefText"/>
        </w:rPr>
        <w:t>form</w:t>
      </w:r>
      <w:del w:id="16" w:author="Master Repository Process" w:date="2021-07-31T15:45:00Z">
        <w:r>
          <w:rPr>
            <w:b/>
          </w:rPr>
          <w:delText>”</w:delText>
        </w:r>
      </w:del>
      <w:r>
        <w:t xml:space="preserve"> means appropriate form set out in the First Schedule;</w:t>
      </w:r>
    </w:p>
    <w:p>
      <w:pPr>
        <w:pStyle w:val="Defstart"/>
      </w:pPr>
      <w:r>
        <w:rPr>
          <w:b/>
        </w:rPr>
        <w:tab/>
      </w:r>
      <w:del w:id="17" w:author="Master Repository Process" w:date="2021-07-31T15:45:00Z">
        <w:r>
          <w:rPr>
            <w:b/>
          </w:rPr>
          <w:delText>“</w:delText>
        </w:r>
      </w:del>
      <w:r>
        <w:rPr>
          <w:rStyle w:val="CharDefText"/>
        </w:rPr>
        <w:t>identification mark</w:t>
      </w:r>
      <w:del w:id="18" w:author="Master Repository Process" w:date="2021-07-31T15:45:00Z">
        <w:r>
          <w:rPr>
            <w:b/>
          </w:rPr>
          <w:delText>”</w:delText>
        </w:r>
        <w:r>
          <w:delText>,</w:delText>
        </w:r>
      </w:del>
      <w:ins w:id="19" w:author="Master Repository Process" w:date="2021-07-31T15:45:00Z">
        <w:r>
          <w:t>,</w:t>
        </w:r>
      </w:ins>
      <w:r>
        <w:t xml:space="preserve">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del w:id="20" w:author="Master Repository Process" w:date="2021-07-31T15:45:00Z">
        <w:r>
          <w:rPr>
            <w:b/>
          </w:rPr>
          <w:delText>“</w:delText>
        </w:r>
      </w:del>
      <w:r>
        <w:rPr>
          <w:rStyle w:val="CharDefText"/>
        </w:rPr>
        <w:t>motor cycle</w:t>
      </w:r>
      <w:del w:id="21" w:author="Master Repository Process" w:date="2021-07-31T15:45:00Z">
        <w:r>
          <w:rPr>
            <w:b/>
          </w:rPr>
          <w:delText>”</w:delText>
        </w:r>
      </w:del>
      <w:r>
        <w:t xml:space="preserve"> means motor cycle as defined in the </w:t>
      </w:r>
      <w:del w:id="22" w:author="Master Repository Process" w:date="2021-07-31T15:45:00Z">
        <w:r>
          <w:delText xml:space="preserve">First Schedule to the </w:delText>
        </w:r>
      </w:del>
      <w:r>
        <w:rPr>
          <w:i/>
          <w:iCs/>
        </w:rPr>
        <w:t xml:space="preserve">Road Traffic </w:t>
      </w:r>
      <w:del w:id="23" w:author="Master Repository Process" w:date="2021-07-31T15:45:00Z">
        <w:r>
          <w:rPr>
            <w:i/>
          </w:rPr>
          <w:delText>Act 1974</w:delText>
        </w:r>
        <w:r>
          <w:delText>;</w:delText>
        </w:r>
      </w:del>
      <w:ins w:id="24" w:author="Master Repository Process" w:date="2021-07-31T15:45:00Z">
        <w:r>
          <w:rPr>
            <w:i/>
            <w:iCs/>
          </w:rPr>
          <w:t>(Licensing) Regulations 1975</w:t>
        </w:r>
        <w:r>
          <w:t xml:space="preserve"> regulation 3(1);</w:t>
        </w:r>
      </w:ins>
    </w:p>
    <w:p>
      <w:pPr>
        <w:pStyle w:val="Defstart"/>
      </w:pPr>
      <w:r>
        <w:rPr>
          <w:b/>
        </w:rPr>
        <w:tab/>
      </w:r>
      <w:del w:id="25" w:author="Master Repository Process" w:date="2021-07-31T15:45:00Z">
        <w:r>
          <w:rPr>
            <w:b/>
          </w:rPr>
          <w:delText>“</w:delText>
        </w:r>
      </w:del>
      <w:r>
        <w:rPr>
          <w:rStyle w:val="CharDefText"/>
        </w:rPr>
        <w:t>number plate</w:t>
      </w:r>
      <w:del w:id="26" w:author="Master Repository Process" w:date="2021-07-31T15:45:00Z">
        <w:r>
          <w:rPr>
            <w:b/>
          </w:rPr>
          <w:delText>”</w:delText>
        </w:r>
      </w:del>
      <w:r>
        <w:t xml:space="preserve"> means number plate issued under section 29(2);</w:t>
      </w:r>
    </w:p>
    <w:p>
      <w:pPr>
        <w:pStyle w:val="Defstart"/>
      </w:pPr>
      <w:r>
        <w:rPr>
          <w:b/>
        </w:rPr>
        <w:tab/>
      </w:r>
      <w:del w:id="27" w:author="Master Repository Process" w:date="2021-07-31T15:45:00Z">
        <w:r>
          <w:rPr>
            <w:b/>
          </w:rPr>
          <w:delText>“</w:delText>
        </w:r>
      </w:del>
      <w:r>
        <w:rPr>
          <w:rStyle w:val="CharDefText"/>
        </w:rPr>
        <w:t>registered vehicle</w:t>
      </w:r>
      <w:del w:id="28" w:author="Master Repository Process" w:date="2021-07-31T15:45:00Z">
        <w:r>
          <w:rPr>
            <w:b/>
          </w:rPr>
          <w:delText>”</w:delText>
        </w:r>
      </w:del>
      <w:r>
        <w:t xml:space="preserve"> means vehicle registered under section 29; </w:t>
      </w:r>
    </w:p>
    <w:p>
      <w:pPr>
        <w:pStyle w:val="Defstart"/>
      </w:pPr>
      <w:r>
        <w:rPr>
          <w:b/>
        </w:rPr>
        <w:tab/>
      </w:r>
      <w:del w:id="29" w:author="Master Repository Process" w:date="2021-07-31T15:45:00Z">
        <w:r>
          <w:rPr>
            <w:b/>
          </w:rPr>
          <w:delText>“</w:delText>
        </w:r>
      </w:del>
      <w:r>
        <w:rPr>
          <w:rStyle w:val="CharDefText"/>
        </w:rPr>
        <w:t>registration certificate</w:t>
      </w:r>
      <w:del w:id="30" w:author="Master Repository Process" w:date="2021-07-31T15:45:00Z">
        <w:r>
          <w:rPr>
            <w:b/>
          </w:rPr>
          <w:delText>”</w:delText>
        </w:r>
      </w:del>
      <w:r>
        <w:t xml:space="preserve"> means certificate of registration issued under section 29(2);</w:t>
      </w:r>
    </w:p>
    <w:p>
      <w:pPr>
        <w:pStyle w:val="Defstart"/>
      </w:pPr>
      <w:r>
        <w:rPr>
          <w:b/>
        </w:rPr>
        <w:tab/>
      </w:r>
      <w:del w:id="31" w:author="Master Repository Process" w:date="2021-07-31T15:45:00Z">
        <w:r>
          <w:rPr>
            <w:b/>
          </w:rPr>
          <w:delText>“</w:delText>
        </w:r>
      </w:del>
      <w:r>
        <w:rPr>
          <w:rStyle w:val="CharDefText"/>
        </w:rPr>
        <w:t>registration number</w:t>
      </w:r>
      <w:del w:id="32" w:author="Master Repository Process" w:date="2021-07-31T15:45:00Z">
        <w:r>
          <w:rPr>
            <w:b/>
          </w:rPr>
          <w:delText>”</w:delText>
        </w:r>
        <w:r>
          <w:delText>,</w:delText>
        </w:r>
      </w:del>
      <w:ins w:id="33" w:author="Master Repository Process" w:date="2021-07-31T15:45:00Z">
        <w:r>
          <w:t>,</w:t>
        </w:r>
      </w:ins>
      <w:r>
        <w:t xml:space="preserve"> in relation to a vehicle, means symbols or numbers or symbols and numbers allotted to the vehicle under section 29(2);</w:t>
      </w:r>
    </w:p>
    <w:p>
      <w:pPr>
        <w:pStyle w:val="Defstart"/>
      </w:pPr>
      <w:r>
        <w:rPr>
          <w:b/>
        </w:rPr>
        <w:lastRenderedPageBreak/>
        <w:tab/>
      </w:r>
      <w:del w:id="34" w:author="Master Repository Process" w:date="2021-07-31T15:45:00Z">
        <w:r>
          <w:rPr>
            <w:b/>
          </w:rPr>
          <w:delText>“</w:delText>
        </w:r>
      </w:del>
      <w:r>
        <w:rPr>
          <w:rStyle w:val="CharDefText"/>
        </w:rPr>
        <w:t>regulation</w:t>
      </w:r>
      <w:del w:id="35" w:author="Master Repository Process" w:date="2021-07-31T15:45:00Z">
        <w:r>
          <w:rPr>
            <w:b/>
          </w:rPr>
          <w:delText>”</w:delText>
        </w:r>
      </w:del>
      <w:r>
        <w:t xml:space="preserve"> means regulation of these regulations;</w:t>
      </w:r>
    </w:p>
    <w:p>
      <w:pPr>
        <w:pStyle w:val="Defstart"/>
      </w:pPr>
      <w:r>
        <w:rPr>
          <w:b/>
        </w:rPr>
        <w:tab/>
      </w:r>
      <w:del w:id="36" w:author="Master Repository Process" w:date="2021-07-31T15:45:00Z">
        <w:r>
          <w:rPr>
            <w:b/>
          </w:rPr>
          <w:delText>“</w:delText>
        </w:r>
      </w:del>
      <w:r>
        <w:rPr>
          <w:rStyle w:val="CharDefText"/>
        </w:rPr>
        <w:t>Schedule</w:t>
      </w:r>
      <w:del w:id="37" w:author="Master Repository Process" w:date="2021-07-31T15:45:00Z">
        <w:r>
          <w:rPr>
            <w:b/>
          </w:rPr>
          <w:delText>”</w:delText>
        </w:r>
      </w:del>
      <w:r>
        <w:t xml:space="preserve"> means Schedule to these regulations;</w:t>
      </w:r>
    </w:p>
    <w:p>
      <w:pPr>
        <w:pStyle w:val="Defstart"/>
      </w:pPr>
      <w:r>
        <w:rPr>
          <w:b/>
        </w:rPr>
        <w:tab/>
      </w:r>
      <w:del w:id="38" w:author="Master Repository Process" w:date="2021-07-31T15:45:00Z">
        <w:r>
          <w:rPr>
            <w:b/>
          </w:rPr>
          <w:delText>“</w:delText>
        </w:r>
      </w:del>
      <w:r>
        <w:rPr>
          <w:rStyle w:val="CharDefText"/>
        </w:rPr>
        <w:t>section</w:t>
      </w:r>
      <w:del w:id="39" w:author="Master Repository Process" w:date="2021-07-31T15:45:00Z">
        <w:r>
          <w:rPr>
            <w:b/>
          </w:rPr>
          <w:delText>”</w:delText>
        </w:r>
      </w:del>
      <w:r>
        <w:t xml:space="preserve"> means section of the Act;</w:t>
      </w:r>
    </w:p>
    <w:p>
      <w:pPr>
        <w:pStyle w:val="Defstart"/>
      </w:pPr>
      <w:r>
        <w:rPr>
          <w:b/>
        </w:rPr>
        <w:tab/>
      </w:r>
      <w:del w:id="40" w:author="Master Repository Process" w:date="2021-07-31T15:45:00Z">
        <w:r>
          <w:rPr>
            <w:b/>
          </w:rPr>
          <w:delText>“</w:delText>
        </w:r>
      </w:del>
      <w:r>
        <w:rPr>
          <w:rStyle w:val="CharDefText"/>
        </w:rPr>
        <w:t>subregulation</w:t>
      </w:r>
      <w:del w:id="41" w:author="Master Repository Process" w:date="2021-07-31T15:45:00Z">
        <w:r>
          <w:rPr>
            <w:b/>
          </w:rPr>
          <w:delText>”</w:delText>
        </w:r>
      </w:del>
      <w:r>
        <w:t xml:space="preserve"> means subregulation of the regulation in which the term appears;</w:t>
      </w:r>
    </w:p>
    <w:p>
      <w:pPr>
        <w:pStyle w:val="Defstart"/>
      </w:pPr>
      <w:r>
        <w:rPr>
          <w:b/>
        </w:rPr>
        <w:tab/>
      </w:r>
      <w:del w:id="42" w:author="Master Repository Process" w:date="2021-07-31T15:45:00Z">
        <w:r>
          <w:rPr>
            <w:b/>
          </w:rPr>
          <w:delText>“</w:delText>
        </w:r>
      </w:del>
      <w:r>
        <w:rPr>
          <w:rStyle w:val="CharDefText"/>
        </w:rPr>
        <w:t>the Act</w:t>
      </w:r>
      <w:del w:id="43" w:author="Master Repository Process" w:date="2021-07-31T15:45:00Z">
        <w:r>
          <w:rPr>
            <w:b/>
          </w:rPr>
          <w:delText>”</w:delText>
        </w:r>
      </w:del>
      <w:r>
        <w:t xml:space="preserve"> means the </w:t>
      </w:r>
      <w:r>
        <w:rPr>
          <w:i/>
        </w:rPr>
        <w:t>Control of Vehicles (Off</w:t>
      </w:r>
      <w:r>
        <w:rPr>
          <w:i/>
        </w:rPr>
        <w:noBreakHyphen/>
        <w:t>road Areas) Act 1978</w:t>
      </w:r>
      <w:r>
        <w:t>.</w:t>
      </w:r>
    </w:p>
    <w:p>
      <w:pPr>
        <w:pStyle w:val="Footnotesection"/>
        <w:rPr>
          <w:ins w:id="44" w:author="Master Repository Process" w:date="2021-07-31T15:45:00Z"/>
        </w:rPr>
      </w:pPr>
      <w:ins w:id="45" w:author="Master Repository Process" w:date="2021-07-31T15:45:00Z">
        <w:r>
          <w:tab/>
          <w:t>[Regulation 2 amended in Gazette 26 Oct 2007 p. 5655.]</w:t>
        </w:r>
      </w:ins>
    </w:p>
    <w:p>
      <w:pPr>
        <w:pStyle w:val="Heading2"/>
      </w:pPr>
      <w:bookmarkStart w:id="46" w:name="_Toc378085920"/>
      <w:bookmarkStart w:id="47" w:name="_Toc125534399"/>
      <w:bookmarkStart w:id="48" w:name="_Toc126985534"/>
      <w:bookmarkStart w:id="49" w:name="_Toc1269856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46"/>
      <w:bookmarkEnd w:id="47"/>
      <w:bookmarkEnd w:id="48"/>
      <w:bookmarkEnd w:id="49"/>
      <w:r>
        <w:rPr>
          <w:rStyle w:val="CharPartText"/>
        </w:rPr>
        <w:t xml:space="preserve"> </w:t>
      </w:r>
    </w:p>
    <w:p>
      <w:pPr>
        <w:pStyle w:val="Heading5"/>
        <w:spacing w:before="120"/>
        <w:rPr>
          <w:snapToGrid w:val="0"/>
        </w:rPr>
      </w:pPr>
      <w:bookmarkStart w:id="50" w:name="_Toc378085921"/>
      <w:bookmarkStart w:id="51" w:name="_Toc459093740"/>
      <w:bookmarkStart w:id="52" w:name="_Toc483366558"/>
      <w:bookmarkStart w:id="53" w:name="_Toc125534400"/>
      <w:bookmarkStart w:id="54" w:name="_Toc126985621"/>
      <w:r>
        <w:rPr>
          <w:rStyle w:val="CharSectno"/>
        </w:rPr>
        <w:t>3</w:t>
      </w:r>
      <w:r>
        <w:rPr>
          <w:snapToGrid w:val="0"/>
        </w:rPr>
        <w:t>.</w:t>
      </w:r>
      <w:r>
        <w:rPr>
          <w:snapToGrid w:val="0"/>
        </w:rPr>
        <w:tab/>
        <w:t>Notices relating to suspension of registration</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55" w:name="_Toc378085922"/>
      <w:bookmarkStart w:id="56" w:name="_Toc459093741"/>
      <w:bookmarkStart w:id="57" w:name="_Toc483366559"/>
      <w:bookmarkStart w:id="58" w:name="_Toc125534401"/>
      <w:bookmarkStart w:id="59" w:name="_Toc126985622"/>
      <w:r>
        <w:rPr>
          <w:rStyle w:val="CharSectno"/>
        </w:rPr>
        <w:t>4</w:t>
      </w:r>
      <w:r>
        <w:rPr>
          <w:snapToGrid w:val="0"/>
        </w:rPr>
        <w:t>.</w:t>
      </w:r>
      <w:r>
        <w:rPr>
          <w:snapToGrid w:val="0"/>
        </w:rPr>
        <w:tab/>
        <w:t>Proof of ownership and age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February 1982 p.395; 31 January 1997 p.673.] </w:t>
      </w:r>
    </w:p>
    <w:p>
      <w:pPr>
        <w:pStyle w:val="Heading5"/>
        <w:spacing w:before="120"/>
        <w:rPr>
          <w:snapToGrid w:val="0"/>
        </w:rPr>
      </w:pPr>
      <w:bookmarkStart w:id="60" w:name="_Toc378085923"/>
      <w:bookmarkStart w:id="61" w:name="_Toc459093742"/>
      <w:bookmarkStart w:id="62" w:name="_Toc483366560"/>
      <w:bookmarkStart w:id="63" w:name="_Toc125534402"/>
      <w:bookmarkStart w:id="64" w:name="_Toc126985623"/>
      <w:r>
        <w:rPr>
          <w:rStyle w:val="CharSectno"/>
        </w:rPr>
        <w:t>5</w:t>
      </w:r>
      <w:r>
        <w:rPr>
          <w:snapToGrid w:val="0"/>
        </w:rPr>
        <w:t>.</w:t>
      </w:r>
      <w:r>
        <w:rPr>
          <w:snapToGrid w:val="0"/>
        </w:rPr>
        <w:tab/>
        <w:t>Registration fee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July 1983 p.2510.] </w:t>
      </w:r>
    </w:p>
    <w:p>
      <w:pPr>
        <w:pStyle w:val="Heading5"/>
        <w:spacing w:before="120"/>
        <w:rPr>
          <w:snapToGrid w:val="0"/>
        </w:rPr>
      </w:pPr>
      <w:bookmarkStart w:id="65" w:name="_Toc378085924"/>
      <w:bookmarkStart w:id="66" w:name="_Toc459093743"/>
      <w:bookmarkStart w:id="67" w:name="_Toc483366561"/>
      <w:bookmarkStart w:id="68" w:name="_Toc125534403"/>
      <w:bookmarkStart w:id="69" w:name="_Toc126985624"/>
      <w:r>
        <w:rPr>
          <w:rStyle w:val="CharSectno"/>
        </w:rPr>
        <w:t>6</w:t>
      </w:r>
      <w:r>
        <w:rPr>
          <w:snapToGrid w:val="0"/>
        </w:rPr>
        <w:t>.</w:t>
      </w:r>
      <w:r>
        <w:rPr>
          <w:snapToGrid w:val="0"/>
        </w:rPr>
        <w:tab/>
        <w:t>Number plate fee</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July 1983 p.2510.] </w:t>
      </w:r>
    </w:p>
    <w:p>
      <w:pPr>
        <w:pStyle w:val="Heading5"/>
        <w:spacing w:before="120"/>
        <w:rPr>
          <w:snapToGrid w:val="0"/>
        </w:rPr>
      </w:pPr>
      <w:bookmarkStart w:id="70" w:name="_Toc378085925"/>
      <w:bookmarkStart w:id="71" w:name="_Toc459093744"/>
      <w:bookmarkStart w:id="72" w:name="_Toc483366562"/>
      <w:bookmarkStart w:id="73" w:name="_Toc125534404"/>
      <w:bookmarkStart w:id="74" w:name="_Toc126985625"/>
      <w:r>
        <w:rPr>
          <w:rStyle w:val="CharSectno"/>
        </w:rPr>
        <w:t>6A</w:t>
      </w:r>
      <w:r>
        <w:rPr>
          <w:snapToGrid w:val="0"/>
        </w:rPr>
        <w:t>.</w:t>
      </w:r>
      <w:r>
        <w:rPr>
          <w:snapToGrid w:val="0"/>
        </w:rPr>
        <w:tab/>
        <w:t>Renewal of registration fee</w:t>
      </w:r>
      <w:bookmarkEnd w:id="70"/>
      <w:bookmarkEnd w:id="71"/>
      <w:bookmarkEnd w:id="72"/>
      <w:bookmarkEnd w:id="73"/>
      <w:bookmarkEnd w:id="74"/>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July 1983 p.2510.] </w:t>
      </w:r>
    </w:p>
    <w:p>
      <w:pPr>
        <w:pStyle w:val="Heading5"/>
        <w:rPr>
          <w:snapToGrid w:val="0"/>
        </w:rPr>
      </w:pPr>
      <w:bookmarkStart w:id="75" w:name="_Toc378085926"/>
      <w:bookmarkStart w:id="76" w:name="_Toc459093745"/>
      <w:bookmarkStart w:id="77" w:name="_Toc483366563"/>
      <w:bookmarkStart w:id="78" w:name="_Toc125534405"/>
      <w:bookmarkStart w:id="79" w:name="_Toc126985626"/>
      <w:r>
        <w:rPr>
          <w:rStyle w:val="CharSectno"/>
        </w:rPr>
        <w:t>7</w:t>
      </w:r>
      <w:r>
        <w:rPr>
          <w:snapToGrid w:val="0"/>
        </w:rPr>
        <w:t>.</w:t>
      </w:r>
      <w:r>
        <w:rPr>
          <w:snapToGrid w:val="0"/>
        </w:rPr>
        <w:tab/>
        <w:t>Certificates of registration to be carried on vehicles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80" w:name="_Toc378085927"/>
      <w:bookmarkStart w:id="81" w:name="_Toc459093746"/>
      <w:bookmarkStart w:id="82" w:name="_Toc483366564"/>
      <w:bookmarkStart w:id="83" w:name="_Toc125534406"/>
      <w:bookmarkStart w:id="84" w:name="_Toc126985627"/>
      <w:r>
        <w:rPr>
          <w:rStyle w:val="CharSectno"/>
        </w:rPr>
        <w:t>8</w:t>
      </w:r>
      <w:r>
        <w:rPr>
          <w:snapToGrid w:val="0"/>
        </w:rPr>
        <w:t>.</w:t>
      </w:r>
      <w:r>
        <w:rPr>
          <w:snapToGrid w:val="0"/>
        </w:rPr>
        <w:tab/>
        <w:t>Duplicates or certified copies of certificates of registration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it is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del w:id="85" w:author="Master Repository Process" w:date="2021-07-31T15:45:00Z">
        <w:r>
          <w:rPr>
            <w:b/>
          </w:rPr>
          <w:delText>“</w:delText>
        </w:r>
      </w:del>
      <w:r>
        <w:rPr>
          <w:rStyle w:val="CharDefText"/>
        </w:rPr>
        <w:t>damaged</w:t>
      </w:r>
      <w:del w:id="86" w:author="Master Repository Process" w:date="2021-07-31T15:45:00Z">
        <w:r>
          <w:rPr>
            <w:b/>
          </w:rPr>
          <w:delText>”</w:delText>
        </w:r>
      </w:del>
      <w:r>
        <w:t xml:space="preserve"> includes rendered illegible.</w:t>
      </w:r>
    </w:p>
    <w:p>
      <w:pPr>
        <w:pStyle w:val="Footnotesection"/>
      </w:pPr>
      <w:r>
        <w:tab/>
        <w:t xml:space="preserve">[Regulation 8 amended in Gazette 2 February 1982 p.395; 31 January 1997 p.673.] </w:t>
      </w:r>
    </w:p>
    <w:p>
      <w:pPr>
        <w:pStyle w:val="Heading5"/>
        <w:rPr>
          <w:snapToGrid w:val="0"/>
        </w:rPr>
      </w:pPr>
      <w:bookmarkStart w:id="87" w:name="_Toc378085928"/>
      <w:bookmarkStart w:id="88" w:name="_Toc459093747"/>
      <w:bookmarkStart w:id="89" w:name="_Toc483366565"/>
      <w:bookmarkStart w:id="90" w:name="_Toc125534407"/>
      <w:bookmarkStart w:id="91" w:name="_Toc126985628"/>
      <w:r>
        <w:rPr>
          <w:rStyle w:val="CharSectno"/>
        </w:rPr>
        <w:t>9</w:t>
      </w:r>
      <w:r>
        <w:rPr>
          <w:snapToGrid w:val="0"/>
        </w:rPr>
        <w:t>.</w:t>
      </w:r>
      <w:r>
        <w:rPr>
          <w:snapToGrid w:val="0"/>
        </w:rPr>
        <w:tab/>
        <w:t>Transfer fee</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July 1983 p.2510.] </w:t>
      </w:r>
    </w:p>
    <w:p>
      <w:pPr>
        <w:pStyle w:val="Heading5"/>
        <w:rPr>
          <w:snapToGrid w:val="0"/>
        </w:rPr>
      </w:pPr>
      <w:bookmarkStart w:id="92" w:name="_Toc378085929"/>
      <w:bookmarkStart w:id="93" w:name="_Toc459093748"/>
      <w:bookmarkStart w:id="94" w:name="_Toc483366566"/>
      <w:bookmarkStart w:id="95" w:name="_Toc125534408"/>
      <w:bookmarkStart w:id="96" w:name="_Toc126985629"/>
      <w:r>
        <w:rPr>
          <w:rStyle w:val="CharSectno"/>
        </w:rPr>
        <w:t>10</w:t>
      </w:r>
      <w:r>
        <w:rPr>
          <w:snapToGrid w:val="0"/>
        </w:rPr>
        <w:t>.</w:t>
      </w:r>
      <w:r>
        <w:rPr>
          <w:snapToGrid w:val="0"/>
        </w:rPr>
        <w:tab/>
        <w:t>Refund fee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97" w:name="_Toc378085930"/>
      <w:bookmarkStart w:id="98" w:name="_Toc459093749"/>
      <w:bookmarkStart w:id="99" w:name="_Toc483366567"/>
      <w:bookmarkStart w:id="100" w:name="_Toc125534409"/>
      <w:bookmarkStart w:id="101" w:name="_Toc126985630"/>
      <w:r>
        <w:rPr>
          <w:rStyle w:val="CharSectno"/>
        </w:rPr>
        <w:t>11</w:t>
      </w:r>
      <w:r>
        <w:rPr>
          <w:snapToGrid w:val="0"/>
        </w:rPr>
        <w:t>.</w:t>
      </w:r>
      <w:r>
        <w:rPr>
          <w:snapToGrid w:val="0"/>
        </w:rPr>
        <w:tab/>
        <w:t>Notification of change of address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February 1982 p.395; 31 January 1997 p.673.] </w:t>
      </w:r>
    </w:p>
    <w:p>
      <w:pPr>
        <w:pStyle w:val="Heading5"/>
        <w:rPr>
          <w:snapToGrid w:val="0"/>
        </w:rPr>
      </w:pPr>
      <w:bookmarkStart w:id="102" w:name="_Toc378085931"/>
      <w:bookmarkStart w:id="103" w:name="_Toc459093750"/>
      <w:bookmarkStart w:id="104" w:name="_Toc483366568"/>
      <w:bookmarkStart w:id="105" w:name="_Toc125534410"/>
      <w:bookmarkStart w:id="106" w:name="_Toc126985631"/>
      <w:r>
        <w:rPr>
          <w:rStyle w:val="CharSectno"/>
        </w:rPr>
        <w:t>12</w:t>
      </w:r>
      <w:r>
        <w:rPr>
          <w:snapToGrid w:val="0"/>
        </w:rPr>
        <w:t>.</w:t>
      </w:r>
      <w:r>
        <w:rPr>
          <w:snapToGrid w:val="0"/>
        </w:rPr>
        <w:tab/>
        <w:t>Replacement of lost, damaged or dilapidated number plates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February 1982 p.395; 31 January 1997 p.673.] </w:t>
      </w:r>
    </w:p>
    <w:p>
      <w:pPr>
        <w:pStyle w:val="Heading5"/>
        <w:rPr>
          <w:snapToGrid w:val="0"/>
        </w:rPr>
      </w:pPr>
      <w:bookmarkStart w:id="107" w:name="_Toc378085932"/>
      <w:bookmarkStart w:id="108" w:name="_Toc459093751"/>
      <w:bookmarkStart w:id="109" w:name="_Toc483366569"/>
      <w:bookmarkStart w:id="110" w:name="_Toc125534411"/>
      <w:bookmarkStart w:id="111" w:name="_Toc126985632"/>
      <w:r>
        <w:rPr>
          <w:rStyle w:val="CharSectno"/>
        </w:rPr>
        <w:t>13</w:t>
      </w:r>
      <w:r>
        <w:rPr>
          <w:snapToGrid w:val="0"/>
        </w:rPr>
        <w:t>.</w:t>
      </w:r>
      <w:r>
        <w:rPr>
          <w:snapToGrid w:val="0"/>
        </w:rPr>
        <w:tab/>
        <w:t>Positioning and legibility of number plates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112" w:name="_Toc378085933"/>
      <w:bookmarkStart w:id="113" w:name="_Toc459093752"/>
      <w:bookmarkStart w:id="114" w:name="_Toc483366570"/>
      <w:bookmarkStart w:id="115" w:name="_Toc125534412"/>
      <w:bookmarkStart w:id="116" w:name="_Toc126985633"/>
      <w:r>
        <w:rPr>
          <w:rStyle w:val="CharSectno"/>
        </w:rPr>
        <w:t>14</w:t>
      </w:r>
      <w:r>
        <w:rPr>
          <w:snapToGrid w:val="0"/>
        </w:rPr>
        <w:t>.</w:t>
      </w:r>
      <w:r>
        <w:rPr>
          <w:snapToGrid w:val="0"/>
        </w:rPr>
        <w:tab/>
        <w:t>Authorised officer may seize and take possession of number plates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February 1982 p.395; 31 January 1997 p.673.] </w:t>
      </w:r>
    </w:p>
    <w:p>
      <w:pPr>
        <w:pStyle w:val="Heading5"/>
        <w:rPr>
          <w:snapToGrid w:val="0"/>
        </w:rPr>
      </w:pPr>
      <w:bookmarkStart w:id="117" w:name="_Toc378085934"/>
      <w:bookmarkStart w:id="118" w:name="_Toc459093753"/>
      <w:bookmarkStart w:id="119" w:name="_Toc483366571"/>
      <w:bookmarkStart w:id="120" w:name="_Toc125534413"/>
      <w:bookmarkStart w:id="121" w:name="_Toc126985634"/>
      <w:r>
        <w:rPr>
          <w:rStyle w:val="CharSectno"/>
        </w:rPr>
        <w:t>15</w:t>
      </w:r>
      <w:r>
        <w:rPr>
          <w:snapToGrid w:val="0"/>
        </w:rPr>
        <w:t>.</w:t>
      </w:r>
      <w:r>
        <w:rPr>
          <w:snapToGrid w:val="0"/>
        </w:rPr>
        <w:tab/>
        <w:t>Allotment of identification marks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February 1982 p.395; 31 January 1997 p.673.] </w:t>
      </w:r>
    </w:p>
    <w:p>
      <w:pPr>
        <w:pStyle w:val="Heading5"/>
        <w:rPr>
          <w:snapToGrid w:val="0"/>
        </w:rPr>
      </w:pPr>
      <w:bookmarkStart w:id="122" w:name="_Toc378085935"/>
      <w:bookmarkStart w:id="123" w:name="_Toc459093754"/>
      <w:bookmarkStart w:id="124" w:name="_Toc483366572"/>
      <w:bookmarkStart w:id="125" w:name="_Toc125534414"/>
      <w:bookmarkStart w:id="126" w:name="_Toc126985635"/>
      <w:r>
        <w:rPr>
          <w:rStyle w:val="CharSectno"/>
        </w:rPr>
        <w:t>16</w:t>
      </w:r>
      <w:r>
        <w:rPr>
          <w:snapToGrid w:val="0"/>
        </w:rPr>
        <w:t>.</w:t>
      </w:r>
      <w:r>
        <w:rPr>
          <w:snapToGrid w:val="0"/>
        </w:rPr>
        <w:tab/>
        <w:t>Notification of change of identification mark</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February 1982 p.395; 31 January 1997 p.673.] </w:t>
      </w:r>
    </w:p>
    <w:p>
      <w:pPr>
        <w:pStyle w:val="Heading5"/>
        <w:rPr>
          <w:snapToGrid w:val="0"/>
        </w:rPr>
      </w:pPr>
      <w:bookmarkStart w:id="127" w:name="_Toc378085936"/>
      <w:bookmarkStart w:id="128" w:name="_Toc459093755"/>
      <w:bookmarkStart w:id="129" w:name="_Toc483366573"/>
      <w:bookmarkStart w:id="130" w:name="_Toc125534415"/>
      <w:bookmarkStart w:id="131" w:name="_Toc126985636"/>
      <w:r>
        <w:rPr>
          <w:rStyle w:val="CharSectno"/>
        </w:rPr>
        <w:t>17</w:t>
      </w:r>
      <w:r>
        <w:rPr>
          <w:snapToGrid w:val="0"/>
        </w:rPr>
        <w:t>.</w:t>
      </w:r>
      <w:r>
        <w:rPr>
          <w:snapToGrid w:val="0"/>
        </w:rPr>
        <w:tab/>
        <w:t>Duties in connection with identification marks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February 1982 p.395; 31 January 1997 p.673.] </w:t>
      </w:r>
    </w:p>
    <w:p>
      <w:pPr>
        <w:pStyle w:val="Heading2"/>
      </w:pPr>
      <w:bookmarkStart w:id="132" w:name="_Toc378085937"/>
      <w:bookmarkStart w:id="133" w:name="_Toc125534416"/>
      <w:bookmarkStart w:id="134" w:name="_Toc126985551"/>
      <w:bookmarkStart w:id="135" w:name="_Toc1269856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132"/>
      <w:bookmarkEnd w:id="133"/>
      <w:bookmarkEnd w:id="134"/>
      <w:bookmarkEnd w:id="135"/>
      <w:r>
        <w:rPr>
          <w:rStyle w:val="CharPartText"/>
        </w:rPr>
        <w:t xml:space="preserve"> </w:t>
      </w:r>
    </w:p>
    <w:p>
      <w:pPr>
        <w:pStyle w:val="Heading5"/>
        <w:rPr>
          <w:snapToGrid w:val="0"/>
        </w:rPr>
      </w:pPr>
      <w:bookmarkStart w:id="136" w:name="_Toc378085938"/>
      <w:bookmarkStart w:id="137" w:name="_Toc459093756"/>
      <w:bookmarkStart w:id="138" w:name="_Toc483366574"/>
      <w:bookmarkStart w:id="139" w:name="_Toc125534417"/>
      <w:bookmarkStart w:id="140" w:name="_Toc126985638"/>
      <w:r>
        <w:rPr>
          <w:rStyle w:val="CharSectno"/>
        </w:rPr>
        <w:t>18</w:t>
      </w:r>
      <w:r>
        <w:rPr>
          <w:snapToGrid w:val="0"/>
        </w:rPr>
        <w:t>.</w:t>
      </w:r>
      <w:r>
        <w:rPr>
          <w:snapToGrid w:val="0"/>
        </w:rPr>
        <w:tab/>
        <w:t>Period for recovery of detained vehicles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141" w:name="_Toc378085939"/>
      <w:bookmarkStart w:id="142" w:name="_Toc459093757"/>
      <w:bookmarkStart w:id="143" w:name="_Toc483366575"/>
      <w:bookmarkStart w:id="144" w:name="_Toc125534418"/>
      <w:bookmarkStart w:id="145" w:name="_Toc126985639"/>
      <w:r>
        <w:rPr>
          <w:rStyle w:val="CharSectno"/>
        </w:rPr>
        <w:t>19</w:t>
      </w:r>
      <w:r>
        <w:rPr>
          <w:snapToGrid w:val="0"/>
        </w:rPr>
        <w:t>.</w:t>
      </w:r>
      <w:r>
        <w:rPr>
          <w:snapToGrid w:val="0"/>
        </w:rPr>
        <w:tab/>
        <w:t>Sale or disposal of unclaimed vehicles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General or a council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When the Director General or a council is empowered by section 42(2) to dispose of or sell a vehicle referred to in subregulation (1), the Director General or the council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If an offer for the purchase of a vehicle offered for sale under subregulation (2) is not made at the time of public auction of that vehicle or within a reasonable time after the making of that offer for sale by public tender, as the case may be, the Director General or council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February 1982 p.395; 31 January 1997 p.673.] </w:t>
      </w:r>
    </w:p>
    <w:p>
      <w:pPr>
        <w:pStyle w:val="Heading5"/>
        <w:rPr>
          <w:snapToGrid w:val="0"/>
        </w:rPr>
      </w:pPr>
      <w:bookmarkStart w:id="146" w:name="_Toc378085940"/>
      <w:bookmarkStart w:id="147" w:name="_Toc459093758"/>
      <w:bookmarkStart w:id="148" w:name="_Toc483366576"/>
      <w:bookmarkStart w:id="149" w:name="_Toc125534419"/>
      <w:bookmarkStart w:id="150" w:name="_Toc126985640"/>
      <w:r>
        <w:rPr>
          <w:rStyle w:val="CharSectno"/>
        </w:rPr>
        <w:t>20</w:t>
      </w:r>
      <w:r>
        <w:rPr>
          <w:snapToGrid w:val="0"/>
        </w:rPr>
        <w:t>.</w:t>
      </w:r>
      <w:r>
        <w:rPr>
          <w:snapToGrid w:val="0"/>
        </w:rPr>
        <w:tab/>
        <w:t>Proceeds of sale of unclaimed vehicles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General or a council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Subject to subregulation (3) any surplus funds remaining after the Director General or a council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rPr>
          <w:snapToGrid w:val="0"/>
        </w:rPr>
      </w:pPr>
      <w:r>
        <w:rPr>
          <w:snapToGrid w:val="0"/>
        </w:rPr>
        <w:tab/>
        <w:t>(b)</w:t>
      </w:r>
      <w:r>
        <w:rPr>
          <w:snapToGrid w:val="0"/>
        </w:rPr>
        <w:tab/>
        <w:t xml:space="preserve">in the case of a sale effected by the council, be paid by the council into a trust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The Director General or a council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rPr>
          <w:snapToGrid w:val="0"/>
        </w:rPr>
      </w:pPr>
      <w:r>
        <w:rPr>
          <w:snapToGrid w:val="0"/>
        </w:rPr>
        <w:tab/>
        <w:t>(ii)</w:t>
      </w:r>
      <w:r>
        <w:rPr>
          <w:snapToGrid w:val="0"/>
        </w:rPr>
        <w:tab/>
        <w:t xml:space="preserve">in the case of the council, into its municipal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20 amended in Gazette 2 February 1982 p.395; 31 January 1997 p.673.] </w:t>
      </w:r>
    </w:p>
    <w:p>
      <w:pPr>
        <w:pStyle w:val="Heading5"/>
        <w:rPr>
          <w:snapToGrid w:val="0"/>
        </w:rPr>
      </w:pPr>
      <w:bookmarkStart w:id="151" w:name="_Toc378085941"/>
      <w:bookmarkStart w:id="152" w:name="_Toc459093759"/>
      <w:bookmarkStart w:id="153" w:name="_Toc483366577"/>
      <w:bookmarkStart w:id="154" w:name="_Toc125534420"/>
      <w:bookmarkStart w:id="155" w:name="_Toc126985641"/>
      <w:r>
        <w:rPr>
          <w:rStyle w:val="CharSectno"/>
        </w:rPr>
        <w:t>21</w:t>
      </w:r>
      <w:r>
        <w:rPr>
          <w:snapToGrid w:val="0"/>
        </w:rPr>
        <w:t>.</w:t>
      </w:r>
      <w:r>
        <w:rPr>
          <w:snapToGrid w:val="0"/>
        </w:rPr>
        <w:tab/>
        <w:t>Recovery of costs through court proceedings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February 1982 p.395; 31 January 1997 p.673.] </w:t>
      </w:r>
    </w:p>
    <w:p>
      <w:pPr>
        <w:pStyle w:val="Heading2"/>
      </w:pPr>
      <w:bookmarkStart w:id="156" w:name="_Toc378085942"/>
      <w:bookmarkStart w:id="157" w:name="_Toc125534421"/>
      <w:bookmarkStart w:id="158" w:name="_Toc126985556"/>
      <w:bookmarkStart w:id="159" w:name="_Toc126985642"/>
      <w:r>
        <w:rPr>
          <w:rStyle w:val="CharPartNo"/>
        </w:rPr>
        <w:t>Part IV</w:t>
      </w:r>
      <w:r>
        <w:rPr>
          <w:rStyle w:val="CharDivNo"/>
        </w:rPr>
        <w:t> </w:t>
      </w:r>
      <w:r>
        <w:t>—</w:t>
      </w:r>
      <w:r>
        <w:rPr>
          <w:rStyle w:val="CharDivText"/>
        </w:rPr>
        <w:t> </w:t>
      </w:r>
      <w:r>
        <w:rPr>
          <w:rStyle w:val="CharPartText"/>
        </w:rPr>
        <w:t>Safety requirements</w:t>
      </w:r>
      <w:bookmarkEnd w:id="156"/>
      <w:bookmarkEnd w:id="157"/>
      <w:bookmarkEnd w:id="158"/>
      <w:bookmarkEnd w:id="159"/>
      <w:r>
        <w:rPr>
          <w:rStyle w:val="CharPartText"/>
        </w:rPr>
        <w:t xml:space="preserve"> </w:t>
      </w:r>
    </w:p>
    <w:p>
      <w:pPr>
        <w:pStyle w:val="Heading5"/>
        <w:rPr>
          <w:snapToGrid w:val="0"/>
        </w:rPr>
      </w:pPr>
      <w:bookmarkStart w:id="160" w:name="_Toc378085943"/>
      <w:bookmarkStart w:id="161" w:name="_Toc459093760"/>
      <w:bookmarkStart w:id="162" w:name="_Toc483366578"/>
      <w:bookmarkStart w:id="163" w:name="_Toc125534422"/>
      <w:bookmarkStart w:id="164" w:name="_Toc126985643"/>
      <w:r>
        <w:rPr>
          <w:rStyle w:val="CharSectno"/>
        </w:rPr>
        <w:t>22</w:t>
      </w:r>
      <w:r>
        <w:rPr>
          <w:snapToGrid w:val="0"/>
        </w:rPr>
        <w:t>.</w:t>
      </w:r>
      <w:r>
        <w:rPr>
          <w:snapToGrid w:val="0"/>
        </w:rPr>
        <w:tab/>
        <w:t>Prescribed safety requirements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rPr>
          <w:snapToGrid w:val="0"/>
        </w:rPr>
      </w:pPr>
      <w:bookmarkStart w:id="165" w:name="_Toc378085944"/>
      <w:bookmarkStart w:id="166" w:name="_Toc459093761"/>
      <w:bookmarkStart w:id="167" w:name="_Toc483366579"/>
      <w:bookmarkStart w:id="168" w:name="_Toc125534423"/>
      <w:bookmarkStart w:id="169" w:name="_Toc126985644"/>
      <w:r>
        <w:rPr>
          <w:rStyle w:val="CharSectno"/>
        </w:rPr>
        <w:t>22A</w:t>
      </w:r>
      <w:r>
        <w:rPr>
          <w:snapToGrid w:val="0"/>
        </w:rPr>
        <w:t>.</w:t>
      </w:r>
      <w:r>
        <w:rPr>
          <w:snapToGrid w:val="0"/>
        </w:rPr>
        <w:tab/>
        <w:t>Seat belts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For the purposes of section 9A a vehicle to which that section applies shall be equipped — </w:t>
      </w:r>
    </w:p>
    <w:p>
      <w:pPr>
        <w:pStyle w:val="Indenta"/>
        <w:rPr>
          <w:snapToGrid w:val="0"/>
        </w:rPr>
      </w:pPr>
      <w:r>
        <w:rPr>
          <w:snapToGrid w:val="0"/>
        </w:rPr>
        <w:tab/>
        <w:t>(a)</w:t>
      </w:r>
      <w:r>
        <w:rPr>
          <w:snapToGrid w:val="0"/>
        </w:rPr>
        <w:tab/>
        <w:t xml:space="preserve">with seat belts and seat belt anchorage points in accordance with the Australian Design Rules specified in relation to seat belts and seat belt anchorage points in the </w:t>
      </w:r>
      <w:r>
        <w:rPr>
          <w:i/>
          <w:snapToGrid w:val="0"/>
        </w:rPr>
        <w:t>Road Traffic (Vehicle Standards) Regulations 1977</w:t>
      </w:r>
      <w:r>
        <w:rPr>
          <w:snapToGrid w:val="0"/>
        </w:rPr>
        <w:t xml:space="preserve"> made under the </w:t>
      </w:r>
      <w:r>
        <w:rPr>
          <w:i/>
          <w:snapToGrid w:val="0"/>
        </w:rPr>
        <w:t>Road Traffic Act 1974</w:t>
      </w:r>
      <w:r>
        <w:rPr>
          <w:snapToGrid w:val="0"/>
        </w:rPr>
        <w:t>; or</w:t>
      </w:r>
    </w:p>
    <w:p>
      <w:pPr>
        <w:pStyle w:val="Indenta"/>
        <w:rPr>
          <w:snapToGrid w:val="0"/>
        </w:rPr>
      </w:pPr>
      <w:r>
        <w:rPr>
          <w:snapToGrid w:val="0"/>
        </w:rPr>
        <w:tab/>
        <w:t>(b)</w:t>
      </w:r>
      <w:r>
        <w:rPr>
          <w:snapToGrid w:val="0"/>
        </w:rPr>
        <w:tab/>
        <w:t xml:space="preserve">if the vehicle is not required under the </w:t>
      </w:r>
      <w:r>
        <w:rPr>
          <w:i/>
          <w:snapToGrid w:val="0"/>
        </w:rPr>
        <w:t>Road Traffic (Vehicle Standards) Regulations 1977</w:t>
      </w:r>
      <w:r>
        <w:rPr>
          <w:snapToGrid w:val="0"/>
        </w:rPr>
        <w:t xml:space="preserve"> to be equipped with seat belts prescribed under those regulations and is not so equipped, with — </w:t>
      </w:r>
    </w:p>
    <w:p>
      <w:pPr>
        <w:pStyle w:val="Indenti"/>
        <w:rPr>
          <w:snapToGrid w:val="0"/>
        </w:rPr>
      </w:pPr>
      <w:r>
        <w:rPr>
          <w:snapToGrid w:val="0"/>
        </w:rPr>
        <w:tab/>
        <w:t>(i)</w:t>
      </w:r>
      <w:r>
        <w:rPr>
          <w:snapToGrid w:val="0"/>
        </w:rPr>
        <w:tab/>
        <w:t>lap belts conforming to the standards and specifications in AS 2596</w:t>
      </w:r>
      <w:r>
        <w:rPr>
          <w:snapToGrid w:val="0"/>
        </w:rPr>
        <w:noBreakHyphen/>
        <w:t>1983; and</w:t>
      </w:r>
    </w:p>
    <w:p>
      <w:pPr>
        <w:pStyle w:val="Indenti"/>
        <w:rPr>
          <w:snapToGrid w:val="0"/>
        </w:rPr>
      </w:pPr>
      <w:r>
        <w:rPr>
          <w:snapToGrid w:val="0"/>
        </w:rPr>
        <w:tab/>
        <w:t>(ii)</w:t>
      </w:r>
      <w:r>
        <w:rPr>
          <w:snapToGrid w:val="0"/>
        </w:rPr>
        <w:tab/>
        <w:t>seat belt anchorage points located so as to provide for the effective operation of the seat belt including adequate torso support and otherwise conforming to the standards and specifications in AS 2596</w:t>
      </w:r>
      <w:r>
        <w:rPr>
          <w:snapToGrid w:val="0"/>
        </w:rPr>
        <w:noBreakHyphen/>
        <w:t>1983.</w:t>
      </w:r>
    </w:p>
    <w:p>
      <w:pPr>
        <w:pStyle w:val="Footnotesection"/>
      </w:pPr>
      <w:r>
        <w:tab/>
        <w:t xml:space="preserve">[Regulation 22A inserted in Gazette 8 November 1985 p.4294.] </w:t>
      </w:r>
    </w:p>
    <w:p>
      <w:pPr>
        <w:pStyle w:val="Heading5"/>
        <w:rPr>
          <w:snapToGrid w:val="0"/>
        </w:rPr>
      </w:pPr>
      <w:bookmarkStart w:id="170" w:name="_Toc378085945"/>
      <w:bookmarkStart w:id="171" w:name="_Toc459093762"/>
      <w:bookmarkStart w:id="172" w:name="_Toc483366580"/>
      <w:bookmarkStart w:id="173" w:name="_Toc125534424"/>
      <w:bookmarkStart w:id="174" w:name="_Toc126985645"/>
      <w:r>
        <w:rPr>
          <w:rStyle w:val="CharSectno"/>
        </w:rPr>
        <w:t>22B</w:t>
      </w:r>
      <w:r>
        <w:rPr>
          <w:snapToGrid w:val="0"/>
        </w:rPr>
        <w:t>.</w:t>
      </w:r>
      <w:r>
        <w:rPr>
          <w:snapToGrid w:val="0"/>
        </w:rPr>
        <w:tab/>
        <w:t>Protective helmets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For the purposes of section 9C a protective helmet shall be of a type and standard specified in AS 1698</w:t>
      </w:r>
      <w:r>
        <w:rPr>
          <w:snapToGrid w:val="0"/>
        </w:rPr>
        <w:noBreakHyphen/>
        <w:t>1980.</w:t>
      </w:r>
    </w:p>
    <w:p>
      <w:pPr>
        <w:pStyle w:val="Footnotesection"/>
      </w:pPr>
      <w:r>
        <w:tab/>
        <w:t xml:space="preserve">[Regulation 22B inserted in Gazette 8 November 1985 p.4294.] </w:t>
      </w:r>
    </w:p>
    <w:p>
      <w:pPr>
        <w:pStyle w:val="Heading5"/>
        <w:rPr>
          <w:snapToGrid w:val="0"/>
        </w:rPr>
      </w:pPr>
      <w:bookmarkStart w:id="175" w:name="_Toc378085946"/>
      <w:bookmarkStart w:id="176" w:name="_Toc459093763"/>
      <w:bookmarkStart w:id="177" w:name="_Toc483366581"/>
      <w:bookmarkStart w:id="178" w:name="_Toc125534425"/>
      <w:bookmarkStart w:id="179" w:name="_Toc126985646"/>
      <w:r>
        <w:rPr>
          <w:rStyle w:val="CharSectno"/>
        </w:rPr>
        <w:t>22C</w:t>
      </w:r>
      <w:r>
        <w:rPr>
          <w:snapToGrid w:val="0"/>
        </w:rPr>
        <w:t>.</w:t>
      </w:r>
      <w:r>
        <w:rPr>
          <w:snapToGrid w:val="0"/>
        </w:rPr>
        <w:tab/>
        <w:t>Interpretation</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180" w:author="Master Repository Process" w:date="2021-07-31T15:45:00Z">
        <w:r>
          <w:rPr>
            <w:b/>
          </w:rPr>
          <w:delText>“</w:delText>
        </w:r>
      </w:del>
      <w:r>
        <w:rPr>
          <w:rStyle w:val="CharDefText"/>
        </w:rPr>
        <w:t>AS 1698</w:t>
      </w:r>
      <w:r>
        <w:rPr>
          <w:rStyle w:val="CharDefText"/>
        </w:rPr>
        <w:noBreakHyphen/>
        <w:t>1980</w:t>
      </w:r>
      <w:del w:id="181" w:author="Master Repository Process" w:date="2021-07-31T15:45:00Z">
        <w:r>
          <w:rPr>
            <w:b/>
          </w:rPr>
          <w:delText>”</w:delText>
        </w:r>
      </w:del>
      <w:r>
        <w:t xml:space="preserve"> means Australian Standard 1698</w:t>
      </w:r>
      <w:r>
        <w:noBreakHyphen/>
        <w:t>1980 “Protective Helmets for Vehicle Users” published by the Standards Association of Australia;</w:t>
      </w:r>
    </w:p>
    <w:p>
      <w:pPr>
        <w:pStyle w:val="Defstart"/>
      </w:pPr>
      <w:r>
        <w:rPr>
          <w:b/>
        </w:rPr>
        <w:tab/>
      </w:r>
      <w:del w:id="182" w:author="Master Repository Process" w:date="2021-07-31T15:45:00Z">
        <w:r>
          <w:rPr>
            <w:b/>
          </w:rPr>
          <w:delText>“</w:delText>
        </w:r>
      </w:del>
      <w:r>
        <w:rPr>
          <w:rStyle w:val="CharDefText"/>
        </w:rPr>
        <w:t>AS 2596</w:t>
      </w:r>
      <w:r>
        <w:rPr>
          <w:rStyle w:val="CharDefText"/>
        </w:rPr>
        <w:noBreakHyphen/>
        <w:t>1983</w:t>
      </w:r>
      <w:del w:id="183" w:author="Master Repository Process" w:date="2021-07-31T15:45:00Z">
        <w:r>
          <w:rPr>
            <w:b/>
          </w:rPr>
          <w:delText>”</w:delText>
        </w:r>
      </w:del>
      <w:r>
        <w:t xml:space="preserve"> means Australian Standard 2596</w:t>
      </w:r>
      <w:r>
        <w:noBreakHyphen/>
        <w:t>1983 “Seat</w:t>
      </w:r>
      <w:r>
        <w:noBreakHyphen/>
        <w:t>Belt Assemblies For Motor Vehicles” published by the Standards Association of Australia.</w:t>
      </w:r>
    </w:p>
    <w:p>
      <w:pPr>
        <w:pStyle w:val="Footnotesection"/>
      </w:pPr>
      <w:r>
        <w:tab/>
        <w:t xml:space="preserve">[Regulation 22C inserted in Gazette 8 November 1985 p.4294.] </w:t>
      </w:r>
    </w:p>
    <w:p>
      <w:pPr>
        <w:pStyle w:val="Heading2"/>
      </w:pPr>
      <w:bookmarkStart w:id="184" w:name="_Toc378085947"/>
      <w:bookmarkStart w:id="185" w:name="_Toc125534426"/>
      <w:bookmarkStart w:id="186" w:name="_Toc126985561"/>
      <w:bookmarkStart w:id="187" w:name="_Toc126985647"/>
      <w:r>
        <w:rPr>
          <w:rStyle w:val="CharPartNo"/>
        </w:rPr>
        <w:t>Part V</w:t>
      </w:r>
      <w:r>
        <w:rPr>
          <w:rStyle w:val="CharDivNo"/>
        </w:rPr>
        <w:t> </w:t>
      </w:r>
      <w:r>
        <w:t>—</w:t>
      </w:r>
      <w:r>
        <w:rPr>
          <w:rStyle w:val="CharDivText"/>
        </w:rPr>
        <w:t> </w:t>
      </w:r>
      <w:r>
        <w:rPr>
          <w:rStyle w:val="CharPartText"/>
        </w:rPr>
        <w:t>Control of noise</w:t>
      </w:r>
      <w:bookmarkEnd w:id="184"/>
      <w:bookmarkEnd w:id="185"/>
      <w:bookmarkEnd w:id="186"/>
      <w:bookmarkEnd w:id="187"/>
      <w:r>
        <w:rPr>
          <w:rStyle w:val="CharPartText"/>
        </w:rPr>
        <w:t xml:space="preserve"> </w:t>
      </w:r>
    </w:p>
    <w:p>
      <w:pPr>
        <w:pStyle w:val="Heading5"/>
        <w:rPr>
          <w:snapToGrid w:val="0"/>
        </w:rPr>
      </w:pPr>
      <w:bookmarkStart w:id="188" w:name="_Toc378085948"/>
      <w:bookmarkStart w:id="189" w:name="_Toc459093764"/>
      <w:bookmarkStart w:id="190" w:name="_Toc483366582"/>
      <w:bookmarkStart w:id="191" w:name="_Toc125534427"/>
      <w:bookmarkStart w:id="192" w:name="_Toc126985648"/>
      <w:r>
        <w:rPr>
          <w:rStyle w:val="CharSectno"/>
        </w:rPr>
        <w:t>23</w:t>
      </w:r>
      <w:r>
        <w:rPr>
          <w:snapToGrid w:val="0"/>
        </w:rPr>
        <w:t>.</w:t>
      </w:r>
      <w:r>
        <w:rPr>
          <w:snapToGrid w:val="0"/>
        </w:rPr>
        <w:tab/>
        <w:t>Interpretation in Part V</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del w:id="193" w:author="Master Repository Process" w:date="2021-07-31T15:45:00Z">
        <w:r>
          <w:rPr>
            <w:b/>
          </w:rPr>
          <w:delText>“</w:delText>
        </w:r>
      </w:del>
      <w:r>
        <w:rPr>
          <w:rStyle w:val="CharDefText"/>
        </w:rPr>
        <w:t>ambient noise</w:t>
      </w:r>
      <w:del w:id="194" w:author="Master Repository Process" w:date="2021-07-31T15:45:00Z">
        <w:r>
          <w:rPr>
            <w:b/>
          </w:rPr>
          <w:delText>”</w:delText>
        </w:r>
      </w:del>
      <w:r>
        <w:t xml:space="preserve"> means noise, other than noise emitted by a vehicle being tested under this Part, recorded at the test site concerned at the time of that test;</w:t>
      </w:r>
    </w:p>
    <w:p>
      <w:pPr>
        <w:pStyle w:val="Defstart"/>
      </w:pPr>
      <w:r>
        <w:rPr>
          <w:b/>
        </w:rPr>
        <w:tab/>
      </w:r>
      <w:del w:id="195" w:author="Master Repository Process" w:date="2021-07-31T15:45:00Z">
        <w:r>
          <w:rPr>
            <w:b/>
          </w:rPr>
          <w:delText>“</w:delText>
        </w:r>
      </w:del>
      <w:r>
        <w:rPr>
          <w:rStyle w:val="CharDefText"/>
        </w:rPr>
        <w:t>dB(A</w:t>
      </w:r>
      <w:del w:id="196" w:author="Master Repository Process" w:date="2021-07-31T15:45:00Z">
        <w:r>
          <w:rPr>
            <w:rStyle w:val="CharDefText"/>
          </w:rPr>
          <w:delText>)</w:delText>
        </w:r>
        <w:r>
          <w:rPr>
            <w:b/>
          </w:rPr>
          <w:delText>”</w:delText>
        </w:r>
      </w:del>
      <w:ins w:id="197" w:author="Master Repository Process" w:date="2021-07-31T15:45:00Z">
        <w:r>
          <w:rPr>
            <w:rStyle w:val="CharDefText"/>
          </w:rPr>
          <w:t>)</w:t>
        </w:r>
      </w:ins>
      <w:r>
        <w:t xml:space="preserve"> means reading in decibels on a sound level meter using the A</w:t>
      </w:r>
      <w:r>
        <w:noBreakHyphen/>
        <w:t>weighting network specified in standard B;</w:t>
      </w:r>
    </w:p>
    <w:p>
      <w:pPr>
        <w:pStyle w:val="Defstart"/>
      </w:pPr>
      <w:r>
        <w:rPr>
          <w:b/>
        </w:rPr>
        <w:tab/>
      </w:r>
      <w:del w:id="198" w:author="Master Repository Process" w:date="2021-07-31T15:45:00Z">
        <w:r>
          <w:rPr>
            <w:b/>
          </w:rPr>
          <w:delText>“</w:delText>
        </w:r>
      </w:del>
      <w:r>
        <w:rPr>
          <w:rStyle w:val="CharDefText"/>
        </w:rPr>
        <w:t>standard A</w:t>
      </w:r>
      <w:del w:id="199" w:author="Master Repository Process" w:date="2021-07-31T15:45:00Z">
        <w:r>
          <w:rPr>
            <w:b/>
          </w:rPr>
          <w:delText>”</w:delText>
        </w:r>
      </w:del>
      <w:r>
        <w:t xml:space="preserve"> means Australian Standard 1259, Part 1 — 1976, “Sound Level Meters — Type 1, General Purpose”, published by the Standards Association of Australia;</w:t>
      </w:r>
    </w:p>
    <w:p>
      <w:pPr>
        <w:pStyle w:val="Defstart"/>
      </w:pPr>
      <w:r>
        <w:rPr>
          <w:b/>
        </w:rPr>
        <w:tab/>
      </w:r>
      <w:del w:id="200" w:author="Master Repository Process" w:date="2021-07-31T15:45:00Z">
        <w:r>
          <w:rPr>
            <w:b/>
          </w:rPr>
          <w:delText>“</w:delText>
        </w:r>
      </w:del>
      <w:r>
        <w:rPr>
          <w:rStyle w:val="CharDefText"/>
        </w:rPr>
        <w:t>standard B</w:t>
      </w:r>
      <w:del w:id="201" w:author="Master Repository Process" w:date="2021-07-31T15:45:00Z">
        <w:r>
          <w:rPr>
            <w:b/>
          </w:rPr>
          <w:delText>”</w:delText>
        </w:r>
      </w:del>
      <w:r>
        <w:t xml:space="preserve"> means Australian Standard 1259, Part 2 — 1976, “Sound Level Meters — Type 2, Precision”, published by the Standards Association of Australia;</w:t>
      </w:r>
    </w:p>
    <w:p>
      <w:pPr>
        <w:pStyle w:val="Subsection"/>
      </w:pPr>
      <w:r>
        <w:tab/>
        <w:t>(2)</w:t>
      </w:r>
      <w:r>
        <w:tab/>
        <w:t>Whenever the dB abbreviation is used in this Part, a value relative to a sound pressure of 20 micropascals is implied.</w:t>
      </w:r>
    </w:p>
    <w:p>
      <w:pPr>
        <w:pStyle w:val="Heading5"/>
        <w:rPr>
          <w:snapToGrid w:val="0"/>
        </w:rPr>
      </w:pPr>
      <w:bookmarkStart w:id="202" w:name="_Toc378085949"/>
      <w:bookmarkStart w:id="203" w:name="_Toc459093765"/>
      <w:bookmarkStart w:id="204" w:name="_Toc483366583"/>
      <w:bookmarkStart w:id="205" w:name="_Toc125534428"/>
      <w:bookmarkStart w:id="206" w:name="_Toc126985649"/>
      <w:r>
        <w:rPr>
          <w:rStyle w:val="CharSectno"/>
        </w:rPr>
        <w:t>24</w:t>
      </w:r>
      <w:r>
        <w:rPr>
          <w:snapToGrid w:val="0"/>
        </w:rPr>
        <w:t>.</w:t>
      </w:r>
      <w:r>
        <w:rPr>
          <w:snapToGrid w:val="0"/>
        </w:rPr>
        <w:tab/>
        <w:t>Prescribed noise requirements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207" w:name="_Toc378085950"/>
      <w:bookmarkStart w:id="208" w:name="_Toc459093766"/>
      <w:bookmarkStart w:id="209" w:name="_Toc483366584"/>
      <w:bookmarkStart w:id="210" w:name="_Toc125534429"/>
      <w:bookmarkStart w:id="211" w:name="_Toc126985650"/>
      <w:r>
        <w:rPr>
          <w:rStyle w:val="CharSectno"/>
        </w:rPr>
        <w:t>25</w:t>
      </w:r>
      <w:r>
        <w:rPr>
          <w:snapToGrid w:val="0"/>
        </w:rPr>
        <w:t>.</w:t>
      </w:r>
      <w:r>
        <w:rPr>
          <w:snapToGrid w:val="0"/>
        </w:rPr>
        <w:tab/>
        <w:t>Maximum permissible noise levels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212" w:name="_Toc378085951"/>
      <w:bookmarkStart w:id="213" w:name="_Toc459093767"/>
      <w:bookmarkStart w:id="214" w:name="_Toc483366585"/>
      <w:bookmarkStart w:id="215" w:name="_Toc125534430"/>
      <w:bookmarkStart w:id="216" w:name="_Toc126985651"/>
      <w:r>
        <w:rPr>
          <w:rStyle w:val="CharSectno"/>
        </w:rPr>
        <w:t>26</w:t>
      </w:r>
      <w:r>
        <w:rPr>
          <w:snapToGrid w:val="0"/>
        </w:rPr>
        <w:t>.</w:t>
      </w:r>
      <w:r>
        <w:rPr>
          <w:snapToGrid w:val="0"/>
        </w:rPr>
        <w:tab/>
        <w:t>Excessive noise penalised</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217" w:name="_Toc378085952"/>
      <w:bookmarkStart w:id="218" w:name="_Toc459093768"/>
      <w:bookmarkStart w:id="219" w:name="_Toc483366586"/>
      <w:bookmarkStart w:id="220" w:name="_Toc125534431"/>
      <w:bookmarkStart w:id="221" w:name="_Toc126985652"/>
      <w:r>
        <w:rPr>
          <w:rStyle w:val="CharSectno"/>
        </w:rPr>
        <w:t>27</w:t>
      </w:r>
      <w:r>
        <w:rPr>
          <w:snapToGrid w:val="0"/>
        </w:rPr>
        <w:t>.</w:t>
      </w:r>
      <w:r>
        <w:rPr>
          <w:snapToGrid w:val="0"/>
        </w:rPr>
        <w:tab/>
        <w:t>Sound level meters to be used</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222" w:name="_Toc378085953"/>
      <w:bookmarkStart w:id="223" w:name="_Toc459093769"/>
      <w:bookmarkStart w:id="224" w:name="_Toc483366587"/>
      <w:bookmarkStart w:id="225" w:name="_Toc125534432"/>
      <w:bookmarkStart w:id="226" w:name="_Toc126985653"/>
      <w:r>
        <w:rPr>
          <w:rStyle w:val="CharSectno"/>
        </w:rPr>
        <w:t>28</w:t>
      </w:r>
      <w:r>
        <w:rPr>
          <w:snapToGrid w:val="0"/>
        </w:rPr>
        <w:t>.</w:t>
      </w:r>
      <w:r>
        <w:rPr>
          <w:snapToGrid w:val="0"/>
        </w:rPr>
        <w:tab/>
        <w:t>Calibration of sound level meters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227" w:name="_Toc378085954"/>
      <w:bookmarkStart w:id="228" w:name="_Toc459093770"/>
      <w:bookmarkStart w:id="229" w:name="_Toc483366588"/>
      <w:bookmarkStart w:id="230" w:name="_Toc125534433"/>
      <w:bookmarkStart w:id="231" w:name="_Toc126985654"/>
      <w:r>
        <w:rPr>
          <w:rStyle w:val="CharSectno"/>
        </w:rPr>
        <w:t>29</w:t>
      </w:r>
      <w:r>
        <w:rPr>
          <w:snapToGrid w:val="0"/>
        </w:rPr>
        <w:t>.</w:t>
      </w:r>
      <w:r>
        <w:rPr>
          <w:snapToGrid w:val="0"/>
        </w:rPr>
        <w:tab/>
        <w:t>Test sites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232" w:name="_Toc378085955"/>
      <w:bookmarkStart w:id="233" w:name="_Toc459093771"/>
      <w:bookmarkStart w:id="234" w:name="_Toc483366589"/>
      <w:bookmarkStart w:id="235" w:name="_Toc125534434"/>
      <w:bookmarkStart w:id="236" w:name="_Toc126985655"/>
      <w:r>
        <w:rPr>
          <w:rStyle w:val="CharSectno"/>
        </w:rPr>
        <w:t>30</w:t>
      </w:r>
      <w:r>
        <w:rPr>
          <w:snapToGrid w:val="0"/>
        </w:rPr>
        <w:t>.</w:t>
      </w:r>
      <w:r>
        <w:rPr>
          <w:snapToGrid w:val="0"/>
        </w:rPr>
        <w:tab/>
        <w:t>Ambient noise</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237" w:name="_Toc378085956"/>
      <w:bookmarkStart w:id="238" w:name="_Toc459093772"/>
      <w:bookmarkStart w:id="239" w:name="_Toc483366590"/>
      <w:bookmarkStart w:id="240" w:name="_Toc125534435"/>
      <w:bookmarkStart w:id="241" w:name="_Toc126985656"/>
      <w:r>
        <w:rPr>
          <w:rStyle w:val="CharSectno"/>
        </w:rPr>
        <w:t>31</w:t>
      </w:r>
      <w:r>
        <w:rPr>
          <w:snapToGrid w:val="0"/>
        </w:rPr>
        <w:t>.</w:t>
      </w:r>
      <w:r>
        <w:rPr>
          <w:snapToGrid w:val="0"/>
        </w:rPr>
        <w:tab/>
        <w:t>Weather conditions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242" w:name="_Toc378085957"/>
      <w:bookmarkStart w:id="243" w:name="_Toc459093773"/>
      <w:bookmarkStart w:id="244" w:name="_Toc483366591"/>
      <w:bookmarkStart w:id="245" w:name="_Toc125534436"/>
      <w:bookmarkStart w:id="246" w:name="_Toc126985657"/>
      <w:r>
        <w:rPr>
          <w:rStyle w:val="CharSectno"/>
        </w:rPr>
        <w:t>32</w:t>
      </w:r>
      <w:r>
        <w:rPr>
          <w:snapToGrid w:val="0"/>
        </w:rPr>
        <w:t>.</w:t>
      </w:r>
      <w:r>
        <w:rPr>
          <w:snapToGrid w:val="0"/>
        </w:rPr>
        <w:tab/>
        <w:t>Persons permitted near vehicle being tested</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247" w:name="_Toc378085958"/>
      <w:bookmarkStart w:id="248" w:name="_Toc459093774"/>
      <w:bookmarkStart w:id="249" w:name="_Toc483366592"/>
      <w:bookmarkStart w:id="250" w:name="_Toc125534437"/>
      <w:bookmarkStart w:id="251" w:name="_Toc126985658"/>
      <w:r>
        <w:rPr>
          <w:rStyle w:val="CharSectno"/>
        </w:rPr>
        <w:t>33</w:t>
      </w:r>
      <w:r>
        <w:rPr>
          <w:snapToGrid w:val="0"/>
        </w:rPr>
        <w:t>.</w:t>
      </w:r>
      <w:r>
        <w:rPr>
          <w:snapToGrid w:val="0"/>
        </w:rPr>
        <w:tab/>
        <w:t>Engine of vehicle to be at normal operating temperature</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252" w:name="_Toc378085959"/>
      <w:bookmarkStart w:id="253" w:name="_Toc459093775"/>
      <w:bookmarkStart w:id="254" w:name="_Toc483366593"/>
      <w:bookmarkStart w:id="255" w:name="_Toc125534438"/>
      <w:bookmarkStart w:id="256" w:name="_Toc126985659"/>
      <w:r>
        <w:rPr>
          <w:rStyle w:val="CharSectno"/>
        </w:rPr>
        <w:t>34</w:t>
      </w:r>
      <w:r>
        <w:rPr>
          <w:snapToGrid w:val="0"/>
        </w:rPr>
        <w:t>.</w:t>
      </w:r>
      <w:r>
        <w:rPr>
          <w:snapToGrid w:val="0"/>
        </w:rPr>
        <w:tab/>
        <w:t>Vehicle testing methods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257" w:name="_Toc378085960"/>
      <w:bookmarkStart w:id="258" w:name="_Toc125534439"/>
      <w:bookmarkStart w:id="259" w:name="_Toc126985574"/>
      <w:bookmarkStart w:id="260" w:name="_Toc126985660"/>
      <w:r>
        <w:rPr>
          <w:rStyle w:val="CharPartNo"/>
        </w:rPr>
        <w:t>Part VI</w:t>
      </w:r>
      <w:r>
        <w:rPr>
          <w:rStyle w:val="CharDivNo"/>
        </w:rPr>
        <w:t> </w:t>
      </w:r>
      <w:r>
        <w:t>—</w:t>
      </w:r>
      <w:r>
        <w:rPr>
          <w:rStyle w:val="CharDivText"/>
        </w:rPr>
        <w:t> </w:t>
      </w:r>
      <w:r>
        <w:rPr>
          <w:rStyle w:val="CharPartText"/>
        </w:rPr>
        <w:t>General and penalties</w:t>
      </w:r>
      <w:bookmarkEnd w:id="257"/>
      <w:bookmarkEnd w:id="258"/>
      <w:bookmarkEnd w:id="259"/>
      <w:bookmarkEnd w:id="260"/>
      <w:r>
        <w:rPr>
          <w:rStyle w:val="CharPartText"/>
        </w:rPr>
        <w:t xml:space="preserve"> </w:t>
      </w:r>
    </w:p>
    <w:p>
      <w:pPr>
        <w:pStyle w:val="Heading5"/>
        <w:rPr>
          <w:snapToGrid w:val="0"/>
        </w:rPr>
      </w:pPr>
      <w:bookmarkStart w:id="261" w:name="_Toc378085961"/>
      <w:bookmarkStart w:id="262" w:name="_Toc459093776"/>
      <w:bookmarkStart w:id="263" w:name="_Toc483366594"/>
      <w:bookmarkStart w:id="264" w:name="_Toc125534440"/>
      <w:bookmarkStart w:id="265" w:name="_Toc126985661"/>
      <w:r>
        <w:rPr>
          <w:rStyle w:val="CharSectno"/>
        </w:rPr>
        <w:t>35</w:t>
      </w:r>
      <w:r>
        <w:rPr>
          <w:snapToGrid w:val="0"/>
        </w:rPr>
        <w:t>.</w:t>
      </w:r>
      <w:r>
        <w:rPr>
          <w:snapToGrid w:val="0"/>
        </w:rPr>
        <w:tab/>
        <w:t>Modified penalties, infringement notices and withdrawal notices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266" w:name="_Toc378085962"/>
      <w:bookmarkStart w:id="267" w:name="_Toc459093777"/>
      <w:bookmarkStart w:id="268" w:name="_Toc483366595"/>
      <w:bookmarkStart w:id="269" w:name="_Toc125534441"/>
      <w:bookmarkStart w:id="270" w:name="_Toc126985662"/>
      <w:r>
        <w:rPr>
          <w:rStyle w:val="CharSectno"/>
        </w:rPr>
        <w:t>36</w:t>
      </w:r>
      <w:r>
        <w:rPr>
          <w:snapToGrid w:val="0"/>
        </w:rPr>
        <w:t>.</w:t>
      </w:r>
      <w:r>
        <w:rPr>
          <w:snapToGrid w:val="0"/>
        </w:rPr>
        <w:tab/>
        <w:t>Endorsing or altering infringement notice an offence</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makes any endorsement on, or alteration to, an infringement notice commits an offence against these regulations unless he is an authorised officer or a person required or permitted to make such an endorsement or alteration in the course of his employment by the municipality to which the infringement notice refers.</w:t>
      </w:r>
    </w:p>
    <w:p>
      <w:pPr>
        <w:pStyle w:val="Heading5"/>
        <w:rPr>
          <w:snapToGrid w:val="0"/>
        </w:rPr>
      </w:pPr>
      <w:bookmarkStart w:id="271" w:name="_Toc378085963"/>
      <w:bookmarkStart w:id="272" w:name="_Toc459093778"/>
      <w:bookmarkStart w:id="273" w:name="_Toc483366596"/>
      <w:bookmarkStart w:id="274" w:name="_Toc125534442"/>
      <w:bookmarkStart w:id="275" w:name="_Toc126985663"/>
      <w:r>
        <w:rPr>
          <w:rStyle w:val="CharSectno"/>
        </w:rPr>
        <w:t>37</w:t>
      </w:r>
      <w:r>
        <w:rPr>
          <w:snapToGrid w:val="0"/>
        </w:rPr>
        <w:t>.</w:t>
      </w:r>
      <w:r>
        <w:rPr>
          <w:snapToGrid w:val="0"/>
        </w:rPr>
        <w:tab/>
        <w:t>Certificates of appointment of authorised officers and notices prohibiting use of vehicles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276" w:name="_Toc378085964"/>
      <w:bookmarkStart w:id="277" w:name="_Toc459093779"/>
      <w:bookmarkStart w:id="278" w:name="_Toc483366597"/>
      <w:bookmarkStart w:id="279" w:name="_Toc125534443"/>
      <w:bookmarkStart w:id="280" w:name="_Toc126985664"/>
      <w:r>
        <w:rPr>
          <w:rStyle w:val="CharSectno"/>
        </w:rPr>
        <w:t>38</w:t>
      </w:r>
      <w:r>
        <w:rPr>
          <w:snapToGrid w:val="0"/>
        </w:rPr>
        <w:t>.</w:t>
      </w:r>
      <w:r>
        <w:rPr>
          <w:snapToGrid w:val="0"/>
        </w:rPr>
        <w:tab/>
        <w:t>General penalty</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start="1"/>
          <w:cols w:space="720"/>
          <w:noEndnote/>
          <w:titlePg/>
          <w:docGrid w:linePitch="326"/>
        </w:sectPr>
      </w:pPr>
    </w:p>
    <w:p>
      <w:pPr>
        <w:pStyle w:val="yScheduleHeading"/>
      </w:pPr>
      <w:bookmarkStart w:id="281" w:name="_Toc378085965"/>
      <w:bookmarkStart w:id="282" w:name="_Toc125534444"/>
      <w:bookmarkStart w:id="283" w:name="_Toc126985579"/>
      <w:bookmarkStart w:id="284" w:name="_Toc126985665"/>
      <w:r>
        <w:rPr>
          <w:rStyle w:val="CharSchNo"/>
        </w:rPr>
        <w:t>First Schedule</w:t>
      </w:r>
      <w:bookmarkEnd w:id="281"/>
      <w:bookmarkEnd w:id="282"/>
      <w:bookmarkEnd w:id="283"/>
      <w:bookmarkEnd w:id="284"/>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rPr>
          <w:del w:id="285" w:author="Master Repository Process" w:date="2021-07-31T15:45:00Z"/>
        </w:rPr>
      </w:pPr>
      <w:del w:id="286" w:author="Master Repository Process" w:date="2021-07-31T15:45:00Z">
        <w:r>
          <w:rPr>
            <w:noProof/>
          </w:rPr>
          <w:drawing>
            <wp:inline distT="0" distB="0" distL="0" distR="0">
              <wp:extent cx="11620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widowControl w:val="0"/>
        <w:suppressAutoHyphens/>
        <w:jc w:val="center"/>
        <w:rPr>
          <w:ins w:id="287" w:author="Master Repository Process" w:date="2021-07-31T15:45:00Z"/>
        </w:rPr>
      </w:pPr>
      <w:ins w:id="288" w:author="Master Repository Process" w:date="2021-07-31T15:45:00Z">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Clerk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satisfies the Town or Shire Clerk of the municipality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If you do not wish to have a complaint of the above offence heard and determined by a court, you may pay the amount of the above modified penalty to the office of the municipality mentioned in (i) above — </w:t>
      </w:r>
    </w:p>
    <w:p>
      <w:pPr>
        <w:pStyle w:val="yMiscellaneousBody"/>
        <w:tabs>
          <w:tab w:val="left" w:pos="567"/>
          <w:tab w:val="left" w:pos="1134"/>
        </w:tabs>
        <w:spacing w:before="0"/>
        <w:ind w:left="1134" w:hanging="1134"/>
      </w:pPr>
      <w:r>
        <w:tab/>
        <w:t>(a)</w:t>
      </w:r>
      <w:r>
        <w:tab/>
        <w:t>by posting this form, together with that amount, to the Town or Shire Clerk of that municipality; or</w:t>
      </w:r>
    </w:p>
    <w:p>
      <w:pPr>
        <w:pStyle w:val="yMiscellaneousBody"/>
        <w:tabs>
          <w:tab w:val="left" w:pos="567"/>
          <w:tab w:val="left" w:pos="1134"/>
        </w:tabs>
        <w:spacing w:before="0"/>
        <w:ind w:left="1134" w:hanging="1134"/>
      </w:pPr>
      <w:r>
        <w:tab/>
        <w:t>(b)</w:t>
      </w:r>
      <w:r>
        <w:tab/>
        <w:t>by taking this form to, and paying that amount at, the office of that municipality,</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CentredBaseLine"/>
        <w:widowControl w:val="0"/>
        <w:suppressAutoHyphens/>
        <w:jc w:val="center"/>
        <w:rPr>
          <w:del w:id="289" w:author="Master Repository Process" w:date="2021-07-31T15:45:00Z"/>
        </w:rPr>
      </w:pPr>
      <w:del w:id="290" w:author="Master Repository Process" w:date="2021-07-31T15:45:00Z">
        <w:r>
          <w:rPr>
            <w:noProof/>
          </w:rPr>
          <w:drawing>
            <wp:inline distT="0" distB="0" distL="0" distR="0">
              <wp:extent cx="11620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widowControl w:val="0"/>
        <w:suppressAutoHyphens/>
        <w:jc w:val="center"/>
        <w:rPr>
          <w:ins w:id="291" w:author="Master Repository Process" w:date="2021-07-31T15:45:00Z"/>
        </w:rPr>
      </w:pPr>
      <w:ins w:id="292" w:author="Master Repository Process" w:date="2021-07-31T15:45:00Z">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rPr>
          <w:del w:id="293" w:author="Master Repository Process" w:date="2021-07-31T15:45:00Z"/>
        </w:rPr>
      </w:pPr>
      <w:del w:id="294" w:author="Master Repository Process" w:date="2021-07-31T15:45:00Z">
        <w:r>
          <w:rPr>
            <w:noProof/>
          </w:rPr>
          <w:drawing>
            <wp:inline distT="0" distB="0" distL="0" distR="0">
              <wp:extent cx="11620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widowControl w:val="0"/>
        <w:suppressAutoHyphens/>
        <w:jc w:val="center"/>
        <w:rPr>
          <w:ins w:id="295" w:author="Master Repository Process" w:date="2021-07-31T15:45:00Z"/>
        </w:rPr>
      </w:pPr>
      <w:ins w:id="296" w:author="Master Repository Process" w:date="2021-07-31T15:45:00Z">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u w:val="single"/>
        </w:rPr>
        <w:t>Council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Town Clerk</w:t>
      </w:r>
      <w:r>
        <w:t>*/</w:t>
      </w:r>
      <w:r>
        <w:rPr>
          <w:u w:val="single"/>
        </w:rPr>
        <w:t>Shire Clerk</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CentredBaseLine"/>
        <w:widowControl w:val="0"/>
        <w:suppressAutoHyphens/>
        <w:jc w:val="center"/>
        <w:rPr>
          <w:del w:id="297" w:author="Master Repository Process" w:date="2021-07-31T15:45:00Z"/>
        </w:rPr>
      </w:pPr>
      <w:del w:id="298" w:author="Master Repository Process" w:date="2021-07-31T15:45:00Z">
        <w:r>
          <w:rPr>
            <w:noProof/>
          </w:rPr>
          <w:drawing>
            <wp:inline distT="0" distB="0" distL="0" distR="0">
              <wp:extent cx="11620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widowControl w:val="0"/>
        <w:suppressAutoHyphens/>
        <w:jc w:val="center"/>
        <w:rPr>
          <w:ins w:id="299" w:author="Master Repository Process" w:date="2021-07-31T15:45:00Z"/>
        </w:rPr>
      </w:pPr>
      <w:ins w:id="300" w:author="Master Repository Process" w:date="2021-07-31T15:45:00Z">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rPr>
          <w:del w:id="301" w:author="Master Repository Process" w:date="2021-07-31T15:45:00Z"/>
        </w:rPr>
      </w:pPr>
      <w:del w:id="302" w:author="Master Repository Process" w:date="2021-07-31T15:45:00Z">
        <w:r>
          <w:rPr>
            <w:noProof/>
          </w:rPr>
          <w:drawing>
            <wp:inline distT="0" distB="0" distL="0" distR="0">
              <wp:extent cx="11620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widowControl w:val="0"/>
        <w:suppressAutoHyphens/>
        <w:jc w:val="center"/>
        <w:rPr>
          <w:ins w:id="303" w:author="Master Repository Process" w:date="2021-07-31T15:45:00Z"/>
        </w:rPr>
      </w:pPr>
      <w:ins w:id="304" w:author="Master Repository Process" w:date="2021-07-31T15:45:00Z">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February 1982 p.395; 31 January 1997 p.673.]</w:t>
      </w:r>
    </w:p>
    <w:p>
      <w:pPr>
        <w:pStyle w:val="yScheduleHeading"/>
      </w:pPr>
      <w:bookmarkStart w:id="305" w:name="_Toc378085966"/>
      <w:bookmarkStart w:id="306" w:name="_Toc125534445"/>
      <w:bookmarkStart w:id="307" w:name="_Toc126985580"/>
      <w:bookmarkStart w:id="308" w:name="_Toc126985666"/>
      <w:r>
        <w:rPr>
          <w:rStyle w:val="CharSchNo"/>
        </w:rPr>
        <w:t>Second Schedule</w:t>
      </w:r>
      <w:bookmarkEnd w:id="305"/>
      <w:bookmarkEnd w:id="306"/>
      <w:bookmarkEnd w:id="307"/>
      <w:bookmarkEnd w:id="308"/>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bookmarkStart w:id="309" w:name="_Toc483366598"/>
      <w:bookmarkStart w:id="310" w:name="_Toc125534446"/>
      <w:r>
        <w:rPr>
          <w:b/>
          <w:bCs/>
          <w:sz w:val="28"/>
        </w:rPr>
        <w:t>Part I</w:t>
      </w:r>
      <w:bookmarkEnd w:id="309"/>
      <w:bookmarkEnd w:id="310"/>
    </w:p>
    <w:p>
      <w:pPr>
        <w:pStyle w:val="yMiscellaneousHeading"/>
        <w:rPr>
          <w:b/>
          <w:sz w:val="28"/>
        </w:rPr>
      </w:pPr>
      <w:r>
        <w:rPr>
          <w:b/>
          <w:sz w:val="28"/>
        </w:rPr>
        <w:t>Vehicles other than motor cycles</w:t>
      </w:r>
    </w:p>
    <w:p>
      <w:pPr>
        <w:pStyle w:val="yHeading5"/>
      </w:pPr>
      <w:bookmarkStart w:id="311" w:name="_Toc378085967"/>
      <w:bookmarkStart w:id="312" w:name="_Toc126985667"/>
      <w:r>
        <w:t>Dangerous fittings</w:t>
      </w:r>
      <w:bookmarkEnd w:id="311"/>
      <w:bookmarkEnd w:id="312"/>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313" w:name="_Toc378085968"/>
      <w:bookmarkStart w:id="314" w:name="_Toc126985668"/>
      <w:r>
        <w:t>Noise or vibration</w:t>
      </w:r>
      <w:bookmarkEnd w:id="313"/>
      <w:bookmarkEnd w:id="314"/>
    </w:p>
    <w:p>
      <w:pPr>
        <w:pStyle w:val="ySubsection"/>
      </w:pPr>
      <w:r>
        <w:tab/>
        <w:t>4.</w:t>
      </w:r>
      <w:r>
        <w:tab/>
        <w:t>A vehicle shall be so constructed that no undue or avoidable noise or vibration is caused.</w:t>
      </w:r>
    </w:p>
    <w:p>
      <w:pPr>
        <w:pStyle w:val="yHeading5"/>
      </w:pPr>
      <w:bookmarkStart w:id="315" w:name="_Toc378085969"/>
      <w:bookmarkStart w:id="316" w:name="_Toc126985669"/>
      <w:r>
        <w:t>Steering equipment</w:t>
      </w:r>
      <w:bookmarkEnd w:id="315"/>
      <w:bookmarkEnd w:id="316"/>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317" w:name="_Toc378085970"/>
      <w:bookmarkStart w:id="318" w:name="_Toc126985670"/>
      <w:r>
        <w:t>Braking equipment</w:t>
      </w:r>
      <w:bookmarkEnd w:id="317"/>
      <w:bookmarkEnd w:id="318"/>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319" w:name="_Toc378085971"/>
      <w:bookmarkStart w:id="320" w:name="_Toc126985671"/>
      <w:r>
        <w:t>Tyres and rims</w:t>
      </w:r>
      <w:bookmarkEnd w:id="319"/>
      <w:bookmarkEnd w:id="320"/>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321" w:name="_Toc378085972"/>
      <w:bookmarkStart w:id="322" w:name="_Toc126985672"/>
      <w:r>
        <w:t>Safety glass</w:t>
      </w:r>
      <w:bookmarkEnd w:id="321"/>
      <w:bookmarkEnd w:id="322"/>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323" w:name="_Toc378085973"/>
      <w:bookmarkStart w:id="324" w:name="_Toc126985673"/>
      <w:r>
        <w:t>Mudguards</w:t>
      </w:r>
      <w:bookmarkEnd w:id="323"/>
      <w:bookmarkEnd w:id="324"/>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325" w:name="_Toc378085974"/>
      <w:bookmarkStart w:id="326" w:name="_Toc126985674"/>
      <w:r>
        <w:t>Exhaust systems</w:t>
      </w:r>
      <w:bookmarkEnd w:id="325"/>
      <w:bookmarkEnd w:id="326"/>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327" w:name="_Toc378085975"/>
      <w:bookmarkStart w:id="328" w:name="_Toc126985675"/>
      <w:r>
        <w:t>Seats</w:t>
      </w:r>
      <w:bookmarkEnd w:id="327"/>
      <w:bookmarkEnd w:id="328"/>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329" w:name="_Toc378085976"/>
      <w:bookmarkStart w:id="330" w:name="_Toc126985676"/>
      <w:r>
        <w:t>Roll bar</w:t>
      </w:r>
      <w:bookmarkEnd w:id="329"/>
      <w:bookmarkEnd w:id="330"/>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331" w:name="_Toc378085977"/>
      <w:bookmarkStart w:id="332" w:name="_Toc126985677"/>
      <w:r>
        <w:t>Floor pan</w:t>
      </w:r>
      <w:bookmarkEnd w:id="331"/>
      <w:bookmarkEnd w:id="332"/>
    </w:p>
    <w:p>
      <w:pPr>
        <w:pStyle w:val="ySubsection"/>
      </w:pPr>
      <w:r>
        <w:tab/>
        <w:t>19.</w:t>
      </w:r>
      <w:r>
        <w:tab/>
        <w:t>The floor pan of a vehicle shall extend under the entire passenger compartment of the vehicle.</w:t>
      </w:r>
    </w:p>
    <w:p>
      <w:pPr>
        <w:pStyle w:val="yHeading5"/>
      </w:pPr>
      <w:bookmarkStart w:id="333" w:name="_Toc378085978"/>
      <w:bookmarkStart w:id="334" w:name="_Toc126985678"/>
      <w:r>
        <w:t>Door latches and hinges</w:t>
      </w:r>
      <w:bookmarkEnd w:id="333"/>
      <w:bookmarkEnd w:id="334"/>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335" w:name="_Toc378085979"/>
      <w:bookmarkStart w:id="336" w:name="_Toc126985679"/>
      <w:r>
        <w:t>Fuel tanks, fuel lines and fuel caps</w:t>
      </w:r>
      <w:bookmarkEnd w:id="335"/>
      <w:bookmarkEnd w:id="336"/>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337" w:name="_Toc378085980"/>
      <w:bookmarkStart w:id="338" w:name="_Toc126985680"/>
      <w:r>
        <w:t>Lighting systems</w:t>
      </w:r>
      <w:bookmarkEnd w:id="337"/>
      <w:bookmarkEnd w:id="338"/>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339" w:name="_Toc378085981"/>
      <w:bookmarkStart w:id="340" w:name="_Toc126985681"/>
      <w:r>
        <w:t>Cooling systems</w:t>
      </w:r>
      <w:bookmarkEnd w:id="339"/>
      <w:bookmarkEnd w:id="340"/>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341" w:name="_Toc378085982"/>
      <w:bookmarkStart w:id="342" w:name="_Toc126985682"/>
      <w:r>
        <w:t>Moving components</w:t>
      </w:r>
      <w:bookmarkEnd w:id="341"/>
      <w:bookmarkEnd w:id="342"/>
    </w:p>
    <w:p>
      <w:pPr>
        <w:pStyle w:val="ySubsection"/>
      </w:pPr>
      <w:r>
        <w:tab/>
        <w:t>27.</w:t>
      </w:r>
      <w:r>
        <w:tab/>
        <w:t>All moving components in a vehicle shall be adequately guarded against coming into accidental contact with any person.</w:t>
      </w:r>
    </w:p>
    <w:p>
      <w:pPr>
        <w:pStyle w:val="yHeading5"/>
      </w:pPr>
      <w:bookmarkStart w:id="343" w:name="_Toc378085983"/>
      <w:bookmarkStart w:id="344" w:name="_Toc126985683"/>
      <w:r>
        <w:t>Electrical systems</w:t>
      </w:r>
      <w:bookmarkEnd w:id="343"/>
      <w:bookmarkEnd w:id="344"/>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bookmarkStart w:id="345" w:name="_Toc483366599"/>
      <w:bookmarkStart w:id="346" w:name="_Toc125534447"/>
      <w:r>
        <w:rPr>
          <w:b/>
          <w:bCs/>
          <w:sz w:val="28"/>
        </w:rPr>
        <w:t>Part II</w:t>
      </w:r>
      <w:bookmarkEnd w:id="345"/>
      <w:bookmarkEnd w:id="346"/>
    </w:p>
    <w:p>
      <w:pPr>
        <w:pStyle w:val="yMiscellaneousHeading"/>
        <w:rPr>
          <w:b/>
          <w:sz w:val="28"/>
        </w:rPr>
      </w:pPr>
      <w:r>
        <w:rPr>
          <w:b/>
          <w:sz w:val="28"/>
        </w:rPr>
        <w:t>Motor cycles</w:t>
      </w:r>
    </w:p>
    <w:p>
      <w:pPr>
        <w:pStyle w:val="yHeading5"/>
      </w:pPr>
      <w:bookmarkStart w:id="347" w:name="_Toc378085984"/>
      <w:bookmarkStart w:id="348" w:name="_Toc126985684"/>
      <w:r>
        <w:t>Dangerous fittings</w:t>
      </w:r>
      <w:bookmarkEnd w:id="347"/>
      <w:bookmarkEnd w:id="348"/>
    </w:p>
    <w:p>
      <w:pPr>
        <w:pStyle w:val="ySubsection"/>
      </w:pPr>
      <w:r>
        <w:tab/>
        <w:t>1.</w:t>
      </w:r>
      <w:r>
        <w:tab/>
        <w:t>All exposed components of a motor cycle shall be free of any sharp or jagged edges or projections likely to occasion danger or risk of bodily injury.</w:t>
      </w:r>
    </w:p>
    <w:p>
      <w:pPr>
        <w:pStyle w:val="yHeading5"/>
      </w:pPr>
      <w:bookmarkStart w:id="349" w:name="_Toc378085985"/>
      <w:bookmarkStart w:id="350" w:name="_Toc126985685"/>
      <w:r>
        <w:t>Steering equipment</w:t>
      </w:r>
      <w:bookmarkEnd w:id="349"/>
      <w:bookmarkEnd w:id="350"/>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351" w:name="_Toc378085986"/>
      <w:bookmarkStart w:id="352" w:name="_Toc126985686"/>
      <w:r>
        <w:t>Braking equipment</w:t>
      </w:r>
      <w:bookmarkEnd w:id="351"/>
      <w:bookmarkEnd w:id="352"/>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353" w:name="_Toc378085987"/>
      <w:bookmarkStart w:id="354" w:name="_Toc126985687"/>
      <w:r>
        <w:t>Tyres and rims</w:t>
      </w:r>
      <w:bookmarkEnd w:id="353"/>
      <w:bookmarkEnd w:id="354"/>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355" w:name="_Toc378085988"/>
      <w:bookmarkStart w:id="356" w:name="_Toc126985688"/>
      <w:r>
        <w:t>Mudguards</w:t>
      </w:r>
      <w:bookmarkEnd w:id="355"/>
      <w:bookmarkEnd w:id="356"/>
    </w:p>
    <w:p>
      <w:pPr>
        <w:pStyle w:val="ySubsection"/>
      </w:pPr>
      <w:r>
        <w:tab/>
        <w:t>8.</w:t>
      </w:r>
      <w:r>
        <w:tab/>
        <w:t>Every mudguard fitted to a motor cycle shall be in good order and condition and free from tears and sharp or jagged edges.</w:t>
      </w:r>
    </w:p>
    <w:p>
      <w:pPr>
        <w:pStyle w:val="yHeading5"/>
      </w:pPr>
      <w:bookmarkStart w:id="357" w:name="_Toc378085989"/>
      <w:bookmarkStart w:id="358" w:name="_Toc126985689"/>
      <w:r>
        <w:t>Exhaust systems</w:t>
      </w:r>
      <w:bookmarkEnd w:id="357"/>
      <w:bookmarkEnd w:id="358"/>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359" w:name="_Toc378085990"/>
      <w:bookmarkStart w:id="360" w:name="_Toc126985690"/>
      <w:r>
        <w:t>Fuel tanks, fuel lines and fuel caps</w:t>
      </w:r>
      <w:bookmarkEnd w:id="359"/>
      <w:bookmarkEnd w:id="360"/>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361" w:name="_Toc378085991"/>
      <w:bookmarkStart w:id="362" w:name="_Toc126985691"/>
      <w:r>
        <w:t>Lighting systems</w:t>
      </w:r>
      <w:bookmarkEnd w:id="361"/>
      <w:bookmarkEnd w:id="362"/>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February 1982 p.395; 8 November 1985 p.4294; 31 January 1997 p.673.]</w:t>
      </w:r>
    </w:p>
    <w:p>
      <w:pPr>
        <w:pStyle w:val="yScheduleHeading"/>
      </w:pPr>
      <w:bookmarkStart w:id="363" w:name="_Toc378085992"/>
      <w:bookmarkStart w:id="364" w:name="_Toc125534448"/>
      <w:bookmarkStart w:id="365" w:name="_Toc126985606"/>
      <w:bookmarkStart w:id="366" w:name="_Toc126985692"/>
      <w:r>
        <w:rPr>
          <w:rStyle w:val="CharSchNo"/>
        </w:rPr>
        <w:t>Third Schedule</w:t>
      </w:r>
      <w:bookmarkEnd w:id="363"/>
      <w:bookmarkEnd w:id="364"/>
      <w:bookmarkEnd w:id="365"/>
      <w:bookmarkEnd w:id="366"/>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367" w:name="_Toc378085993"/>
      <w:bookmarkStart w:id="368" w:name="_Toc125534449"/>
      <w:bookmarkStart w:id="369" w:name="_Toc126985607"/>
      <w:bookmarkStart w:id="370" w:name="_Toc126985693"/>
      <w:r>
        <w:rPr>
          <w:rStyle w:val="CharSchNo"/>
        </w:rPr>
        <w:t>Fourth Schedule</w:t>
      </w:r>
      <w:bookmarkEnd w:id="367"/>
      <w:bookmarkEnd w:id="368"/>
      <w:bookmarkEnd w:id="369"/>
      <w:bookmarkEnd w:id="370"/>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371" w:name="_Toc378085994"/>
      <w:bookmarkStart w:id="372" w:name="_Toc483366600"/>
      <w:bookmarkStart w:id="373" w:name="_Toc125534450"/>
      <w:bookmarkStart w:id="374" w:name="_Toc126985694"/>
      <w:r>
        <w:t>1.</w:t>
      </w:r>
      <w:r>
        <w:tab/>
        <w:t>Testing vehicles other than motor cycles</w:t>
      </w:r>
      <w:bookmarkEnd w:id="371"/>
      <w:bookmarkEnd w:id="372"/>
      <w:bookmarkEnd w:id="373"/>
      <w:bookmarkEnd w:id="374"/>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375" w:name="_Toc378085995"/>
      <w:bookmarkStart w:id="376" w:name="_Toc483366601"/>
      <w:bookmarkStart w:id="377" w:name="_Toc125534451"/>
      <w:bookmarkStart w:id="378" w:name="_Toc126985695"/>
      <w:r>
        <w:t>2.</w:t>
      </w:r>
      <w:r>
        <w:tab/>
        <w:t>Testing motor cycles</w:t>
      </w:r>
      <w:bookmarkEnd w:id="375"/>
      <w:bookmarkEnd w:id="376"/>
      <w:bookmarkEnd w:id="377"/>
      <w:bookmarkEnd w:id="378"/>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v:imagedata r:id="rId20" o:title=""/>
          </v:shape>
        </w:pict>
      </w:r>
    </w:p>
    <w:p>
      <w:pPr>
        <w:pStyle w:val="yHeading5"/>
      </w:pPr>
      <w:bookmarkStart w:id="379" w:name="_Toc378085996"/>
      <w:bookmarkStart w:id="380" w:name="_Toc483366602"/>
      <w:bookmarkStart w:id="381" w:name="_Toc125534452"/>
      <w:bookmarkStart w:id="382" w:name="_Toc126985696"/>
      <w:r>
        <w:t>3.</w:t>
      </w:r>
      <w:r>
        <w:tab/>
        <w:t>Tachometers</w:t>
      </w:r>
      <w:bookmarkEnd w:id="379"/>
      <w:bookmarkEnd w:id="380"/>
      <w:bookmarkEnd w:id="381"/>
      <w:bookmarkEnd w:id="382"/>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2" type="#_x0000_t75" style="position:absolute;left:0;text-align:left;margin-left:0;margin-top:0;width:8.65pt;height:8.65pt;z-index:251657728;mso-position-horizontal-relative:text;mso-position-vertical-relative:text" o:allowincell="f">
            <v:imagedata r:id="rId21" o:title=""/>
            <w10:wrap type="topAndBottom"/>
          </v:shape>
          <o:OLEObject Type="Embed" ProgID="Equation.3" ShapeID="_x0000_s1062" DrawAspect="Content" ObjectID="_1689251533" r:id="rId22"/>
        </w:object>
      </w:r>
      <w:r>
        <w:t>Schedule.</w:t>
      </w:r>
    </w:p>
    <w:p>
      <w:pPr>
        <w:pStyle w:val="yHeading5"/>
      </w:pPr>
      <w:bookmarkStart w:id="383" w:name="_Toc378085997"/>
      <w:bookmarkStart w:id="384" w:name="_Toc483366603"/>
      <w:bookmarkStart w:id="385" w:name="_Toc125534453"/>
      <w:bookmarkStart w:id="386" w:name="_Toc126985697"/>
      <w:r>
        <w:t>4.</w:t>
      </w:r>
      <w:r>
        <w:tab/>
        <w:t>Positioning and use of microphones</w:t>
      </w:r>
      <w:bookmarkEnd w:id="383"/>
      <w:bookmarkEnd w:id="384"/>
      <w:bookmarkEnd w:id="385"/>
      <w:bookmarkEnd w:id="386"/>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387" w:name="_Toc378085998"/>
      <w:bookmarkStart w:id="388" w:name="_Toc483366604"/>
      <w:bookmarkStart w:id="389" w:name="_Toc125534454"/>
      <w:bookmarkStart w:id="390" w:name="_Toc126985698"/>
      <w:r>
        <w:t>5.</w:t>
      </w:r>
      <w:r>
        <w:tab/>
        <w:t>Measurement of noise levels</w:t>
      </w:r>
      <w:bookmarkEnd w:id="387"/>
      <w:bookmarkEnd w:id="388"/>
      <w:bookmarkEnd w:id="389"/>
      <w:bookmarkEnd w:id="390"/>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391" w:name="_Toc378085999"/>
      <w:bookmarkStart w:id="392" w:name="_Toc483366605"/>
      <w:bookmarkStart w:id="393" w:name="_Toc125534455"/>
      <w:bookmarkStart w:id="394" w:name="_Toc126985699"/>
      <w:r>
        <w:t>6.</w:t>
      </w:r>
      <w:r>
        <w:tab/>
        <w:t>Contents of test reports</w:t>
      </w:r>
      <w:bookmarkEnd w:id="391"/>
      <w:bookmarkEnd w:id="392"/>
      <w:bookmarkEnd w:id="393"/>
      <w:bookmarkEnd w:id="39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395" w:name="_Toc378086000"/>
      <w:bookmarkStart w:id="396" w:name="_Toc125534456"/>
      <w:bookmarkStart w:id="397" w:name="_Toc126985614"/>
      <w:bookmarkStart w:id="398" w:name="_Toc126985700"/>
      <w:r>
        <w:rPr>
          <w:rStyle w:val="CharSchNo"/>
        </w:rPr>
        <w:t>Fifth Schedule</w:t>
      </w:r>
      <w:bookmarkEnd w:id="395"/>
      <w:bookmarkEnd w:id="396"/>
      <w:bookmarkEnd w:id="397"/>
      <w:bookmarkEnd w:id="398"/>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September 1993 pp.5164</w:t>
      </w:r>
      <w:r>
        <w:noBreakHyphen/>
        <w:t>6; amended in Gazette 31 January 1997 p.673.</w:t>
      </w:r>
      <w:r>
        <w:rPr>
          <w:i w:val="0"/>
        </w:rP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99" w:name="_Toc378086001"/>
      <w:bookmarkStart w:id="400" w:name="_Toc125534457"/>
      <w:bookmarkStart w:id="401" w:name="_Toc126985615"/>
      <w:bookmarkStart w:id="402" w:name="_Toc126985701"/>
      <w:r>
        <w:t>Notes</w:t>
      </w:r>
      <w:bookmarkEnd w:id="399"/>
      <w:bookmarkEnd w:id="400"/>
      <w:bookmarkEnd w:id="401"/>
      <w:bookmarkEnd w:id="402"/>
    </w:p>
    <w:p>
      <w:pPr>
        <w:pStyle w:val="nSubsection"/>
        <w:rPr>
          <w:snapToGrid w:val="0"/>
        </w:rPr>
      </w:pPr>
      <w:r>
        <w:rPr>
          <w:snapToGrid w:val="0"/>
          <w:vertAlign w:val="superscript"/>
        </w:rPr>
        <w:t>1</w:t>
      </w:r>
      <w:r>
        <w:rPr>
          <w:snapToGrid w:val="0"/>
        </w:rPr>
        <w:tab/>
        <w:t>This</w:t>
      </w:r>
      <w:del w:id="403" w:author="Master Repository Process" w:date="2021-07-31T15:45:00Z">
        <w:r>
          <w:rPr>
            <w:snapToGrid w:val="0"/>
          </w:rPr>
          <w:delText> </w:delText>
        </w:r>
      </w:del>
      <w:ins w:id="404" w:author="Master Repository Process" w:date="2021-07-31T15:45:00Z">
        <w:r>
          <w:rPr>
            <w:snapToGrid w:val="0"/>
          </w:rPr>
          <w:t xml:space="preserve"> </w:t>
        </w:r>
      </w:ins>
      <w:r>
        <w:rPr>
          <w:snapToGrid w:val="0"/>
        </w:rPr>
        <w:t xml:space="preserve">is a compilation of the </w:t>
      </w:r>
      <w:r>
        <w:rPr>
          <w:i/>
          <w:snapToGrid w:val="0"/>
        </w:rPr>
        <w:t>Control of Vehicles (Off</w:t>
      </w:r>
      <w:r>
        <w:rPr>
          <w:i/>
          <w:snapToGrid w:val="0"/>
        </w:rPr>
        <w:noBreakHyphen/>
        <w:t>road Areas) Regulations 1979</w:t>
      </w:r>
      <w:r>
        <w:rPr>
          <w:snapToGrid w:val="0"/>
        </w:rPr>
        <w:t xml:space="preserve"> and includes the amendments </w:t>
      </w:r>
      <w:ins w:id="405" w:author="Master Repository Process" w:date="2021-07-31T15:45:00Z">
        <w:r>
          <w:rPr>
            <w:snapToGrid w:val="0"/>
          </w:rPr>
          <w:t xml:space="preserve">made by the other written laws </w:t>
        </w:r>
      </w:ins>
      <w:r>
        <w:rPr>
          <w:snapToGrid w:val="0"/>
        </w:rPr>
        <w:t xml:space="preserve">referred to in the following </w:t>
      </w:r>
      <w:del w:id="406" w:author="Master Repository Process" w:date="2021-07-31T15:45:00Z">
        <w:r>
          <w:rPr>
            <w:snapToGrid w:val="0"/>
          </w:rPr>
          <w:delText>Table</w:delText>
        </w:r>
      </w:del>
      <w:ins w:id="407" w:author="Master Repository Process" w:date="2021-07-31T15:45:00Z">
        <w:r>
          <w:rPr>
            <w:snapToGrid w:val="0"/>
          </w:rPr>
          <w:t>table</w:t>
        </w:r>
      </w:ins>
      <w:r>
        <w:rPr>
          <w:snapToGrid w:val="0"/>
        </w:rPr>
        <w:t>.</w:t>
      </w:r>
    </w:p>
    <w:p>
      <w:pPr>
        <w:pStyle w:val="nHeading3"/>
        <w:rPr>
          <w:snapToGrid w:val="0"/>
        </w:rPr>
      </w:pPr>
      <w:bookmarkStart w:id="408" w:name="_Toc378086002"/>
      <w:bookmarkStart w:id="409" w:name="_Toc126985702"/>
      <w:r>
        <w:rPr>
          <w:snapToGrid w:val="0"/>
        </w:rPr>
        <w:t>Compilation table</w:t>
      </w:r>
      <w:bookmarkEnd w:id="408"/>
      <w:bookmarkEnd w:id="4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Regulations 1979</w:t>
            </w:r>
          </w:p>
        </w:tc>
        <w:tc>
          <w:tcPr>
            <w:tcW w:w="1276" w:type="dxa"/>
          </w:tcPr>
          <w:p>
            <w:pPr>
              <w:pStyle w:val="nTable"/>
              <w:spacing w:after="40"/>
              <w:rPr>
                <w:sz w:val="19"/>
              </w:rPr>
            </w:pPr>
            <w:r>
              <w:rPr>
                <w:sz w:val="19"/>
              </w:rPr>
              <w:t>5 Oct 1979 pp.3127</w:t>
            </w:r>
            <w:r>
              <w:rPr>
                <w:sz w:val="19"/>
              </w:rPr>
              <w:noBreakHyphen/>
              <w:t>41</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i/>
                <w:sz w:val="19"/>
              </w:rPr>
            </w:pPr>
            <w:r>
              <w:rPr>
                <w:i/>
                <w:sz w:val="19"/>
              </w:rPr>
              <w:t>Control of Vehicles (Off</w:t>
            </w:r>
            <w:r>
              <w:rPr>
                <w:i/>
                <w:sz w:val="19"/>
              </w:rPr>
              <w:noBreakHyphen/>
              <w:t>road Areas) Amendment Regulations 1982</w:t>
            </w:r>
          </w:p>
        </w:tc>
        <w:tc>
          <w:tcPr>
            <w:tcW w:w="1276" w:type="dxa"/>
          </w:tcPr>
          <w:p>
            <w:pPr>
              <w:pStyle w:val="nTable"/>
              <w:spacing w:after="40"/>
              <w:rPr>
                <w:sz w:val="19"/>
              </w:rPr>
            </w:pPr>
            <w:r>
              <w:rPr>
                <w:sz w:val="19"/>
              </w:rPr>
              <w:t>2 Feb 1982 p.395</w:t>
            </w:r>
          </w:p>
        </w:tc>
        <w:tc>
          <w:tcPr>
            <w:tcW w:w="2693" w:type="dxa"/>
          </w:tcPr>
          <w:p>
            <w:pPr>
              <w:pStyle w:val="nTable"/>
              <w:spacing w:after="40"/>
              <w:rPr>
                <w:sz w:val="19"/>
              </w:rPr>
            </w:pPr>
            <w:r>
              <w:rPr>
                <w:sz w:val="19"/>
              </w:rPr>
              <w:t>2 Feb 1982</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1983</w:t>
            </w:r>
          </w:p>
        </w:tc>
        <w:tc>
          <w:tcPr>
            <w:tcW w:w="1276" w:type="dxa"/>
          </w:tcPr>
          <w:p>
            <w:pPr>
              <w:pStyle w:val="nTable"/>
              <w:spacing w:after="40"/>
              <w:rPr>
                <w:sz w:val="19"/>
              </w:rPr>
            </w:pPr>
            <w:r>
              <w:rPr>
                <w:sz w:val="19"/>
              </w:rPr>
              <w:t>8 Jul 1983 p.2510</w:t>
            </w:r>
          </w:p>
        </w:tc>
        <w:tc>
          <w:tcPr>
            <w:tcW w:w="2693" w:type="dxa"/>
          </w:tcPr>
          <w:p>
            <w:pPr>
              <w:pStyle w:val="nTable"/>
              <w:spacing w:after="40"/>
              <w:rPr>
                <w:sz w:val="19"/>
              </w:rPr>
            </w:pPr>
            <w:r>
              <w:rPr>
                <w:sz w:val="19"/>
              </w:rPr>
              <w:t>30 Sep 1983</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1985</w:t>
            </w:r>
          </w:p>
        </w:tc>
        <w:tc>
          <w:tcPr>
            <w:tcW w:w="1276" w:type="dxa"/>
          </w:tcPr>
          <w:p>
            <w:pPr>
              <w:pStyle w:val="nTable"/>
              <w:spacing w:after="40"/>
              <w:rPr>
                <w:sz w:val="19"/>
              </w:rPr>
            </w:pPr>
            <w:r>
              <w:rPr>
                <w:sz w:val="19"/>
              </w:rPr>
              <w:t>8 Nov 1985 p.4294</w:t>
            </w:r>
          </w:p>
        </w:tc>
        <w:tc>
          <w:tcPr>
            <w:tcW w:w="2693" w:type="dxa"/>
          </w:tcPr>
          <w:p>
            <w:pPr>
              <w:pStyle w:val="nTable"/>
              <w:spacing w:after="40"/>
              <w:rPr>
                <w:sz w:val="19"/>
              </w:rPr>
            </w:pPr>
            <w:r>
              <w:rPr>
                <w:sz w:val="19"/>
              </w:rPr>
              <w:t>1 Dec 1985</w:t>
            </w:r>
            <w:r>
              <w:rPr>
                <w:sz w:val="19"/>
              </w:rPr>
              <w:br/>
              <w:t>(see regulation 3)</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w:t>
            </w:r>
            <w:r>
              <w:rPr>
                <w:i/>
                <w:sz w:val="19"/>
              </w:rPr>
              <w:br/>
              <w:t>Regulations 1993</w:t>
            </w:r>
          </w:p>
        </w:tc>
        <w:tc>
          <w:tcPr>
            <w:tcW w:w="1276" w:type="dxa"/>
          </w:tcPr>
          <w:p>
            <w:pPr>
              <w:pStyle w:val="nTable"/>
              <w:spacing w:after="40"/>
              <w:rPr>
                <w:sz w:val="19"/>
              </w:rPr>
            </w:pPr>
            <w:r>
              <w:rPr>
                <w:sz w:val="19"/>
              </w:rPr>
              <w:t>17 Sep 1993 pp.5163</w:t>
            </w:r>
            <w:r>
              <w:rPr>
                <w:sz w:val="19"/>
              </w:rPr>
              <w:noBreakHyphen/>
              <w:t>6</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Control of Vehicles (Off</w:t>
            </w:r>
            <w:r>
              <w:rPr>
                <w:i/>
                <w:sz w:val="19"/>
              </w:rPr>
              <w:noBreakHyphen/>
              <w:t xml:space="preserve">Road Areas) Amendment </w:t>
            </w:r>
            <w:r>
              <w:rPr>
                <w:i/>
                <w:sz w:val="19"/>
              </w:rPr>
              <w:br/>
              <w:t>Regulations 1997</w:t>
            </w:r>
          </w:p>
        </w:tc>
        <w:tc>
          <w:tcPr>
            <w:tcW w:w="1276" w:type="dxa"/>
          </w:tcPr>
          <w:p>
            <w:pPr>
              <w:pStyle w:val="nTable"/>
              <w:spacing w:after="40"/>
              <w:rPr>
                <w:sz w:val="19"/>
              </w:rPr>
            </w:pPr>
            <w:r>
              <w:rPr>
                <w:sz w:val="19"/>
              </w:rPr>
              <w:t>31 Jan 1997 p.673</w:t>
            </w:r>
          </w:p>
        </w:tc>
        <w:tc>
          <w:tcPr>
            <w:tcW w:w="2693" w:type="dxa"/>
          </w:tcPr>
          <w:p>
            <w:pPr>
              <w:pStyle w:val="nTable"/>
              <w:spacing w:after="40"/>
              <w:rPr>
                <w:sz w:val="19"/>
              </w:rPr>
            </w:pPr>
            <w:r>
              <w:rPr>
                <w:sz w:val="19"/>
              </w:rPr>
              <w:t xml:space="preserve">1 Feb 1997 </w:t>
            </w:r>
            <w:r>
              <w:rPr>
                <w:sz w:val="19"/>
              </w:rPr>
              <w:br/>
              <w:t xml:space="preserve">(see regulation 2 and </w:t>
            </w:r>
            <w:r>
              <w:rPr>
                <w:i/>
                <w:sz w:val="19"/>
              </w:rPr>
              <w:t>Gazette</w:t>
            </w:r>
            <w:r>
              <w:rPr>
                <w:sz w:val="19"/>
              </w:rPr>
              <w:t xml:space="preserve"> 31 Jan 1997 p.613)</w:t>
            </w:r>
          </w:p>
        </w:tc>
      </w:tr>
      <w:tr>
        <w:trPr>
          <w:cantSplit/>
          <w:ins w:id="410" w:author="Master Repository Process" w:date="2021-07-31T15:45:00Z"/>
        </w:trPr>
        <w:tc>
          <w:tcPr>
            <w:tcW w:w="3118" w:type="dxa"/>
            <w:tcBorders>
              <w:bottom w:val="single" w:sz="8" w:space="0" w:color="auto"/>
            </w:tcBorders>
          </w:tcPr>
          <w:p>
            <w:pPr>
              <w:pStyle w:val="nTable"/>
              <w:spacing w:after="40"/>
              <w:ind w:right="113"/>
              <w:rPr>
                <w:ins w:id="411" w:author="Master Repository Process" w:date="2021-07-31T15:45:00Z"/>
                <w:i/>
                <w:sz w:val="19"/>
              </w:rPr>
            </w:pPr>
            <w:ins w:id="412" w:author="Master Repository Process" w:date="2021-07-31T15:45:00Z">
              <w:r>
                <w:rPr>
                  <w:i/>
                  <w:sz w:val="19"/>
                </w:rPr>
                <w:t>Control of Vehicles (Off-road Areas) Amendment Regulations 2007</w:t>
              </w:r>
            </w:ins>
          </w:p>
        </w:tc>
        <w:tc>
          <w:tcPr>
            <w:tcW w:w="1276" w:type="dxa"/>
            <w:tcBorders>
              <w:bottom w:val="single" w:sz="8" w:space="0" w:color="auto"/>
            </w:tcBorders>
          </w:tcPr>
          <w:p>
            <w:pPr>
              <w:pStyle w:val="nTable"/>
              <w:spacing w:after="40"/>
              <w:rPr>
                <w:ins w:id="413" w:author="Master Repository Process" w:date="2021-07-31T15:45:00Z"/>
                <w:sz w:val="19"/>
              </w:rPr>
            </w:pPr>
            <w:ins w:id="414" w:author="Master Repository Process" w:date="2021-07-31T15:45:00Z">
              <w:r>
                <w:rPr>
                  <w:sz w:val="19"/>
                </w:rPr>
                <w:t>26 Oct 2007 p. 5655</w:t>
              </w:r>
            </w:ins>
          </w:p>
        </w:tc>
        <w:tc>
          <w:tcPr>
            <w:tcW w:w="2693" w:type="dxa"/>
            <w:tcBorders>
              <w:bottom w:val="single" w:sz="8" w:space="0" w:color="auto"/>
            </w:tcBorders>
          </w:tcPr>
          <w:p>
            <w:pPr>
              <w:pStyle w:val="nTable"/>
              <w:spacing w:after="40"/>
              <w:rPr>
                <w:ins w:id="415" w:author="Master Repository Process" w:date="2021-07-31T15:45:00Z"/>
                <w:sz w:val="19"/>
              </w:rPr>
            </w:pPr>
            <w:ins w:id="416" w:author="Master Repository Process" w:date="2021-07-31T15:45:00Z">
              <w:r>
                <w:rPr>
                  <w:sz w:val="19"/>
                </w:rPr>
                <w:t>r. 1 and 2: 26 Oct 2007 (see r. 2(a));</w:t>
              </w:r>
            </w:ins>
          </w:p>
          <w:p>
            <w:pPr>
              <w:pStyle w:val="nTable"/>
              <w:spacing w:after="40"/>
              <w:rPr>
                <w:ins w:id="417" w:author="Master Repository Process" w:date="2021-07-31T15:45:00Z"/>
                <w:sz w:val="19"/>
              </w:rPr>
            </w:pPr>
            <w:ins w:id="418" w:author="Master Repository Process" w:date="2021-07-31T15:45:00Z">
              <w:r>
                <w:rPr>
                  <w:sz w:val="19"/>
                </w:rPr>
                <w:t>Regulations other than r. 1 and 2: 27 Oct 2007 (see r. 2(b))</w:t>
              </w:r>
            </w:ins>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Control of Vehicles (Off-road Areas)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rPr>
              <w:noProof/>
            </w:rPr>
            <w:fldChar w:fldCharType="end"/>
          </w:r>
        </w:p>
      </w:tc>
      <w:tc>
        <w:tcPr>
          <w:tcW w:w="5383"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257" w:type="dxa"/>
        </w:tcPr>
        <w:p>
          <w:pPr>
            <w:pStyle w:val="HeaderTextRight"/>
          </w:pPr>
        </w:p>
      </w:tc>
      <w:tc>
        <w:tcPr>
          <w:tcW w:w="2006" w:type="dxa"/>
        </w:tcPr>
        <w:p>
          <w:pPr>
            <w:pStyle w:val="HeaderNumberRight"/>
            <w:ind w:right="17"/>
          </w:pPr>
        </w:p>
      </w:tc>
    </w:tr>
    <w:tr>
      <w:tc>
        <w:tcPr>
          <w:tcW w:w="5257" w:type="dxa"/>
        </w:tcPr>
        <w:p>
          <w:pPr>
            <w:pStyle w:val="HeaderTextRight"/>
          </w:pPr>
        </w:p>
      </w:tc>
      <w:tc>
        <w:tcPr>
          <w:tcW w:w="2006" w:type="dxa"/>
        </w:tcPr>
        <w:p>
          <w:pPr>
            <w:pStyle w:val="HeaderNumberRight"/>
            <w:ind w:right="17"/>
          </w:pPr>
        </w:p>
      </w:tc>
    </w:tr>
    <w:tr>
      <w:trPr>
        <w:cantSplit/>
      </w:trPr>
      <w:tc>
        <w:tcPr>
          <w:tcW w:w="5257" w:type="dxa"/>
        </w:tcPr>
        <w:p>
          <w:pPr>
            <w:pStyle w:val="HeaderSectionRight"/>
            <w:ind w:right="17"/>
          </w:pPr>
        </w:p>
      </w:tc>
      <w:tc>
        <w:tcPr>
          <w:tcW w:w="200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724"/>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1210105724" w:val="RemoveTrackChanges"/>
    <w:docVar w:name="WAFER_20151210105724_GUID" w:val="a1446752-f93b-48d1-86c8-fc007b95c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92467B-F674-48DF-96EA-C215C89A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8125</Words>
  <Characters>44850</Characters>
  <Application>Microsoft Office Word</Application>
  <DocSecurity>0</DocSecurity>
  <Lines>1212</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01-a0-04 - 01-b0-05</dc:title>
  <dc:subject/>
  <dc:creator/>
  <cp:keywords/>
  <dc:description/>
  <cp:lastModifiedBy>Master Repository Process</cp:lastModifiedBy>
  <cp:revision>2</cp:revision>
  <cp:lastPrinted>2000-06-01T04:44:00Z</cp:lastPrinted>
  <dcterms:created xsi:type="dcterms:W3CDTF">2021-07-31T07:45:00Z</dcterms:created>
  <dcterms:modified xsi:type="dcterms:W3CDTF">2021-07-31T07:45:00Z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CommencementDate">
    <vt:lpwstr>20071027</vt:lpwstr>
  </property>
  <property fmtid="{D5CDD505-2E9C-101B-9397-08002B2CF9AE}" pid="4" name="DocumentType">
    <vt:lpwstr>Reg</vt:lpwstr>
  </property>
  <property fmtid="{D5CDD505-2E9C-101B-9397-08002B2CF9AE}" pid="5" name="OwlsUID">
    <vt:i4>4370</vt:i4>
  </property>
  <property fmtid="{D5CDD505-2E9C-101B-9397-08002B2CF9AE}" pid="6" name="FromSuffix">
    <vt:lpwstr>01-a0-04</vt:lpwstr>
  </property>
  <property fmtid="{D5CDD505-2E9C-101B-9397-08002B2CF9AE}" pid="7" name="FromAsAtDate">
    <vt:lpwstr>19 May 2000</vt:lpwstr>
  </property>
  <property fmtid="{D5CDD505-2E9C-101B-9397-08002B2CF9AE}" pid="8" name="ToSuffix">
    <vt:lpwstr>01-b0-05</vt:lpwstr>
  </property>
  <property fmtid="{D5CDD505-2E9C-101B-9397-08002B2CF9AE}" pid="9" name="ToAsAtDate">
    <vt:lpwstr>27 Oct 2007</vt:lpwstr>
  </property>
</Properties>
</file>