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29 Dec 2007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0" w:name="_Toc105394406"/>
      <w:bookmarkStart w:id="1" w:name="_Toc106005632"/>
      <w:bookmarkStart w:id="2" w:name="_Toc106006558"/>
      <w:bookmarkStart w:id="3" w:name="_Toc106008412"/>
      <w:bookmarkStart w:id="4" w:name="_Toc106009210"/>
      <w:bookmarkStart w:id="5" w:name="_Toc106187575"/>
      <w:bookmarkStart w:id="6" w:name="_Toc107914331"/>
      <w:bookmarkStart w:id="7" w:name="_Toc107996506"/>
      <w:bookmarkStart w:id="8" w:name="_Toc107996702"/>
      <w:bookmarkStart w:id="9" w:name="_Toc107996847"/>
      <w:bookmarkStart w:id="10" w:name="_Toc107997357"/>
      <w:bookmarkStart w:id="11" w:name="_Toc107997536"/>
      <w:bookmarkStart w:id="12" w:name="_Toc108237669"/>
      <w:bookmarkStart w:id="13" w:name="_Toc108247566"/>
      <w:bookmarkStart w:id="14" w:name="_Toc108247737"/>
      <w:bookmarkStart w:id="15" w:name="_Toc108250028"/>
      <w:bookmarkStart w:id="16" w:name="_Toc108256037"/>
      <w:bookmarkStart w:id="17" w:name="_Toc108410748"/>
      <w:bookmarkStart w:id="18" w:name="_Toc108412386"/>
      <w:bookmarkStart w:id="19" w:name="_Toc108412517"/>
      <w:bookmarkStart w:id="20" w:name="_Toc108843898"/>
      <w:bookmarkStart w:id="21" w:name="_Toc108846164"/>
      <w:bookmarkStart w:id="22" w:name="_Toc108848096"/>
      <w:bookmarkStart w:id="23" w:name="_Toc108857215"/>
      <w:bookmarkStart w:id="24" w:name="_Toc108863531"/>
      <w:bookmarkStart w:id="25" w:name="_Toc108863716"/>
      <w:bookmarkStart w:id="26" w:name="_Toc108863861"/>
      <w:bookmarkStart w:id="27" w:name="_Toc108864004"/>
      <w:bookmarkStart w:id="28" w:name="_Toc114628509"/>
      <w:bookmarkStart w:id="29" w:name="_Toc114635387"/>
      <w:bookmarkStart w:id="30" w:name="_Toc114652212"/>
      <w:bookmarkStart w:id="31" w:name="_Toc114884830"/>
      <w:bookmarkStart w:id="32" w:name="_Toc114885267"/>
      <w:bookmarkStart w:id="33" w:name="_Toc114893166"/>
      <w:bookmarkStart w:id="34" w:name="_Toc114897805"/>
      <w:bookmarkStart w:id="35" w:name="_Toc114897956"/>
      <w:bookmarkStart w:id="36" w:name="_Toc114899098"/>
      <w:bookmarkStart w:id="37" w:name="_Toc114899212"/>
      <w:bookmarkStart w:id="38" w:name="_Toc114899296"/>
      <w:bookmarkStart w:id="39" w:name="_Toc114899410"/>
      <w:bookmarkStart w:id="40" w:name="_Toc114899436"/>
      <w:bookmarkStart w:id="41" w:name="_Toc114899499"/>
      <w:bookmarkStart w:id="42" w:name="_Toc114899580"/>
      <w:bookmarkStart w:id="43" w:name="_Toc114899918"/>
      <w:bookmarkStart w:id="44" w:name="_Toc114899951"/>
      <w:bookmarkStart w:id="45" w:name="_Toc114910812"/>
      <w:bookmarkStart w:id="46" w:name="_Toc114910907"/>
      <w:bookmarkStart w:id="47" w:name="_Toc115084246"/>
      <w:bookmarkStart w:id="48" w:name="_Toc115680144"/>
      <w:bookmarkStart w:id="49" w:name="_Toc115687598"/>
      <w:bookmarkStart w:id="50" w:name="_Toc115687628"/>
      <w:bookmarkStart w:id="51" w:name="_Toc115775598"/>
      <w:bookmarkStart w:id="52" w:name="_Toc115775783"/>
      <w:bookmarkStart w:id="53" w:name="_Toc115775972"/>
      <w:bookmarkStart w:id="54" w:name="_Toc115776707"/>
      <w:bookmarkStart w:id="55" w:name="_Toc115830549"/>
      <w:bookmarkStart w:id="56" w:name="_Toc115830614"/>
      <w:bookmarkStart w:id="57" w:name="_Toc116880263"/>
      <w:bookmarkStart w:id="58" w:name="_Toc116883487"/>
      <w:bookmarkStart w:id="59" w:name="_Toc116884194"/>
      <w:bookmarkStart w:id="60" w:name="_Toc116884450"/>
      <w:bookmarkStart w:id="61" w:name="_Toc116884506"/>
      <w:bookmarkStart w:id="62" w:name="_Toc116884698"/>
      <w:bookmarkStart w:id="63" w:name="_Toc116884721"/>
      <w:bookmarkStart w:id="64" w:name="_Toc116891566"/>
      <w:bookmarkStart w:id="65" w:name="_Toc116895710"/>
      <w:bookmarkStart w:id="66" w:name="_Toc116898146"/>
      <w:bookmarkStart w:id="67" w:name="_Toc116898537"/>
      <w:bookmarkStart w:id="68" w:name="_Toc116899239"/>
      <w:bookmarkStart w:id="69" w:name="_Toc116899637"/>
      <w:bookmarkStart w:id="70" w:name="_Toc116960393"/>
      <w:bookmarkStart w:id="71" w:name="_Toc116960465"/>
      <w:bookmarkStart w:id="72" w:name="_Toc116960839"/>
      <w:bookmarkStart w:id="73" w:name="_Toc116963285"/>
      <w:bookmarkStart w:id="74" w:name="_Toc116963673"/>
      <w:bookmarkStart w:id="75" w:name="_Toc116963751"/>
      <w:bookmarkStart w:id="76" w:name="_Toc116964519"/>
      <w:bookmarkStart w:id="77" w:name="_Toc116964558"/>
      <w:bookmarkStart w:id="78" w:name="_Toc116964601"/>
      <w:bookmarkStart w:id="79" w:name="_Toc121808285"/>
      <w:bookmarkStart w:id="80" w:name="_Toc121809844"/>
      <w:bookmarkStart w:id="81" w:name="_Toc121815165"/>
      <w:bookmarkStart w:id="82" w:name="_Toc122773960"/>
      <w:bookmarkStart w:id="83" w:name="_Toc122773999"/>
      <w:bookmarkStart w:id="84" w:name="_Toc122834169"/>
      <w:bookmarkStart w:id="85" w:name="_Toc122834429"/>
      <w:bookmarkStart w:id="86" w:name="_Toc122849361"/>
      <w:bookmarkStart w:id="87" w:name="_Toc122849507"/>
      <w:bookmarkStart w:id="88" w:name="_Toc122851033"/>
      <w:bookmarkStart w:id="89" w:name="_Toc122851291"/>
      <w:bookmarkStart w:id="90" w:name="_Toc122862787"/>
      <w:bookmarkStart w:id="91" w:name="_Toc122915860"/>
      <w:bookmarkStart w:id="92" w:name="_Toc122915886"/>
      <w:bookmarkStart w:id="93" w:name="_Toc127084724"/>
      <w:bookmarkStart w:id="94" w:name="_Toc127084908"/>
      <w:bookmarkStart w:id="95" w:name="_Toc186619643"/>
      <w:bookmarkStart w:id="96" w:name="_Toc186620043"/>
      <w:r>
        <w:rPr>
          <w:rStyle w:val="CharPartNo"/>
        </w:rPr>
        <w:t>P</w:t>
      </w:r>
      <w:bookmarkStart w:id="97" w:name="_GoBack"/>
      <w:bookmarkEnd w:id="9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8" w:name="_Toc423332722"/>
      <w:bookmarkStart w:id="99" w:name="_Toc425219441"/>
      <w:bookmarkStart w:id="100" w:name="_Toc426249308"/>
      <w:bookmarkStart w:id="101" w:name="_Toc449924704"/>
      <w:bookmarkStart w:id="102" w:name="_Toc449947722"/>
      <w:bookmarkStart w:id="103" w:name="_Toc454185713"/>
      <w:bookmarkStart w:id="104" w:name="_Toc116884507"/>
      <w:bookmarkStart w:id="105" w:name="_Toc122915887"/>
      <w:bookmarkStart w:id="106" w:name="_Toc186620044"/>
      <w:bookmarkStart w:id="107" w:name="_Toc127084909"/>
      <w:r>
        <w:rPr>
          <w:rStyle w:val="CharSectno"/>
        </w:rPr>
        <w:t>1</w:t>
      </w:r>
      <w:r>
        <w:t>.</w:t>
      </w:r>
      <w:r>
        <w:tab/>
        <w:t>Citation</w:t>
      </w:r>
      <w:bookmarkEnd w:id="98"/>
      <w:bookmarkEnd w:id="99"/>
      <w:bookmarkEnd w:id="100"/>
      <w:bookmarkEnd w:id="101"/>
      <w:bookmarkEnd w:id="102"/>
      <w:bookmarkEnd w:id="103"/>
      <w:bookmarkEnd w:id="104"/>
      <w:bookmarkEnd w:id="105"/>
      <w:bookmarkEnd w:id="106"/>
      <w:bookmarkEnd w:id="107"/>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t>.</w:t>
      </w:r>
    </w:p>
    <w:p>
      <w:pPr>
        <w:pStyle w:val="Heading5"/>
      </w:pPr>
      <w:bookmarkStart w:id="108" w:name="_Toc116884508"/>
      <w:bookmarkStart w:id="109" w:name="_Toc122915888"/>
      <w:bookmarkStart w:id="110" w:name="_Toc186620045"/>
      <w:bookmarkStart w:id="111" w:name="_Toc127084910"/>
      <w:r>
        <w:rPr>
          <w:rStyle w:val="CharSectno"/>
        </w:rPr>
        <w:t>2</w:t>
      </w:r>
      <w:r>
        <w:t>.</w:t>
      </w:r>
      <w:r>
        <w:tab/>
        <w:t>Terms used in these regulations</w:t>
      </w:r>
      <w:bookmarkEnd w:id="108"/>
      <w:bookmarkEnd w:id="109"/>
      <w:bookmarkEnd w:id="110"/>
      <w:bookmarkEnd w:id="111"/>
    </w:p>
    <w:p>
      <w:pPr>
        <w:pStyle w:val="Subsection"/>
      </w:pPr>
      <w:r>
        <w:tab/>
      </w:r>
      <w:ins w:id="112" w:author="Master Repository Process" w:date="2021-07-31T07:47:00Z">
        <w:r>
          <w:t>(1)</w:t>
        </w:r>
      </w:ins>
      <w:r>
        <w:tab/>
        <w:t xml:space="preserve">In these regulations — </w:t>
      </w:r>
    </w:p>
    <w:p>
      <w:pPr>
        <w:pStyle w:val="Defstart"/>
      </w:pPr>
      <w:r>
        <w:rPr>
          <w:b/>
        </w:rPr>
        <w:tab/>
      </w:r>
      <w:del w:id="113" w:author="Master Repository Process" w:date="2021-07-31T07:47:00Z">
        <w:r>
          <w:rPr>
            <w:b/>
          </w:rPr>
          <w:delText>“</w:delText>
        </w:r>
      </w:del>
      <w:r>
        <w:rPr>
          <w:rStyle w:val="CharDefText"/>
        </w:rPr>
        <w:t>control period</w:t>
      </w:r>
      <w:del w:id="114" w:author="Master Repository Process" w:date="2021-07-31T07:47:00Z">
        <w:r>
          <w:rPr>
            <w:b/>
          </w:rPr>
          <w:delText>”</w:delText>
        </w:r>
      </w:del>
      <w:r>
        <w:t xml:space="preserve"> means the period beginning on 1 September in any year and ending on </w:t>
      </w:r>
      <w:del w:id="115" w:author="Master Repository Process" w:date="2021-07-31T07:47:00Z">
        <w:r>
          <w:delText>the last day of February</w:delText>
        </w:r>
      </w:del>
      <w:ins w:id="116" w:author="Master Repository Process" w:date="2021-07-31T07:47:00Z">
        <w:r>
          <w:t>31 March</w:t>
        </w:r>
      </w:ins>
      <w:r>
        <w:t xml:space="preserve"> in the next year;</w:t>
      </w:r>
    </w:p>
    <w:p>
      <w:pPr>
        <w:pStyle w:val="Defstart"/>
      </w:pPr>
      <w:r>
        <w:rPr>
          <w:b/>
        </w:rPr>
        <w:tab/>
      </w:r>
      <w:del w:id="117" w:author="Master Repository Process" w:date="2021-07-31T07:47:00Z">
        <w:r>
          <w:rPr>
            <w:b/>
          </w:rPr>
          <w:delText>“</w:delText>
        </w:r>
      </w:del>
      <w:r>
        <w:rPr>
          <w:rStyle w:val="CharDefText"/>
        </w:rPr>
        <w:t>EHB</w:t>
      </w:r>
      <w:del w:id="118" w:author="Master Repository Process" w:date="2021-07-31T07:47:00Z">
        <w:r>
          <w:rPr>
            <w:b/>
          </w:rPr>
          <w:delText>”</w:delText>
        </w:r>
      </w:del>
      <w:r>
        <w:t xml:space="preserve"> means the European house borer </w:t>
      </w:r>
      <w:r>
        <w:rPr>
          <w:i/>
          <w:iCs/>
        </w:rPr>
        <w:t>Hylotrupes bajulus</w:t>
      </w:r>
      <w:r>
        <w:t xml:space="preserve"> Linnaeus;</w:t>
      </w:r>
    </w:p>
    <w:p>
      <w:pPr>
        <w:pStyle w:val="Defstart"/>
      </w:pPr>
      <w:r>
        <w:rPr>
          <w:b/>
        </w:rPr>
        <w:tab/>
      </w:r>
      <w:del w:id="119" w:author="Master Repository Process" w:date="2021-07-31T07:47:00Z">
        <w:r>
          <w:rPr>
            <w:b/>
          </w:rPr>
          <w:delText>“</w:delText>
        </w:r>
      </w:del>
      <w:r>
        <w:rPr>
          <w:rStyle w:val="CharDefText"/>
        </w:rPr>
        <w:t>pinewood</w:t>
      </w:r>
      <w:del w:id="120" w:author="Master Repository Process" w:date="2021-07-31T07:47:00Z">
        <w:r>
          <w:rPr>
            <w:b/>
          </w:rPr>
          <w:delText>”</w:delText>
        </w:r>
      </w:del>
      <w:r>
        <w:t xml:space="preserve"> means </w:t>
      </w:r>
      <w:ins w:id="121" w:author="Master Repository Process" w:date="2021-07-31T07:47:00Z">
        <w:r>
          <w:t xml:space="preserve">trees or </w:t>
        </w:r>
      </w:ins>
      <w:r>
        <w:t xml:space="preserve">wood from trees of the genera </w:t>
      </w:r>
      <w:r>
        <w:rPr>
          <w:i/>
          <w:iCs/>
        </w:rPr>
        <w:t>Pinus</w:t>
      </w:r>
      <w:r>
        <w:t>,</w:t>
      </w:r>
      <w:r>
        <w:rPr>
          <w:i/>
          <w:iCs/>
        </w:rPr>
        <w:t xml:space="preserve"> Abies</w:t>
      </w:r>
      <w:r>
        <w:t>,</w:t>
      </w:r>
      <w:r>
        <w:rPr>
          <w:i/>
          <w:iCs/>
        </w:rPr>
        <w:t xml:space="preserve"> Picea</w:t>
      </w:r>
      <w:r>
        <w:t xml:space="preserve"> and </w:t>
      </w:r>
      <w:r>
        <w:rPr>
          <w:i/>
          <w:iCs/>
        </w:rPr>
        <w:t>Pseudotsugata</w:t>
      </w:r>
      <w:r>
        <w:t>;</w:t>
      </w:r>
    </w:p>
    <w:p>
      <w:pPr>
        <w:pStyle w:val="Defstart"/>
      </w:pPr>
      <w:r>
        <w:rPr>
          <w:b/>
        </w:rPr>
        <w:tab/>
      </w:r>
      <w:del w:id="122" w:author="Master Repository Process" w:date="2021-07-31T07:47:00Z">
        <w:r>
          <w:rPr>
            <w:b/>
          </w:rPr>
          <w:delText>“</w:delText>
        </w:r>
      </w:del>
      <w:r>
        <w:rPr>
          <w:rStyle w:val="CharDefText"/>
        </w:rPr>
        <w:t>pinewood article</w:t>
      </w:r>
      <w:del w:id="123" w:author="Master Repository Process" w:date="2021-07-31T07:47:00Z">
        <w:r>
          <w:rPr>
            <w:b/>
          </w:rPr>
          <w:delText>”</w:delText>
        </w:r>
      </w:del>
      <w:r>
        <w:t xml:space="preserve"> means an article (including an item of furniture, decoration, utensil or other personal effect) made of seasoned pinewood;</w:t>
      </w:r>
    </w:p>
    <w:p>
      <w:pPr>
        <w:pStyle w:val="Defstart"/>
        <w:rPr>
          <w:ins w:id="124" w:author="Master Repository Process" w:date="2021-07-31T07:47:00Z"/>
        </w:rPr>
      </w:pPr>
      <w:r>
        <w:rPr>
          <w:b/>
        </w:rPr>
        <w:tab/>
      </w:r>
      <w:del w:id="125" w:author="Master Repository Process" w:date="2021-07-31T07:47:00Z">
        <w:r>
          <w:rPr>
            <w:b/>
          </w:rPr>
          <w:delText>“</w:delText>
        </w:r>
        <w:r>
          <w:rPr>
            <w:rStyle w:val="CharDefText"/>
          </w:rPr>
          <w:delText>PMZ</w:delText>
        </w:r>
        <w:r>
          <w:rPr>
            <w:b/>
          </w:rPr>
          <w:delText>”</w:delText>
        </w:r>
      </w:del>
      <w:ins w:id="126" w:author="Master Repository Process" w:date="2021-07-31T07:47:00Z">
        <w:r>
          <w:rPr>
            <w:rStyle w:val="CharDefText"/>
          </w:rPr>
          <w:t>pinewood dealer</w:t>
        </w:r>
        <w:r>
          <w:t xml:space="preserve"> means a person who carries on a business</w:t>
        </w:r>
      </w:ins>
      <w:r>
        <w:t xml:space="preserve"> or </w:t>
      </w:r>
      <w:del w:id="127" w:author="Master Repository Process" w:date="2021-07-31T07:47:00Z">
        <w:r>
          <w:rPr>
            <w:b/>
          </w:rPr>
          <w:delText>“</w:delText>
        </w:r>
      </w:del>
      <w:ins w:id="128" w:author="Master Repository Process" w:date="2021-07-31T07:47:00Z">
        <w:r>
          <w:t>hobby of, or a business or hobby that includes, buying, selling or transporting pinewood or pinewood articles;</w:t>
        </w:r>
      </w:ins>
    </w:p>
    <w:p>
      <w:pPr>
        <w:pStyle w:val="Defstart"/>
        <w:rPr>
          <w:bCs/>
        </w:rPr>
      </w:pPr>
      <w:ins w:id="129" w:author="Master Repository Process" w:date="2021-07-31T07:47:00Z">
        <w:r>
          <w:rPr>
            <w:b/>
          </w:rPr>
          <w:tab/>
        </w:r>
        <w:r>
          <w:rPr>
            <w:rStyle w:val="CharDefText"/>
          </w:rPr>
          <w:t>PMZ</w:t>
        </w:r>
        <w:r>
          <w:t xml:space="preserve"> or </w:t>
        </w:r>
      </w:ins>
      <w:r>
        <w:rPr>
          <w:rStyle w:val="CharDefText"/>
        </w:rPr>
        <w:t>priority management zone</w:t>
      </w:r>
      <w:del w:id="130" w:author="Master Repository Process" w:date="2021-07-31T07:47:00Z">
        <w:r>
          <w:rPr>
            <w:b/>
          </w:rPr>
          <w:delText>”</w:delText>
        </w:r>
      </w:del>
      <w:r>
        <w:rPr>
          <w:bCs/>
        </w:rPr>
        <w:t xml:space="preserve"> means</w:t>
      </w:r>
      <w:ins w:id="131" w:author="Master Repository Process" w:date="2021-07-31T07:47:00Z">
        <w:r>
          <w:t>, subject to subregulation (2),</w:t>
        </w:r>
      </w:ins>
      <w:r>
        <w:t xml:space="preserve"> </w:t>
      </w:r>
      <w:r>
        <w:rPr>
          <w:bCs/>
        </w:rPr>
        <w:t xml:space="preserve">the area comprising every property any part </w:t>
      </w:r>
      <w:r>
        <w:rPr>
          <w:bCs/>
        </w:rPr>
        <w:lastRenderedPageBreak/>
        <w:t>of which is within 100 m of a site where wood is infested with EHB;</w:t>
      </w:r>
    </w:p>
    <w:p>
      <w:pPr>
        <w:pStyle w:val="Defstart"/>
        <w:rPr>
          <w:bCs/>
        </w:rPr>
      </w:pPr>
      <w:r>
        <w:rPr>
          <w:b/>
        </w:rPr>
        <w:tab/>
      </w:r>
      <w:del w:id="132" w:author="Master Repository Process" w:date="2021-07-31T07:47:00Z">
        <w:r>
          <w:rPr>
            <w:b/>
          </w:rPr>
          <w:delText>“</w:delText>
        </w:r>
      </w:del>
      <w:r>
        <w:rPr>
          <w:rStyle w:val="CharDefText"/>
        </w:rPr>
        <w:t>RMZ</w:t>
      </w:r>
      <w:del w:id="133" w:author="Master Repository Process" w:date="2021-07-31T07:47:00Z">
        <w:r>
          <w:rPr>
            <w:b/>
          </w:rPr>
          <w:delText>”</w:delText>
        </w:r>
      </w:del>
      <w:r>
        <w:t xml:space="preserve"> or </w:t>
      </w:r>
      <w:del w:id="134" w:author="Master Repository Process" w:date="2021-07-31T07:47:00Z">
        <w:r>
          <w:rPr>
            <w:b/>
          </w:rPr>
          <w:delText>“</w:delText>
        </w:r>
      </w:del>
      <w:r>
        <w:rPr>
          <w:rStyle w:val="CharDefText"/>
        </w:rPr>
        <w:t>restricted movement zone</w:t>
      </w:r>
      <w:del w:id="135" w:author="Master Repository Process" w:date="2021-07-31T07:47:00Z">
        <w:r>
          <w:rPr>
            <w:b/>
          </w:rPr>
          <w:delText>”</w:delText>
        </w:r>
      </w:del>
      <w:r>
        <w:rPr>
          <w:bCs/>
        </w:rPr>
        <w:t xml:space="preserve"> means a part of the State in respect of which EHB has been assigned under the Act section 36 to categories A2 and A3;</w:t>
      </w:r>
    </w:p>
    <w:p>
      <w:pPr>
        <w:pStyle w:val="Defstart"/>
      </w:pPr>
      <w:r>
        <w:rPr>
          <w:b/>
        </w:rPr>
        <w:tab/>
      </w:r>
      <w:del w:id="136" w:author="Master Repository Process" w:date="2021-07-31T07:47:00Z">
        <w:r>
          <w:rPr>
            <w:b/>
          </w:rPr>
          <w:delText>“</w:delText>
        </w:r>
      </w:del>
      <w:r>
        <w:rPr>
          <w:rStyle w:val="CharDefText"/>
        </w:rPr>
        <w:t>seasoned pinewood</w:t>
      </w:r>
      <w:del w:id="137" w:author="Master Repository Process" w:date="2021-07-31T07:47:00Z">
        <w:r>
          <w:rPr>
            <w:b/>
          </w:rPr>
          <w:delText>”</w:delText>
        </w:r>
      </w:del>
      <w:r>
        <w:t xml:space="preserve"> means pinewood that has a moisture content of 20% or less when tested in accordance with Australian Standard AS 1080.1 — 1997 </w:t>
      </w:r>
      <w:r>
        <w:rPr>
          <w:i/>
          <w:iCs/>
        </w:rPr>
        <w:t>Timber: Methods of test – Moisture content</w:t>
      </w:r>
      <w:r>
        <w:t>;</w:t>
      </w:r>
    </w:p>
    <w:p>
      <w:pPr>
        <w:pStyle w:val="Defstart"/>
      </w:pPr>
      <w:r>
        <w:rPr>
          <w:b/>
        </w:rPr>
        <w:tab/>
      </w:r>
      <w:del w:id="138" w:author="Master Repository Process" w:date="2021-07-31T07:47:00Z">
        <w:r>
          <w:rPr>
            <w:b/>
          </w:rPr>
          <w:delText>“</w:delText>
        </w:r>
      </w:del>
      <w:r>
        <w:rPr>
          <w:rStyle w:val="CharDefText"/>
        </w:rPr>
        <w:t>unwanted pinewood</w:t>
      </w:r>
      <w:del w:id="139" w:author="Master Repository Process" w:date="2021-07-31T07:47:00Z">
        <w:r>
          <w:rPr>
            <w:b/>
          </w:rPr>
          <w:delText>”</w:delText>
        </w:r>
      </w:del>
      <w:r>
        <w:t xml:space="preserve"> means seasoned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Subsection"/>
        <w:rPr>
          <w:ins w:id="140" w:author="Master Repository Process" w:date="2021-07-31T07:47:00Z"/>
        </w:rPr>
      </w:pPr>
      <w:ins w:id="141" w:author="Master Repository Process" w:date="2021-07-31T07:47:00Z">
        <w:r>
          <w:tab/>
          <w:t>(2)</w:t>
        </w:r>
        <w:r>
          <w:tab/>
          <w:t xml:space="preserve">A PMZ (or priority management zone) does not include a property if — </w:t>
        </w:r>
      </w:ins>
    </w:p>
    <w:p>
      <w:pPr>
        <w:pStyle w:val="Indenta"/>
        <w:rPr>
          <w:ins w:id="142" w:author="Master Repository Process" w:date="2021-07-31T07:47:00Z"/>
        </w:rPr>
      </w:pPr>
      <w:ins w:id="143" w:author="Master Repository Process" w:date="2021-07-31T07:47:00Z">
        <w:r>
          <w:tab/>
          <w:t>(a)</w:t>
        </w:r>
        <w:r>
          <w:tab/>
          <w:t>less than 25% of the property is within 100m of the site where wood is infested with EHB; and</w:t>
        </w:r>
      </w:ins>
    </w:p>
    <w:p>
      <w:pPr>
        <w:pStyle w:val="Indenta"/>
        <w:rPr>
          <w:ins w:id="144" w:author="Master Repository Process" w:date="2021-07-31T07:47:00Z"/>
        </w:rPr>
      </w:pPr>
      <w:ins w:id="145" w:author="Master Repository Process" w:date="2021-07-31T07:47:00Z">
        <w:r>
          <w:tab/>
          <w:t>(b)</w:t>
        </w:r>
        <w:r>
          <w:tab/>
          <w:t xml:space="preserve">there are no pine trees growing on the property that are within 100m of that site; and </w:t>
        </w:r>
      </w:ins>
    </w:p>
    <w:p>
      <w:pPr>
        <w:pStyle w:val="Indenta"/>
        <w:rPr>
          <w:ins w:id="146" w:author="Master Repository Process" w:date="2021-07-31T07:47:00Z"/>
        </w:rPr>
      </w:pPr>
      <w:ins w:id="147" w:author="Master Repository Process" w:date="2021-07-31T07:47:00Z">
        <w:r>
          <w:tab/>
          <w:t>(c)</w:t>
        </w:r>
        <w:r>
          <w:tab/>
          <w:t>neither the owner nor any occupier of the property is a pinewood dealer; and</w:t>
        </w:r>
      </w:ins>
    </w:p>
    <w:p>
      <w:pPr>
        <w:pStyle w:val="Indenta"/>
        <w:rPr>
          <w:ins w:id="148" w:author="Master Repository Process" w:date="2021-07-31T07:47:00Z"/>
        </w:rPr>
      </w:pPr>
      <w:ins w:id="149" w:author="Master Repository Process" w:date="2021-07-31T07:47:00Z">
        <w:r>
          <w:tab/>
          <w:t>(d)</w:t>
        </w:r>
        <w:r>
          <w:tab/>
          <w:t xml:space="preserve">the Chief Officer or a person authorised by the Chief Officer to do so has, by written notice to the owner or occupier of the property, excluded the property from the PMZ. </w:t>
        </w:r>
      </w:ins>
    </w:p>
    <w:p>
      <w:pPr>
        <w:pStyle w:val="Footnotesection"/>
        <w:rPr>
          <w:ins w:id="150" w:author="Master Repository Process" w:date="2021-07-31T07:47:00Z"/>
        </w:rPr>
      </w:pPr>
      <w:ins w:id="151" w:author="Master Repository Process" w:date="2021-07-31T07:47:00Z">
        <w:r>
          <w:tab/>
          <w:t>[Regulation 2 amended in Gazette 28 Dec 2007 p. 6480</w:t>
        </w:r>
        <w:r>
          <w:noBreakHyphen/>
          <w:t>1.]</w:t>
        </w:r>
      </w:ins>
    </w:p>
    <w:p>
      <w:pPr>
        <w:pStyle w:val="Heading2"/>
      </w:pPr>
      <w:bookmarkStart w:id="152" w:name="_Toc115680147"/>
      <w:bookmarkStart w:id="153" w:name="_Toc115687601"/>
      <w:bookmarkStart w:id="154" w:name="_Toc115687631"/>
      <w:bookmarkStart w:id="155" w:name="_Toc115775601"/>
      <w:bookmarkStart w:id="156" w:name="_Toc115775786"/>
      <w:bookmarkStart w:id="157" w:name="_Toc115775975"/>
      <w:bookmarkStart w:id="158" w:name="_Toc115776710"/>
      <w:bookmarkStart w:id="159" w:name="_Toc115830552"/>
      <w:bookmarkStart w:id="160" w:name="_Toc115830617"/>
      <w:bookmarkStart w:id="161" w:name="_Toc116880266"/>
      <w:bookmarkStart w:id="162" w:name="_Toc116883490"/>
      <w:bookmarkStart w:id="163" w:name="_Toc116884197"/>
      <w:bookmarkStart w:id="164" w:name="_Toc116884453"/>
      <w:bookmarkStart w:id="165" w:name="_Toc116884509"/>
      <w:bookmarkStart w:id="166" w:name="_Toc116884701"/>
      <w:bookmarkStart w:id="167" w:name="_Toc116884724"/>
      <w:bookmarkStart w:id="168" w:name="_Toc116891569"/>
      <w:bookmarkStart w:id="169" w:name="_Toc116895713"/>
      <w:bookmarkStart w:id="170" w:name="_Toc116898149"/>
      <w:bookmarkStart w:id="171" w:name="_Toc116898540"/>
      <w:bookmarkStart w:id="172" w:name="_Toc116899242"/>
      <w:bookmarkStart w:id="173" w:name="_Toc116899640"/>
      <w:bookmarkStart w:id="174" w:name="_Toc116960396"/>
      <w:bookmarkStart w:id="175" w:name="_Toc116960468"/>
      <w:bookmarkStart w:id="176" w:name="_Toc116960842"/>
      <w:bookmarkStart w:id="177" w:name="_Toc116963288"/>
      <w:bookmarkStart w:id="178" w:name="_Toc116963676"/>
      <w:bookmarkStart w:id="179" w:name="_Toc116963754"/>
      <w:bookmarkStart w:id="180" w:name="_Toc116964522"/>
      <w:bookmarkStart w:id="181" w:name="_Toc116964561"/>
      <w:bookmarkStart w:id="182" w:name="_Toc116964604"/>
      <w:bookmarkStart w:id="183" w:name="_Toc121808288"/>
      <w:bookmarkStart w:id="184" w:name="_Toc121809847"/>
      <w:bookmarkStart w:id="185" w:name="_Toc121815168"/>
      <w:bookmarkStart w:id="186" w:name="_Toc122773963"/>
      <w:bookmarkStart w:id="187" w:name="_Toc122774002"/>
      <w:bookmarkStart w:id="188" w:name="_Toc122834172"/>
      <w:bookmarkStart w:id="189" w:name="_Toc122834432"/>
      <w:bookmarkStart w:id="190" w:name="_Toc122849364"/>
      <w:bookmarkStart w:id="191" w:name="_Toc122849510"/>
      <w:bookmarkStart w:id="192" w:name="_Toc122851036"/>
      <w:bookmarkStart w:id="193" w:name="_Toc122851294"/>
      <w:bookmarkStart w:id="194" w:name="_Toc122862790"/>
      <w:bookmarkStart w:id="195" w:name="_Toc122915863"/>
      <w:bookmarkStart w:id="196" w:name="_Toc122915889"/>
      <w:bookmarkStart w:id="197" w:name="_Toc127084727"/>
      <w:bookmarkStart w:id="198" w:name="_Toc127084911"/>
      <w:bookmarkStart w:id="199" w:name="_Toc186619646"/>
      <w:bookmarkStart w:id="200" w:name="_Toc186620046"/>
      <w:bookmarkStart w:id="201" w:name="_Toc105394410"/>
      <w:bookmarkStart w:id="202" w:name="_Toc106005636"/>
      <w:bookmarkStart w:id="203" w:name="_Toc106006562"/>
      <w:bookmarkStart w:id="204" w:name="_Toc106008416"/>
      <w:bookmarkStart w:id="205" w:name="_Toc106009214"/>
      <w:bookmarkStart w:id="206" w:name="_Toc106187579"/>
      <w:bookmarkStart w:id="207" w:name="_Toc107914335"/>
      <w:bookmarkStart w:id="208" w:name="_Toc107996509"/>
      <w:bookmarkStart w:id="209" w:name="_Toc107996705"/>
      <w:bookmarkStart w:id="210" w:name="_Toc107996850"/>
      <w:bookmarkStart w:id="211" w:name="_Toc107997360"/>
      <w:bookmarkStart w:id="212" w:name="_Toc107997539"/>
      <w:bookmarkStart w:id="213" w:name="_Toc108237672"/>
      <w:bookmarkStart w:id="214" w:name="_Toc108247569"/>
      <w:bookmarkStart w:id="215" w:name="_Toc108247740"/>
      <w:bookmarkStart w:id="216" w:name="_Toc108250031"/>
      <w:bookmarkStart w:id="217" w:name="_Toc108256040"/>
      <w:bookmarkStart w:id="218" w:name="_Toc108410751"/>
      <w:bookmarkStart w:id="219" w:name="_Toc108412389"/>
      <w:bookmarkStart w:id="220" w:name="_Toc108412520"/>
      <w:bookmarkStart w:id="221" w:name="_Toc108843901"/>
      <w:bookmarkStart w:id="222" w:name="_Toc108846167"/>
      <w:bookmarkStart w:id="223" w:name="_Toc108848099"/>
      <w:bookmarkStart w:id="224" w:name="_Toc108857218"/>
      <w:bookmarkStart w:id="225" w:name="_Toc108863534"/>
      <w:bookmarkStart w:id="226" w:name="_Toc108863719"/>
      <w:bookmarkStart w:id="227" w:name="_Toc108863864"/>
      <w:bookmarkStart w:id="228" w:name="_Toc108864007"/>
      <w:bookmarkStart w:id="229" w:name="_Toc114628512"/>
      <w:bookmarkStart w:id="230" w:name="_Toc114635390"/>
      <w:bookmarkStart w:id="231" w:name="_Toc114652215"/>
      <w:bookmarkStart w:id="232" w:name="_Toc114884833"/>
      <w:bookmarkStart w:id="233" w:name="_Toc114885270"/>
      <w:bookmarkStart w:id="234" w:name="_Toc114893169"/>
      <w:bookmarkStart w:id="235" w:name="_Toc114897808"/>
      <w:bookmarkStart w:id="236" w:name="_Toc114897960"/>
      <w:bookmarkStart w:id="237" w:name="_Toc114899101"/>
      <w:bookmarkStart w:id="238" w:name="_Toc114899215"/>
      <w:bookmarkStart w:id="239" w:name="_Toc114899299"/>
      <w:bookmarkStart w:id="240" w:name="_Toc114899413"/>
      <w:bookmarkStart w:id="241" w:name="_Toc114899439"/>
      <w:bookmarkStart w:id="242" w:name="_Toc114899502"/>
      <w:bookmarkStart w:id="243" w:name="_Toc114899583"/>
      <w:bookmarkStart w:id="244" w:name="_Toc114899921"/>
      <w:bookmarkStart w:id="245" w:name="_Toc114899954"/>
      <w:bookmarkStart w:id="246" w:name="_Toc114910815"/>
      <w:bookmarkStart w:id="247" w:name="_Toc114910910"/>
      <w:bookmarkStart w:id="248" w:name="_Toc115084249"/>
      <w:r>
        <w:rPr>
          <w:rStyle w:val="CharPartNo"/>
        </w:rPr>
        <w:t>Part 2</w:t>
      </w:r>
      <w:r>
        <w:rPr>
          <w:rStyle w:val="CharDivNo"/>
        </w:rPr>
        <w:t> </w:t>
      </w:r>
      <w:r>
        <w:t>—</w:t>
      </w:r>
      <w:r>
        <w:rPr>
          <w:rStyle w:val="CharDivText"/>
        </w:rPr>
        <w:t> </w:t>
      </w:r>
      <w:r>
        <w:rPr>
          <w:rStyle w:val="CharPartText"/>
        </w:rPr>
        <w:t>Restrictions on movement of pinewood</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20"/>
      </w:pPr>
      <w:bookmarkStart w:id="249" w:name="_Toc116884510"/>
      <w:bookmarkStart w:id="250" w:name="_Toc122915890"/>
      <w:bookmarkStart w:id="251" w:name="_Toc186620047"/>
      <w:bookmarkStart w:id="252" w:name="_Toc127084912"/>
      <w:bookmarkStart w:id="253" w:name="_Toc105394414"/>
      <w:bookmarkStart w:id="254" w:name="_Toc106005640"/>
      <w:bookmarkStart w:id="255" w:name="_Toc106006566"/>
      <w:bookmarkStart w:id="256" w:name="_Toc106008420"/>
      <w:bookmarkStart w:id="257" w:name="_Toc106009218"/>
      <w:bookmarkStart w:id="258" w:name="_Toc106187583"/>
      <w:bookmarkStart w:id="259" w:name="_Toc107914339"/>
      <w:bookmarkStart w:id="260" w:name="_Toc107996512"/>
      <w:bookmarkStart w:id="261" w:name="_Toc107996708"/>
      <w:bookmarkStart w:id="262" w:name="_Toc107996853"/>
      <w:bookmarkStart w:id="263" w:name="_Toc107997363"/>
      <w:bookmarkStart w:id="264" w:name="_Toc107997542"/>
      <w:bookmarkStart w:id="265" w:name="_Toc108237675"/>
      <w:bookmarkStart w:id="266" w:name="_Toc108247572"/>
      <w:bookmarkStart w:id="267" w:name="_Toc108247743"/>
      <w:bookmarkStart w:id="268" w:name="_Toc108250034"/>
      <w:bookmarkStart w:id="269" w:name="_Toc108256043"/>
      <w:bookmarkStart w:id="270" w:name="_Toc108410754"/>
      <w:bookmarkStart w:id="271" w:name="_Toc108412392"/>
      <w:bookmarkStart w:id="272" w:name="_Toc108412523"/>
      <w:bookmarkStart w:id="273" w:name="_Toc108843904"/>
      <w:bookmarkStart w:id="274" w:name="_Toc108846170"/>
      <w:bookmarkStart w:id="275" w:name="_Toc108848102"/>
      <w:bookmarkStart w:id="276" w:name="_Toc108857221"/>
      <w:bookmarkStart w:id="277" w:name="_Toc108863537"/>
      <w:bookmarkStart w:id="278" w:name="_Toc108863722"/>
      <w:bookmarkStart w:id="279" w:name="_Toc108863867"/>
      <w:bookmarkStart w:id="280" w:name="_Toc108864010"/>
      <w:bookmarkStart w:id="281" w:name="_Toc114628515"/>
      <w:bookmarkStart w:id="282" w:name="_Toc11463539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Sectno"/>
        </w:rPr>
        <w:t>3</w:t>
      </w:r>
      <w:r>
        <w:t>.</w:t>
      </w:r>
      <w:r>
        <w:tab/>
        <w:t>Bringing unwanted pinewood into RMZ</w:t>
      </w:r>
      <w:bookmarkEnd w:id="249"/>
      <w:bookmarkEnd w:id="250"/>
      <w:bookmarkEnd w:id="251"/>
      <w:bookmarkEnd w:id="252"/>
      <w:r>
        <w:t xml:space="preserve"> </w:t>
      </w:r>
    </w:p>
    <w:p>
      <w:pPr>
        <w:pStyle w:val="Subsection"/>
      </w:pPr>
      <w:r>
        <w:tab/>
        <w:t>(1)</w:t>
      </w:r>
      <w:r>
        <w:tab/>
        <w:t>An authorised person may, by written notice, prohibit a person from bringing unwanted pinewood into a RMZ if the authorised person is of the opinion that the presence of the pinewood in the RMZ will increase the risk of the spread of EHB.</w:t>
      </w:r>
    </w:p>
    <w:p>
      <w:pPr>
        <w:pStyle w:val="Subsection"/>
      </w:pPr>
      <w:r>
        <w:tab/>
        <w:t>(2)</w:t>
      </w:r>
      <w:r>
        <w:tab/>
        <w:t>A person given a notice under subregulation (1) must comply with it.</w:t>
      </w:r>
    </w:p>
    <w:p>
      <w:pPr>
        <w:pStyle w:val="Penstart"/>
        <w:spacing w:before="60"/>
      </w:pPr>
      <w:r>
        <w:tab/>
        <w:t>Penalty: a fine of $1 000.</w:t>
      </w:r>
    </w:p>
    <w:p>
      <w:pPr>
        <w:pStyle w:val="Heading5"/>
        <w:spacing w:before="160"/>
        <w:rPr>
          <w:rStyle w:val="CharSectno"/>
        </w:rPr>
      </w:pPr>
      <w:bookmarkStart w:id="283" w:name="_Toc116884511"/>
      <w:bookmarkStart w:id="284" w:name="_Toc122915891"/>
      <w:bookmarkStart w:id="285" w:name="_Toc186620048"/>
      <w:bookmarkStart w:id="286" w:name="_Toc127084913"/>
      <w:r>
        <w:rPr>
          <w:rStyle w:val="CharSectno"/>
        </w:rPr>
        <w:t>4.</w:t>
      </w:r>
      <w:r>
        <w:rPr>
          <w:rStyle w:val="CharSectno"/>
        </w:rPr>
        <w:tab/>
        <w:t>Removing seasoned pinewood from RMZ</w:t>
      </w:r>
      <w:bookmarkEnd w:id="283"/>
      <w:bookmarkEnd w:id="284"/>
      <w:bookmarkEnd w:id="285"/>
      <w:bookmarkEnd w:id="286"/>
    </w:p>
    <w:p>
      <w:pPr>
        <w:pStyle w:val="Subsection"/>
      </w:pPr>
      <w:r>
        <w:tab/>
        <w:t>(1)</w:t>
      </w:r>
      <w:r>
        <w:tab/>
        <w:t xml:space="preserve">If a piece of seasoned pinewood has been in a RMZ for 72 hours or more, a person must not remove it from the RMZ unless — </w:t>
      </w:r>
    </w:p>
    <w:p>
      <w:pPr>
        <w:pStyle w:val="Indenta"/>
      </w:pPr>
      <w:r>
        <w:tab/>
        <w:t>(a)</w:t>
      </w:r>
      <w:r>
        <w:tab/>
        <w:t>the volume of the pinewood is less than 100 cm</w:t>
      </w:r>
      <w:r>
        <w:rPr>
          <w:vertAlign w:val="superscript"/>
        </w:rPr>
        <w:t>3</w:t>
      </w:r>
      <w:r>
        <w:t xml:space="preserve">; </w:t>
      </w:r>
    </w:p>
    <w:p>
      <w:pPr>
        <w:pStyle w:val="Indenta"/>
      </w:pPr>
      <w:r>
        <w:tab/>
        <w:t>(b)</w:t>
      </w:r>
      <w:r>
        <w:tab/>
        <w:t xml:space="preserve">at all times while it was in the RMZ (other than while it was being transported), the pinewood was stored in accordance with subregulation (2); </w:t>
      </w:r>
    </w:p>
    <w:p>
      <w:pPr>
        <w:pStyle w:val="Indenta"/>
      </w:pPr>
      <w:r>
        <w:tab/>
        <w:t>(c)</w:t>
      </w:r>
      <w:r>
        <w:tab/>
        <w:t>the pinewood has been treated in accordance with regulation 12(a);</w:t>
      </w:r>
    </w:p>
    <w:p>
      <w:pPr>
        <w:pStyle w:val="Indenta"/>
      </w:pPr>
      <w:r>
        <w:tab/>
        <w:t>(d)</w:t>
      </w:r>
      <w:r>
        <w:tab/>
        <w:t xml:space="preserve">the pinewood has been treated in accordance with regulation 12(b) or (c) and is removed from the RMZ within 72 hours after being treated; </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rPr>
          <w:ins w:id="287" w:author="Master Repository Process" w:date="2021-07-31T07:47:00Z"/>
        </w:rPr>
      </w:pPr>
      <w:ins w:id="288" w:author="Master Repository Process" w:date="2021-07-31T07:47:00Z">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ins>
    </w:p>
    <w:p>
      <w:pPr>
        <w:pStyle w:val="Penstart"/>
        <w:rPr>
          <w:ins w:id="289" w:author="Master Repository Process" w:date="2021-07-31T07:47:00Z"/>
        </w:rPr>
      </w:pPr>
      <w:ins w:id="290" w:author="Master Repository Process" w:date="2021-07-31T07:47:00Z">
        <w:r>
          <w:tab/>
          <w:t>Penalty: a fine of $2 000.</w:t>
        </w:r>
      </w:ins>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del w:id="291" w:author="Master Repository Process" w:date="2021-07-31T07:47:00Z">
        <w:r>
          <w:rPr>
            <w:b/>
          </w:rPr>
          <w:delText>“</w:delText>
        </w:r>
      </w:del>
      <w:r>
        <w:rPr>
          <w:rStyle w:val="CharDefText"/>
        </w:rPr>
        <w:t>suitable building</w:t>
      </w:r>
      <w:del w:id="292" w:author="Master Repository Process" w:date="2021-07-31T07:47:00Z">
        <w:r>
          <w:rPr>
            <w:b/>
          </w:rPr>
          <w:delText>”</w:delText>
        </w:r>
      </w:del>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rPr>
          <w:ins w:id="293" w:author="Master Repository Process" w:date="2021-07-31T07:47:00Z"/>
        </w:rPr>
      </w:pPr>
      <w:ins w:id="294" w:author="Master Repository Process" w:date="2021-07-31T07:47:00Z">
        <w:r>
          <w:tab/>
          <w:t>[Regulation 4 amended in Gazette 28 Dec 2007 p. 6481.]</w:t>
        </w:r>
      </w:ins>
    </w:p>
    <w:p>
      <w:pPr>
        <w:pStyle w:val="Heading5"/>
      </w:pPr>
      <w:bookmarkStart w:id="295" w:name="_Toc116884512"/>
      <w:bookmarkStart w:id="296" w:name="_Toc122915892"/>
      <w:bookmarkStart w:id="297" w:name="_Toc186620049"/>
      <w:bookmarkStart w:id="298" w:name="_Toc127084914"/>
      <w:r>
        <w:rPr>
          <w:rStyle w:val="CharSectno"/>
        </w:rPr>
        <w:t>5</w:t>
      </w:r>
      <w:r>
        <w:t>.</w:t>
      </w:r>
      <w:r>
        <w:tab/>
        <w:t>Removing unseasoned plantation pinewood from RMZ</w:t>
      </w:r>
      <w:bookmarkEnd w:id="295"/>
      <w:bookmarkEnd w:id="296"/>
      <w:bookmarkEnd w:id="297"/>
      <w:bookmarkEnd w:id="298"/>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pStyle w:val="Subsection"/>
      </w:pPr>
      <w:r>
        <w:tab/>
      </w:r>
      <w:r>
        <w:tab/>
        <w:t xml:space="preserve">A person must not, during a control period, remove from a RMZ pinewood that — </w:t>
      </w:r>
    </w:p>
    <w:p>
      <w:pPr>
        <w:pStyle w:val="Indenta"/>
      </w:pPr>
      <w:r>
        <w:tab/>
        <w:t>(a)</w:t>
      </w:r>
      <w:r>
        <w:tab/>
        <w:t xml:space="preserve">was grown in the RMZ in a plantation established for a commercial purpose; and </w:t>
      </w:r>
    </w:p>
    <w:p>
      <w:pPr>
        <w:pStyle w:val="Indenta"/>
      </w:pPr>
      <w:r>
        <w:tab/>
        <w:t>(b)</w:t>
      </w:r>
      <w:r>
        <w:tab/>
        <w:t xml:space="preserve">is not seasoned pinewood, </w:t>
      </w:r>
    </w:p>
    <w:p>
      <w:pPr>
        <w:pStyle w:val="Subsection"/>
      </w:pPr>
      <w:r>
        <w:tab/>
      </w:r>
      <w:r>
        <w:tab/>
        <w:t xml:space="preserve">unless the removal has been authorised and the pinewood is removed in accordance with the authorisation. </w:t>
      </w:r>
    </w:p>
    <w:p>
      <w:pPr>
        <w:pStyle w:val="Penstart"/>
      </w:pPr>
      <w:r>
        <w:tab/>
        <w:t>Penalty: a fine of $2 000.</w:t>
      </w:r>
    </w:p>
    <w:p>
      <w:pPr>
        <w:pStyle w:val="Heading5"/>
      </w:pPr>
      <w:bookmarkStart w:id="299" w:name="_Toc186620050"/>
      <w:bookmarkStart w:id="300" w:name="_Toc116884513"/>
      <w:bookmarkStart w:id="301" w:name="_Toc122915893"/>
      <w:bookmarkStart w:id="302" w:name="_Toc127084915"/>
      <w:bookmarkStart w:id="303" w:name="_Toc122915894"/>
      <w:bookmarkStart w:id="304" w:name="_Toc105394425"/>
      <w:bookmarkStart w:id="305" w:name="_Toc106005651"/>
      <w:bookmarkStart w:id="306" w:name="_Toc106006577"/>
      <w:bookmarkStart w:id="307" w:name="_Toc106008431"/>
      <w:bookmarkStart w:id="308" w:name="_Toc106009229"/>
      <w:bookmarkStart w:id="309" w:name="_Toc106187594"/>
      <w:bookmarkStart w:id="310" w:name="_Toc107914350"/>
      <w:bookmarkStart w:id="311" w:name="_Toc107996524"/>
      <w:bookmarkStart w:id="312" w:name="_Toc107996720"/>
      <w:bookmarkStart w:id="313" w:name="_Toc107996865"/>
      <w:bookmarkStart w:id="314" w:name="_Toc107997375"/>
      <w:bookmarkStart w:id="315" w:name="_Toc107997554"/>
      <w:bookmarkStart w:id="316" w:name="_Toc108237687"/>
      <w:bookmarkStart w:id="317" w:name="_Toc108247584"/>
      <w:bookmarkStart w:id="318" w:name="_Toc108247755"/>
      <w:bookmarkStart w:id="319" w:name="_Toc108250046"/>
      <w:bookmarkStart w:id="320" w:name="_Toc108256055"/>
      <w:bookmarkStart w:id="321" w:name="_Toc108410766"/>
      <w:bookmarkStart w:id="322" w:name="_Toc108412404"/>
      <w:bookmarkStart w:id="323" w:name="_Toc108412535"/>
      <w:bookmarkStart w:id="324" w:name="_Toc108843917"/>
      <w:bookmarkStart w:id="325" w:name="_Toc108846183"/>
      <w:bookmarkStart w:id="326" w:name="_Toc108848115"/>
      <w:bookmarkStart w:id="327" w:name="_Toc108857234"/>
      <w:bookmarkStart w:id="328" w:name="_Toc108863550"/>
      <w:bookmarkStart w:id="329" w:name="_Toc108863734"/>
      <w:bookmarkStart w:id="330" w:name="_Toc108863879"/>
      <w:bookmarkStart w:id="331" w:name="_Toc108864022"/>
      <w:bookmarkStart w:id="332" w:name="_Toc114628527"/>
      <w:bookmarkStart w:id="333" w:name="_Toc114635405"/>
      <w:bookmarkStart w:id="334" w:name="_Toc114652223"/>
      <w:bookmarkStart w:id="335" w:name="_Toc114884841"/>
      <w:bookmarkStart w:id="336" w:name="_Toc114885278"/>
      <w:bookmarkStart w:id="337" w:name="_Toc114893177"/>
      <w:bookmarkStart w:id="338" w:name="_Toc114897816"/>
      <w:bookmarkStart w:id="339" w:name="_Toc114897965"/>
      <w:r>
        <w:rPr>
          <w:rStyle w:val="CharSectno"/>
        </w:rPr>
        <w:t>6</w:t>
      </w:r>
      <w:r>
        <w:t>.</w:t>
      </w:r>
      <w:r>
        <w:tab/>
        <w:t xml:space="preserve">Removal of </w:t>
      </w:r>
      <w:ins w:id="340" w:author="Master Repository Process" w:date="2021-07-31T07:47:00Z">
        <w:r>
          <w:t xml:space="preserve">seasoned pinewood and </w:t>
        </w:r>
      </w:ins>
      <w:r>
        <w:t>pinewood articles from PMZ</w:t>
      </w:r>
      <w:bookmarkEnd w:id="299"/>
      <w:bookmarkEnd w:id="300"/>
      <w:bookmarkEnd w:id="301"/>
      <w:bookmarkEnd w:id="302"/>
    </w:p>
    <w:p>
      <w:pPr>
        <w:pStyle w:val="Subsection"/>
      </w:pPr>
      <w:r>
        <w:tab/>
      </w:r>
      <w:ins w:id="341" w:author="Master Repository Process" w:date="2021-07-31T07:47:00Z">
        <w:r>
          <w:t>(1)</w:t>
        </w:r>
      </w:ins>
      <w:r>
        <w:tab/>
        <w:t xml:space="preserve">A person given a notice under regulation 17 must not remove </w:t>
      </w:r>
      <w:ins w:id="342" w:author="Master Repository Process" w:date="2021-07-31T07:47:00Z">
        <w:r>
          <w:t xml:space="preserve">seasoned pinewood or </w:t>
        </w:r>
      </w:ins>
      <w:r>
        <w:t>a pinewood article from a PMZ unless</w:t>
      </w:r>
      <w:del w:id="343" w:author="Master Repository Process" w:date="2021-07-31T07:47:00Z">
        <w:r>
          <w:delText> </w:delText>
        </w:r>
      </w:del>
      <w:ins w:id="344" w:author="Master Repository Process" w:date="2021-07-31T07:47:00Z">
        <w:r>
          <w:t xml:space="preserve"> </w:t>
        </w:r>
      </w:ins>
      <w:r>
        <w:t xml:space="preserve">— </w:t>
      </w:r>
    </w:p>
    <w:p>
      <w:pPr>
        <w:pStyle w:val="Indenta"/>
      </w:pPr>
      <w:r>
        <w:tab/>
        <w:t>(a)</w:t>
      </w:r>
      <w:r>
        <w:tab/>
        <w:t xml:space="preserve">the pinewood </w:t>
      </w:r>
      <w:ins w:id="345" w:author="Master Repository Process" w:date="2021-07-31T07:47:00Z">
        <w:r>
          <w:t xml:space="preserve">or </w:t>
        </w:r>
      </w:ins>
      <w:r>
        <w:t>article has been treated in accordance with regulation 12(a);</w:t>
      </w:r>
      <w:ins w:id="346" w:author="Master Repository Process" w:date="2021-07-31T07:47:00Z">
        <w:r>
          <w:t xml:space="preserve"> or</w:t>
        </w:r>
      </w:ins>
    </w:p>
    <w:p>
      <w:pPr>
        <w:pStyle w:val="Indenta"/>
      </w:pPr>
      <w:r>
        <w:tab/>
        <w:t>(b)</w:t>
      </w:r>
      <w:r>
        <w:tab/>
        <w:t xml:space="preserve">the pinewood </w:t>
      </w:r>
      <w:ins w:id="347" w:author="Master Repository Process" w:date="2021-07-31T07:47:00Z">
        <w:r>
          <w:t xml:space="preserve">or </w:t>
        </w:r>
      </w:ins>
      <w:r>
        <w:t>article has been treated in accordance with regulation 12(b) or</w:t>
      </w:r>
      <w:del w:id="348" w:author="Master Repository Process" w:date="2021-07-31T07:47:00Z">
        <w:r>
          <w:delText> </w:delText>
        </w:r>
      </w:del>
      <w:ins w:id="349" w:author="Master Repository Process" w:date="2021-07-31T07:47:00Z">
        <w:r>
          <w:t xml:space="preserve"> </w:t>
        </w:r>
      </w:ins>
      <w:r>
        <w:t>(c) and is removed from the RMZ within 72 hours after being treated; or</w:t>
      </w:r>
    </w:p>
    <w:p>
      <w:pPr>
        <w:pStyle w:val="Indenta"/>
      </w:pPr>
      <w:r>
        <w:tab/>
        <w:t>(c)</w:t>
      </w:r>
      <w:r>
        <w:tab/>
        <w:t xml:space="preserve">removal of the pinewood </w:t>
      </w:r>
      <w:ins w:id="350" w:author="Master Repository Process" w:date="2021-07-31T07:47:00Z">
        <w:r>
          <w:t xml:space="preserve">or </w:t>
        </w:r>
      </w:ins>
      <w:r>
        <w:t>article without treatment has been authorised and the pinewood</w:t>
      </w:r>
      <w:ins w:id="351" w:author="Master Repository Process" w:date="2021-07-31T07:47:00Z">
        <w:r>
          <w:t xml:space="preserve"> or</w:t>
        </w:r>
      </w:ins>
      <w:r>
        <w:t xml:space="preserve"> article is removed in accordance with the authorisation.</w:t>
      </w:r>
    </w:p>
    <w:p>
      <w:pPr>
        <w:pStyle w:val="Penstart"/>
      </w:pPr>
      <w:r>
        <w:tab/>
        <w:t>Penalty: a fine of $2 000.</w:t>
      </w:r>
    </w:p>
    <w:p>
      <w:pPr>
        <w:pStyle w:val="Subsection"/>
        <w:rPr>
          <w:ins w:id="352" w:author="Master Repository Process" w:date="2021-07-31T07:47:00Z"/>
        </w:rPr>
      </w:pPr>
      <w:ins w:id="353" w:author="Master Repository Process" w:date="2021-07-31T07:47:00Z">
        <w:r>
          <w:tab/>
          <w:t>(2)</w:t>
        </w:r>
        <w:r>
          <w:tab/>
          <w:t>A person purporting to remove seasoned pinewood or a pinewood article from a PMZ in accordance with subregulation (1) must, if requested by an authorised person to do so, provide to the authorised person documentary or other evidence that the relevant paragraph of that subregulation has been complied with.</w:t>
        </w:r>
      </w:ins>
    </w:p>
    <w:p>
      <w:pPr>
        <w:pStyle w:val="Penstart"/>
        <w:rPr>
          <w:ins w:id="354" w:author="Master Repository Process" w:date="2021-07-31T07:47:00Z"/>
        </w:rPr>
      </w:pPr>
      <w:ins w:id="355" w:author="Master Repository Process" w:date="2021-07-31T07:47:00Z">
        <w:r>
          <w:tab/>
          <w:t>Penalty: a fine of $2 000.</w:t>
        </w:r>
      </w:ins>
    </w:p>
    <w:p>
      <w:pPr>
        <w:pStyle w:val="Footnotesection"/>
        <w:rPr>
          <w:ins w:id="356" w:author="Master Repository Process" w:date="2021-07-31T07:47:00Z"/>
        </w:rPr>
      </w:pPr>
      <w:ins w:id="357" w:author="Master Repository Process" w:date="2021-07-31T07:47:00Z">
        <w:r>
          <w:tab/>
          <w:t>[Regulation 6 inserted in Gazette 28 Dec 2007 p. 6481</w:t>
        </w:r>
        <w:r>
          <w:noBreakHyphen/>
          <w:t>2.]</w:t>
        </w:r>
      </w:ins>
    </w:p>
    <w:p>
      <w:pPr>
        <w:pStyle w:val="Heading5"/>
      </w:pPr>
      <w:bookmarkStart w:id="358" w:name="_Toc186620051"/>
      <w:bookmarkStart w:id="359" w:name="_Toc127084916"/>
      <w:r>
        <w:rPr>
          <w:rStyle w:val="CharSectno"/>
        </w:rPr>
        <w:t>7</w:t>
      </w:r>
      <w:r>
        <w:t>.</w:t>
      </w:r>
      <w:r>
        <w:tab/>
        <w:t>Cause pinewood or pinewood article to be moved</w:t>
      </w:r>
      <w:bookmarkEnd w:id="303"/>
      <w:bookmarkEnd w:id="358"/>
      <w:bookmarkEnd w:id="359"/>
    </w:p>
    <w:p>
      <w:pPr>
        <w:pStyle w:val="Subsection"/>
      </w:pPr>
      <w:r>
        <w:tab/>
      </w:r>
      <w:r>
        <w:tab/>
        <w:t xml:space="preserve">The owner or person in possession of pinewood or a pinewood article must not cause it to be brought into or removed from a RMZ or PMZ in contravention of this Part. </w:t>
      </w:r>
    </w:p>
    <w:p>
      <w:pPr>
        <w:pStyle w:val="Penstart"/>
      </w:pPr>
      <w:r>
        <w:tab/>
        <w:t>Penalty: a fine of $2 000.</w:t>
      </w:r>
    </w:p>
    <w:p>
      <w:pPr>
        <w:pStyle w:val="Heading5"/>
      </w:pPr>
      <w:bookmarkStart w:id="360" w:name="_Toc116884514"/>
      <w:bookmarkStart w:id="361" w:name="_Toc122915895"/>
      <w:bookmarkStart w:id="362" w:name="_Toc186620052"/>
      <w:bookmarkStart w:id="363" w:name="_Toc127084917"/>
      <w:r>
        <w:rPr>
          <w:rStyle w:val="CharSectno"/>
        </w:rPr>
        <w:t>8</w:t>
      </w:r>
      <w:r>
        <w:t>.</w:t>
      </w:r>
      <w:r>
        <w:tab/>
        <w:t>Authorisations</w:t>
      </w:r>
      <w:bookmarkEnd w:id="360"/>
      <w:bookmarkEnd w:id="361"/>
      <w:bookmarkEnd w:id="362"/>
      <w:bookmarkEnd w:id="363"/>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pinewood article or otherwise as the authorised person considers appropriate.</w:t>
      </w:r>
    </w:p>
    <w:p>
      <w:pPr>
        <w:pStyle w:val="Heading2"/>
      </w:pPr>
      <w:bookmarkStart w:id="364" w:name="_Toc115687607"/>
      <w:bookmarkStart w:id="365" w:name="_Toc115687637"/>
      <w:bookmarkStart w:id="366" w:name="_Toc115775607"/>
      <w:bookmarkStart w:id="367" w:name="_Toc115775792"/>
      <w:bookmarkStart w:id="368" w:name="_Toc115775981"/>
      <w:bookmarkStart w:id="369" w:name="_Toc115776716"/>
      <w:bookmarkStart w:id="370" w:name="_Toc115830558"/>
      <w:bookmarkStart w:id="371" w:name="_Toc115830623"/>
      <w:bookmarkStart w:id="372" w:name="_Toc116880272"/>
      <w:bookmarkStart w:id="373" w:name="_Toc116883496"/>
      <w:bookmarkStart w:id="374" w:name="_Toc116884203"/>
      <w:bookmarkStart w:id="375" w:name="_Toc116884459"/>
      <w:bookmarkStart w:id="376" w:name="_Toc116884515"/>
      <w:bookmarkStart w:id="377" w:name="_Toc116884707"/>
      <w:bookmarkStart w:id="378" w:name="_Toc116884730"/>
      <w:bookmarkStart w:id="379" w:name="_Toc116891575"/>
      <w:bookmarkStart w:id="380" w:name="_Toc116895719"/>
      <w:bookmarkStart w:id="381" w:name="_Toc116898155"/>
      <w:bookmarkStart w:id="382" w:name="_Toc116898546"/>
      <w:bookmarkStart w:id="383" w:name="_Toc116899248"/>
      <w:bookmarkStart w:id="384" w:name="_Toc116899646"/>
      <w:bookmarkStart w:id="385" w:name="_Toc116960402"/>
      <w:bookmarkStart w:id="386" w:name="_Toc116960474"/>
      <w:bookmarkStart w:id="387" w:name="_Toc116960848"/>
      <w:bookmarkStart w:id="388" w:name="_Toc116963294"/>
      <w:bookmarkStart w:id="389" w:name="_Toc116963682"/>
      <w:bookmarkStart w:id="390" w:name="_Toc116963760"/>
      <w:bookmarkStart w:id="391" w:name="_Toc116964528"/>
      <w:bookmarkStart w:id="392" w:name="_Toc116964567"/>
      <w:bookmarkStart w:id="393" w:name="_Toc116964610"/>
      <w:bookmarkStart w:id="394" w:name="_Toc121808295"/>
      <w:bookmarkStart w:id="395" w:name="_Toc121809854"/>
      <w:bookmarkStart w:id="396" w:name="_Toc121815175"/>
      <w:bookmarkStart w:id="397" w:name="_Toc122773970"/>
      <w:bookmarkStart w:id="398" w:name="_Toc122774009"/>
      <w:bookmarkStart w:id="399" w:name="_Toc122834179"/>
      <w:bookmarkStart w:id="400" w:name="_Toc122834439"/>
      <w:bookmarkStart w:id="401" w:name="_Toc122849371"/>
      <w:bookmarkStart w:id="402" w:name="_Toc122849517"/>
      <w:bookmarkStart w:id="403" w:name="_Toc122851043"/>
      <w:bookmarkStart w:id="404" w:name="_Toc122851301"/>
      <w:bookmarkStart w:id="405" w:name="_Toc122862797"/>
      <w:bookmarkStart w:id="406" w:name="_Toc122915870"/>
      <w:bookmarkStart w:id="407" w:name="_Toc122915896"/>
      <w:bookmarkStart w:id="408" w:name="_Toc127084734"/>
      <w:bookmarkStart w:id="409" w:name="_Toc127084918"/>
      <w:bookmarkStart w:id="410" w:name="_Toc186619654"/>
      <w:bookmarkStart w:id="411" w:name="_Toc186620053"/>
      <w:bookmarkStart w:id="412" w:name="_Toc114899107"/>
      <w:bookmarkStart w:id="413" w:name="_Toc114899221"/>
      <w:bookmarkStart w:id="414" w:name="_Toc114899305"/>
      <w:bookmarkStart w:id="415" w:name="_Toc114899419"/>
      <w:bookmarkStart w:id="416" w:name="_Toc114899445"/>
      <w:bookmarkStart w:id="417" w:name="_Toc114899508"/>
      <w:bookmarkStart w:id="418" w:name="_Toc114899589"/>
      <w:bookmarkStart w:id="419" w:name="_Toc114899927"/>
      <w:bookmarkStart w:id="420" w:name="_Toc114899960"/>
      <w:bookmarkStart w:id="421" w:name="_Toc114910821"/>
      <w:bookmarkStart w:id="422" w:name="_Toc114910916"/>
      <w:bookmarkStart w:id="423" w:name="_Toc115084255"/>
      <w:bookmarkStart w:id="424" w:name="_Toc115680153"/>
      <w:r>
        <w:rPr>
          <w:rStyle w:val="CharPartNo"/>
        </w:rPr>
        <w:t>Part 3</w:t>
      </w:r>
      <w:r>
        <w:rPr>
          <w:rStyle w:val="CharDivNo"/>
        </w:rPr>
        <w:t> </w:t>
      </w:r>
      <w:r>
        <w:t>—</w:t>
      </w:r>
      <w:r>
        <w:rPr>
          <w:rStyle w:val="CharDivText"/>
        </w:rPr>
        <w:t> </w:t>
      </w:r>
      <w:r>
        <w:rPr>
          <w:rStyle w:val="CharPartText"/>
        </w:rPr>
        <w:t>Destruction and treatment of pinewood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25" w:name="_Toc116884516"/>
      <w:bookmarkStart w:id="426" w:name="_Toc122915897"/>
      <w:bookmarkStart w:id="427" w:name="_Toc186620054"/>
      <w:bookmarkStart w:id="428" w:name="_Toc127084919"/>
      <w:bookmarkStart w:id="429" w:name="_Toc107997378"/>
      <w:bookmarkStart w:id="430" w:name="_Toc107997557"/>
      <w:bookmarkStart w:id="431" w:name="_Toc108237690"/>
      <w:bookmarkStart w:id="432" w:name="_Toc108247587"/>
      <w:bookmarkStart w:id="433" w:name="_Toc108247758"/>
      <w:bookmarkStart w:id="434" w:name="_Toc108250049"/>
      <w:bookmarkStart w:id="435" w:name="_Toc108256058"/>
      <w:bookmarkStart w:id="436" w:name="_Toc108410769"/>
      <w:bookmarkStart w:id="437" w:name="_Toc108412407"/>
      <w:bookmarkStart w:id="438" w:name="_Toc108412538"/>
      <w:bookmarkStart w:id="439" w:name="_Toc108843920"/>
      <w:bookmarkStart w:id="440" w:name="_Toc108846186"/>
      <w:bookmarkStart w:id="441" w:name="_Toc108848118"/>
      <w:bookmarkStart w:id="442" w:name="_Toc108857237"/>
      <w:bookmarkStart w:id="443" w:name="_Toc108863553"/>
      <w:bookmarkStart w:id="444" w:name="_Toc108863737"/>
      <w:bookmarkStart w:id="445" w:name="_Toc108863882"/>
      <w:bookmarkStart w:id="446" w:name="_Toc108864025"/>
      <w:bookmarkStart w:id="447" w:name="_Toc114628530"/>
      <w:bookmarkStart w:id="448" w:name="_Toc114635408"/>
      <w:bookmarkStart w:id="449" w:name="_Toc114652226"/>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Sectno"/>
        </w:rPr>
        <w:t>9</w:t>
      </w:r>
      <w:r>
        <w:t>.</w:t>
      </w:r>
      <w:r>
        <w:tab/>
        <w:t>Unwanted pinewood in RMZ</w:t>
      </w:r>
      <w:bookmarkEnd w:id="425"/>
      <w:bookmarkEnd w:id="426"/>
      <w:bookmarkEnd w:id="427"/>
      <w:bookmarkEnd w:id="428"/>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450" w:name="_Toc116884517"/>
      <w:bookmarkStart w:id="451" w:name="_Toc122915898"/>
      <w:bookmarkStart w:id="452" w:name="_Toc186620055"/>
      <w:bookmarkStart w:id="453" w:name="_Toc127084920"/>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Sectno"/>
        </w:rPr>
        <w:t>10</w:t>
      </w:r>
      <w:r>
        <w:t>.</w:t>
      </w:r>
      <w:r>
        <w:tab/>
        <w:t>Destruction and treatment of pinewood</w:t>
      </w:r>
      <w:bookmarkEnd w:id="450"/>
      <w:bookmarkEnd w:id="451"/>
      <w:bookmarkEnd w:id="452"/>
      <w:bookmarkEnd w:id="453"/>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w:t>
      </w:r>
      <w:del w:id="454" w:author="Master Repository Process" w:date="2021-07-31T07:47:00Z">
        <w:r>
          <w:delText xml:space="preserve"> — </w:delText>
        </w:r>
      </w:del>
      <w:ins w:id="455" w:author="Master Repository Process" w:date="2021-07-31T07:47:00Z">
        <w:r>
          <w:t xml:space="preserve"> do any or all of the following —</w:t>
        </w:r>
      </w:ins>
    </w:p>
    <w:p>
      <w:pPr>
        <w:pStyle w:val="Indenta"/>
      </w:pPr>
      <w:r>
        <w:tab/>
        <w:t>(a)</w:t>
      </w:r>
      <w:r>
        <w:tab/>
        <w:t xml:space="preserve">store the pinewood in a specified manner; </w:t>
      </w:r>
    </w:p>
    <w:p>
      <w:pPr>
        <w:pStyle w:val="Indenta"/>
      </w:pPr>
      <w:r>
        <w:tab/>
        <w:t>(b)</w:t>
      </w:r>
      <w:r>
        <w:tab/>
        <w:t>treat the pinewood in accordance with regulation 12;</w:t>
      </w:r>
      <w:del w:id="456" w:author="Master Repository Process" w:date="2021-07-31T07:47:00Z">
        <w:r>
          <w:delText xml:space="preserve"> or </w:delText>
        </w:r>
      </w:del>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rPr>
          <w:ins w:id="457" w:author="Master Repository Process" w:date="2021-07-31T07:47:00Z"/>
        </w:rPr>
      </w:pPr>
      <w:ins w:id="458" w:author="Master Repository Process" w:date="2021-07-31T07:47:00Z">
        <w:r>
          <w:tab/>
          <w:t>[Regulation 10 amended in Gazette 28 Dec 2007 p. 6482.]</w:t>
        </w:r>
      </w:ins>
    </w:p>
    <w:p>
      <w:pPr>
        <w:pStyle w:val="Heading5"/>
      </w:pPr>
      <w:bookmarkStart w:id="459" w:name="_Toc116884518"/>
      <w:bookmarkStart w:id="460" w:name="_Toc122915899"/>
      <w:bookmarkStart w:id="461" w:name="_Toc186620056"/>
      <w:bookmarkStart w:id="462" w:name="_Toc127084921"/>
      <w:r>
        <w:rPr>
          <w:rStyle w:val="CharSectno"/>
        </w:rPr>
        <w:t>11</w:t>
      </w:r>
      <w:r>
        <w:t>.</w:t>
      </w:r>
      <w:r>
        <w:tab/>
        <w:t>Manner in which pinewood to be destroyed</w:t>
      </w:r>
      <w:bookmarkEnd w:id="459"/>
      <w:bookmarkEnd w:id="460"/>
      <w:bookmarkEnd w:id="461"/>
      <w:bookmarkEnd w:id="462"/>
    </w:p>
    <w:p>
      <w:pPr>
        <w:pStyle w:val="Subsection"/>
      </w:pPr>
      <w:r>
        <w:tab/>
      </w:r>
      <w:r>
        <w:tab/>
        <w:t xml:space="preserve">Pinewood required to be destroyed in accordance with this regulation is to be — </w:t>
      </w:r>
    </w:p>
    <w:p>
      <w:pPr>
        <w:pStyle w:val="Indenta"/>
      </w:pPr>
      <w:r>
        <w:tab/>
        <w:t>(a)</w:t>
      </w:r>
      <w:r>
        <w:tab/>
        <w:t>chipped so that its volume is reduced to less than 100 cm</w:t>
      </w:r>
      <w:r>
        <w:rPr>
          <w:vertAlign w:val="superscript"/>
        </w:rPr>
        <w:t>3</w:t>
      </w:r>
      <w:r>
        <w:t>;</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the Chief Officer.</w:t>
      </w:r>
    </w:p>
    <w:p>
      <w:pPr>
        <w:pStyle w:val="Heading5"/>
      </w:pPr>
      <w:bookmarkStart w:id="463" w:name="_Toc116884519"/>
      <w:bookmarkStart w:id="464" w:name="_Toc122915900"/>
      <w:bookmarkStart w:id="465" w:name="_Toc186620057"/>
      <w:bookmarkStart w:id="466" w:name="_Toc127084922"/>
      <w:r>
        <w:rPr>
          <w:rStyle w:val="CharSectno"/>
        </w:rPr>
        <w:t>12</w:t>
      </w:r>
      <w:r>
        <w:t>.</w:t>
      </w:r>
      <w:r>
        <w:tab/>
        <w:t>Manner in which pinewood to be treated</w:t>
      </w:r>
      <w:bookmarkEnd w:id="463"/>
      <w:bookmarkEnd w:id="464"/>
      <w:bookmarkEnd w:id="465"/>
      <w:bookmarkEnd w:id="466"/>
    </w:p>
    <w:p>
      <w:pPr>
        <w:pStyle w:val="Subsection"/>
      </w:pPr>
      <w:r>
        <w:tab/>
      </w:r>
      <w:ins w:id="467" w:author="Master Repository Process" w:date="2021-07-31T07:47:00Z">
        <w:r>
          <w:t>(1)</w:t>
        </w:r>
      </w:ins>
      <w:r>
        <w:tab/>
        <w:t xml:space="preserve">Pinewood required to be treated in accordance with this regulation is to be — </w:t>
      </w:r>
    </w:p>
    <w:p>
      <w:pPr>
        <w:pStyle w:val="Indenta"/>
      </w:pPr>
      <w:r>
        <w:tab/>
        <w:t>(a)</w:t>
      </w:r>
      <w:r>
        <w:tab/>
        <w:t xml:space="preserve">treated with a preservative in accordance with Australian Standard AS 1604.1 — 2005 </w:t>
      </w:r>
      <w:r>
        <w:rPr>
          <w:i/>
          <w:iCs/>
        </w:rPr>
        <w:t>Specifications for preservative treatment — Sawn and round timber</w:t>
      </w:r>
      <w:r>
        <w:t xml:space="preserve">; </w:t>
      </w:r>
      <w:ins w:id="468" w:author="Master Repository Process" w:date="2021-07-31T07:47:00Z">
        <w:r>
          <w:t>or</w:t>
        </w:r>
      </w:ins>
    </w:p>
    <w:p>
      <w:pPr>
        <w:pStyle w:val="Indenta"/>
        <w:rPr>
          <w:del w:id="469" w:author="Master Repository Process" w:date="2021-07-31T07:47:00Z"/>
        </w:rPr>
      </w:pPr>
      <w:r>
        <w:tab/>
        <w:t>(b)</w:t>
      </w:r>
      <w:r>
        <w:tab/>
        <w:t>fumigated</w:t>
      </w:r>
      <w:del w:id="470" w:author="Master Repository Process" w:date="2021-07-31T07:47:00Z">
        <w:r>
          <w:delText xml:space="preserve"> — </w:delText>
        </w:r>
      </w:del>
    </w:p>
    <w:p>
      <w:pPr>
        <w:pStyle w:val="Indenta"/>
        <w:rPr>
          <w:ins w:id="471" w:author="Master Repository Process" w:date="2021-07-31T07:47:00Z"/>
        </w:rPr>
      </w:pPr>
      <w:del w:id="472" w:author="Master Repository Process" w:date="2021-07-31T07:47:00Z">
        <w:r>
          <w:tab/>
          <w:delText>(i)</w:delText>
        </w:r>
        <w:r>
          <w:tab/>
        </w:r>
      </w:del>
      <w:ins w:id="473" w:author="Master Repository Process" w:date="2021-07-31T07:47:00Z">
        <w:r>
          <w:t xml:space="preserve"> </w:t>
        </w:r>
      </w:ins>
      <w:r>
        <w:t xml:space="preserve">with methyl bromide </w:t>
      </w:r>
      <w:ins w:id="474" w:author="Master Repository Process" w:date="2021-07-31T07:47:00Z">
        <w:r>
          <w:t xml:space="preserve">in accordance with subregulation (2); </w:t>
        </w:r>
      </w:ins>
      <w:r>
        <w:t>or</w:t>
      </w:r>
    </w:p>
    <w:p>
      <w:pPr>
        <w:pStyle w:val="Indenti"/>
        <w:rPr>
          <w:del w:id="475" w:author="Master Repository Process" w:date="2021-07-31T07:47:00Z"/>
        </w:rPr>
      </w:pPr>
      <w:ins w:id="476" w:author="Master Repository Process" w:date="2021-07-31T07:47:00Z">
        <w:r>
          <w:tab/>
          <w:t>(ba)</w:t>
        </w:r>
        <w:r>
          <w:tab/>
          <w:t>fumigated with</w:t>
        </w:r>
      </w:ins>
      <w:r>
        <w:t xml:space="preserve"> another fumigant chemical </w:t>
      </w:r>
      <w:del w:id="477" w:author="Master Repository Process" w:date="2021-07-31T07:47:00Z">
        <w:r>
          <w:delText>approved by the Chief Officer; and</w:delText>
        </w:r>
      </w:del>
    </w:p>
    <w:p>
      <w:pPr>
        <w:pStyle w:val="Indenti"/>
        <w:rPr>
          <w:del w:id="478" w:author="Master Repository Process" w:date="2021-07-31T07:47:00Z"/>
        </w:rPr>
      </w:pPr>
      <w:del w:id="479" w:author="Master Repository Process" w:date="2021-07-31T07:47:00Z">
        <w:r>
          <w:tab/>
          <w:delText>(ii)</w:delText>
        </w:r>
        <w:r>
          <w:tab/>
        </w:r>
      </w:del>
      <w:r>
        <w:t xml:space="preserve">in </w:t>
      </w:r>
      <w:del w:id="480" w:author="Master Repository Process" w:date="2021-07-31T07:47:00Z">
        <w:r>
          <w:delText>the</w:delText>
        </w:r>
      </w:del>
      <w:ins w:id="481" w:author="Master Repository Process" w:date="2021-07-31T07:47:00Z">
        <w:r>
          <w:t>a</w:t>
        </w:r>
      </w:ins>
      <w:r>
        <w:t xml:space="preserve"> manner approved by the Chief Officer; </w:t>
      </w:r>
    </w:p>
    <w:p>
      <w:pPr>
        <w:pStyle w:val="Indenta"/>
      </w:pPr>
      <w:del w:id="482" w:author="Master Repository Process" w:date="2021-07-31T07:47:00Z">
        <w:r>
          <w:tab/>
        </w:r>
        <w:r>
          <w:tab/>
        </w:r>
      </w:del>
      <w:r>
        <w:t>or</w:t>
      </w:r>
    </w:p>
    <w:p>
      <w:pPr>
        <w:pStyle w:val="Indenta"/>
      </w:pPr>
      <w:r>
        <w:tab/>
        <w:t>(c)</w:t>
      </w:r>
      <w:r>
        <w:tab/>
        <w:t>heated to a core temperature of more than 60</w:t>
      </w:r>
      <w:r>
        <w:sym w:font="Symbol" w:char="F0B0"/>
      </w:r>
      <w:r>
        <w:t>C for not less than 30 minutes.</w:t>
      </w:r>
    </w:p>
    <w:p>
      <w:pPr>
        <w:pStyle w:val="Subsection"/>
        <w:rPr>
          <w:ins w:id="483" w:author="Master Repository Process" w:date="2021-07-31T07:47:00Z"/>
        </w:rPr>
      </w:pPr>
      <w:ins w:id="484" w:author="Master Repository Process" w:date="2021-07-31T07:47:00Z">
        <w:r>
          <w:tab/>
          <w:t>(2)</w:t>
        </w:r>
        <w:r>
          <w:tab/>
          <w:t xml:space="preserve">Fumigation with methyl bromide is in accordance with this subregulation if — </w:t>
        </w:r>
      </w:ins>
    </w:p>
    <w:p>
      <w:pPr>
        <w:pStyle w:val="Indenta"/>
        <w:rPr>
          <w:ins w:id="485" w:author="Master Repository Process" w:date="2021-07-31T07:47:00Z"/>
        </w:rPr>
      </w:pPr>
      <w:ins w:id="486" w:author="Master Repository Process" w:date="2021-07-31T07:47:00Z">
        <w:r>
          <w:tab/>
          <w:t>(a)</w:t>
        </w:r>
        <w:r>
          <w:tab/>
          <w:t xml:space="preserve">it is carried out — </w:t>
        </w:r>
      </w:ins>
    </w:p>
    <w:p>
      <w:pPr>
        <w:pStyle w:val="Indenti"/>
        <w:rPr>
          <w:ins w:id="487" w:author="Master Repository Process" w:date="2021-07-31T07:47:00Z"/>
        </w:rPr>
      </w:pPr>
      <w:ins w:id="488" w:author="Master Repository Process" w:date="2021-07-31T07:47:00Z">
        <w:r>
          <w:tab/>
          <w:t>(i)</w:t>
        </w:r>
        <w:r>
          <w:tab/>
          <w:t>at a temperature of not less than 10°C; and</w:t>
        </w:r>
      </w:ins>
    </w:p>
    <w:p>
      <w:pPr>
        <w:pStyle w:val="Indenti"/>
        <w:rPr>
          <w:ins w:id="489" w:author="Master Repository Process" w:date="2021-07-31T07:47:00Z"/>
        </w:rPr>
      </w:pPr>
      <w:ins w:id="490" w:author="Master Repository Process" w:date="2021-07-31T07:47:00Z">
        <w:r>
          <w:tab/>
          <w:t>(ii)</w:t>
        </w:r>
        <w:r>
          <w:tab/>
          <w:t xml:space="preserve">for not less than 24 hours; </w:t>
        </w:r>
      </w:ins>
    </w:p>
    <w:p>
      <w:pPr>
        <w:pStyle w:val="Indenta"/>
        <w:rPr>
          <w:ins w:id="491" w:author="Master Repository Process" w:date="2021-07-31T07:47:00Z"/>
        </w:rPr>
      </w:pPr>
      <w:ins w:id="492" w:author="Master Repository Process" w:date="2021-07-31T07:47:00Z">
        <w:r>
          <w:tab/>
        </w:r>
        <w:r>
          <w:tab/>
          <w:t>and</w:t>
        </w:r>
      </w:ins>
    </w:p>
    <w:p>
      <w:pPr>
        <w:pStyle w:val="Indenta"/>
        <w:rPr>
          <w:ins w:id="493" w:author="Master Repository Process" w:date="2021-07-31T07:47:00Z"/>
        </w:rPr>
      </w:pPr>
      <w:ins w:id="494" w:author="Master Repository Process" w:date="2021-07-31T07:47:00Z">
        <w:r>
          <w:tab/>
          <w:t>(b)</w:t>
        </w:r>
        <w:r>
          <w:tab/>
          <w:t>the concentration of methyl bromide during the fumigation period is not less than that specified in the Table to this subregulation.</w:t>
        </w:r>
      </w:ins>
    </w:p>
    <w:p>
      <w:pPr>
        <w:pStyle w:val="MiscellaneousHeading"/>
        <w:rPr>
          <w:ins w:id="495" w:author="Master Repository Process" w:date="2021-07-31T07:47:00Z"/>
        </w:rPr>
      </w:pPr>
      <w:ins w:id="496" w:author="Master Repository Process" w:date="2021-07-31T07:47:00Z">
        <w:r>
          <w:rPr>
            <w:b/>
            <w:bCs/>
          </w:rPr>
          <w:t>Table</w:t>
        </w:r>
      </w:ins>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79"/>
        <w:gridCol w:w="879"/>
        <w:gridCol w:w="879"/>
        <w:gridCol w:w="879"/>
      </w:tblGrid>
      <w:tr>
        <w:trPr>
          <w:cantSplit/>
          <w:tblHeader/>
          <w:ins w:id="497" w:author="Master Repository Process" w:date="2021-07-31T07:47:00Z"/>
        </w:trPr>
        <w:tc>
          <w:tcPr>
            <w:tcW w:w="1650" w:type="dxa"/>
            <w:vMerge w:val="restart"/>
            <w:tcBorders>
              <w:top w:val="single" w:sz="4" w:space="0" w:color="auto"/>
              <w:bottom w:val="single" w:sz="4" w:space="0" w:color="auto"/>
              <w:right w:val="single" w:sz="4" w:space="0" w:color="auto"/>
            </w:tcBorders>
          </w:tcPr>
          <w:p>
            <w:pPr>
              <w:pStyle w:val="zTablet"/>
              <w:jc w:val="center"/>
              <w:rPr>
                <w:ins w:id="498" w:author="Master Repository Process" w:date="2021-07-31T07:47:00Z"/>
                <w:b/>
                <w:bCs/>
                <w:sz w:val="20"/>
              </w:rPr>
            </w:pPr>
            <w:ins w:id="499" w:author="Master Repository Process" w:date="2021-07-31T07:47:00Z">
              <w:r>
                <w:rPr>
                  <w:b/>
                  <w:bCs/>
                  <w:sz w:val="20"/>
                </w:rPr>
                <w:t>Temperature</w:t>
              </w:r>
            </w:ins>
          </w:p>
        </w:tc>
        <w:tc>
          <w:tcPr>
            <w:tcW w:w="4395" w:type="dxa"/>
            <w:gridSpan w:val="5"/>
            <w:tcBorders>
              <w:top w:val="single" w:sz="4" w:space="0" w:color="auto"/>
              <w:left w:val="single" w:sz="4" w:space="0" w:color="auto"/>
              <w:bottom w:val="single" w:sz="4" w:space="0" w:color="auto"/>
            </w:tcBorders>
          </w:tcPr>
          <w:p>
            <w:pPr>
              <w:pStyle w:val="zTablet"/>
              <w:jc w:val="center"/>
              <w:rPr>
                <w:ins w:id="500" w:author="Master Repository Process" w:date="2021-07-31T07:47:00Z"/>
                <w:b/>
                <w:bCs/>
                <w:sz w:val="20"/>
              </w:rPr>
            </w:pPr>
            <w:ins w:id="501" w:author="Master Repository Process" w:date="2021-07-31T07:47:00Z">
              <w:r>
                <w:rPr>
                  <w:b/>
                  <w:bCs/>
                  <w:sz w:val="20"/>
                </w:rPr>
                <w:t>Concentration (g/m</w:t>
              </w:r>
              <w:r>
                <w:rPr>
                  <w:b/>
                  <w:bCs/>
                  <w:sz w:val="20"/>
                  <w:vertAlign w:val="superscript"/>
                </w:rPr>
                <w:t>3</w:t>
              </w:r>
              <w:r>
                <w:rPr>
                  <w:b/>
                  <w:bCs/>
                  <w:sz w:val="20"/>
                </w:rPr>
                <w:t>)</w:t>
              </w:r>
            </w:ins>
          </w:p>
        </w:tc>
      </w:tr>
      <w:tr>
        <w:trPr>
          <w:cantSplit/>
          <w:ins w:id="502" w:author="Master Repository Process" w:date="2021-07-31T07:47:00Z"/>
        </w:trPr>
        <w:tc>
          <w:tcPr>
            <w:tcW w:w="1650" w:type="dxa"/>
            <w:vMerge/>
            <w:tcBorders>
              <w:bottom w:val="single" w:sz="4" w:space="0" w:color="auto"/>
              <w:right w:val="single" w:sz="4" w:space="0" w:color="auto"/>
            </w:tcBorders>
          </w:tcPr>
          <w:p>
            <w:pPr>
              <w:pStyle w:val="zTablet"/>
              <w:jc w:val="center"/>
              <w:rPr>
                <w:ins w:id="503" w:author="Master Repository Process" w:date="2021-07-31T07:47:00Z"/>
                <w:b/>
                <w:bCs/>
                <w:sz w:val="20"/>
              </w:rPr>
            </w:pPr>
          </w:p>
        </w:tc>
        <w:tc>
          <w:tcPr>
            <w:tcW w:w="879" w:type="dxa"/>
            <w:tcBorders>
              <w:top w:val="single" w:sz="4" w:space="0" w:color="auto"/>
              <w:left w:val="single" w:sz="4" w:space="0" w:color="auto"/>
            </w:tcBorders>
          </w:tcPr>
          <w:p>
            <w:pPr>
              <w:pStyle w:val="zTablet"/>
              <w:jc w:val="center"/>
              <w:rPr>
                <w:ins w:id="504" w:author="Master Repository Process" w:date="2021-07-31T07:47:00Z"/>
                <w:b/>
                <w:bCs/>
                <w:sz w:val="20"/>
              </w:rPr>
            </w:pPr>
            <w:ins w:id="505" w:author="Master Repository Process" w:date="2021-07-31T07:47:00Z">
              <w:r>
                <w:rPr>
                  <w:b/>
                  <w:bCs/>
                  <w:sz w:val="20"/>
                </w:rPr>
                <w:t>At start</w:t>
              </w:r>
            </w:ins>
          </w:p>
        </w:tc>
        <w:tc>
          <w:tcPr>
            <w:tcW w:w="879" w:type="dxa"/>
            <w:tcBorders>
              <w:top w:val="single" w:sz="4" w:space="0" w:color="auto"/>
            </w:tcBorders>
          </w:tcPr>
          <w:p>
            <w:pPr>
              <w:pStyle w:val="zTablet"/>
              <w:jc w:val="center"/>
              <w:rPr>
                <w:ins w:id="506" w:author="Master Repository Process" w:date="2021-07-31T07:47:00Z"/>
                <w:b/>
                <w:bCs/>
                <w:sz w:val="20"/>
              </w:rPr>
            </w:pPr>
            <w:ins w:id="507" w:author="Master Repository Process" w:date="2021-07-31T07:47:00Z">
              <w:r>
                <w:rPr>
                  <w:b/>
                  <w:bCs/>
                  <w:sz w:val="20"/>
                </w:rPr>
                <w:t>After 2 hours</w:t>
              </w:r>
            </w:ins>
          </w:p>
        </w:tc>
        <w:tc>
          <w:tcPr>
            <w:tcW w:w="879" w:type="dxa"/>
            <w:tcBorders>
              <w:top w:val="single" w:sz="4" w:space="0" w:color="auto"/>
            </w:tcBorders>
          </w:tcPr>
          <w:p>
            <w:pPr>
              <w:pStyle w:val="zTablet"/>
              <w:jc w:val="center"/>
              <w:rPr>
                <w:ins w:id="508" w:author="Master Repository Process" w:date="2021-07-31T07:47:00Z"/>
                <w:b/>
                <w:bCs/>
                <w:sz w:val="20"/>
              </w:rPr>
            </w:pPr>
            <w:ins w:id="509" w:author="Master Repository Process" w:date="2021-07-31T07:47:00Z">
              <w:r>
                <w:rPr>
                  <w:b/>
                  <w:bCs/>
                  <w:sz w:val="20"/>
                </w:rPr>
                <w:t>After 4 hours</w:t>
              </w:r>
            </w:ins>
          </w:p>
        </w:tc>
        <w:tc>
          <w:tcPr>
            <w:tcW w:w="879" w:type="dxa"/>
            <w:tcBorders>
              <w:top w:val="single" w:sz="4" w:space="0" w:color="auto"/>
            </w:tcBorders>
          </w:tcPr>
          <w:p>
            <w:pPr>
              <w:pStyle w:val="zTablet"/>
              <w:jc w:val="center"/>
              <w:rPr>
                <w:ins w:id="510" w:author="Master Repository Process" w:date="2021-07-31T07:47:00Z"/>
                <w:b/>
                <w:bCs/>
                <w:sz w:val="20"/>
              </w:rPr>
            </w:pPr>
            <w:ins w:id="511" w:author="Master Repository Process" w:date="2021-07-31T07:47:00Z">
              <w:r>
                <w:rPr>
                  <w:b/>
                  <w:bCs/>
                  <w:sz w:val="20"/>
                </w:rPr>
                <w:t>After 12 hours</w:t>
              </w:r>
            </w:ins>
          </w:p>
        </w:tc>
        <w:tc>
          <w:tcPr>
            <w:tcW w:w="879" w:type="dxa"/>
            <w:tcBorders>
              <w:top w:val="single" w:sz="4" w:space="0" w:color="auto"/>
            </w:tcBorders>
          </w:tcPr>
          <w:p>
            <w:pPr>
              <w:pStyle w:val="zTablet"/>
              <w:jc w:val="center"/>
              <w:rPr>
                <w:ins w:id="512" w:author="Master Repository Process" w:date="2021-07-31T07:47:00Z"/>
                <w:b/>
                <w:bCs/>
                <w:sz w:val="20"/>
              </w:rPr>
            </w:pPr>
            <w:ins w:id="513" w:author="Master Repository Process" w:date="2021-07-31T07:47:00Z">
              <w:r>
                <w:rPr>
                  <w:b/>
                  <w:bCs/>
                  <w:sz w:val="20"/>
                </w:rPr>
                <w:t>After 24 hours</w:t>
              </w:r>
            </w:ins>
          </w:p>
        </w:tc>
      </w:tr>
      <w:tr>
        <w:trPr>
          <w:cantSplit/>
          <w:ins w:id="514" w:author="Master Repository Process" w:date="2021-07-31T07:47:00Z"/>
        </w:trPr>
        <w:tc>
          <w:tcPr>
            <w:tcW w:w="1650" w:type="dxa"/>
            <w:tcBorders>
              <w:top w:val="single" w:sz="4" w:space="0" w:color="auto"/>
              <w:right w:val="single" w:sz="4" w:space="0" w:color="auto"/>
            </w:tcBorders>
          </w:tcPr>
          <w:p>
            <w:pPr>
              <w:pStyle w:val="zTablet"/>
              <w:rPr>
                <w:ins w:id="515" w:author="Master Repository Process" w:date="2021-07-31T07:47:00Z"/>
                <w:sz w:val="20"/>
              </w:rPr>
            </w:pPr>
            <w:ins w:id="516" w:author="Master Repository Process" w:date="2021-07-31T07:47:00Z">
              <w:r>
                <w:rPr>
                  <w:sz w:val="20"/>
                </w:rPr>
                <w:t>≥ 21°C</w:t>
              </w:r>
            </w:ins>
          </w:p>
        </w:tc>
        <w:tc>
          <w:tcPr>
            <w:tcW w:w="879" w:type="dxa"/>
            <w:tcBorders>
              <w:top w:val="single" w:sz="4" w:space="0" w:color="auto"/>
              <w:left w:val="single" w:sz="4" w:space="0" w:color="auto"/>
            </w:tcBorders>
          </w:tcPr>
          <w:p>
            <w:pPr>
              <w:pStyle w:val="zTablet"/>
              <w:jc w:val="center"/>
              <w:rPr>
                <w:ins w:id="517" w:author="Master Repository Process" w:date="2021-07-31T07:47:00Z"/>
                <w:sz w:val="20"/>
              </w:rPr>
            </w:pPr>
            <w:ins w:id="518" w:author="Master Repository Process" w:date="2021-07-31T07:47:00Z">
              <w:r>
                <w:rPr>
                  <w:sz w:val="20"/>
                </w:rPr>
                <w:t>48</w:t>
              </w:r>
            </w:ins>
          </w:p>
        </w:tc>
        <w:tc>
          <w:tcPr>
            <w:tcW w:w="879" w:type="dxa"/>
            <w:tcBorders>
              <w:top w:val="single" w:sz="4" w:space="0" w:color="auto"/>
            </w:tcBorders>
          </w:tcPr>
          <w:p>
            <w:pPr>
              <w:pStyle w:val="zTablet"/>
              <w:jc w:val="center"/>
              <w:rPr>
                <w:ins w:id="519" w:author="Master Repository Process" w:date="2021-07-31T07:47:00Z"/>
                <w:sz w:val="20"/>
              </w:rPr>
            </w:pPr>
            <w:ins w:id="520" w:author="Master Repository Process" w:date="2021-07-31T07:47:00Z">
              <w:r>
                <w:rPr>
                  <w:sz w:val="20"/>
                </w:rPr>
                <w:t>36</w:t>
              </w:r>
            </w:ins>
          </w:p>
        </w:tc>
        <w:tc>
          <w:tcPr>
            <w:tcW w:w="879" w:type="dxa"/>
            <w:tcBorders>
              <w:top w:val="single" w:sz="4" w:space="0" w:color="auto"/>
            </w:tcBorders>
          </w:tcPr>
          <w:p>
            <w:pPr>
              <w:pStyle w:val="zTablet"/>
              <w:jc w:val="center"/>
              <w:rPr>
                <w:ins w:id="521" w:author="Master Repository Process" w:date="2021-07-31T07:47:00Z"/>
                <w:sz w:val="20"/>
              </w:rPr>
            </w:pPr>
            <w:ins w:id="522" w:author="Master Repository Process" w:date="2021-07-31T07:47:00Z">
              <w:r>
                <w:rPr>
                  <w:sz w:val="20"/>
                </w:rPr>
                <w:t>31</w:t>
              </w:r>
            </w:ins>
          </w:p>
        </w:tc>
        <w:tc>
          <w:tcPr>
            <w:tcW w:w="879" w:type="dxa"/>
            <w:tcBorders>
              <w:top w:val="single" w:sz="4" w:space="0" w:color="auto"/>
            </w:tcBorders>
          </w:tcPr>
          <w:p>
            <w:pPr>
              <w:pStyle w:val="zTablet"/>
              <w:jc w:val="center"/>
              <w:rPr>
                <w:ins w:id="523" w:author="Master Repository Process" w:date="2021-07-31T07:47:00Z"/>
                <w:sz w:val="20"/>
              </w:rPr>
            </w:pPr>
            <w:ins w:id="524" w:author="Master Repository Process" w:date="2021-07-31T07:47:00Z">
              <w:r>
                <w:rPr>
                  <w:sz w:val="20"/>
                </w:rPr>
                <w:t>28</w:t>
              </w:r>
            </w:ins>
          </w:p>
        </w:tc>
        <w:tc>
          <w:tcPr>
            <w:tcW w:w="879" w:type="dxa"/>
            <w:tcBorders>
              <w:top w:val="single" w:sz="4" w:space="0" w:color="auto"/>
            </w:tcBorders>
          </w:tcPr>
          <w:p>
            <w:pPr>
              <w:pStyle w:val="zTablet"/>
              <w:jc w:val="center"/>
              <w:rPr>
                <w:ins w:id="525" w:author="Master Repository Process" w:date="2021-07-31T07:47:00Z"/>
                <w:sz w:val="20"/>
              </w:rPr>
            </w:pPr>
            <w:ins w:id="526" w:author="Master Repository Process" w:date="2021-07-31T07:47:00Z">
              <w:r>
                <w:rPr>
                  <w:sz w:val="20"/>
                </w:rPr>
                <w:t>24</w:t>
              </w:r>
            </w:ins>
          </w:p>
        </w:tc>
      </w:tr>
      <w:tr>
        <w:trPr>
          <w:cantSplit/>
          <w:ins w:id="527" w:author="Master Repository Process" w:date="2021-07-31T07:47:00Z"/>
        </w:trPr>
        <w:tc>
          <w:tcPr>
            <w:tcW w:w="1650" w:type="dxa"/>
            <w:tcBorders>
              <w:right w:val="single" w:sz="4" w:space="0" w:color="auto"/>
            </w:tcBorders>
          </w:tcPr>
          <w:p>
            <w:pPr>
              <w:pStyle w:val="zTablet"/>
              <w:rPr>
                <w:ins w:id="528" w:author="Master Repository Process" w:date="2021-07-31T07:47:00Z"/>
                <w:sz w:val="20"/>
              </w:rPr>
            </w:pPr>
            <w:ins w:id="529" w:author="Master Repository Process" w:date="2021-07-31T07:47:00Z">
              <w:r>
                <w:rPr>
                  <w:sz w:val="20"/>
                </w:rPr>
                <w:t xml:space="preserve">≥ 16°C but &lt;21°C </w:t>
              </w:r>
            </w:ins>
          </w:p>
        </w:tc>
        <w:tc>
          <w:tcPr>
            <w:tcW w:w="879" w:type="dxa"/>
            <w:tcBorders>
              <w:left w:val="single" w:sz="4" w:space="0" w:color="auto"/>
            </w:tcBorders>
          </w:tcPr>
          <w:p>
            <w:pPr>
              <w:pStyle w:val="zTablet"/>
              <w:jc w:val="center"/>
              <w:rPr>
                <w:ins w:id="530" w:author="Master Repository Process" w:date="2021-07-31T07:47:00Z"/>
                <w:sz w:val="20"/>
              </w:rPr>
            </w:pPr>
            <w:ins w:id="531" w:author="Master Repository Process" w:date="2021-07-31T07:47:00Z">
              <w:r>
                <w:rPr>
                  <w:sz w:val="20"/>
                </w:rPr>
                <w:t>56</w:t>
              </w:r>
            </w:ins>
          </w:p>
        </w:tc>
        <w:tc>
          <w:tcPr>
            <w:tcW w:w="879" w:type="dxa"/>
          </w:tcPr>
          <w:p>
            <w:pPr>
              <w:pStyle w:val="zTablet"/>
              <w:jc w:val="center"/>
              <w:rPr>
                <w:ins w:id="532" w:author="Master Repository Process" w:date="2021-07-31T07:47:00Z"/>
                <w:sz w:val="20"/>
              </w:rPr>
            </w:pPr>
            <w:ins w:id="533" w:author="Master Repository Process" w:date="2021-07-31T07:47:00Z">
              <w:r>
                <w:rPr>
                  <w:sz w:val="20"/>
                </w:rPr>
                <w:t>42</w:t>
              </w:r>
            </w:ins>
          </w:p>
        </w:tc>
        <w:tc>
          <w:tcPr>
            <w:tcW w:w="879" w:type="dxa"/>
          </w:tcPr>
          <w:p>
            <w:pPr>
              <w:pStyle w:val="zTablet"/>
              <w:jc w:val="center"/>
              <w:rPr>
                <w:ins w:id="534" w:author="Master Repository Process" w:date="2021-07-31T07:47:00Z"/>
                <w:sz w:val="20"/>
              </w:rPr>
            </w:pPr>
            <w:ins w:id="535" w:author="Master Repository Process" w:date="2021-07-31T07:47:00Z">
              <w:r>
                <w:rPr>
                  <w:sz w:val="20"/>
                </w:rPr>
                <w:t>36</w:t>
              </w:r>
            </w:ins>
          </w:p>
        </w:tc>
        <w:tc>
          <w:tcPr>
            <w:tcW w:w="879" w:type="dxa"/>
          </w:tcPr>
          <w:p>
            <w:pPr>
              <w:pStyle w:val="zTablet"/>
              <w:jc w:val="center"/>
              <w:rPr>
                <w:ins w:id="536" w:author="Master Repository Process" w:date="2021-07-31T07:47:00Z"/>
                <w:sz w:val="20"/>
              </w:rPr>
            </w:pPr>
            <w:ins w:id="537" w:author="Master Repository Process" w:date="2021-07-31T07:47:00Z">
              <w:r>
                <w:rPr>
                  <w:sz w:val="20"/>
                </w:rPr>
                <w:t>32</w:t>
              </w:r>
            </w:ins>
          </w:p>
        </w:tc>
        <w:tc>
          <w:tcPr>
            <w:tcW w:w="879" w:type="dxa"/>
          </w:tcPr>
          <w:p>
            <w:pPr>
              <w:pStyle w:val="zTablet"/>
              <w:jc w:val="center"/>
              <w:rPr>
                <w:ins w:id="538" w:author="Master Repository Process" w:date="2021-07-31T07:47:00Z"/>
                <w:sz w:val="20"/>
              </w:rPr>
            </w:pPr>
            <w:ins w:id="539" w:author="Master Repository Process" w:date="2021-07-31T07:47:00Z">
              <w:r>
                <w:rPr>
                  <w:sz w:val="20"/>
                </w:rPr>
                <w:t>28</w:t>
              </w:r>
            </w:ins>
          </w:p>
        </w:tc>
      </w:tr>
      <w:tr>
        <w:trPr>
          <w:cantSplit/>
          <w:ins w:id="540" w:author="Master Repository Process" w:date="2021-07-31T07:47:00Z"/>
        </w:trPr>
        <w:tc>
          <w:tcPr>
            <w:tcW w:w="1650" w:type="dxa"/>
            <w:tcBorders>
              <w:bottom w:val="single" w:sz="4" w:space="0" w:color="auto"/>
              <w:right w:val="single" w:sz="4" w:space="0" w:color="auto"/>
            </w:tcBorders>
          </w:tcPr>
          <w:p>
            <w:pPr>
              <w:pStyle w:val="zTablet"/>
              <w:rPr>
                <w:ins w:id="541" w:author="Master Repository Process" w:date="2021-07-31T07:47:00Z"/>
                <w:sz w:val="20"/>
              </w:rPr>
            </w:pPr>
            <w:ins w:id="542" w:author="Master Repository Process" w:date="2021-07-31T07:47:00Z">
              <w:r>
                <w:rPr>
                  <w:sz w:val="20"/>
                </w:rPr>
                <w:t>≥ 10°C but &lt;16°C</w:t>
              </w:r>
            </w:ins>
          </w:p>
        </w:tc>
        <w:tc>
          <w:tcPr>
            <w:tcW w:w="879" w:type="dxa"/>
            <w:tcBorders>
              <w:left w:val="single" w:sz="4" w:space="0" w:color="auto"/>
              <w:bottom w:val="single" w:sz="4" w:space="0" w:color="auto"/>
            </w:tcBorders>
          </w:tcPr>
          <w:p>
            <w:pPr>
              <w:pStyle w:val="zTablet"/>
              <w:jc w:val="center"/>
              <w:rPr>
                <w:ins w:id="543" w:author="Master Repository Process" w:date="2021-07-31T07:47:00Z"/>
                <w:sz w:val="20"/>
              </w:rPr>
            </w:pPr>
            <w:ins w:id="544" w:author="Master Repository Process" w:date="2021-07-31T07:47:00Z">
              <w:r>
                <w:rPr>
                  <w:sz w:val="20"/>
                </w:rPr>
                <w:t>64</w:t>
              </w:r>
            </w:ins>
          </w:p>
        </w:tc>
        <w:tc>
          <w:tcPr>
            <w:tcW w:w="879" w:type="dxa"/>
            <w:tcBorders>
              <w:bottom w:val="single" w:sz="4" w:space="0" w:color="auto"/>
            </w:tcBorders>
          </w:tcPr>
          <w:p>
            <w:pPr>
              <w:pStyle w:val="zTablet"/>
              <w:jc w:val="center"/>
              <w:rPr>
                <w:ins w:id="545" w:author="Master Repository Process" w:date="2021-07-31T07:47:00Z"/>
                <w:sz w:val="20"/>
              </w:rPr>
            </w:pPr>
            <w:ins w:id="546" w:author="Master Repository Process" w:date="2021-07-31T07:47:00Z">
              <w:r>
                <w:rPr>
                  <w:sz w:val="20"/>
                </w:rPr>
                <w:t>48</w:t>
              </w:r>
            </w:ins>
          </w:p>
        </w:tc>
        <w:tc>
          <w:tcPr>
            <w:tcW w:w="879" w:type="dxa"/>
            <w:tcBorders>
              <w:bottom w:val="single" w:sz="4" w:space="0" w:color="auto"/>
            </w:tcBorders>
          </w:tcPr>
          <w:p>
            <w:pPr>
              <w:pStyle w:val="zTablet"/>
              <w:jc w:val="center"/>
              <w:rPr>
                <w:ins w:id="547" w:author="Master Repository Process" w:date="2021-07-31T07:47:00Z"/>
                <w:sz w:val="20"/>
              </w:rPr>
            </w:pPr>
            <w:ins w:id="548" w:author="Master Repository Process" w:date="2021-07-31T07:47:00Z">
              <w:r>
                <w:rPr>
                  <w:sz w:val="20"/>
                </w:rPr>
                <w:t>42</w:t>
              </w:r>
            </w:ins>
          </w:p>
        </w:tc>
        <w:tc>
          <w:tcPr>
            <w:tcW w:w="879" w:type="dxa"/>
            <w:tcBorders>
              <w:bottom w:val="single" w:sz="4" w:space="0" w:color="auto"/>
            </w:tcBorders>
          </w:tcPr>
          <w:p>
            <w:pPr>
              <w:pStyle w:val="zTablet"/>
              <w:jc w:val="center"/>
              <w:rPr>
                <w:ins w:id="549" w:author="Master Repository Process" w:date="2021-07-31T07:47:00Z"/>
                <w:sz w:val="20"/>
              </w:rPr>
            </w:pPr>
            <w:ins w:id="550" w:author="Master Repository Process" w:date="2021-07-31T07:47:00Z">
              <w:r>
                <w:rPr>
                  <w:sz w:val="20"/>
                </w:rPr>
                <w:t>36</w:t>
              </w:r>
            </w:ins>
          </w:p>
        </w:tc>
        <w:tc>
          <w:tcPr>
            <w:tcW w:w="879" w:type="dxa"/>
            <w:tcBorders>
              <w:bottom w:val="single" w:sz="4" w:space="0" w:color="auto"/>
            </w:tcBorders>
          </w:tcPr>
          <w:p>
            <w:pPr>
              <w:pStyle w:val="zTablet"/>
              <w:jc w:val="center"/>
              <w:rPr>
                <w:ins w:id="551" w:author="Master Repository Process" w:date="2021-07-31T07:47:00Z"/>
                <w:sz w:val="20"/>
              </w:rPr>
            </w:pPr>
            <w:ins w:id="552" w:author="Master Repository Process" w:date="2021-07-31T07:47:00Z">
              <w:r>
                <w:rPr>
                  <w:sz w:val="20"/>
                </w:rPr>
                <w:t>32</w:t>
              </w:r>
            </w:ins>
          </w:p>
        </w:tc>
      </w:tr>
    </w:tbl>
    <w:p>
      <w:pPr>
        <w:pStyle w:val="Footnotesection"/>
        <w:rPr>
          <w:ins w:id="553" w:author="Master Repository Process" w:date="2021-07-31T07:47:00Z"/>
        </w:rPr>
      </w:pPr>
      <w:ins w:id="554" w:author="Master Repository Process" w:date="2021-07-31T07:47:00Z">
        <w:r>
          <w:tab/>
          <w:t>[Regulation 12 amended in Gazette 28 Dec 2007 p. 6482</w:t>
        </w:r>
        <w:r>
          <w:noBreakHyphen/>
          <w:t>3.]</w:t>
        </w:r>
      </w:ins>
    </w:p>
    <w:p>
      <w:pPr>
        <w:pStyle w:val="Heading5"/>
      </w:pPr>
      <w:bookmarkStart w:id="555" w:name="_Toc122915901"/>
      <w:bookmarkStart w:id="556" w:name="_Toc186620058"/>
      <w:bookmarkStart w:id="557" w:name="_Toc127084923"/>
      <w:r>
        <w:rPr>
          <w:rStyle w:val="CharSectno"/>
        </w:rPr>
        <w:t>13</w:t>
      </w:r>
      <w:r>
        <w:t>.</w:t>
      </w:r>
      <w:r>
        <w:tab/>
        <w:t>Authorised person may carry out work and recover cost</w:t>
      </w:r>
      <w:bookmarkEnd w:id="555"/>
      <w:bookmarkEnd w:id="556"/>
      <w:bookmarkEnd w:id="557"/>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pPr>
        <w:pStyle w:val="Heading2"/>
      </w:pPr>
      <w:bookmarkStart w:id="558" w:name="_Toc108247768"/>
      <w:bookmarkStart w:id="559" w:name="_Toc108250059"/>
      <w:bookmarkStart w:id="560" w:name="_Toc108256068"/>
      <w:bookmarkStart w:id="561" w:name="_Toc108410779"/>
      <w:bookmarkStart w:id="562" w:name="_Toc108412417"/>
      <w:bookmarkStart w:id="563" w:name="_Toc108412548"/>
      <w:bookmarkStart w:id="564" w:name="_Toc108843930"/>
      <w:bookmarkStart w:id="565" w:name="_Toc108846196"/>
      <w:bookmarkStart w:id="566" w:name="_Toc108848128"/>
      <w:bookmarkStart w:id="567" w:name="_Toc108857247"/>
      <w:bookmarkStart w:id="568" w:name="_Toc108863563"/>
      <w:bookmarkStart w:id="569" w:name="_Toc108863748"/>
      <w:bookmarkStart w:id="570" w:name="_Toc108863893"/>
      <w:bookmarkStart w:id="571" w:name="_Toc108864036"/>
      <w:bookmarkStart w:id="572" w:name="_Toc114628541"/>
      <w:bookmarkStart w:id="573" w:name="_Toc114635419"/>
      <w:bookmarkStart w:id="574" w:name="_Toc114652234"/>
      <w:bookmarkStart w:id="575" w:name="_Toc114884853"/>
      <w:bookmarkStart w:id="576" w:name="_Toc114885289"/>
      <w:bookmarkStart w:id="577" w:name="_Toc114893185"/>
      <w:bookmarkStart w:id="578" w:name="_Toc114897824"/>
      <w:bookmarkStart w:id="579" w:name="_Toc114897971"/>
      <w:bookmarkStart w:id="580" w:name="_Toc114899113"/>
      <w:bookmarkStart w:id="581" w:name="_Toc114899227"/>
      <w:bookmarkStart w:id="582" w:name="_Toc114899311"/>
      <w:bookmarkStart w:id="583" w:name="_Toc114899425"/>
      <w:bookmarkStart w:id="584" w:name="_Toc114899451"/>
      <w:bookmarkStart w:id="585" w:name="_Toc114899514"/>
      <w:bookmarkStart w:id="586" w:name="_Toc114899595"/>
      <w:bookmarkStart w:id="587" w:name="_Toc114899933"/>
      <w:bookmarkStart w:id="588" w:name="_Toc114899966"/>
      <w:bookmarkStart w:id="589" w:name="_Toc114910827"/>
      <w:bookmarkStart w:id="590" w:name="_Toc114910922"/>
      <w:bookmarkStart w:id="591" w:name="_Toc115084261"/>
      <w:bookmarkStart w:id="592" w:name="_Toc115680159"/>
      <w:bookmarkStart w:id="593" w:name="_Toc115687613"/>
      <w:bookmarkStart w:id="594" w:name="_Toc115687643"/>
      <w:bookmarkStart w:id="595" w:name="_Toc115775613"/>
      <w:bookmarkStart w:id="596" w:name="_Toc115775798"/>
      <w:bookmarkStart w:id="597" w:name="_Toc115775987"/>
      <w:bookmarkStart w:id="598" w:name="_Toc115776722"/>
      <w:bookmarkStart w:id="599" w:name="_Toc115830564"/>
      <w:bookmarkStart w:id="600" w:name="_Toc115830629"/>
      <w:bookmarkStart w:id="601" w:name="_Toc116880277"/>
      <w:bookmarkStart w:id="602" w:name="_Toc116883501"/>
      <w:bookmarkStart w:id="603" w:name="_Toc116884208"/>
      <w:bookmarkStart w:id="604" w:name="_Toc116884464"/>
      <w:bookmarkStart w:id="605" w:name="_Toc116884520"/>
      <w:bookmarkStart w:id="606" w:name="_Toc116884712"/>
      <w:bookmarkStart w:id="607" w:name="_Toc116884735"/>
      <w:bookmarkStart w:id="608" w:name="_Toc116891580"/>
      <w:bookmarkStart w:id="609" w:name="_Toc116895724"/>
      <w:bookmarkStart w:id="610" w:name="_Toc116898160"/>
      <w:bookmarkStart w:id="611" w:name="_Toc116898551"/>
      <w:bookmarkStart w:id="612" w:name="_Toc116899253"/>
      <w:bookmarkStart w:id="613" w:name="_Toc116899651"/>
      <w:bookmarkStart w:id="614" w:name="_Toc116960407"/>
      <w:bookmarkStart w:id="615" w:name="_Toc116960479"/>
      <w:bookmarkStart w:id="616" w:name="_Toc116960853"/>
      <w:bookmarkStart w:id="617" w:name="_Toc116963299"/>
      <w:bookmarkStart w:id="618" w:name="_Toc116963687"/>
      <w:bookmarkStart w:id="619" w:name="_Toc116963765"/>
      <w:bookmarkStart w:id="620" w:name="_Toc116964533"/>
      <w:bookmarkStart w:id="621" w:name="_Toc116964572"/>
      <w:bookmarkStart w:id="622" w:name="_Toc116964615"/>
      <w:bookmarkStart w:id="623" w:name="_Toc121808300"/>
      <w:bookmarkStart w:id="624" w:name="_Toc121809859"/>
      <w:bookmarkStart w:id="625" w:name="_Toc121815181"/>
      <w:bookmarkStart w:id="626" w:name="_Toc122773976"/>
      <w:bookmarkStart w:id="627" w:name="_Toc122774015"/>
      <w:bookmarkStart w:id="628" w:name="_Toc122834185"/>
      <w:bookmarkStart w:id="629" w:name="_Toc122834445"/>
      <w:bookmarkStart w:id="630" w:name="_Toc122849377"/>
      <w:bookmarkStart w:id="631" w:name="_Toc122849523"/>
      <w:bookmarkStart w:id="632" w:name="_Toc122851049"/>
      <w:bookmarkStart w:id="633" w:name="_Toc122851307"/>
      <w:bookmarkStart w:id="634" w:name="_Toc122862803"/>
      <w:bookmarkStart w:id="635" w:name="_Toc122915876"/>
      <w:bookmarkStart w:id="636" w:name="_Toc122915902"/>
      <w:bookmarkStart w:id="637" w:name="_Toc127084740"/>
      <w:bookmarkStart w:id="638" w:name="_Toc127084924"/>
      <w:bookmarkStart w:id="639" w:name="_Toc186619660"/>
      <w:bookmarkStart w:id="640" w:name="_Toc186620059"/>
      <w:bookmarkStart w:id="641" w:name="_Toc108247597"/>
      <w:r>
        <w:rPr>
          <w:rStyle w:val="CharPartNo"/>
        </w:rPr>
        <w:t>Part 4</w:t>
      </w:r>
      <w:r>
        <w:rPr>
          <w:rStyle w:val="CharDivNo"/>
        </w:rPr>
        <w:t> </w:t>
      </w:r>
      <w:r>
        <w:t>—</w:t>
      </w:r>
      <w:r>
        <w:rPr>
          <w:rStyle w:val="CharDivText"/>
        </w:rPr>
        <w:t> </w:t>
      </w:r>
      <w:r>
        <w:rPr>
          <w:rStyle w:val="CharPartText"/>
        </w:rPr>
        <w:t>Structural pinewood</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keepNext w:val="0"/>
        <w:spacing w:before="180"/>
      </w:pPr>
      <w:bookmarkStart w:id="642" w:name="_Toc116884521"/>
      <w:bookmarkStart w:id="643" w:name="_Toc122915903"/>
      <w:bookmarkStart w:id="644" w:name="_Toc186620060"/>
      <w:bookmarkStart w:id="645" w:name="_Toc127084925"/>
      <w:bookmarkEnd w:id="641"/>
      <w:r>
        <w:rPr>
          <w:rStyle w:val="CharSectno"/>
        </w:rPr>
        <w:t>14</w:t>
      </w:r>
      <w:r>
        <w:t>.</w:t>
      </w:r>
      <w:r>
        <w:tab/>
        <w:t>Terms used in this Part</w:t>
      </w:r>
      <w:bookmarkEnd w:id="642"/>
      <w:bookmarkEnd w:id="643"/>
      <w:bookmarkEnd w:id="644"/>
      <w:bookmarkEnd w:id="645"/>
    </w:p>
    <w:p>
      <w:pPr>
        <w:pStyle w:val="Subsection"/>
      </w:pPr>
      <w:r>
        <w:tab/>
      </w:r>
      <w:r>
        <w:tab/>
        <w:t xml:space="preserve">In this Part — </w:t>
      </w:r>
    </w:p>
    <w:p>
      <w:pPr>
        <w:pStyle w:val="Defstart"/>
      </w:pPr>
      <w:r>
        <w:rPr>
          <w:b/>
        </w:rPr>
        <w:tab/>
      </w:r>
      <w:del w:id="646" w:author="Master Repository Process" w:date="2021-07-31T07:47:00Z">
        <w:r>
          <w:rPr>
            <w:b/>
          </w:rPr>
          <w:delText>“</w:delText>
        </w:r>
      </w:del>
      <w:r>
        <w:rPr>
          <w:rStyle w:val="CharDefText"/>
        </w:rPr>
        <w:t>builder</w:t>
      </w:r>
      <w:del w:id="647" w:author="Master Repository Process" w:date="2021-07-31T07:47:00Z">
        <w:r>
          <w:rPr>
            <w:b/>
          </w:rPr>
          <w:delText>”</w:delText>
        </w:r>
        <w:r>
          <w:delText>,</w:delText>
        </w:r>
      </w:del>
      <w:ins w:id="648" w:author="Master Repository Process" w:date="2021-07-31T07:47:00Z">
        <w:r>
          <w:t>,</w:t>
        </w:r>
      </w:ins>
      <w:r>
        <w:t xml:space="preserve"> in relation to a building under construction, means a person who is engaged to build, or carry out building work on, the building or where no person is so engaged, the owner of the building;</w:t>
      </w:r>
    </w:p>
    <w:p>
      <w:pPr>
        <w:pStyle w:val="Defstart"/>
      </w:pPr>
      <w:r>
        <w:rPr>
          <w:b/>
        </w:rPr>
        <w:tab/>
      </w:r>
      <w:del w:id="649" w:author="Master Repository Process" w:date="2021-07-31T07:47:00Z">
        <w:r>
          <w:rPr>
            <w:b/>
          </w:rPr>
          <w:delText>“</w:delText>
        </w:r>
      </w:del>
      <w:r>
        <w:rPr>
          <w:rStyle w:val="CharDefText"/>
        </w:rPr>
        <w:t>building</w:t>
      </w:r>
      <w:del w:id="650" w:author="Master Repository Process" w:date="2021-07-31T07:47:00Z">
        <w:r>
          <w:rPr>
            <w:b/>
          </w:rPr>
          <w:delText>”</w:delText>
        </w:r>
      </w:del>
      <w:r>
        <w:t xml:space="preserve"> includes a temporary structure;</w:t>
      </w:r>
    </w:p>
    <w:p>
      <w:pPr>
        <w:pStyle w:val="Defstart"/>
      </w:pPr>
      <w:r>
        <w:rPr>
          <w:b/>
        </w:rPr>
        <w:tab/>
      </w:r>
      <w:del w:id="651" w:author="Master Repository Process" w:date="2021-07-31T07:47:00Z">
        <w:r>
          <w:rPr>
            <w:b/>
          </w:rPr>
          <w:delText>“</w:delText>
        </w:r>
      </w:del>
      <w:r>
        <w:rPr>
          <w:rStyle w:val="CharDefText"/>
        </w:rPr>
        <w:t>building inspector</w:t>
      </w:r>
      <w:del w:id="652" w:author="Master Repository Process" w:date="2021-07-31T07:47:00Z">
        <w:r>
          <w:rPr>
            <w:b/>
          </w:rPr>
          <w:delText>”</w:delText>
        </w:r>
      </w:del>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del w:id="653" w:author="Master Repository Process" w:date="2021-07-31T07:47:00Z">
        <w:r>
          <w:tab/>
        </w:r>
      </w:del>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rPr>
          <w:b/>
        </w:rPr>
        <w:tab/>
      </w:r>
      <w:del w:id="654" w:author="Master Repository Process" w:date="2021-07-31T07:47:00Z">
        <w:r>
          <w:rPr>
            <w:b/>
          </w:rPr>
          <w:delText>“</w:delText>
        </w:r>
      </w:del>
      <w:r>
        <w:rPr>
          <w:rStyle w:val="CharDefText"/>
        </w:rPr>
        <w:t>pest controller</w:t>
      </w:r>
      <w:del w:id="655" w:author="Master Repository Process" w:date="2021-07-31T07:47:00Z">
        <w:r>
          <w:rPr>
            <w:b/>
          </w:rPr>
          <w:delText>”</w:delText>
        </w:r>
      </w:del>
      <w:r>
        <w:t xml:space="preserve"> means — </w:t>
      </w:r>
    </w:p>
    <w:p>
      <w:pPr>
        <w:pStyle w:val="Defpara"/>
      </w:pPr>
      <w:r>
        <w:tab/>
        <w:t>(a)</w:t>
      </w:r>
      <w:r>
        <w:tab/>
        <w:t xml:space="preserve">a fumigator as defined in the </w:t>
      </w:r>
      <w:r>
        <w:rPr>
          <w:i/>
          <w:iCs/>
        </w:rPr>
        <w:t>Health (Pesticides) Regulations 1956</w:t>
      </w:r>
      <w:r>
        <w:t xml:space="preserve"> regulation 32(1); or</w:t>
      </w:r>
    </w:p>
    <w:p>
      <w:pPr>
        <w:pStyle w:val="Defpara"/>
      </w:pPr>
      <w:r>
        <w:tab/>
        <w:t>(b)</w:t>
      </w:r>
      <w:r>
        <w:tab/>
        <w:t xml:space="preserve">a pesticide operator as defined in the </w:t>
      </w:r>
      <w:r>
        <w:rPr>
          <w:i/>
          <w:iCs/>
        </w:rPr>
        <w:t>Health (Pesticides) Regulations 1956</w:t>
      </w:r>
      <w:r>
        <w:t xml:space="preserve"> regulation 63; </w:t>
      </w:r>
    </w:p>
    <w:p>
      <w:pPr>
        <w:pStyle w:val="Defstart"/>
      </w:pPr>
      <w:r>
        <w:rPr>
          <w:b/>
        </w:rPr>
        <w:tab/>
      </w:r>
      <w:del w:id="656" w:author="Master Repository Process" w:date="2021-07-31T07:47:00Z">
        <w:r>
          <w:rPr>
            <w:b/>
          </w:rPr>
          <w:delText>“</w:delText>
        </w:r>
      </w:del>
      <w:r>
        <w:rPr>
          <w:rStyle w:val="CharDefText"/>
        </w:rPr>
        <w:t>structural pinewood</w:t>
      </w:r>
      <w:del w:id="657" w:author="Master Repository Process" w:date="2021-07-31T07:47:00Z">
        <w:r>
          <w:rPr>
            <w:b/>
          </w:rPr>
          <w:delText>”</w:delText>
        </w:r>
      </w:del>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Heading5"/>
        <w:spacing w:before="180"/>
      </w:pPr>
      <w:bookmarkStart w:id="658" w:name="_Toc116884522"/>
      <w:bookmarkStart w:id="659" w:name="_Toc122915904"/>
      <w:bookmarkStart w:id="660" w:name="_Toc186620061"/>
      <w:bookmarkStart w:id="661" w:name="_Toc127084926"/>
      <w:r>
        <w:rPr>
          <w:rStyle w:val="CharSectno"/>
        </w:rPr>
        <w:t>15</w:t>
      </w:r>
      <w:r>
        <w:t>.</w:t>
      </w:r>
      <w:r>
        <w:tab/>
        <w:t>EHB infestation to be reported</w:t>
      </w:r>
      <w:bookmarkEnd w:id="658"/>
      <w:bookmarkEnd w:id="659"/>
      <w:bookmarkEnd w:id="660"/>
      <w:bookmarkEnd w:id="661"/>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662" w:name="_Toc116884523"/>
      <w:bookmarkStart w:id="663" w:name="_Toc122915905"/>
      <w:bookmarkStart w:id="664" w:name="_Toc186620062"/>
      <w:bookmarkStart w:id="665" w:name="_Toc127084927"/>
      <w:r>
        <w:rPr>
          <w:rStyle w:val="CharSectno"/>
        </w:rPr>
        <w:t>16</w:t>
      </w:r>
      <w:r>
        <w:t>.</w:t>
      </w:r>
      <w:r>
        <w:tab/>
        <w:t>Treatment of infested structural pinewood</w:t>
      </w:r>
      <w:bookmarkEnd w:id="662"/>
      <w:bookmarkEnd w:id="663"/>
      <w:bookmarkEnd w:id="664"/>
      <w:bookmarkEnd w:id="665"/>
      <w:r>
        <w:t xml:space="preserve"> </w:t>
      </w:r>
    </w:p>
    <w:p>
      <w:pPr>
        <w:pStyle w:val="Subsection"/>
      </w:pPr>
      <w:r>
        <w:tab/>
      </w:r>
      <w:r>
        <w:tab/>
        <w:t xml:space="preserve">A builder or owner who is informed by the Chief Officer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 xml:space="preserve">if removal of the pinewood is not practicable, fumigate all structural pinewood forming, or to be used to form, part of the building in accordance with regulation 12(b). </w:t>
      </w:r>
    </w:p>
    <w:p>
      <w:pPr>
        <w:pStyle w:val="Penstart"/>
      </w:pPr>
      <w:r>
        <w:tab/>
        <w:t>Penalty: a fine of $2 000.</w:t>
      </w:r>
    </w:p>
    <w:p>
      <w:pPr>
        <w:pStyle w:val="Heading2"/>
      </w:pPr>
      <w:bookmarkStart w:id="666" w:name="_Toc105394437"/>
      <w:bookmarkStart w:id="667" w:name="_Toc106005665"/>
      <w:bookmarkStart w:id="668" w:name="_Toc106006591"/>
      <w:bookmarkStart w:id="669" w:name="_Toc106008445"/>
      <w:bookmarkStart w:id="670" w:name="_Toc106009243"/>
      <w:bookmarkStart w:id="671" w:name="_Toc106187608"/>
      <w:bookmarkStart w:id="672" w:name="_Toc107914364"/>
      <w:bookmarkStart w:id="673" w:name="_Toc107996537"/>
      <w:bookmarkStart w:id="674" w:name="_Toc107996732"/>
      <w:bookmarkStart w:id="675" w:name="_Toc107996875"/>
      <w:bookmarkStart w:id="676" w:name="_Toc107997388"/>
      <w:bookmarkStart w:id="677" w:name="_Toc107997567"/>
      <w:bookmarkStart w:id="678" w:name="_Toc108237700"/>
      <w:bookmarkStart w:id="679" w:name="_Toc108247602"/>
      <w:bookmarkStart w:id="680" w:name="_Toc108247773"/>
      <w:bookmarkStart w:id="681" w:name="_Toc108250064"/>
      <w:bookmarkStart w:id="682" w:name="_Toc108256073"/>
      <w:bookmarkStart w:id="683" w:name="_Toc108410784"/>
      <w:bookmarkStart w:id="684" w:name="_Toc108412422"/>
      <w:bookmarkStart w:id="685" w:name="_Toc108412553"/>
      <w:bookmarkStart w:id="686" w:name="_Toc108843935"/>
      <w:bookmarkStart w:id="687" w:name="_Toc108846201"/>
      <w:bookmarkStart w:id="688" w:name="_Toc108848133"/>
      <w:bookmarkStart w:id="689" w:name="_Toc108857252"/>
      <w:bookmarkStart w:id="690" w:name="_Toc108863568"/>
      <w:bookmarkStart w:id="691" w:name="_Toc108863753"/>
      <w:bookmarkStart w:id="692" w:name="_Toc108863898"/>
      <w:bookmarkStart w:id="693" w:name="_Toc108864041"/>
      <w:bookmarkStart w:id="694" w:name="_Toc114628546"/>
      <w:bookmarkStart w:id="695" w:name="_Toc114635424"/>
      <w:bookmarkStart w:id="696" w:name="_Toc114652239"/>
      <w:bookmarkStart w:id="697" w:name="_Toc114884858"/>
      <w:bookmarkStart w:id="698" w:name="_Toc114885294"/>
      <w:bookmarkStart w:id="699" w:name="_Toc114893189"/>
      <w:bookmarkStart w:id="700" w:name="_Toc114897828"/>
      <w:bookmarkStart w:id="701" w:name="_Toc114897975"/>
      <w:bookmarkStart w:id="702" w:name="_Toc114899117"/>
      <w:bookmarkStart w:id="703" w:name="_Toc114899231"/>
      <w:bookmarkStart w:id="704" w:name="_Toc114899315"/>
      <w:bookmarkStart w:id="705" w:name="_Toc114899429"/>
      <w:bookmarkStart w:id="706" w:name="_Toc114899455"/>
      <w:bookmarkStart w:id="707" w:name="_Toc114899518"/>
      <w:bookmarkStart w:id="708" w:name="_Toc114899599"/>
      <w:bookmarkStart w:id="709" w:name="_Toc114899937"/>
      <w:bookmarkStart w:id="710" w:name="_Toc114899970"/>
      <w:bookmarkStart w:id="711" w:name="_Toc114910831"/>
      <w:bookmarkStart w:id="712" w:name="_Toc114910926"/>
      <w:bookmarkStart w:id="713" w:name="_Toc115084265"/>
      <w:bookmarkStart w:id="714" w:name="_Toc115680163"/>
      <w:bookmarkStart w:id="715" w:name="_Toc115687617"/>
      <w:bookmarkStart w:id="716" w:name="_Toc115687647"/>
      <w:bookmarkStart w:id="717" w:name="_Toc115775617"/>
      <w:bookmarkStart w:id="718" w:name="_Toc115775802"/>
      <w:bookmarkStart w:id="719" w:name="_Toc115775991"/>
      <w:bookmarkStart w:id="720" w:name="_Toc115776726"/>
      <w:bookmarkStart w:id="721" w:name="_Toc115830568"/>
      <w:bookmarkStart w:id="722" w:name="_Toc115830633"/>
      <w:bookmarkStart w:id="723" w:name="_Toc116880281"/>
      <w:bookmarkStart w:id="724" w:name="_Toc116883505"/>
      <w:bookmarkStart w:id="725" w:name="_Toc116884212"/>
      <w:bookmarkStart w:id="726" w:name="_Toc116884468"/>
      <w:bookmarkStart w:id="727" w:name="_Toc116884524"/>
      <w:bookmarkStart w:id="728" w:name="_Toc116884716"/>
      <w:bookmarkStart w:id="729" w:name="_Toc116884739"/>
      <w:bookmarkStart w:id="730" w:name="_Toc116891584"/>
      <w:bookmarkStart w:id="731" w:name="_Toc116895728"/>
      <w:bookmarkStart w:id="732" w:name="_Toc116898164"/>
      <w:bookmarkStart w:id="733" w:name="_Toc116898555"/>
      <w:bookmarkStart w:id="734" w:name="_Toc116899257"/>
      <w:bookmarkStart w:id="735" w:name="_Toc116899655"/>
      <w:bookmarkStart w:id="736" w:name="_Toc116960411"/>
      <w:bookmarkStart w:id="737" w:name="_Toc116960483"/>
      <w:bookmarkStart w:id="738" w:name="_Toc116960857"/>
      <w:bookmarkStart w:id="739" w:name="_Toc116963303"/>
      <w:bookmarkStart w:id="740" w:name="_Toc116963691"/>
      <w:bookmarkStart w:id="741" w:name="_Toc116963769"/>
      <w:bookmarkStart w:id="742" w:name="_Toc116964537"/>
      <w:bookmarkStart w:id="743" w:name="_Toc116964576"/>
      <w:bookmarkStart w:id="744" w:name="_Toc116964619"/>
      <w:bookmarkStart w:id="745" w:name="_Toc121808304"/>
      <w:bookmarkStart w:id="746" w:name="_Toc121809863"/>
      <w:bookmarkStart w:id="747" w:name="_Toc121815185"/>
      <w:bookmarkStart w:id="748" w:name="_Toc122773980"/>
      <w:bookmarkStart w:id="749" w:name="_Toc122774019"/>
      <w:bookmarkStart w:id="750" w:name="_Toc122834189"/>
      <w:bookmarkStart w:id="751" w:name="_Toc122834449"/>
      <w:bookmarkStart w:id="752" w:name="_Toc122849381"/>
      <w:bookmarkStart w:id="753" w:name="_Toc122849527"/>
      <w:bookmarkStart w:id="754" w:name="_Toc122851053"/>
      <w:bookmarkStart w:id="755" w:name="_Toc122851311"/>
      <w:bookmarkStart w:id="756" w:name="_Toc122862807"/>
      <w:bookmarkStart w:id="757" w:name="_Toc122915880"/>
      <w:bookmarkStart w:id="758" w:name="_Toc122915906"/>
      <w:bookmarkStart w:id="759" w:name="_Toc127084744"/>
      <w:bookmarkStart w:id="760" w:name="_Toc127084928"/>
      <w:bookmarkStart w:id="761" w:name="_Toc186619664"/>
      <w:bookmarkStart w:id="762" w:name="_Toc186620063"/>
      <w:r>
        <w:rPr>
          <w:rStyle w:val="CharPartNo"/>
        </w:rPr>
        <w:t>Part 5</w:t>
      </w:r>
      <w:r>
        <w:rPr>
          <w:rStyle w:val="CharDivNo"/>
        </w:rPr>
        <w:t> </w:t>
      </w:r>
      <w:r>
        <w:t>—</w:t>
      </w:r>
      <w:r>
        <w:rPr>
          <w:rStyle w:val="CharDivText"/>
        </w:rPr>
        <w:t> </w:t>
      </w:r>
      <w:r>
        <w:rPr>
          <w:rStyle w:val="CharPartText"/>
        </w:rPr>
        <w:t>General</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116884525"/>
      <w:bookmarkStart w:id="764" w:name="_Toc122915907"/>
      <w:bookmarkStart w:id="765" w:name="_Toc186620064"/>
      <w:bookmarkStart w:id="766" w:name="_Toc127084929"/>
      <w:r>
        <w:rPr>
          <w:rStyle w:val="CharSectno"/>
        </w:rPr>
        <w:t>17</w:t>
      </w:r>
      <w:r>
        <w:t>.</w:t>
      </w:r>
      <w:r>
        <w:tab/>
        <w:t>Chief Officer to notify owners and occupiers of infestation</w:t>
      </w:r>
      <w:bookmarkEnd w:id="763"/>
      <w:bookmarkEnd w:id="764"/>
      <w:bookmarkEnd w:id="765"/>
      <w:bookmarkEnd w:id="766"/>
    </w:p>
    <w:p>
      <w:pPr>
        <w:pStyle w:val="Subsection"/>
      </w:pPr>
      <w:r>
        <w:tab/>
        <w:t>(1)</w:t>
      </w:r>
      <w:r>
        <w:tab/>
        <w:t xml:space="preserve">As soon as practicable after becoming aware of </w:t>
      </w:r>
      <w:r>
        <w:rPr>
          <w:bCs/>
        </w:rPr>
        <w:t>a site where pinewood is infested with EHB</w:t>
      </w:r>
      <w:r>
        <w:t>, the Chief Officer must give written notice of the infestation to the owner or occupier of every property within the PMZ.</w:t>
      </w:r>
    </w:p>
    <w:p>
      <w:pPr>
        <w:pStyle w:val="Subsection"/>
      </w:pPr>
      <w:r>
        <w:tab/>
        <w:t>(2)</w:t>
      </w:r>
      <w:r>
        <w:tab/>
        <w:t>The notice must —</w:t>
      </w:r>
    </w:p>
    <w:p>
      <w:pPr>
        <w:pStyle w:val="Indenta"/>
      </w:pPr>
      <w:r>
        <w:tab/>
        <w:t>(a)</w:t>
      </w:r>
      <w:r>
        <w:tab/>
        <w:t>specify the boundaries of the PMZ; and</w:t>
      </w:r>
    </w:p>
    <w:p>
      <w:pPr>
        <w:pStyle w:val="Indenta"/>
      </w:pPr>
      <w:r>
        <w:tab/>
        <w:t>(b)</w:t>
      </w:r>
      <w:r>
        <w:tab/>
        <w:t>inform the owner or occupier of the restrictions imposed by these regulations.</w:t>
      </w:r>
    </w:p>
    <w:p>
      <w:pPr>
        <w:pStyle w:val="Heading5"/>
      </w:pPr>
      <w:bookmarkStart w:id="767" w:name="_Toc116884526"/>
      <w:bookmarkStart w:id="768" w:name="_Toc122915908"/>
      <w:bookmarkStart w:id="769" w:name="_Toc186620065"/>
      <w:bookmarkStart w:id="770" w:name="_Toc127084930"/>
      <w:r>
        <w:rPr>
          <w:rStyle w:val="CharSectno"/>
        </w:rPr>
        <w:t>18</w:t>
      </w:r>
      <w:r>
        <w:t>.</w:t>
      </w:r>
      <w:r>
        <w:tab/>
        <w:t>Information as to source and supply of pinewood and pinewood articles</w:t>
      </w:r>
      <w:bookmarkEnd w:id="767"/>
      <w:bookmarkEnd w:id="768"/>
      <w:bookmarkEnd w:id="769"/>
      <w:bookmarkEnd w:id="770"/>
    </w:p>
    <w:p>
      <w:pPr>
        <w:pStyle w:val="Subsection"/>
      </w:pPr>
      <w:r>
        <w:tab/>
        <w:t>(1)</w:t>
      </w:r>
      <w:r>
        <w:tab/>
        <w:t xml:space="preserve">An authorised person may make a request for information under subregulation (3) in relation to any pinewood or pinewood article —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pinewood article; or </w:t>
      </w:r>
    </w:p>
    <w:p>
      <w:pPr>
        <w:pStyle w:val="Indenta"/>
      </w:pPr>
      <w:r>
        <w:tab/>
        <w:t>(b)</w:t>
      </w:r>
      <w:r>
        <w:tab/>
        <w:t xml:space="preserve">a person who, in the opinion of the authorised person, has been or might have been, in possession of the pinewood or pinewood article.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or pinewood article; </w:t>
      </w:r>
    </w:p>
    <w:p>
      <w:pPr>
        <w:pStyle w:val="Indenta"/>
      </w:pPr>
      <w:r>
        <w:tab/>
        <w:t>(b)</w:t>
      </w:r>
      <w:r>
        <w:tab/>
        <w:t>whether the pinewood or pinewood article has been treated and if so, how and when; and</w:t>
      </w:r>
    </w:p>
    <w:p>
      <w:pPr>
        <w:pStyle w:val="Indenta"/>
      </w:pPr>
      <w:r>
        <w:tab/>
        <w:t>(c)</w:t>
      </w:r>
      <w:r>
        <w:tab/>
        <w:t xml:space="preserve">in a request to a person who is no longer in possession of the pinewood or pinewood article,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Heading5"/>
        <w:spacing w:before="120"/>
      </w:pPr>
      <w:bookmarkStart w:id="771" w:name="_Toc122915909"/>
      <w:bookmarkStart w:id="772" w:name="_Toc186620066"/>
      <w:bookmarkStart w:id="773" w:name="_Toc127084931"/>
      <w:r>
        <w:rPr>
          <w:rStyle w:val="CharSectno"/>
        </w:rPr>
        <w:t>19</w:t>
      </w:r>
      <w:r>
        <w:t>.</w:t>
      </w:r>
      <w:r>
        <w:tab/>
        <w:t>Record keeping may be required</w:t>
      </w:r>
      <w:bookmarkEnd w:id="771"/>
      <w:bookmarkEnd w:id="772"/>
      <w:bookmarkEnd w:id="773"/>
      <w:r>
        <w:t xml:space="preserve"> </w:t>
      </w:r>
    </w:p>
    <w:p>
      <w:pPr>
        <w:pStyle w:val="Subsection"/>
      </w:pPr>
      <w:r>
        <w:tab/>
        <w:t>(1)</w:t>
      </w:r>
      <w:r>
        <w:tab/>
        <w:t>The Chief Officer may, by written notice, require a pinewood dealer to keep written records of pinewood or pinewood articles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the Chief Officer.</w:t>
      </w:r>
    </w:p>
    <w:p>
      <w:pPr>
        <w:pStyle w:val="Penstart"/>
        <w:spacing w:before="60"/>
      </w:pPr>
      <w:r>
        <w:tab/>
        <w:t>Penalty: a fine of $1 000.</w:t>
      </w:r>
    </w:p>
    <w:p>
      <w:pPr>
        <w:pStyle w:val="Ednotesubsection"/>
      </w:pPr>
      <w:bookmarkStart w:id="774" w:name="_Toc116884527"/>
      <w:bookmarkStart w:id="775" w:name="_Toc122915910"/>
      <w:r>
        <w:tab/>
      </w:r>
      <w:del w:id="776" w:author="Master Repository Process" w:date="2021-07-31T07:47:00Z">
        <w:r>
          <w:delText>(</w:delText>
        </w:r>
      </w:del>
      <w:ins w:id="777" w:author="Master Repository Process" w:date="2021-07-31T07:47:00Z">
        <w:r>
          <w:t>[(</w:t>
        </w:r>
      </w:ins>
      <w:r>
        <w:t>4)</w:t>
      </w:r>
      <w:r>
        <w:tab/>
      </w:r>
      <w:del w:id="778" w:author="Master Repository Process" w:date="2021-07-31T07:47:00Z">
        <w:r>
          <w:delText xml:space="preserve">In this regulation — </w:delText>
        </w:r>
      </w:del>
      <w:ins w:id="779" w:author="Master Repository Process" w:date="2021-07-31T07:47:00Z">
        <w:r>
          <w:t>deleted]</w:t>
        </w:r>
      </w:ins>
    </w:p>
    <w:p>
      <w:pPr>
        <w:pStyle w:val="Defstart"/>
        <w:rPr>
          <w:del w:id="780" w:author="Master Repository Process" w:date="2021-07-31T07:47:00Z"/>
        </w:rPr>
      </w:pPr>
      <w:del w:id="781" w:author="Master Repository Process" w:date="2021-07-31T07:47:00Z">
        <w:r>
          <w:rPr>
            <w:b/>
          </w:rPr>
          <w:tab/>
          <w:delText>“</w:delText>
        </w:r>
        <w:r>
          <w:rPr>
            <w:rStyle w:val="CharDefText"/>
          </w:rPr>
          <w:delText>pinewood dealer</w:delText>
        </w:r>
        <w:r>
          <w:rPr>
            <w:b/>
          </w:rPr>
          <w:delText>”</w:delText>
        </w:r>
        <w:r>
          <w:delText xml:space="preserve"> means a person who carries on the business of, or a business that includes, buying, selling or transporting pinewood or pinewood articles. </w:delText>
        </w:r>
      </w:del>
    </w:p>
    <w:p>
      <w:pPr>
        <w:pStyle w:val="Footnotesection"/>
        <w:rPr>
          <w:ins w:id="782" w:author="Master Repository Process" w:date="2021-07-31T07:47:00Z"/>
        </w:rPr>
      </w:pPr>
      <w:ins w:id="783" w:author="Master Repository Process" w:date="2021-07-31T07:47:00Z">
        <w:r>
          <w:tab/>
          <w:t>[Regulation 19 amended in Gazette 28 Dec 2007 p. 6483.]</w:t>
        </w:r>
      </w:ins>
    </w:p>
    <w:p>
      <w:pPr>
        <w:pStyle w:val="Heading5"/>
      </w:pPr>
      <w:bookmarkStart w:id="784" w:name="_Toc186620067"/>
      <w:bookmarkStart w:id="785" w:name="_Toc127084932"/>
      <w:r>
        <w:rPr>
          <w:rStyle w:val="CharSectno"/>
        </w:rPr>
        <w:t>20</w:t>
      </w:r>
      <w:r>
        <w:t>.</w:t>
      </w:r>
      <w:r>
        <w:tab/>
        <w:t>RMZ or PMZ notification signs</w:t>
      </w:r>
      <w:bookmarkEnd w:id="774"/>
      <w:bookmarkEnd w:id="775"/>
      <w:bookmarkEnd w:id="784"/>
      <w:bookmarkEnd w:id="785"/>
    </w:p>
    <w:p>
      <w:pPr>
        <w:pStyle w:val="Subsection"/>
      </w:pPr>
      <w:r>
        <w:tab/>
        <w:t>(1)</w:t>
      </w:r>
      <w:r>
        <w:tab/>
        <w:t>The Chief Officer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Heading5"/>
      </w:pPr>
      <w:bookmarkStart w:id="786" w:name="_Toc116884528"/>
      <w:bookmarkStart w:id="787" w:name="_Toc122915911"/>
      <w:bookmarkStart w:id="788" w:name="_Toc186620068"/>
      <w:bookmarkStart w:id="789" w:name="_Toc127084933"/>
      <w:r>
        <w:rPr>
          <w:rStyle w:val="CharSectno"/>
        </w:rPr>
        <w:t>21</w:t>
      </w:r>
      <w:r>
        <w:t>.</w:t>
      </w:r>
      <w:r>
        <w:tab/>
        <w:t>Surveillance poles, traps and lures</w:t>
      </w:r>
      <w:bookmarkEnd w:id="786"/>
      <w:bookmarkEnd w:id="787"/>
      <w:bookmarkEnd w:id="788"/>
      <w:bookmarkEnd w:id="789"/>
      <w:r>
        <w:t xml:space="preserve"> </w:t>
      </w:r>
    </w:p>
    <w:p>
      <w:pPr>
        <w:pStyle w:val="Subsection"/>
      </w:pPr>
      <w:r>
        <w:tab/>
        <w:t>(1)</w:t>
      </w:r>
      <w:r>
        <w:tab/>
        <w:t>The Chief Officer</w:t>
      </w:r>
      <w:ins w:id="790" w:author="Master Repository Process" w:date="2021-07-31T07:47:00Z">
        <w:r>
          <w:t xml:space="preserve"> or an authorised person</w:t>
        </w:r>
      </w:ins>
      <w:r>
        <w:t xml:space="preserve">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rPr>
          <w:ins w:id="791" w:author="Master Repository Process" w:date="2021-07-31T07:47:00Z"/>
        </w:rPr>
      </w:pPr>
      <w:ins w:id="792" w:author="Master Repository Process" w:date="2021-07-31T07:47:00Z">
        <w:r>
          <w:tab/>
          <w:t>[Regulation 21 amended in Gazette 28 Dec 2007 p. 6484.]</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93" w:name="_Toc113695922"/>
      <w:bookmarkStart w:id="794" w:name="_Toc127084934"/>
      <w:bookmarkStart w:id="795" w:name="_Toc186619670"/>
      <w:bookmarkStart w:id="796" w:name="_Toc186620069"/>
      <w:r>
        <w:t>Notes</w:t>
      </w:r>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r>
        <w:rPr>
          <w:i/>
        </w:rPr>
        <w:t>Agriculture and Related Resources Protection (European House Borer) Regulations 2006</w:t>
      </w:r>
      <w:del w:id="797" w:author="Master Repository Process" w:date="2021-07-31T07:47:00Z">
        <w:r>
          <w:rPr>
            <w:i/>
          </w:rPr>
          <w:delText>.</w:delText>
        </w:r>
        <w:r>
          <w:delText xml:space="preserve">  </w:delText>
        </w:r>
        <w:r>
          <w:rPr>
            <w:snapToGrid w:val="0"/>
          </w:rPr>
          <w:delText>The</w:delText>
        </w:r>
      </w:del>
      <w:ins w:id="798" w:author="Master Repository Process" w:date="2021-07-31T07:47:00Z">
        <w:r>
          <w:rPr>
            <w:snapToGrid w:val="0"/>
          </w:rPr>
          <w:t xml:space="preserve"> and includes the amendments made by the other written laws referred to in the</w:t>
        </w:r>
      </w:ins>
      <w:r>
        <w:rPr>
          <w:snapToGrid w:val="0"/>
        </w:rPr>
        <w:t xml:space="preserve"> following table</w:t>
      </w:r>
      <w:del w:id="799" w:author="Master Repository Process" w:date="2021-07-31T07:47:00Z">
        <w:r>
          <w:rPr>
            <w:snapToGrid w:val="0"/>
          </w:rPr>
          <w:delText xml:space="preserve"> contains information about that regulation</w:delText>
        </w:r>
      </w:del>
      <w:r>
        <w:rPr>
          <w:snapToGrid w:val="0"/>
        </w:rPr>
        <w:t>.</w:t>
      </w:r>
      <w:bookmarkStart w:id="800" w:name="UpToHere"/>
      <w:bookmarkEnd w:id="800"/>
    </w:p>
    <w:p>
      <w:pPr>
        <w:pStyle w:val="nHeading3"/>
      </w:pPr>
      <w:bookmarkStart w:id="801" w:name="_Toc186620070"/>
      <w:bookmarkStart w:id="802" w:name="_Toc127084935"/>
      <w:r>
        <w:t>Compilation table</w:t>
      </w:r>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Agriculture and Related Resources Protection (European House Borer) Regulations 2006</w:t>
            </w:r>
          </w:p>
        </w:tc>
        <w:tc>
          <w:tcPr>
            <w:tcW w:w="1276" w:type="dxa"/>
            <w:tcBorders>
              <w:top w:val="single" w:sz="4" w:space="0" w:color="auto"/>
            </w:tcBorders>
          </w:tcPr>
          <w:p>
            <w:pPr>
              <w:pStyle w:val="nTable"/>
              <w:spacing w:after="40"/>
              <w:rPr>
                <w:sz w:val="19"/>
              </w:rPr>
            </w:pPr>
            <w:r>
              <w:rPr>
                <w:sz w:val="19"/>
              </w:rPr>
              <w:t>7 Feb 2006 p. 639-56</w:t>
            </w:r>
          </w:p>
        </w:tc>
        <w:tc>
          <w:tcPr>
            <w:tcW w:w="2693" w:type="dxa"/>
            <w:tcBorders>
              <w:top w:val="single" w:sz="4" w:space="0" w:color="auto"/>
            </w:tcBorders>
          </w:tcPr>
          <w:p>
            <w:pPr>
              <w:pStyle w:val="nTable"/>
              <w:spacing w:after="40"/>
              <w:rPr>
                <w:sz w:val="19"/>
              </w:rPr>
            </w:pPr>
            <w:r>
              <w:rPr>
                <w:sz w:val="19"/>
              </w:rPr>
              <w:t>7 Feb 2006</w:t>
            </w:r>
          </w:p>
        </w:tc>
      </w:tr>
      <w:tr>
        <w:trPr>
          <w:ins w:id="803" w:author="Master Repository Process" w:date="2021-07-31T07:47:00Z"/>
        </w:trPr>
        <w:tc>
          <w:tcPr>
            <w:tcW w:w="3118" w:type="dxa"/>
            <w:tcBorders>
              <w:bottom w:val="single" w:sz="4" w:space="0" w:color="auto"/>
            </w:tcBorders>
          </w:tcPr>
          <w:p>
            <w:pPr>
              <w:pStyle w:val="nTable"/>
              <w:spacing w:after="40"/>
              <w:rPr>
                <w:ins w:id="804" w:author="Master Repository Process" w:date="2021-07-31T07:47:00Z"/>
                <w:i/>
                <w:sz w:val="19"/>
              </w:rPr>
            </w:pPr>
            <w:ins w:id="805" w:author="Master Repository Process" w:date="2021-07-31T07:47:00Z">
              <w:r>
                <w:rPr>
                  <w:i/>
                  <w:sz w:val="19"/>
                </w:rPr>
                <w:t>Agriculture and Related Resources Protection (European House Borer) Amendment Regulations 2007</w:t>
              </w:r>
            </w:ins>
          </w:p>
        </w:tc>
        <w:tc>
          <w:tcPr>
            <w:tcW w:w="1276" w:type="dxa"/>
            <w:tcBorders>
              <w:bottom w:val="single" w:sz="4" w:space="0" w:color="auto"/>
            </w:tcBorders>
          </w:tcPr>
          <w:p>
            <w:pPr>
              <w:pStyle w:val="nTable"/>
              <w:spacing w:after="40"/>
              <w:rPr>
                <w:ins w:id="806" w:author="Master Repository Process" w:date="2021-07-31T07:47:00Z"/>
                <w:sz w:val="19"/>
              </w:rPr>
            </w:pPr>
            <w:ins w:id="807" w:author="Master Repository Process" w:date="2021-07-31T07:47:00Z">
              <w:r>
                <w:rPr>
                  <w:sz w:val="19"/>
                </w:rPr>
                <w:t>28 Dec 2007 p. 6477</w:t>
              </w:r>
              <w:r>
                <w:rPr>
                  <w:sz w:val="19"/>
                </w:rPr>
                <w:noBreakHyphen/>
                <w:t>84</w:t>
              </w:r>
            </w:ins>
          </w:p>
        </w:tc>
        <w:tc>
          <w:tcPr>
            <w:tcW w:w="2693" w:type="dxa"/>
            <w:tcBorders>
              <w:bottom w:val="single" w:sz="4" w:space="0" w:color="auto"/>
            </w:tcBorders>
          </w:tcPr>
          <w:p>
            <w:pPr>
              <w:pStyle w:val="nTable"/>
              <w:spacing w:after="40"/>
              <w:rPr>
                <w:ins w:id="808" w:author="Master Repository Process" w:date="2021-07-31T07:47:00Z"/>
                <w:sz w:val="19"/>
              </w:rPr>
            </w:pPr>
            <w:ins w:id="809" w:author="Master Repository Process" w:date="2021-07-31T07:47:00Z">
              <w:r>
                <w:rPr>
                  <w:snapToGrid w:val="0"/>
                  <w:sz w:val="19"/>
                  <w:lang w:val="en-US"/>
                </w:rPr>
                <w:t>r. 1 and 2: 28 Dec 2007 (see r. 2(a));</w:t>
              </w:r>
              <w:r>
                <w:rPr>
                  <w:snapToGrid w:val="0"/>
                  <w:sz w:val="19"/>
                  <w:lang w:val="en-US"/>
                </w:rPr>
                <w:br/>
                <w:t>Regulations other than r. 1 and 2: 29 Dec 2007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(European House Borer)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DEDD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DA52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C44C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FEBB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BA1A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7AB3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A094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987A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1881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B2CE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BA886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0D3891C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2047"/>
    <w:docVar w:name="WAFER_20151204132047" w:val="RemoveTrackChanges"/>
    <w:docVar w:name="WAFER_20151204132047_GUID" w:val="440bad43-7947-4d5a-b2e9-803682520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B298DC-90B1-4407-9364-8709FDAA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3141</Words>
  <Characters>14984</Characters>
  <Application>Microsoft Office Word</Application>
  <DocSecurity>0</DocSecurity>
  <Lines>454</Lines>
  <Paragraphs>297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Agriculture and Related Resources Protection (European House Borer) Regulations 2006</vt:lpstr>
      <vt:lpstr>    Part 1 — Preliminary</vt:lpstr>
      <vt:lpstr>    Part 2 — Restrictions on movement of pinewood</vt:lpstr>
      <vt:lpstr>    Part 3 — Destruction and treatment of pinewood</vt:lpstr>
      <vt:lpstr>    Part 4 — Structural pinewood</vt:lpstr>
      <vt:lpstr>    Part 5 — General</vt:lpstr>
      <vt:lpstr>    Notes</vt:lpstr>
    </vt:vector>
  </TitlesOfParts>
  <Manager/>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00-a0-03 - 00-b0-05</dc:title>
  <dc:subject/>
  <dc:creator/>
  <cp:keywords/>
  <dc:description/>
  <cp:lastModifiedBy>Master Repository Process</cp:lastModifiedBy>
  <cp:revision>2</cp:revision>
  <cp:lastPrinted>2005-12-21T00:10:00Z</cp:lastPrinted>
  <dcterms:created xsi:type="dcterms:W3CDTF">2021-07-30T23:47:00Z</dcterms:created>
  <dcterms:modified xsi:type="dcterms:W3CDTF">2021-07-30T23:47:00Z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37658</vt:i4>
  </property>
  <property fmtid="{D5CDD505-2E9C-101B-9397-08002B2CF9AE}" pid="6" name="FromSuffix">
    <vt:lpwstr>00-a0-03</vt:lpwstr>
  </property>
  <property fmtid="{D5CDD505-2E9C-101B-9397-08002B2CF9AE}" pid="7" name="FromAsAtDate">
    <vt:lpwstr>07 Feb 2006</vt:lpwstr>
  </property>
  <property fmtid="{D5CDD505-2E9C-101B-9397-08002B2CF9AE}" pid="8" name="ToSuffix">
    <vt:lpwstr>00-b0-05</vt:lpwstr>
  </property>
  <property fmtid="{D5CDD505-2E9C-101B-9397-08002B2CF9AE}" pid="9" name="ToAsAtDate">
    <vt:lpwstr>29 Dec 2007</vt:lpwstr>
  </property>
</Properties>
</file>