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85394510"/>
      <w:bookmarkStart w:id="4" w:name="_Toc1816814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27273896"/>
      <w:bookmarkStart w:id="6" w:name="_Toc140374965"/>
      <w:bookmarkStart w:id="7" w:name="_Toc185394511"/>
      <w:bookmarkStart w:id="8" w:name="_Toc1816814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9" w:name="_Toc27273897"/>
      <w:bookmarkStart w:id="10" w:name="_Toc140374966"/>
      <w:bookmarkStart w:id="11" w:name="_Toc185394512"/>
      <w:bookmarkStart w:id="12" w:name="_Toc181681412"/>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del w:id="13" w:author="svcMRProcess" w:date="2015-12-09T01:27:00Z">
        <w:r>
          <w:delText>on 1</w:delText>
        </w:r>
      </w:del>
      <w:ins w:id="14" w:author="svcMRProcess" w:date="2015-12-09T01:27:00Z">
        <w:r>
          <w:t>on1</w:t>
        </w:r>
      </w:ins>
      <w:r>
        <w:t xml:space="preserve"> January </w:t>
      </w:r>
      <w:del w:id="15" w:author="svcMRProcess" w:date="2015-12-09T01:27:00Z">
        <w:r>
          <w:delText>2007</w:delText>
        </w:r>
      </w:del>
      <w:ins w:id="16" w:author="svcMRProcess" w:date="2015-12-09T01:27:00Z">
        <w:r>
          <w:t>2008</w:t>
        </w:r>
      </w:ins>
      <w:r>
        <w:t xml:space="preserve">;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by No. 72 of 1994 s. 5; No 21 of 2000 s. 5; No. 41 of 2002 s. 4; No. 35 of 2006 s. 198; No. 29 of 2007 s. 5(1</w:t>
      </w:r>
      <w:del w:id="17" w:author="svcMRProcess" w:date="2015-12-09T01:27:00Z">
        <w:r>
          <w:delText>).]</w:delText>
        </w:r>
      </w:del>
      <w:ins w:id="18" w:author="svcMRProcess" w:date="2015-12-09T01:27:00Z">
        <w:r>
          <w:t>) and 6.]</w:t>
        </w:r>
      </w:ins>
      <w:r>
        <w:t xml:space="preserve"> </w:t>
      </w:r>
    </w:p>
    <w:p>
      <w:pPr>
        <w:pStyle w:val="Heading5"/>
        <w:rPr>
          <w:snapToGrid w:val="0"/>
        </w:rPr>
      </w:pPr>
      <w:bookmarkStart w:id="19" w:name="_Toc27273898"/>
      <w:bookmarkStart w:id="20" w:name="_Toc140374967"/>
      <w:bookmarkStart w:id="21" w:name="_Toc185394513"/>
      <w:bookmarkStart w:id="22" w:name="_Toc181681413"/>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on 1</w:t>
      </w:r>
      <w:del w:id="23" w:author="svcMRProcess" w:date="2015-12-09T01:27:00Z">
        <w:r>
          <w:delText xml:space="preserve"> </w:delText>
        </w:r>
      </w:del>
      <w:ins w:id="24" w:author="svcMRProcess" w:date="2015-12-09T01:27:00Z">
        <w:r>
          <w:t> </w:t>
        </w:r>
      </w:ins>
      <w:r>
        <w:t xml:space="preserve">January </w:t>
      </w:r>
      <w:del w:id="25" w:author="svcMRProcess" w:date="2015-12-09T01:27:00Z">
        <w:r>
          <w:delText>2007</w:delText>
        </w:r>
      </w:del>
      <w:ins w:id="26" w:author="svcMRProcess" w:date="2015-12-09T01:27:00Z">
        <w:r>
          <w:t>2008</w:t>
        </w:r>
      </w:ins>
      <w:r>
        <w:t xml:space="preserve">;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by No. 72 of 1994 s. 6; No 21 of 2000 s. 6; No. 41 of 2002 s. 4; No. 35 of 2006 s. 199; No. 29 of 2007 s. 5</w:t>
      </w:r>
      <w:ins w:id="27" w:author="svcMRProcess" w:date="2015-12-09T01:27:00Z">
        <w:r>
          <w:t xml:space="preserve"> and 6</w:t>
        </w:r>
      </w:ins>
      <w:r>
        <w:t xml:space="preserve">.] </w:t>
      </w:r>
    </w:p>
    <w:p>
      <w:pPr>
        <w:pStyle w:val="Heading5"/>
        <w:rPr>
          <w:snapToGrid w:val="0"/>
        </w:rPr>
      </w:pPr>
      <w:bookmarkStart w:id="28" w:name="_Toc27273899"/>
      <w:bookmarkStart w:id="29" w:name="_Toc140374968"/>
      <w:bookmarkStart w:id="30" w:name="_Toc185394514"/>
      <w:bookmarkStart w:id="31" w:name="_Toc181681414"/>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32" w:name="_Toc27273900"/>
      <w:bookmarkStart w:id="33" w:name="_Toc140374969"/>
      <w:bookmarkStart w:id="34" w:name="_Toc185394515"/>
      <w:bookmarkStart w:id="35" w:name="_Toc181681415"/>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6" w:name="_Toc27273901"/>
      <w:bookmarkStart w:id="37" w:name="_Toc140374970"/>
      <w:bookmarkStart w:id="38" w:name="_Toc185394516"/>
      <w:bookmarkStart w:id="39" w:name="_Toc181681416"/>
      <w:r>
        <w:rPr>
          <w:rStyle w:val="CharSectno"/>
        </w:rPr>
        <w:t>7</w:t>
      </w:r>
      <w:r>
        <w:rPr>
          <w:snapToGrid w:val="0"/>
        </w:rPr>
        <w:t>.</w:t>
      </w:r>
      <w:r>
        <w:rPr>
          <w:snapToGrid w:val="0"/>
        </w:rPr>
        <w:tab/>
        <w:t>Termination of adoption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40" w:name="_Toc27273902"/>
      <w:bookmarkStart w:id="41" w:name="_Toc140374971"/>
      <w:bookmarkStart w:id="42" w:name="_Toc185394517"/>
      <w:bookmarkStart w:id="43" w:name="_Toc181681417"/>
      <w:r>
        <w:rPr>
          <w:rStyle w:val="CharSectno"/>
        </w:rPr>
        <w:t>8</w:t>
      </w:r>
      <w:r>
        <w:rPr>
          <w:snapToGrid w:val="0"/>
        </w:rPr>
        <w:t>.</w:t>
      </w:r>
      <w:r>
        <w:rPr>
          <w:snapToGrid w:val="0"/>
        </w:rPr>
        <w:tab/>
        <w:t>Repeal</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4" w:name="_Toc140374972"/>
      <w:bookmarkStart w:id="45" w:name="_Toc140375035"/>
      <w:bookmarkStart w:id="46" w:name="_Toc140393679"/>
      <w:bookmarkStart w:id="47" w:name="_Toc140393740"/>
      <w:bookmarkStart w:id="48" w:name="_Toc140892540"/>
      <w:bookmarkStart w:id="49" w:name="_Toc142129376"/>
      <w:bookmarkStart w:id="50" w:name="_Toc181681418"/>
      <w:bookmarkStart w:id="51" w:name="_Toc185394518"/>
      <w:r>
        <w:t>Notes</w:t>
      </w:r>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 w:name="_Toc140374973"/>
      <w:bookmarkStart w:id="53" w:name="_Toc185394519"/>
      <w:bookmarkStart w:id="54" w:name="_Toc181681419"/>
      <w:r>
        <w:rPr>
          <w:snapToGrid w:val="0"/>
        </w:rPr>
        <w:t>Compilation table</w:t>
      </w:r>
      <w:bookmarkEnd w:id="52"/>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r>
              <w:rPr>
                <w:sz w:val="19"/>
              </w:rPr>
              <w:t>s. 1, 2, 4</w:t>
            </w:r>
            <w:ins w:id="55" w:author="svcMRProcess" w:date="2015-12-09T01:27:00Z">
              <w:r>
                <w:rPr>
                  <w:sz w:val="19"/>
                </w:rPr>
                <w:t>, 5</w:t>
              </w:r>
            </w:ins>
            <w:r>
              <w:rPr>
                <w:sz w:val="19"/>
              </w:rPr>
              <w:t xml:space="preserve"> and </w:t>
            </w:r>
            <w:del w:id="56" w:author="svcMRProcess" w:date="2015-12-09T01:27:00Z">
              <w:r>
                <w:rPr>
                  <w:sz w:val="19"/>
                </w:rPr>
                <w:delText>5</w:delText>
              </w:r>
            </w:del>
            <w:ins w:id="57" w:author="svcMRProcess" w:date="2015-12-09T01:27:00Z">
              <w:r>
                <w:rPr>
                  <w:sz w:val="19"/>
                </w:rPr>
                <w:t>6</w:t>
              </w:r>
            </w:ins>
            <w:r>
              <w:rPr>
                <w:sz w:val="19"/>
              </w:rPr>
              <w:t> </w:t>
            </w:r>
            <w:r>
              <w:rPr>
                <w:sz w:val="19"/>
                <w:vertAlign w:val="superscript"/>
              </w:rPr>
              <w:t>4</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ins w:id="58" w:author="svcMRProcess" w:date="2015-12-09T01:27:00Z">
              <w:r>
                <w:rPr>
                  <w:sz w:val="19"/>
                </w:rPr>
                <w:br/>
                <w:t>s. 6: 1 Jan 2008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UpToHere"/>
      <w:bookmarkStart w:id="60" w:name="_Toc7405065"/>
      <w:bookmarkStart w:id="61" w:name="_Toc181500909"/>
      <w:bookmarkStart w:id="62" w:name="_Toc185394520"/>
      <w:bookmarkStart w:id="63" w:name="_Toc181681420"/>
      <w:bookmarkEnd w:id="59"/>
      <w:r>
        <w:t>Provisions that have not come into operation</w:t>
      </w:r>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Child Support (Adoption of Laws) Amendment Act 2007</w:t>
            </w:r>
            <w:r>
              <w:rPr>
                <w:sz w:val="19"/>
                <w:vertAlign w:val="superscript"/>
              </w:rPr>
              <w:t> </w:t>
            </w:r>
            <w:r>
              <w:rPr>
                <w:sz w:val="19"/>
              </w:rPr>
              <w:t>s. </w:t>
            </w:r>
            <w:del w:id="64" w:author="svcMRProcess" w:date="2015-12-09T01:27:00Z">
              <w:r>
                <w:rPr>
                  <w:sz w:val="19"/>
                </w:rPr>
                <w:delText xml:space="preserve">6 and </w:delText>
              </w:r>
            </w:del>
            <w:r>
              <w:rPr>
                <w:sz w:val="19"/>
              </w:rPr>
              <w:t>7 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29 of 2007</w:t>
            </w:r>
          </w:p>
        </w:tc>
        <w:tc>
          <w:tcPr>
            <w:tcW w:w="1134" w:type="dxa"/>
            <w:tcBorders>
              <w:top w:val="single" w:sz="8" w:space="0" w:color="auto"/>
              <w:bottom w:val="single" w:sz="4" w:space="0" w:color="auto"/>
            </w:tcBorders>
          </w:tcPr>
          <w:p>
            <w:pPr>
              <w:pStyle w:val="nTable"/>
              <w:spacing w:after="40"/>
              <w:rPr>
                <w:sz w:val="19"/>
              </w:rPr>
            </w:pPr>
            <w:r>
              <w:rPr>
                <w:sz w:val="19"/>
              </w:rPr>
              <w:t>31 Oct 2007</w:t>
            </w:r>
          </w:p>
        </w:tc>
        <w:tc>
          <w:tcPr>
            <w:tcW w:w="2552" w:type="dxa"/>
            <w:tcBorders>
              <w:top w:val="single" w:sz="8" w:space="0" w:color="auto"/>
              <w:bottom w:val="single" w:sz="4" w:space="0" w:color="auto"/>
            </w:tcBorders>
          </w:tcPr>
          <w:p>
            <w:pPr>
              <w:pStyle w:val="nTable"/>
              <w:spacing w:after="40"/>
              <w:rPr>
                <w:del w:id="65" w:author="svcMRProcess" w:date="2015-12-09T01:27:00Z"/>
                <w:sz w:val="19"/>
              </w:rPr>
            </w:pPr>
            <w:del w:id="66" w:author="svcMRProcess" w:date="2015-12-09T01:27:00Z">
              <w:r>
                <w:rPr>
                  <w:sz w:val="19"/>
                </w:rPr>
                <w:delText>s. 6: 1 Jan 2008 (see s. 2(b);</w:delText>
              </w:r>
            </w:del>
          </w:p>
          <w:p>
            <w:pPr>
              <w:pStyle w:val="nTable"/>
              <w:spacing w:after="40"/>
              <w:rPr>
                <w:sz w:val="19"/>
              </w:rPr>
            </w:pPr>
            <w:r>
              <w:rPr>
                <w:sz w:val="19"/>
              </w:rPr>
              <w:t>s. 7: 1 Jul 2008 (see s. 2(c</w:t>
            </w:r>
            <w:del w:id="67" w:author="svcMRProcess" w:date="2015-12-09T01:27:00Z">
              <w:r>
                <w:rPr>
                  <w:sz w:val="19"/>
                </w:rPr>
                <w:delText>)</w:delText>
              </w:r>
            </w:del>
            <w:ins w:id="68" w:author="svcMRProcess" w:date="2015-12-09T01:27:00Z">
              <w:r>
                <w:rPr>
                  <w:sz w:val="19"/>
                </w:rPr>
                <w:t>))</w:t>
              </w:r>
            </w:ins>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69" w:name="_Toc522674913"/>
      <w:bookmarkStart w:id="70" w:name="_Toc134597675"/>
      <w:bookmarkStart w:id="71" w:name="_Toc139370934"/>
      <w:bookmarkStart w:id="72" w:name="_Toc139792798"/>
      <w:r>
        <w:rPr>
          <w:rStyle w:val="CharSectno"/>
        </w:rPr>
        <w:t>196</w:t>
      </w:r>
      <w:r>
        <w:t>.</w:t>
      </w:r>
      <w:r>
        <w:tab/>
        <w:t>Purpose of Part</w:t>
      </w:r>
      <w:bookmarkEnd w:id="69"/>
      <w:bookmarkEnd w:id="70"/>
      <w:bookmarkEnd w:id="71"/>
      <w:bookmarkEnd w:id="72"/>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73" w:name="_Toc160440659"/>
      <w:bookmarkStart w:id="74" w:name="_Toc180996966"/>
      <w:bookmarkStart w:id="75" w:name="_Toc181675048"/>
      <w:r>
        <w:t>“</w:t>
      </w:r>
    </w:p>
    <w:p>
      <w:pPr>
        <w:pStyle w:val="nzHeading5"/>
      </w:pPr>
      <w:r>
        <w:rPr>
          <w:rStyle w:val="CharSectno"/>
        </w:rPr>
        <w:t>4</w:t>
      </w:r>
      <w:r>
        <w:t>.</w:t>
      </w:r>
      <w:r>
        <w:tab/>
        <w:t>Purpose of Act</w:t>
      </w:r>
      <w:bookmarkEnd w:id="73"/>
      <w:bookmarkEnd w:id="74"/>
      <w:bookmarkEnd w:id="75"/>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Child Support (Adoption of Laws) Amendment Act 2007 </w:t>
      </w:r>
      <w:r>
        <w:rPr>
          <w:iCs/>
          <w:snapToGrid w:val="0"/>
        </w:rPr>
        <w:t xml:space="preserve">s. </w:t>
      </w:r>
      <w:del w:id="76" w:author="svcMRProcess" w:date="2015-12-09T01:27:00Z">
        <w:r>
          <w:rPr>
            <w:iCs/>
            <w:snapToGrid w:val="0"/>
          </w:rPr>
          <w:delText xml:space="preserve">6 and </w:delText>
        </w:r>
      </w:del>
      <w:r>
        <w:rPr>
          <w:iCs/>
          <w:snapToGrid w:val="0"/>
        </w:rPr>
        <w:t>7</w:t>
      </w:r>
      <w:r>
        <w:rPr>
          <w:i/>
          <w:snapToGrid w:val="0"/>
        </w:rPr>
        <w:t xml:space="preserve"> </w:t>
      </w:r>
      <w:r>
        <w:rPr>
          <w:snapToGrid w:val="0"/>
        </w:rPr>
        <w:t xml:space="preserve">had not come into operation.  </w:t>
      </w:r>
      <w:del w:id="77" w:author="svcMRProcess" w:date="2015-12-09T01:27:00Z">
        <w:r>
          <w:rPr>
            <w:snapToGrid w:val="0"/>
          </w:rPr>
          <w:delText>They read</w:delText>
        </w:r>
      </w:del>
      <w:ins w:id="78" w:author="svcMRProcess" w:date="2015-12-09T01:27:00Z">
        <w:r>
          <w:rPr>
            <w:snapToGrid w:val="0"/>
          </w:rPr>
          <w:t>It reads</w:t>
        </w:r>
      </w:ins>
      <w:r>
        <w:rPr>
          <w:snapToGrid w:val="0"/>
        </w:rPr>
        <w:t xml:space="preserve"> as follows:</w:t>
      </w:r>
    </w:p>
    <w:p>
      <w:pPr>
        <w:pStyle w:val="MiscOpen"/>
        <w:keepNext w:val="0"/>
        <w:spacing w:before="60"/>
        <w:rPr>
          <w:sz w:val="20"/>
        </w:rPr>
      </w:pPr>
      <w:r>
        <w:rPr>
          <w:sz w:val="20"/>
        </w:rPr>
        <w:t>“</w:t>
      </w:r>
    </w:p>
    <w:p>
      <w:pPr>
        <w:pStyle w:val="nzHeading5"/>
        <w:rPr>
          <w:del w:id="79" w:author="svcMRProcess" w:date="2015-12-09T01:27:00Z"/>
        </w:rPr>
      </w:pPr>
      <w:bookmarkStart w:id="80" w:name="_Toc180996968"/>
      <w:bookmarkStart w:id="81" w:name="_Toc181675050"/>
      <w:bookmarkStart w:id="82" w:name="_Toc180996969"/>
      <w:bookmarkStart w:id="83" w:name="_Toc181675051"/>
      <w:del w:id="84" w:author="svcMRProcess" w:date="2015-12-09T01:27:00Z">
        <w:r>
          <w:rPr>
            <w:rStyle w:val="CharSectno"/>
          </w:rPr>
          <w:delText>6</w:delText>
        </w:r>
        <w:r>
          <w:delText>.</w:delText>
        </w:r>
        <w:r>
          <w:tab/>
          <w:delText>Sections 3 and 4 further amended on 1 January 2008</w:delText>
        </w:r>
        <w:bookmarkEnd w:id="80"/>
        <w:bookmarkEnd w:id="81"/>
      </w:del>
    </w:p>
    <w:p>
      <w:pPr>
        <w:pStyle w:val="nzSubsection"/>
        <w:rPr>
          <w:del w:id="85" w:author="svcMRProcess" w:date="2015-12-09T01:27:00Z"/>
        </w:rPr>
      </w:pPr>
      <w:del w:id="86" w:author="svcMRProcess" w:date="2015-12-09T01:27:00Z">
        <w:r>
          <w:tab/>
        </w:r>
        <w:r>
          <w:tab/>
          <w:delText xml:space="preserve">Sections 3(a) and 4(b) are each amended by deleting “1 January 2007” and inserting instead — </w:delText>
        </w:r>
      </w:del>
    </w:p>
    <w:p>
      <w:pPr>
        <w:pStyle w:val="nzSubsection"/>
        <w:rPr>
          <w:del w:id="87" w:author="svcMRProcess" w:date="2015-12-09T01:27:00Z"/>
        </w:rPr>
      </w:pPr>
      <w:del w:id="88" w:author="svcMRProcess" w:date="2015-12-09T01:27:00Z">
        <w:r>
          <w:tab/>
        </w:r>
        <w:r>
          <w:tab/>
          <w:delText>“    1 January 2008    ”.</w:delText>
        </w:r>
      </w:del>
    </w:p>
    <w:p>
      <w:pPr>
        <w:pStyle w:val="nzHeading5"/>
      </w:pPr>
      <w:r>
        <w:rPr>
          <w:rStyle w:val="CharSectno"/>
        </w:rPr>
        <w:t>7</w:t>
      </w:r>
      <w:r>
        <w:t>.</w:t>
      </w:r>
      <w:r>
        <w:tab/>
        <w:t>Sections 3 and 4 further amended on 1 July 2008</w:t>
      </w:r>
      <w:bookmarkEnd w:id="82"/>
      <w:bookmarkEnd w:id="83"/>
    </w:p>
    <w:p>
      <w:pPr>
        <w:pStyle w:val="nzSubsection"/>
      </w:pPr>
      <w:r>
        <w:tab/>
      </w:r>
      <w:r>
        <w:tab/>
        <w:t xml:space="preserve">Sections 3(a) and 4(b) are each amended by deleting “1 January 2008” and inserting instead — </w:t>
      </w:r>
    </w:p>
    <w:p>
      <w:pPr>
        <w:pStyle w:val="nzSubsection"/>
      </w:pPr>
      <w:r>
        <w:tab/>
      </w:r>
      <w:r>
        <w:tab/>
        <w:t>“    1 July 2008    ”.</w:t>
      </w:r>
    </w:p>
    <w:p>
      <w:pPr>
        <w:pStyle w:val="MiscClose"/>
      </w:pPr>
      <w:r>
        <w:t>”.</w:t>
      </w: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03"/>
    <w:docVar w:name="WAFER_20151207162603" w:val="RemoveTrackChanges"/>
    <w:docVar w:name="WAFER_20151207162603_GUID" w:val="93416bc2-6731-4cab-8ca1-2e7fd9b76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9520</Characters>
  <Application>Microsoft Office Word</Application>
  <DocSecurity>0</DocSecurity>
  <Lines>317</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01-e0-02 - 01-f0-02</dc:title>
  <dc:subject/>
  <dc:creator/>
  <cp:keywords/>
  <dc:description/>
  <cp:lastModifiedBy>svcMRProcess</cp:lastModifiedBy>
  <cp:revision>2</cp:revision>
  <cp:lastPrinted>2003-05-07T03:59:00Z</cp:lastPrinted>
  <dcterms:created xsi:type="dcterms:W3CDTF">2015-12-08T17:26:00Z</dcterms:created>
  <dcterms:modified xsi:type="dcterms:W3CDTF">2015-12-08T17:27:00Z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20080101</vt:lpwstr>
  </property>
  <property fmtid="{D5CDD505-2E9C-101B-9397-08002B2CF9AE}" pid="4" name="DocumentType">
    <vt:lpwstr>Act</vt:lpwstr>
  </property>
  <property fmtid="{D5CDD505-2E9C-101B-9397-08002B2CF9AE}" pid="5" name="OwlsUID">
    <vt:i4>122</vt:i4>
  </property>
  <property fmtid="{D5CDD505-2E9C-101B-9397-08002B2CF9AE}" pid="6" name="FromSuffix">
    <vt:lpwstr>01-e0-02</vt:lpwstr>
  </property>
  <property fmtid="{D5CDD505-2E9C-101B-9397-08002B2CF9AE}" pid="7" name="FromAsAtDate">
    <vt:lpwstr>01 Nov 2007</vt:lpwstr>
  </property>
  <property fmtid="{D5CDD505-2E9C-101B-9397-08002B2CF9AE}" pid="8" name="ToSuffix">
    <vt:lpwstr>01-f0-02</vt:lpwstr>
  </property>
  <property fmtid="{D5CDD505-2E9C-101B-9397-08002B2CF9AE}" pid="9" name="ToAsAtDate">
    <vt:lpwstr>01 Jan 2008</vt:lpwstr>
  </property>
</Properties>
</file>