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Conservation and Land Management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Feb 2007</w:t>
      </w:r>
      <w:r>
        <w:fldChar w:fldCharType="end"/>
      </w:r>
      <w:r>
        <w:t xml:space="preserve">, </w:t>
      </w:r>
      <w:r>
        <w:fldChar w:fldCharType="begin"/>
      </w:r>
      <w:r>
        <w:instrText xml:space="preserve"> DocProperty FromSuffix </w:instrText>
      </w:r>
      <w:r>
        <w:fldChar w:fldCharType="separate"/>
      </w:r>
      <w:r>
        <w:t>01-b0-03</w:t>
      </w:r>
      <w:r>
        <w:fldChar w:fldCharType="end"/>
      </w:r>
      <w:r>
        <w:t>] and [</w:t>
      </w:r>
      <w:r>
        <w:fldChar w:fldCharType="begin"/>
      </w:r>
      <w:r>
        <w:instrText xml:space="preserve"> DocProperty ToAsAtDate</w:instrText>
      </w:r>
      <w:r>
        <w:fldChar w:fldCharType="separate"/>
      </w:r>
      <w:r>
        <w:t>30 Jan 2008</w:t>
      </w:r>
      <w:r>
        <w:fldChar w:fldCharType="end"/>
      </w:r>
      <w:r>
        <w:t xml:space="preserve">, </w:t>
      </w:r>
      <w:r>
        <w:fldChar w:fldCharType="begin"/>
      </w:r>
      <w:r>
        <w:instrText xml:space="preserve"> DocProperty ToSuffix</w:instrText>
      </w:r>
      <w:r>
        <w:fldChar w:fldCharType="separate"/>
      </w:r>
      <w:r>
        <w:t>01-c0-03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lastRenderedPageBreak/>
        <w:t>Western Australia</w:t>
      </w:r>
    </w:p>
    <w:p>
      <w:pPr>
        <w:pStyle w:val="PrincipalActReg"/>
      </w:pPr>
      <w:r>
        <w:t>Conservation and Land Management Act 1984</w:t>
      </w:r>
    </w:p>
    <w:p>
      <w:pPr>
        <w:pStyle w:val="NameofActReg"/>
      </w:pPr>
      <w:r>
        <w:t>Conservation and Land Management Regulations 2002</w:t>
      </w:r>
    </w:p>
    <w:p>
      <w:pPr>
        <w:pStyle w:val="Heading2"/>
        <w:pageBreakBefore w:val="0"/>
        <w:spacing w:before="240"/>
      </w:pPr>
      <w:bookmarkStart w:id="0" w:name="_Toc189456487"/>
      <w:bookmarkStart w:id="1" w:name="_Toc524422498"/>
      <w:bookmarkStart w:id="2" w:name="_Toc71354856"/>
      <w:bookmarkStart w:id="3" w:name="_Toc78623594"/>
      <w:bookmarkStart w:id="4" w:name="_Toc78685197"/>
      <w:bookmarkStart w:id="5" w:name="_Toc147312294"/>
      <w:bookmarkStart w:id="6" w:name="_Toc147631155"/>
      <w:bookmarkStart w:id="7" w:name="_Toc147633489"/>
      <w:bookmarkStart w:id="8" w:name="_Toc147906933"/>
      <w:bookmarkStart w:id="9" w:name="_Toc147907332"/>
      <w:bookmarkStart w:id="10" w:name="_Toc149009885"/>
      <w:bookmarkStart w:id="11" w:name="_Toc149010239"/>
      <w:bookmarkStart w:id="12" w:name="_Toc149010407"/>
      <w:bookmarkStart w:id="13" w:name="_Toc149016287"/>
      <w:bookmarkStart w:id="14" w:name="_Toc149039030"/>
      <w:bookmarkStart w:id="15" w:name="_Toc149039751"/>
      <w:bookmarkStart w:id="16" w:name="_Toc150315359"/>
      <w:bookmarkStart w:id="17" w:name="_Toc150315570"/>
      <w:bookmarkStart w:id="18" w:name="_Toc160272780"/>
      <w:bookmarkStart w:id="19" w:name="_Toc160332728"/>
      <w:bookmarkStart w:id="20" w:name="_Toc170207754"/>
      <w:r>
        <w:rPr>
          <w:rStyle w:val="CharPartNo"/>
        </w:rPr>
        <w:t>P</w:t>
      </w:r>
      <w:bookmarkStart w:id="21" w:name="_GoBack"/>
      <w:bookmarkEnd w:id="21"/>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Style w:val="CharPartText"/>
        </w:rPr>
        <w:t xml:space="preserve"> </w:t>
      </w:r>
    </w:p>
    <w:p>
      <w:pPr>
        <w:pStyle w:val="Heading5"/>
      </w:pPr>
      <w:bookmarkStart w:id="22" w:name="_Toc189456488"/>
      <w:bookmarkStart w:id="23" w:name="_Toc524422499"/>
      <w:bookmarkStart w:id="24" w:name="_Toc423332722"/>
      <w:bookmarkStart w:id="25" w:name="_Toc425219441"/>
      <w:bookmarkStart w:id="26" w:name="_Toc426249308"/>
      <w:bookmarkStart w:id="27" w:name="_Toc449924704"/>
      <w:bookmarkStart w:id="28" w:name="_Toc449947722"/>
      <w:bookmarkStart w:id="29" w:name="_Toc5508114"/>
      <w:bookmarkStart w:id="30" w:name="_Toc8119082"/>
      <w:bookmarkStart w:id="31" w:name="_Toc78685198"/>
      <w:bookmarkStart w:id="32" w:name="_Toc150315571"/>
      <w:bookmarkStart w:id="33" w:name="_Toc160332729"/>
      <w:bookmarkStart w:id="34" w:name="_Toc170207755"/>
      <w:r>
        <w:rPr>
          <w:rStyle w:val="CharSectno"/>
        </w:rPr>
        <w:t>1</w:t>
      </w:r>
      <w:r>
        <w:t>.</w:t>
      </w:r>
      <w:r>
        <w:tab/>
        <w:t>Citation</w:t>
      </w:r>
      <w:bookmarkEnd w:id="22"/>
      <w:bookmarkEnd w:id="23"/>
      <w:bookmarkEnd w:id="24"/>
      <w:bookmarkEnd w:id="25"/>
      <w:bookmarkEnd w:id="26"/>
      <w:bookmarkEnd w:id="27"/>
      <w:bookmarkEnd w:id="28"/>
      <w:bookmarkEnd w:id="29"/>
      <w:bookmarkEnd w:id="30"/>
      <w:bookmarkEnd w:id="31"/>
      <w:bookmarkEnd w:id="32"/>
      <w:bookmarkEnd w:id="33"/>
      <w:bookmarkEnd w:id="34"/>
    </w:p>
    <w:p>
      <w:pPr>
        <w:pStyle w:val="Subsection"/>
        <w:rPr>
          <w:i/>
        </w:rPr>
      </w:pPr>
      <w:r>
        <w:tab/>
      </w:r>
      <w:r>
        <w:tab/>
      </w:r>
      <w:r>
        <w:rPr>
          <w:spacing w:val="-2"/>
        </w:rPr>
        <w:t>These</w:t>
      </w:r>
      <w:r>
        <w:t xml:space="preserve"> </w:t>
      </w:r>
      <w:r>
        <w:rPr>
          <w:spacing w:val="-2"/>
        </w:rPr>
        <w:t>regulations</w:t>
      </w:r>
      <w:r>
        <w:t xml:space="preserve"> may be cited as the </w:t>
      </w:r>
      <w:r>
        <w:rPr>
          <w:i/>
        </w:rPr>
        <w:t>Conservation and Land Management Regulations 2002</w:t>
      </w:r>
      <w:r>
        <w:rPr>
          <w:vertAlign w:val="superscript"/>
        </w:rPr>
        <w:t> 1</w:t>
      </w:r>
      <w:r>
        <w:rPr>
          <w:i/>
        </w:rPr>
        <w:t>.</w:t>
      </w:r>
    </w:p>
    <w:p>
      <w:pPr>
        <w:pStyle w:val="Heading5"/>
        <w:rPr>
          <w:snapToGrid w:val="0"/>
        </w:rPr>
      </w:pPr>
      <w:bookmarkStart w:id="35" w:name="_Toc189456489"/>
      <w:bookmarkStart w:id="36" w:name="_Toc524422500"/>
      <w:bookmarkStart w:id="37" w:name="_Toc5508115"/>
      <w:bookmarkStart w:id="38" w:name="_Toc8119083"/>
      <w:bookmarkStart w:id="39" w:name="_Toc78685199"/>
      <w:bookmarkStart w:id="40" w:name="_Toc150315572"/>
      <w:bookmarkStart w:id="41" w:name="_Toc160332730"/>
      <w:bookmarkStart w:id="42" w:name="_Toc170207756"/>
      <w:r>
        <w:rPr>
          <w:rStyle w:val="CharSectno"/>
        </w:rPr>
        <w:t>2</w:t>
      </w:r>
      <w:r>
        <w:rPr>
          <w:snapToGrid w:val="0"/>
        </w:rPr>
        <w:t>.</w:t>
      </w:r>
      <w:r>
        <w:rPr>
          <w:snapToGrid w:val="0"/>
        </w:rPr>
        <w:tab/>
        <w:t>Interpretation</w:t>
      </w:r>
      <w:bookmarkEnd w:id="35"/>
      <w:bookmarkEnd w:id="36"/>
      <w:bookmarkEnd w:id="37"/>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del w:id="43" w:author="Master Repository Process" w:date="2021-07-31T17:33:00Z">
        <w:r>
          <w:rPr>
            <w:b/>
          </w:rPr>
          <w:delText>“</w:delText>
        </w:r>
      </w:del>
      <w:r>
        <w:rPr>
          <w:rStyle w:val="CharDefText"/>
        </w:rPr>
        <w:t>aboriginal artefact</w:t>
      </w:r>
      <w:del w:id="44" w:author="Master Repository Process" w:date="2021-07-31T17:33:00Z">
        <w:r>
          <w:rPr>
            <w:b/>
          </w:rPr>
          <w:delText>”</w:delText>
        </w:r>
      </w:del>
      <w:r>
        <w:t xml:space="preserve"> means an object to which the </w:t>
      </w:r>
      <w:r>
        <w:rPr>
          <w:i/>
        </w:rPr>
        <w:t>Aboriginal Heritage Act 1972</w:t>
      </w:r>
      <w:r>
        <w:t xml:space="preserve"> applies;</w:t>
      </w:r>
    </w:p>
    <w:p>
      <w:pPr>
        <w:pStyle w:val="Defstart"/>
      </w:pPr>
      <w:r>
        <w:rPr>
          <w:b/>
        </w:rPr>
        <w:tab/>
      </w:r>
      <w:del w:id="45" w:author="Master Repository Process" w:date="2021-07-31T17:33:00Z">
        <w:r>
          <w:rPr>
            <w:b/>
          </w:rPr>
          <w:delText>“</w:delText>
        </w:r>
      </w:del>
      <w:r>
        <w:rPr>
          <w:rStyle w:val="CharDefText"/>
        </w:rPr>
        <w:t>aboriginal site</w:t>
      </w:r>
      <w:del w:id="46" w:author="Master Repository Process" w:date="2021-07-31T17:33:00Z">
        <w:r>
          <w:rPr>
            <w:b/>
          </w:rPr>
          <w:delText>”</w:delText>
        </w:r>
      </w:del>
      <w:r>
        <w:t xml:space="preserve"> means a place to which the </w:t>
      </w:r>
      <w:r>
        <w:rPr>
          <w:i/>
        </w:rPr>
        <w:t>Aboriginal Heritage Act 1972</w:t>
      </w:r>
      <w:r>
        <w:t xml:space="preserve"> applies;</w:t>
      </w:r>
    </w:p>
    <w:p>
      <w:pPr>
        <w:pStyle w:val="Defstart"/>
      </w:pPr>
      <w:r>
        <w:tab/>
      </w:r>
      <w:del w:id="47" w:author="Master Repository Process" w:date="2021-07-31T17:33:00Z">
        <w:r>
          <w:rPr>
            <w:b/>
          </w:rPr>
          <w:delText>“</w:delText>
        </w:r>
      </w:del>
      <w:r>
        <w:rPr>
          <w:rStyle w:val="CharDefText"/>
        </w:rPr>
        <w:t>authorised officer</w:t>
      </w:r>
      <w:del w:id="48" w:author="Master Repository Process" w:date="2021-07-31T17:33:00Z">
        <w:r>
          <w:rPr>
            <w:b/>
          </w:rPr>
          <w:delText>”</w:delText>
        </w:r>
      </w:del>
      <w:r>
        <w:t xml:space="preserve"> means a wildlife officer, forest officer, ranger, conservation and land management officer and a person appointed to an honorary office under section 46 of the Act;</w:t>
      </w:r>
    </w:p>
    <w:p>
      <w:pPr>
        <w:pStyle w:val="Defstart"/>
      </w:pPr>
      <w:r>
        <w:rPr>
          <w:b/>
        </w:rPr>
        <w:tab/>
      </w:r>
      <w:del w:id="49" w:author="Master Repository Process" w:date="2021-07-31T17:33:00Z">
        <w:r>
          <w:rPr>
            <w:b/>
          </w:rPr>
          <w:delText>“</w:delText>
        </w:r>
      </w:del>
      <w:r>
        <w:rPr>
          <w:rStyle w:val="CharDefText"/>
        </w:rPr>
        <w:t>bicycle</w:t>
      </w:r>
      <w:del w:id="50" w:author="Master Repository Process" w:date="2021-07-31T17:33:00Z">
        <w:r>
          <w:rPr>
            <w:b/>
          </w:rPr>
          <w:delText>”</w:delText>
        </w:r>
      </w:del>
      <w:r>
        <w:t xml:space="preserve"> has the meaning given to that term in the </w:t>
      </w:r>
      <w:r>
        <w:rPr>
          <w:i/>
        </w:rPr>
        <w:t>Road Traffic (Bicycles) Regulations 2002</w:t>
      </w:r>
      <w:r>
        <w:t xml:space="preserve"> regulation 3(1);</w:t>
      </w:r>
    </w:p>
    <w:p>
      <w:pPr>
        <w:pStyle w:val="Defstart"/>
      </w:pPr>
      <w:r>
        <w:tab/>
      </w:r>
      <w:del w:id="51" w:author="Master Repository Process" w:date="2021-07-31T17:33:00Z">
        <w:r>
          <w:rPr>
            <w:b/>
          </w:rPr>
          <w:delText>“</w:delText>
        </w:r>
      </w:del>
      <w:r>
        <w:rPr>
          <w:rStyle w:val="CharDefText"/>
        </w:rPr>
        <w:t>CALM land</w:t>
      </w:r>
      <w:del w:id="52" w:author="Master Repository Process" w:date="2021-07-31T17:33:00Z">
        <w:r>
          <w:rPr>
            <w:b/>
          </w:rPr>
          <w:delText>”</w:delText>
        </w:r>
      </w:del>
      <w:r>
        <w:rPr>
          <w:b/>
        </w:rPr>
        <w:t xml:space="preserve"> </w:t>
      </w:r>
      <w:r>
        <w:t>means land, or land and waters, to which these regulations apply, and includes caves and parts of caves on or under that land;</w:t>
      </w:r>
    </w:p>
    <w:p>
      <w:pPr>
        <w:pStyle w:val="Defstart"/>
      </w:pPr>
      <w:r>
        <w:tab/>
      </w:r>
      <w:del w:id="53" w:author="Master Repository Process" w:date="2021-07-31T17:33:00Z">
        <w:r>
          <w:rPr>
            <w:b/>
          </w:rPr>
          <w:delText>“</w:delText>
        </w:r>
      </w:del>
      <w:r>
        <w:rPr>
          <w:rStyle w:val="CharDefText"/>
        </w:rPr>
        <w:t>camp</w:t>
      </w:r>
      <w:del w:id="54" w:author="Master Repository Process" w:date="2021-07-31T17:33:00Z">
        <w:r>
          <w:rPr>
            <w:b/>
          </w:rPr>
          <w:delText>”</w:delText>
        </w:r>
      </w:del>
      <w:r>
        <w:t xml:space="preserve"> means — </w:t>
      </w:r>
    </w:p>
    <w:p>
      <w:pPr>
        <w:pStyle w:val="Defpara"/>
      </w:pPr>
      <w:r>
        <w:tab/>
        <w:t>(a)</w:t>
      </w:r>
      <w:r>
        <w:tab/>
        <w:t>to stay or lodge (whether in a camping unit or otherwise) during any period of the night after 9.00 p.m. and before 6.00 a.m.; or</w:t>
      </w:r>
    </w:p>
    <w:p>
      <w:pPr>
        <w:pStyle w:val="Defpara"/>
      </w:pPr>
      <w:r>
        <w:lastRenderedPageBreak/>
        <w:tab/>
        <w:t>(b)</w:t>
      </w:r>
      <w:r>
        <w:tab/>
        <w:t>to stay or lodge in a camping unit, building or structure during any period of the day after 6.00 a.m. and before 9.00 p.m.;</w:t>
      </w:r>
    </w:p>
    <w:p>
      <w:pPr>
        <w:pStyle w:val="Defstart"/>
      </w:pPr>
      <w:r>
        <w:tab/>
      </w:r>
      <w:del w:id="55" w:author="Master Repository Process" w:date="2021-07-31T17:33:00Z">
        <w:r>
          <w:rPr>
            <w:b/>
          </w:rPr>
          <w:delText>“</w:delText>
        </w:r>
      </w:del>
      <w:r>
        <w:rPr>
          <w:rStyle w:val="CharDefText"/>
        </w:rPr>
        <w:t>camping area</w:t>
      </w:r>
      <w:del w:id="56" w:author="Master Repository Process" w:date="2021-07-31T17:33:00Z">
        <w:r>
          <w:rPr>
            <w:b/>
          </w:rPr>
          <w:delText>”</w:delText>
        </w:r>
      </w:del>
      <w:r>
        <w:t xml:space="preserve"> means — </w:t>
      </w:r>
    </w:p>
    <w:p>
      <w:pPr>
        <w:pStyle w:val="Defpara"/>
      </w:pPr>
      <w:r>
        <w:tab/>
        <w:t>(a)</w:t>
      </w:r>
      <w:r>
        <w:tab/>
        <w:t>an area designated under regulation 6 for the purposes of regulation 66; or</w:t>
      </w:r>
    </w:p>
    <w:p>
      <w:pPr>
        <w:pStyle w:val="Defpara"/>
      </w:pPr>
      <w:r>
        <w:tab/>
        <w:t>(b)</w:t>
      </w:r>
      <w:r>
        <w:tab/>
        <w:t>an area designated by sign as a camping area;</w:t>
      </w:r>
    </w:p>
    <w:p>
      <w:pPr>
        <w:pStyle w:val="Defstart"/>
      </w:pPr>
      <w:r>
        <w:tab/>
      </w:r>
      <w:del w:id="57" w:author="Master Repository Process" w:date="2021-07-31T17:33:00Z">
        <w:r>
          <w:rPr>
            <w:b/>
          </w:rPr>
          <w:delText>“</w:delText>
        </w:r>
      </w:del>
      <w:r>
        <w:rPr>
          <w:rStyle w:val="CharDefText"/>
        </w:rPr>
        <w:t>camping unit</w:t>
      </w:r>
      <w:del w:id="58" w:author="Master Repository Process" w:date="2021-07-31T17:33:00Z">
        <w:r>
          <w:rPr>
            <w:b/>
          </w:rPr>
          <w:delText>”</w:delText>
        </w:r>
      </w:del>
      <w:r>
        <w:t xml:space="preserve"> means a tent or other portable thing of any kind used or capable of being used for habitation, and includes a caravan or other vehicle;</w:t>
      </w:r>
    </w:p>
    <w:p>
      <w:pPr>
        <w:pStyle w:val="Defstart"/>
      </w:pPr>
      <w:r>
        <w:tab/>
      </w:r>
      <w:del w:id="59" w:author="Master Repository Process" w:date="2021-07-31T17:33:00Z">
        <w:r>
          <w:rPr>
            <w:b/>
          </w:rPr>
          <w:delText>“</w:delText>
        </w:r>
      </w:del>
      <w:r>
        <w:rPr>
          <w:rStyle w:val="CharDefText"/>
        </w:rPr>
        <w:t>caravan</w:t>
      </w:r>
      <w:del w:id="60" w:author="Master Repository Process" w:date="2021-07-31T17:33:00Z">
        <w:r>
          <w:rPr>
            <w:b/>
          </w:rPr>
          <w:delText>”</w:delText>
        </w:r>
      </w:del>
      <w:r>
        <w:t xml:space="preserve"> means a vehicle fitted or designed for habitation;</w:t>
      </w:r>
    </w:p>
    <w:p>
      <w:pPr>
        <w:pStyle w:val="Defstart"/>
      </w:pPr>
      <w:r>
        <w:tab/>
      </w:r>
      <w:del w:id="61" w:author="Master Repository Process" w:date="2021-07-31T17:33:00Z">
        <w:r>
          <w:rPr>
            <w:b/>
          </w:rPr>
          <w:delText>“</w:delText>
        </w:r>
      </w:del>
      <w:r>
        <w:rPr>
          <w:rStyle w:val="CharDefText"/>
        </w:rPr>
        <w:t>commercial operations licence</w:t>
      </w:r>
      <w:del w:id="62" w:author="Master Repository Process" w:date="2021-07-31T17:33:00Z">
        <w:r>
          <w:rPr>
            <w:b/>
          </w:rPr>
          <w:delText>”</w:delText>
        </w:r>
      </w:del>
      <w:r>
        <w:rPr>
          <w:b/>
        </w:rPr>
        <w:t xml:space="preserve"> </w:t>
      </w:r>
      <w:r>
        <w:t>means a licence issued under  regulation 94;</w:t>
      </w:r>
    </w:p>
    <w:p>
      <w:pPr>
        <w:pStyle w:val="Defstart"/>
      </w:pPr>
      <w:r>
        <w:rPr>
          <w:b/>
        </w:rPr>
        <w:tab/>
      </w:r>
      <w:del w:id="63" w:author="Master Repository Process" w:date="2021-07-31T17:33:00Z">
        <w:r>
          <w:rPr>
            <w:b/>
          </w:rPr>
          <w:delText>“</w:delText>
        </w:r>
      </w:del>
      <w:r>
        <w:rPr>
          <w:rStyle w:val="CharDefText"/>
        </w:rPr>
        <w:t>commercial purpose</w:t>
      </w:r>
      <w:del w:id="64" w:author="Master Repository Process" w:date="2021-07-31T17:33:00Z">
        <w:r>
          <w:rPr>
            <w:b/>
          </w:rPr>
          <w:delText>”</w:delText>
        </w:r>
      </w:del>
      <w:r>
        <w:t xml:space="preserve"> means the purpose of sale for profit or any other purpose that is directed to financial gain or reward;</w:t>
      </w:r>
    </w:p>
    <w:p>
      <w:pPr>
        <w:pStyle w:val="Defstart"/>
      </w:pPr>
      <w:r>
        <w:rPr>
          <w:b/>
        </w:rPr>
        <w:tab/>
      </w:r>
      <w:del w:id="65" w:author="Master Repository Process" w:date="2021-07-31T17:33:00Z">
        <w:r>
          <w:rPr>
            <w:b/>
          </w:rPr>
          <w:delText>“</w:delText>
        </w:r>
      </w:del>
      <w:r>
        <w:rPr>
          <w:rStyle w:val="CharDefText"/>
        </w:rPr>
        <w:t>Companion Card</w:t>
      </w:r>
      <w:del w:id="66" w:author="Master Repository Process" w:date="2021-07-31T17:33:00Z">
        <w:r>
          <w:rPr>
            <w:b/>
          </w:rPr>
          <w:delText>”</w:delText>
        </w:r>
      </w:del>
      <w:r>
        <w:t xml:space="preserve"> means a Companion Card issued by ACROD Limited (ACN 008 445 485);</w:t>
      </w:r>
    </w:p>
    <w:p>
      <w:pPr>
        <w:pStyle w:val="Defstart"/>
      </w:pPr>
      <w:r>
        <w:rPr>
          <w:b/>
        </w:rPr>
        <w:tab/>
      </w:r>
      <w:del w:id="67" w:author="Master Repository Process" w:date="2021-07-31T17:33:00Z">
        <w:r>
          <w:rPr>
            <w:b/>
          </w:rPr>
          <w:delText>“</w:delText>
        </w:r>
      </w:del>
      <w:r>
        <w:rPr>
          <w:rStyle w:val="CharDefText"/>
        </w:rPr>
        <w:t>concession card</w:t>
      </w:r>
      <w:del w:id="68" w:author="Master Repository Process" w:date="2021-07-31T17:33:00Z">
        <w:r>
          <w:rPr>
            <w:b/>
          </w:rPr>
          <w:delText>”</w:delText>
        </w:r>
      </w:del>
      <w:r>
        <w:t xml:space="preserve"> means — </w:t>
      </w:r>
    </w:p>
    <w:p>
      <w:pPr>
        <w:pStyle w:val="Defpara"/>
      </w:pPr>
      <w:r>
        <w:tab/>
        <w:t>(a)</w:t>
      </w:r>
      <w:r>
        <w:tab/>
        <w:t>a Seniors’ Card issued by the Office of Seniors’ Interests in this or another State or Territory; or</w:t>
      </w:r>
    </w:p>
    <w:p>
      <w:pPr>
        <w:pStyle w:val="Defpara"/>
      </w:pPr>
      <w:r>
        <w:tab/>
        <w:t>(b)</w:t>
      </w:r>
      <w:r>
        <w:tab/>
        <w:t>a Pensioner Concession Card issued by Centrelink on the basis of receipt of Aged Pension, Disability Support Pension or Carer Payment; or</w:t>
      </w:r>
    </w:p>
    <w:p>
      <w:pPr>
        <w:pStyle w:val="Defpara"/>
      </w:pPr>
      <w:r>
        <w:tab/>
        <w:t>(c)</w:t>
      </w:r>
      <w:r>
        <w:tab/>
        <w:t>any concession card issued by the Commonwealth Department of Veterans’ Affairs; or</w:t>
      </w:r>
    </w:p>
    <w:p>
      <w:pPr>
        <w:pStyle w:val="Defpara"/>
      </w:pPr>
      <w:r>
        <w:tab/>
        <w:t>(d)</w:t>
      </w:r>
      <w:r>
        <w:tab/>
        <w:t>a Companion Card;</w:t>
      </w:r>
    </w:p>
    <w:p>
      <w:pPr>
        <w:pStyle w:val="Defstart"/>
      </w:pPr>
      <w:r>
        <w:tab/>
      </w:r>
      <w:del w:id="69" w:author="Master Repository Process" w:date="2021-07-31T17:33:00Z">
        <w:r>
          <w:rPr>
            <w:b/>
          </w:rPr>
          <w:delText>“</w:delText>
        </w:r>
      </w:del>
      <w:r>
        <w:rPr>
          <w:rStyle w:val="CharDefText"/>
        </w:rPr>
        <w:t>designated area</w:t>
      </w:r>
      <w:del w:id="70" w:author="Master Repository Process" w:date="2021-07-31T17:33:00Z">
        <w:r>
          <w:rPr>
            <w:b/>
          </w:rPr>
          <w:delText>”</w:delText>
        </w:r>
      </w:del>
      <w:r>
        <w:rPr>
          <w:b/>
        </w:rPr>
        <w:t xml:space="preserve"> </w:t>
      </w:r>
      <w:r>
        <w:t xml:space="preserve">has the meaning given by regulation 6(6); </w:t>
      </w:r>
    </w:p>
    <w:p>
      <w:pPr>
        <w:pStyle w:val="Defstart"/>
      </w:pPr>
      <w:r>
        <w:tab/>
      </w:r>
      <w:del w:id="71" w:author="Master Repository Process" w:date="2021-07-31T17:33:00Z">
        <w:r>
          <w:rPr>
            <w:b/>
          </w:rPr>
          <w:delText>“</w:delText>
        </w:r>
      </w:del>
      <w:r>
        <w:rPr>
          <w:rStyle w:val="CharDefText"/>
        </w:rPr>
        <w:t>mooring</w:t>
      </w:r>
      <w:del w:id="72" w:author="Master Repository Process" w:date="2021-07-31T17:33:00Z">
        <w:r>
          <w:rPr>
            <w:b/>
          </w:rPr>
          <w:delText>”</w:delText>
        </w:r>
      </w:del>
      <w:r>
        <w:rPr>
          <w:b/>
        </w:rPr>
        <w:t xml:space="preserve"> </w:t>
      </w:r>
      <w:r>
        <w:t>means a structure or apparatus (other than a temporary anchor) which may be used to secure a vessel;</w:t>
      </w:r>
    </w:p>
    <w:p>
      <w:pPr>
        <w:pStyle w:val="Defstart"/>
      </w:pPr>
      <w:r>
        <w:rPr>
          <w:b/>
        </w:rPr>
        <w:tab/>
      </w:r>
      <w:del w:id="73" w:author="Master Repository Process" w:date="2021-07-31T17:33:00Z">
        <w:r>
          <w:rPr>
            <w:b/>
          </w:rPr>
          <w:delText>“</w:delText>
        </w:r>
      </w:del>
      <w:r>
        <w:rPr>
          <w:rStyle w:val="CharDefText"/>
        </w:rPr>
        <w:t>non</w:t>
      </w:r>
      <w:r>
        <w:rPr>
          <w:rStyle w:val="CharDefText"/>
        </w:rPr>
        <w:noBreakHyphen/>
        <w:t>indigenous animal</w:t>
      </w:r>
      <w:del w:id="74" w:author="Master Repository Process" w:date="2021-07-31T17:33:00Z">
        <w:r>
          <w:rPr>
            <w:b/>
          </w:rPr>
          <w:delText>”</w:delText>
        </w:r>
        <w:r>
          <w:delText>,</w:delText>
        </w:r>
      </w:del>
      <w:ins w:id="75" w:author="Master Repository Process" w:date="2021-07-31T17:33:00Z">
        <w:r>
          <w:t>,</w:t>
        </w:r>
      </w:ins>
      <w:r>
        <w:t xml:space="preserve"> in relation to a particular locality, means an animal that is not indigenous to that locality;</w:t>
      </w:r>
    </w:p>
    <w:p>
      <w:pPr>
        <w:pStyle w:val="Defstart"/>
      </w:pPr>
      <w:r>
        <w:tab/>
      </w:r>
      <w:del w:id="76" w:author="Master Repository Process" w:date="2021-07-31T17:33:00Z">
        <w:r>
          <w:rPr>
            <w:b/>
          </w:rPr>
          <w:delText>“</w:delText>
        </w:r>
      </w:del>
      <w:r>
        <w:rPr>
          <w:rStyle w:val="CharDefText"/>
        </w:rPr>
        <w:t>restricted area</w:t>
      </w:r>
      <w:del w:id="77" w:author="Master Repository Process" w:date="2021-07-31T17:33:00Z">
        <w:r>
          <w:rPr>
            <w:b/>
          </w:rPr>
          <w:delText>”</w:delText>
        </w:r>
      </w:del>
      <w:r>
        <w:rPr>
          <w:b/>
        </w:rPr>
        <w:t xml:space="preserve"> </w:t>
      </w:r>
      <w:r>
        <w:t>has the meaning given by regulation 5(6);</w:t>
      </w:r>
    </w:p>
    <w:p>
      <w:pPr>
        <w:pStyle w:val="Defstart"/>
      </w:pPr>
      <w:r>
        <w:rPr>
          <w:b/>
        </w:rPr>
        <w:tab/>
      </w:r>
      <w:del w:id="78" w:author="Master Repository Process" w:date="2021-07-31T17:33:00Z">
        <w:r>
          <w:rPr>
            <w:b/>
          </w:rPr>
          <w:delText>“</w:delText>
        </w:r>
      </w:del>
      <w:r>
        <w:rPr>
          <w:rStyle w:val="CharDefText"/>
        </w:rPr>
        <w:t>school holidays</w:t>
      </w:r>
      <w:del w:id="79" w:author="Master Repository Process" w:date="2021-07-31T17:33:00Z">
        <w:r>
          <w:rPr>
            <w:b/>
          </w:rPr>
          <w:delText>”</w:delText>
        </w:r>
      </w:del>
      <w:r>
        <w:t xml:space="preserve"> means the days between school terms determined for government schools under section 117 of the </w:t>
      </w:r>
      <w:r>
        <w:rPr>
          <w:i/>
        </w:rPr>
        <w:t>School Education Act 1999</w:t>
      </w:r>
      <w:r>
        <w:t>;</w:t>
      </w:r>
    </w:p>
    <w:p>
      <w:pPr>
        <w:pStyle w:val="Defstart"/>
      </w:pPr>
      <w:r>
        <w:tab/>
      </w:r>
      <w:del w:id="80" w:author="Master Repository Process" w:date="2021-07-31T17:33:00Z">
        <w:r>
          <w:rPr>
            <w:b/>
          </w:rPr>
          <w:delText>“</w:delText>
        </w:r>
      </w:del>
      <w:r>
        <w:rPr>
          <w:rStyle w:val="CharDefText"/>
        </w:rPr>
        <w:t>scientific purposes licence</w:t>
      </w:r>
      <w:del w:id="81" w:author="Master Repository Process" w:date="2021-07-31T17:33:00Z">
        <w:r>
          <w:rPr>
            <w:b/>
          </w:rPr>
          <w:delText>”</w:delText>
        </w:r>
      </w:del>
      <w:r>
        <w:rPr>
          <w:b/>
        </w:rPr>
        <w:t xml:space="preserve"> </w:t>
      </w:r>
      <w:r>
        <w:t>means a licence issued under regulation </w:t>
      </w:r>
      <w:bookmarkStart w:id="82" w:name="_Hlt499613683"/>
      <w:r>
        <w:t>89</w:t>
      </w:r>
      <w:bookmarkEnd w:id="82"/>
      <w:r>
        <w:t>;</w:t>
      </w:r>
    </w:p>
    <w:p>
      <w:pPr>
        <w:pStyle w:val="Defstart"/>
      </w:pPr>
      <w:r>
        <w:tab/>
      </w:r>
      <w:del w:id="83" w:author="Master Repository Process" w:date="2021-07-31T17:33:00Z">
        <w:r>
          <w:rPr>
            <w:b/>
          </w:rPr>
          <w:delText>“</w:delText>
        </w:r>
      </w:del>
      <w:r>
        <w:rPr>
          <w:rStyle w:val="CharDefText"/>
        </w:rPr>
        <w:t>sell</w:t>
      </w:r>
      <w:del w:id="84" w:author="Master Repository Process" w:date="2021-07-31T17:33:00Z">
        <w:r>
          <w:rPr>
            <w:b/>
          </w:rPr>
          <w:delText>”</w:delText>
        </w:r>
      </w:del>
      <w:r>
        <w:t xml:space="preserve"> includes —</w:t>
      </w:r>
    </w:p>
    <w:p>
      <w:pPr>
        <w:pStyle w:val="Defpara"/>
      </w:pPr>
      <w:r>
        <w:tab/>
        <w:t>(a)</w:t>
      </w:r>
      <w:r>
        <w:tab/>
        <w:t>sell by wholesale or retail;</w:t>
      </w:r>
    </w:p>
    <w:p>
      <w:pPr>
        <w:pStyle w:val="Defpara"/>
      </w:pPr>
      <w:r>
        <w:tab/>
        <w:t>(b)</w:t>
      </w:r>
      <w:r>
        <w:tab/>
        <w:t>supply or perform for profit;</w:t>
      </w:r>
    </w:p>
    <w:p>
      <w:pPr>
        <w:pStyle w:val="Defpara"/>
      </w:pPr>
      <w:r>
        <w:tab/>
        <w:t>(c)</w:t>
      </w:r>
      <w:r>
        <w:tab/>
        <w:t>receive for sale;</w:t>
      </w:r>
    </w:p>
    <w:p>
      <w:pPr>
        <w:pStyle w:val="Defpara"/>
      </w:pPr>
      <w:r>
        <w:tab/>
        <w:t>(d)</w:t>
      </w:r>
      <w:r>
        <w:tab/>
        <w:t>have in possession for sale;</w:t>
      </w:r>
    </w:p>
    <w:p>
      <w:pPr>
        <w:pStyle w:val="Defpara"/>
      </w:pPr>
      <w:r>
        <w:tab/>
        <w:t>(e)</w:t>
      </w:r>
      <w:r>
        <w:tab/>
        <w:t>send, forward or deliver for sale;</w:t>
      </w:r>
    </w:p>
    <w:p>
      <w:pPr>
        <w:pStyle w:val="Defpara"/>
      </w:pPr>
      <w:r>
        <w:tab/>
        <w:t>(f)</w:t>
      </w:r>
      <w:r>
        <w:tab/>
        <w:t>cause or suffer or allow to be sold;</w:t>
      </w:r>
    </w:p>
    <w:p>
      <w:pPr>
        <w:pStyle w:val="Defpara"/>
      </w:pPr>
      <w:r>
        <w:tab/>
        <w:t>(g)</w:t>
      </w:r>
      <w:r>
        <w:tab/>
        <w:t>dispose or offer for disposal under an hire</w:t>
      </w:r>
      <w:r>
        <w:noBreakHyphen/>
        <w:t>purchase agreement;</w:t>
      </w:r>
    </w:p>
    <w:p>
      <w:pPr>
        <w:pStyle w:val="Defstart"/>
      </w:pPr>
      <w:r>
        <w:tab/>
      </w:r>
      <w:del w:id="85" w:author="Master Repository Process" w:date="2021-07-31T17:33:00Z">
        <w:r>
          <w:rPr>
            <w:b/>
          </w:rPr>
          <w:delText>“</w:delText>
        </w:r>
      </w:del>
      <w:r>
        <w:rPr>
          <w:rStyle w:val="CharDefText"/>
        </w:rPr>
        <w:t>services</w:t>
      </w:r>
      <w:del w:id="86" w:author="Master Repository Process" w:date="2021-07-31T17:33:00Z">
        <w:r>
          <w:rPr>
            <w:b/>
          </w:rPr>
          <w:delText>”</w:delText>
        </w:r>
      </w:del>
      <w:r>
        <w:rPr>
          <w:b/>
        </w:rPr>
        <w:t xml:space="preserve"> </w:t>
      </w:r>
      <w:r>
        <w:t>includes the supply of transport, information, instruction or supervision;</w:t>
      </w:r>
    </w:p>
    <w:p>
      <w:pPr>
        <w:pStyle w:val="Defstart"/>
      </w:pPr>
      <w:r>
        <w:tab/>
      </w:r>
      <w:del w:id="87" w:author="Master Repository Process" w:date="2021-07-31T17:33:00Z">
        <w:r>
          <w:rPr>
            <w:b/>
          </w:rPr>
          <w:delText>“</w:delText>
        </w:r>
      </w:del>
      <w:r>
        <w:rPr>
          <w:rStyle w:val="CharDefText"/>
        </w:rPr>
        <w:t>sign</w:t>
      </w:r>
      <w:del w:id="88" w:author="Master Repository Process" w:date="2021-07-31T17:33:00Z">
        <w:r>
          <w:rPr>
            <w:b/>
          </w:rPr>
          <w:delText>”</w:delText>
        </w:r>
      </w:del>
      <w:r>
        <w:rPr>
          <w:b/>
        </w:rPr>
        <w:t xml:space="preserve"> </w:t>
      </w:r>
      <w:r>
        <w:t>means a sign erected by authority of the CEO and includes lines or other markings on the ground made by authority of the CEO; and such a sign is taken to be a notice for the purposes of section 134 of the Act;</w:t>
      </w:r>
    </w:p>
    <w:p>
      <w:pPr>
        <w:pStyle w:val="Defstart"/>
      </w:pPr>
      <w:r>
        <w:tab/>
      </w:r>
      <w:del w:id="89" w:author="Master Repository Process" w:date="2021-07-31T17:33:00Z">
        <w:r>
          <w:rPr>
            <w:b/>
          </w:rPr>
          <w:delText>“</w:delText>
        </w:r>
      </w:del>
      <w:r>
        <w:rPr>
          <w:rStyle w:val="CharDefText"/>
        </w:rPr>
        <w:t>take</w:t>
      </w:r>
      <w:del w:id="90" w:author="Master Repository Process" w:date="2021-07-31T17:33:00Z">
        <w:r>
          <w:rPr>
            <w:b/>
          </w:rPr>
          <w:delText>”</w:delText>
        </w:r>
      </w:del>
      <w:r>
        <w:t xml:space="preserve"> includes — </w:t>
      </w:r>
    </w:p>
    <w:p>
      <w:pPr>
        <w:pStyle w:val="Defpara"/>
      </w:pPr>
      <w:r>
        <w:tab/>
        <w:t>(a)</w:t>
      </w:r>
      <w:r>
        <w:tab/>
        <w:t>to injure, destroy or otherwise interfere with, or cause or permit the doing of any of those things;</w:t>
      </w:r>
    </w:p>
    <w:p>
      <w:pPr>
        <w:pStyle w:val="Defpara"/>
      </w:pPr>
      <w:r>
        <w:tab/>
        <w:t>(b)</w:t>
      </w:r>
      <w:r>
        <w:tab/>
        <w:t>to hunt any fauna even though no fauna is actually taken; and</w:t>
      </w:r>
    </w:p>
    <w:p>
      <w:pPr>
        <w:pStyle w:val="Defpara"/>
      </w:pPr>
      <w:r>
        <w:tab/>
        <w:t>(c)</w:t>
      </w:r>
      <w:r>
        <w:tab/>
        <w:t>an attempt to take;</w:t>
      </w:r>
    </w:p>
    <w:p>
      <w:pPr>
        <w:pStyle w:val="Defstart"/>
      </w:pPr>
      <w:r>
        <w:tab/>
      </w:r>
      <w:del w:id="91" w:author="Master Repository Process" w:date="2021-07-31T17:33:00Z">
        <w:r>
          <w:rPr>
            <w:b/>
          </w:rPr>
          <w:delText>“</w:delText>
        </w:r>
      </w:del>
      <w:r>
        <w:rPr>
          <w:rStyle w:val="CharDefText"/>
        </w:rPr>
        <w:t>tree</w:t>
      </w:r>
      <w:del w:id="92" w:author="Master Repository Process" w:date="2021-07-31T17:33:00Z">
        <w:r>
          <w:rPr>
            <w:b/>
          </w:rPr>
          <w:delText>”</w:delText>
        </w:r>
      </w:del>
      <w:r>
        <w:rPr>
          <w:b/>
        </w:rPr>
        <w:t xml:space="preserve"> </w:t>
      </w:r>
      <w:r>
        <w:t>includes a tree that is dead provided the tree is still standing;</w:t>
      </w:r>
    </w:p>
    <w:p>
      <w:pPr>
        <w:pStyle w:val="Defstart"/>
      </w:pPr>
      <w:r>
        <w:tab/>
      </w:r>
      <w:del w:id="93" w:author="Master Repository Process" w:date="2021-07-31T17:33:00Z">
        <w:r>
          <w:rPr>
            <w:b/>
          </w:rPr>
          <w:delText>“</w:delText>
        </w:r>
      </w:del>
      <w:r>
        <w:rPr>
          <w:rStyle w:val="CharDefText"/>
        </w:rPr>
        <w:t>vehicle</w:t>
      </w:r>
      <w:del w:id="94" w:author="Master Repository Process" w:date="2021-07-31T17:33:00Z">
        <w:r>
          <w:rPr>
            <w:b/>
          </w:rPr>
          <w:delText>”</w:delText>
        </w:r>
      </w:del>
      <w:r>
        <w:rPr>
          <w:b/>
        </w:rPr>
        <w:t xml:space="preserve"> </w:t>
      </w:r>
      <w:r>
        <w:t xml:space="preserve">has the same meaning as in the </w:t>
      </w:r>
      <w:r>
        <w:rPr>
          <w:i/>
        </w:rPr>
        <w:t>Road Traffic Act 1974</w:t>
      </w:r>
      <w:r>
        <w:t>;</w:t>
      </w:r>
    </w:p>
    <w:p>
      <w:pPr>
        <w:pStyle w:val="Defstart"/>
      </w:pPr>
      <w:r>
        <w:tab/>
      </w:r>
      <w:del w:id="95" w:author="Master Repository Process" w:date="2021-07-31T17:33:00Z">
        <w:r>
          <w:rPr>
            <w:b/>
          </w:rPr>
          <w:delText>“</w:delText>
        </w:r>
      </w:del>
      <w:r>
        <w:rPr>
          <w:rStyle w:val="CharDefText"/>
        </w:rPr>
        <w:t>vessel</w:t>
      </w:r>
      <w:del w:id="96" w:author="Master Repository Process" w:date="2021-07-31T17:33:00Z">
        <w:r>
          <w:rPr>
            <w:b/>
          </w:rPr>
          <w:delText>”</w:delText>
        </w:r>
      </w:del>
      <w:r>
        <w:t xml:space="preserve"> means any thing used, or capable of being used, to move people or things by water and it does not matter —</w:t>
      </w:r>
    </w:p>
    <w:p>
      <w:pPr>
        <w:pStyle w:val="Defpara"/>
      </w:pPr>
      <w:r>
        <w:tab/>
        <w:t>(a)</w:t>
      </w:r>
      <w:r>
        <w:tab/>
        <w:t>that such a thing is ordinarily stationary; or</w:t>
      </w:r>
    </w:p>
    <w:p>
      <w:pPr>
        <w:pStyle w:val="Defpara"/>
      </w:pPr>
      <w:r>
        <w:tab/>
        <w:t>(b)</w:t>
      </w:r>
      <w:r>
        <w:tab/>
        <w:t>how any such thing is moved or propelled.</w:t>
      </w:r>
    </w:p>
    <w:p>
      <w:pPr>
        <w:pStyle w:val="Footnotesection"/>
      </w:pPr>
      <w:r>
        <w:tab/>
        <w:t>[Regulation 2 amended in Gazette 29 Sep 2006 p. 4304</w:t>
      </w:r>
      <w:r>
        <w:noBreakHyphen/>
        <w:t>5 and 4334.]</w:t>
      </w:r>
    </w:p>
    <w:p>
      <w:pPr>
        <w:pStyle w:val="Heading5"/>
        <w:rPr>
          <w:snapToGrid w:val="0"/>
        </w:rPr>
      </w:pPr>
      <w:bookmarkStart w:id="97" w:name="_Toc189456490"/>
      <w:bookmarkStart w:id="98" w:name="_Toc524422501"/>
      <w:bookmarkStart w:id="99" w:name="_Toc5508116"/>
      <w:bookmarkStart w:id="100" w:name="_Toc8119084"/>
      <w:bookmarkStart w:id="101" w:name="_Toc78685200"/>
      <w:bookmarkStart w:id="102" w:name="_Toc150315573"/>
      <w:bookmarkStart w:id="103" w:name="_Toc160332731"/>
      <w:bookmarkStart w:id="104" w:name="_Toc170207757"/>
      <w:r>
        <w:rPr>
          <w:rStyle w:val="CharSectno"/>
        </w:rPr>
        <w:t>3</w:t>
      </w:r>
      <w:r>
        <w:rPr>
          <w:snapToGrid w:val="0"/>
        </w:rPr>
        <w:t>.</w:t>
      </w:r>
      <w:r>
        <w:rPr>
          <w:snapToGrid w:val="0"/>
        </w:rPr>
        <w:tab/>
        <w:t>Application</w:t>
      </w:r>
      <w:bookmarkEnd w:id="97"/>
      <w:bookmarkEnd w:id="98"/>
      <w:bookmarkEnd w:id="99"/>
      <w:bookmarkEnd w:id="100"/>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Unless otherwise stated, these regulations apply to — </w:t>
      </w:r>
    </w:p>
    <w:p>
      <w:pPr>
        <w:pStyle w:val="Indenta"/>
        <w:rPr>
          <w:snapToGrid w:val="0"/>
        </w:rPr>
      </w:pPr>
      <w:r>
        <w:rPr>
          <w:snapToGrid w:val="0"/>
        </w:rPr>
        <w:tab/>
        <w:t>(a)</w:t>
      </w:r>
      <w:r>
        <w:rPr>
          <w:snapToGrid w:val="0"/>
        </w:rPr>
        <w:tab/>
        <w:t>land, and land and waters, specified in section 5 of the Act;</w:t>
      </w:r>
    </w:p>
    <w:p>
      <w:pPr>
        <w:pStyle w:val="Indenta"/>
        <w:rPr>
          <w:snapToGrid w:val="0"/>
        </w:rPr>
      </w:pPr>
      <w:r>
        <w:rPr>
          <w:snapToGrid w:val="0"/>
        </w:rPr>
        <w:tab/>
        <w:t>(b)</w:t>
      </w:r>
      <w:r>
        <w:rPr>
          <w:snapToGrid w:val="0"/>
        </w:rPr>
        <w:tab/>
        <w:t>subject to section 130(2) of the Act, land which is subject to an agreement under section 16 of the Act;</w:t>
      </w:r>
    </w:p>
    <w:p>
      <w:pPr>
        <w:pStyle w:val="Indenta"/>
        <w:rPr>
          <w:snapToGrid w:val="0"/>
        </w:rPr>
      </w:pPr>
      <w:r>
        <w:rPr>
          <w:snapToGrid w:val="0"/>
        </w:rPr>
        <w:tab/>
        <w:t>(c)</w:t>
      </w:r>
      <w:r>
        <w:rPr>
          <w:snapToGrid w:val="0"/>
        </w:rPr>
        <w:tab/>
        <w:t>land placed under the management of the CEO under section 33(2) of the Act; and</w:t>
      </w:r>
    </w:p>
    <w:p>
      <w:pPr>
        <w:pStyle w:val="Indenta"/>
        <w:rPr>
          <w:snapToGrid w:val="0"/>
        </w:rPr>
      </w:pPr>
      <w:r>
        <w:rPr>
          <w:snapToGrid w:val="0"/>
        </w:rPr>
        <w:tab/>
        <w:t>(d)</w:t>
      </w:r>
      <w:r>
        <w:rPr>
          <w:snapToGrid w:val="0"/>
        </w:rPr>
        <w:tab/>
        <w:t xml:space="preserve">land to which section 131 of the Act applies. </w:t>
      </w:r>
    </w:p>
    <w:p>
      <w:pPr>
        <w:pStyle w:val="Footnotesection"/>
      </w:pPr>
      <w:r>
        <w:tab/>
        <w:t>[Regulation 3 amended in Gazette 29 Sep 2006 p. 4305.]</w:t>
      </w:r>
    </w:p>
    <w:p>
      <w:pPr>
        <w:pStyle w:val="Heading5"/>
        <w:rPr>
          <w:snapToGrid w:val="0"/>
        </w:rPr>
      </w:pPr>
      <w:bookmarkStart w:id="105" w:name="_Toc189456491"/>
      <w:bookmarkStart w:id="106" w:name="_Toc524422502"/>
      <w:bookmarkStart w:id="107" w:name="_Toc5508117"/>
      <w:bookmarkStart w:id="108" w:name="_Toc8119085"/>
      <w:bookmarkStart w:id="109" w:name="_Toc78685201"/>
      <w:bookmarkStart w:id="110" w:name="_Toc150315574"/>
      <w:bookmarkStart w:id="111" w:name="_Toc160332732"/>
      <w:bookmarkStart w:id="112" w:name="_Toc170207758"/>
      <w:r>
        <w:rPr>
          <w:rStyle w:val="CharSectno"/>
        </w:rPr>
        <w:t>4</w:t>
      </w:r>
      <w:r>
        <w:rPr>
          <w:snapToGrid w:val="0"/>
        </w:rPr>
        <w:t>.</w:t>
      </w:r>
      <w:r>
        <w:rPr>
          <w:snapToGrid w:val="0"/>
        </w:rPr>
        <w:tab/>
        <w:t>Lawful authority</w:t>
      </w:r>
      <w:bookmarkEnd w:id="105"/>
      <w:bookmarkEnd w:id="106"/>
      <w:bookmarkEnd w:id="107"/>
      <w:bookmarkEnd w:id="108"/>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by written notice, authorise a person to do an act that would, but for that notice, be unlawful under these regulations.</w:t>
      </w:r>
    </w:p>
    <w:p>
      <w:pPr>
        <w:pStyle w:val="Subsection"/>
        <w:rPr>
          <w:snapToGrid w:val="0"/>
        </w:rPr>
      </w:pPr>
      <w:r>
        <w:rPr>
          <w:snapToGrid w:val="0"/>
        </w:rPr>
        <w:tab/>
        <w:t>(2)</w:t>
      </w:r>
      <w:r>
        <w:rPr>
          <w:snapToGrid w:val="0"/>
        </w:rPr>
        <w:tab/>
        <w:t>A notice under subregulation (1) may be expressed to operate in specified circumstances, for a specified period or subject to any specified condition and may be amended or revoked by the</w:t>
      </w:r>
      <w:r>
        <w:t xml:space="preserve"> CEO</w:t>
      </w:r>
      <w:r>
        <w:rPr>
          <w:snapToGrid w:val="0"/>
        </w:rPr>
        <w:t>.</w:t>
      </w:r>
    </w:p>
    <w:p>
      <w:pPr>
        <w:pStyle w:val="Subsection"/>
        <w:rPr>
          <w:snapToGrid w:val="0"/>
        </w:rPr>
      </w:pPr>
      <w:r>
        <w:rPr>
          <w:snapToGrid w:val="0"/>
        </w:rPr>
        <w:tab/>
        <w:t>(3)</w:t>
      </w:r>
      <w:r>
        <w:rPr>
          <w:snapToGrid w:val="0"/>
        </w:rPr>
        <w:tab/>
        <w:t>In order to avoid any doubt and without limiting the meaning of the expression “without lawful authority”, it is declared that, for the purposes of these regulations, an act is done without lawful authority if it is done — </w:t>
      </w:r>
    </w:p>
    <w:p>
      <w:pPr>
        <w:pStyle w:val="Indenta"/>
        <w:rPr>
          <w:snapToGrid w:val="0"/>
        </w:rPr>
      </w:pPr>
      <w:r>
        <w:rPr>
          <w:snapToGrid w:val="0"/>
        </w:rPr>
        <w:tab/>
        <w:t>(a)</w:t>
      </w:r>
      <w:r>
        <w:rPr>
          <w:snapToGrid w:val="0"/>
        </w:rPr>
        <w:tab/>
        <w:t>in contravention of any term or condition of a contract, permit, lease, licence, notice or other authority under the Act or these regulations; or</w:t>
      </w:r>
    </w:p>
    <w:p>
      <w:pPr>
        <w:pStyle w:val="Indenta"/>
        <w:rPr>
          <w:snapToGrid w:val="0"/>
        </w:rPr>
      </w:pPr>
      <w:r>
        <w:rPr>
          <w:snapToGrid w:val="0"/>
        </w:rPr>
        <w:tab/>
        <w:t>(b)</w:t>
      </w:r>
      <w:r>
        <w:rPr>
          <w:snapToGrid w:val="0"/>
        </w:rPr>
        <w:tab/>
        <w:t xml:space="preserve">in contravention of any term or condition of a licence or other authority under the </w:t>
      </w:r>
      <w:r>
        <w:rPr>
          <w:i/>
          <w:snapToGrid w:val="0"/>
        </w:rPr>
        <w:t>Wildlife Conservation Act 1950</w:t>
      </w:r>
      <w:r>
        <w:rPr>
          <w:snapToGrid w:val="0"/>
        </w:rPr>
        <w:t>; or</w:t>
      </w:r>
    </w:p>
    <w:p>
      <w:pPr>
        <w:pStyle w:val="Indenta"/>
        <w:rPr>
          <w:snapToGrid w:val="0"/>
        </w:rPr>
      </w:pPr>
      <w:r>
        <w:rPr>
          <w:snapToGrid w:val="0"/>
        </w:rPr>
        <w:tab/>
        <w:t>(c)</w:t>
      </w:r>
      <w:r>
        <w:rPr>
          <w:snapToGrid w:val="0"/>
        </w:rPr>
        <w:tab/>
        <w:t xml:space="preserve">in contravention of a direction or authority under the </w:t>
      </w:r>
      <w:r>
        <w:rPr>
          <w:i/>
          <w:snapToGrid w:val="0"/>
        </w:rPr>
        <w:t>Agriculture and Related Resources Protection Act 1976</w:t>
      </w:r>
      <w:r>
        <w:rPr>
          <w:snapToGrid w:val="0"/>
        </w:rPr>
        <w:t>; or</w:t>
      </w:r>
    </w:p>
    <w:p>
      <w:pPr>
        <w:pStyle w:val="Indenta"/>
      </w:pPr>
      <w:r>
        <w:rPr>
          <w:snapToGrid w:val="0"/>
        </w:rPr>
        <w:tab/>
        <w:t>(d)</w:t>
      </w:r>
      <w:r>
        <w:rPr>
          <w:snapToGrid w:val="0"/>
        </w:rPr>
        <w:tab/>
      </w:r>
      <w:r>
        <w:t xml:space="preserve">in contravention of a direction or authority under the </w:t>
      </w:r>
      <w:r>
        <w:rPr>
          <w:i/>
        </w:rPr>
        <w:t>Fish Resources Management Act 1994</w:t>
      </w:r>
      <w:r>
        <w:t>; or</w:t>
      </w:r>
    </w:p>
    <w:p>
      <w:pPr>
        <w:pStyle w:val="Indenta"/>
      </w:pPr>
      <w:r>
        <w:tab/>
        <w:t>(e)</w:t>
      </w:r>
      <w:r>
        <w:tab/>
        <w:t>in contravention of a direction, or the terms and conditions of an authority (however described), under another written law; or</w:t>
      </w:r>
    </w:p>
    <w:p>
      <w:pPr>
        <w:pStyle w:val="Indenta"/>
      </w:pPr>
      <w:r>
        <w:tab/>
        <w:t>(f)</w:t>
      </w:r>
      <w:r>
        <w:tab/>
        <w:t>where the person doing the act has entered the land upon which the act is done without lawful authority.</w:t>
      </w:r>
    </w:p>
    <w:p>
      <w:pPr>
        <w:pStyle w:val="Footnotesection"/>
      </w:pPr>
      <w:r>
        <w:tab/>
        <w:t>[Regulation 4 amended in Gazette 29 Sep 2006 p. 4305 and 4334.]</w:t>
      </w:r>
    </w:p>
    <w:p>
      <w:pPr>
        <w:pStyle w:val="Heading5"/>
        <w:rPr>
          <w:snapToGrid w:val="0"/>
        </w:rPr>
      </w:pPr>
      <w:bookmarkStart w:id="113" w:name="_Hlt499613800"/>
      <w:bookmarkStart w:id="114" w:name="_Toc189456492"/>
      <w:bookmarkStart w:id="115" w:name="_Toc524422503"/>
      <w:bookmarkStart w:id="116" w:name="_Toc5508118"/>
      <w:bookmarkStart w:id="117" w:name="_Toc8119086"/>
      <w:bookmarkStart w:id="118" w:name="_Toc78685202"/>
      <w:bookmarkStart w:id="119" w:name="_Toc150315575"/>
      <w:bookmarkStart w:id="120" w:name="_Toc160332733"/>
      <w:bookmarkStart w:id="121" w:name="_Toc170207759"/>
      <w:bookmarkEnd w:id="113"/>
      <w:r>
        <w:rPr>
          <w:rStyle w:val="CharSectno"/>
        </w:rPr>
        <w:t>5</w:t>
      </w:r>
      <w:r>
        <w:rPr>
          <w:snapToGrid w:val="0"/>
        </w:rPr>
        <w:t>.</w:t>
      </w:r>
      <w:r>
        <w:rPr>
          <w:snapToGrid w:val="0"/>
        </w:rPr>
        <w:tab/>
        <w:t>Restricted areas</w:t>
      </w:r>
      <w:bookmarkEnd w:id="114"/>
      <w:bookmarkEnd w:id="115"/>
      <w:bookmarkEnd w:id="116"/>
      <w:bookmarkEnd w:id="117"/>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 xml:space="preserve">declare an area of CALM land to be a restricted area for the purposes of regulations </w:t>
      </w:r>
      <w:bookmarkStart w:id="122" w:name="_Hlt499613702"/>
      <w:r>
        <w:rPr>
          <w:snapToGrid w:val="0"/>
        </w:rPr>
        <w:t>9</w:t>
      </w:r>
      <w:bookmarkEnd w:id="122"/>
      <w:r>
        <w:rPr>
          <w:snapToGrid w:val="0"/>
        </w:rPr>
        <w:t xml:space="preserve"> (fishing), </w:t>
      </w:r>
      <w:bookmarkStart w:id="123" w:name="_Hlt499613706"/>
      <w:r>
        <w:rPr>
          <w:snapToGrid w:val="0"/>
        </w:rPr>
        <w:t>26</w:t>
      </w:r>
      <w:bookmarkEnd w:id="123"/>
      <w:r>
        <w:rPr>
          <w:snapToGrid w:val="0"/>
        </w:rPr>
        <w:t xml:space="preserve"> (glass), </w:t>
      </w:r>
      <w:bookmarkStart w:id="124" w:name="_Hlt499613709"/>
      <w:r>
        <w:rPr>
          <w:snapToGrid w:val="0"/>
        </w:rPr>
        <w:t>28</w:t>
      </w:r>
      <w:bookmarkEnd w:id="124"/>
      <w:r>
        <w:rPr>
          <w:snapToGrid w:val="0"/>
        </w:rPr>
        <w:t xml:space="preserve"> (cleaning etc. fish), </w:t>
      </w:r>
      <w:bookmarkStart w:id="125" w:name="_Hlt499613712"/>
      <w:r>
        <w:rPr>
          <w:snapToGrid w:val="0"/>
        </w:rPr>
        <w:t>39</w:t>
      </w:r>
      <w:bookmarkEnd w:id="125"/>
      <w:r>
        <w:rPr>
          <w:snapToGrid w:val="0"/>
        </w:rPr>
        <w:t xml:space="preserve"> (certain fires), </w:t>
      </w:r>
      <w:bookmarkStart w:id="126" w:name="_Hlt499613715"/>
      <w:r>
        <w:t xml:space="preserve">51 (vehicles), 51A (bicycles), </w:t>
      </w:r>
      <w:r>
        <w:rPr>
          <w:snapToGrid w:val="0"/>
        </w:rPr>
        <w:t>60</w:t>
      </w:r>
      <w:bookmarkEnd w:id="126"/>
      <w:r>
        <w:rPr>
          <w:snapToGrid w:val="0"/>
        </w:rPr>
        <w:t xml:space="preserve"> (anchoring), </w:t>
      </w:r>
      <w:bookmarkStart w:id="127" w:name="_Hlt499613718"/>
      <w:r>
        <w:rPr>
          <w:snapToGrid w:val="0"/>
        </w:rPr>
        <w:t>61</w:t>
      </w:r>
      <w:bookmarkEnd w:id="127"/>
      <w:r>
        <w:rPr>
          <w:snapToGrid w:val="0"/>
        </w:rPr>
        <w:t xml:space="preserve"> (operation of vessels) and 64 (launching etc. of vessels) or any of those regulations; and</w:t>
      </w:r>
    </w:p>
    <w:p>
      <w:pPr>
        <w:pStyle w:val="Indenta"/>
        <w:rPr>
          <w:snapToGrid w:val="0"/>
        </w:rPr>
      </w:pPr>
      <w:r>
        <w:rPr>
          <w:snapToGrid w:val="0"/>
        </w:rPr>
        <w:tab/>
        <w:t>(b)</w:t>
      </w:r>
      <w:r>
        <w:rPr>
          <w:snapToGrid w:val="0"/>
        </w:rPr>
        <w:tab/>
        <w:t>specify which activities are prohibited or restricted in the restricted area, and the nature of the restrictions.</w:t>
      </w:r>
    </w:p>
    <w:p>
      <w:pPr>
        <w:pStyle w:val="Subsection"/>
        <w:rPr>
          <w:snapToGrid w:val="0"/>
        </w:rPr>
      </w:pPr>
      <w:r>
        <w:rPr>
          <w:snapToGrid w:val="0"/>
        </w:rPr>
        <w:tab/>
        <w:t>(2)</w:t>
      </w:r>
      <w:r>
        <w:rPr>
          <w:snapToGrid w:val="0"/>
        </w:rPr>
        <w:tab/>
        <w:t>An area may be declared to be a restricted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 xml:space="preserve">CEO </w:t>
      </w:r>
      <w:r>
        <w:rPr>
          <w:snapToGrid w:val="0"/>
        </w:rPr>
        <w:t>in or in the vicinity of a restricted area indicating — </w:t>
      </w:r>
    </w:p>
    <w:p>
      <w:pPr>
        <w:pStyle w:val="Indenta"/>
        <w:rPr>
          <w:snapToGrid w:val="0"/>
        </w:rPr>
      </w:pPr>
      <w:r>
        <w:rPr>
          <w:snapToGrid w:val="0"/>
        </w:rPr>
        <w:tab/>
        <w:t>(a)</w:t>
      </w:r>
      <w:r>
        <w:rPr>
          <w:snapToGrid w:val="0"/>
        </w:rPr>
        <w:tab/>
        <w:t xml:space="preserve">that the area is a restricted area during the periods specified in the notice; </w:t>
      </w:r>
    </w:p>
    <w:p>
      <w:pPr>
        <w:pStyle w:val="Indenta"/>
        <w:rPr>
          <w:snapToGrid w:val="0"/>
        </w:rPr>
      </w:pPr>
      <w:r>
        <w:rPr>
          <w:snapToGrid w:val="0"/>
        </w:rPr>
        <w:tab/>
        <w:t>(b)</w:t>
      </w:r>
      <w:r>
        <w:rPr>
          <w:snapToGrid w:val="0"/>
        </w:rPr>
        <w:tab/>
        <w:t>the activities in that area that are prohibited or restricted by reason of the area being a restricted area; and</w:t>
      </w:r>
    </w:p>
    <w:p>
      <w:pPr>
        <w:pStyle w:val="Indenta"/>
        <w:rPr>
          <w:snapToGrid w:val="0"/>
        </w:rPr>
      </w:pPr>
      <w:r>
        <w:rPr>
          <w:snapToGrid w:val="0"/>
        </w:rPr>
        <w:tab/>
        <w:t>(c)</w:t>
      </w:r>
      <w:r>
        <w:rPr>
          <w:snapToGrid w:val="0"/>
        </w:rPr>
        <w:tab/>
        <w:t>if activities in the restricted area are subject to restrictions, the nature of the restrictions.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r>
      <w:bookmarkStart w:id="128" w:name="_Hlt499613674"/>
      <w:bookmarkEnd w:id="128"/>
      <w:r>
        <w:rPr>
          <w:snapToGrid w:val="0"/>
        </w:rPr>
        <w:t>(6)</w:t>
      </w:r>
      <w:r>
        <w:rPr>
          <w:snapToGrid w:val="0"/>
        </w:rPr>
        <w:tab/>
        <w:t xml:space="preserve">Unless the contrary intention appears, a reference in a </w:t>
      </w:r>
      <w:r>
        <w:t xml:space="preserve">provision of these regulations </w:t>
      </w:r>
      <w:r>
        <w:rPr>
          <w:snapToGrid w:val="0"/>
        </w:rPr>
        <w:t>to a restricted area is a reference to an area declared to be a restricted area under subregulation (1) for the purposes of that</w:t>
      </w:r>
      <w:r>
        <w:t xml:space="preserve"> provision</w:t>
      </w:r>
      <w:r>
        <w:rPr>
          <w:snapToGrid w:val="0"/>
        </w:rPr>
        <w:t>.</w:t>
      </w:r>
    </w:p>
    <w:p>
      <w:pPr>
        <w:pStyle w:val="Footnotesection"/>
      </w:pPr>
      <w:r>
        <w:tab/>
        <w:t>[Regulation 5 amended in Gazette 29 Sep 2006 p. 4305</w:t>
      </w:r>
      <w:r>
        <w:noBreakHyphen/>
        <w:t>6 and 4334.]</w:t>
      </w:r>
    </w:p>
    <w:p>
      <w:pPr>
        <w:pStyle w:val="Heading5"/>
        <w:rPr>
          <w:snapToGrid w:val="0"/>
        </w:rPr>
      </w:pPr>
      <w:bookmarkStart w:id="129" w:name="_Toc189456493"/>
      <w:bookmarkStart w:id="130" w:name="_Toc524422504"/>
      <w:bookmarkStart w:id="131" w:name="_Toc5508119"/>
      <w:bookmarkStart w:id="132" w:name="_Toc8119087"/>
      <w:bookmarkStart w:id="133" w:name="_Toc78685203"/>
      <w:bookmarkStart w:id="134" w:name="_Toc150315576"/>
      <w:bookmarkStart w:id="135" w:name="_Toc160332734"/>
      <w:bookmarkStart w:id="136" w:name="_Toc170207760"/>
      <w:r>
        <w:rPr>
          <w:rStyle w:val="CharSectno"/>
        </w:rPr>
        <w:t>6</w:t>
      </w:r>
      <w:r>
        <w:rPr>
          <w:snapToGrid w:val="0"/>
        </w:rPr>
        <w:t>.</w:t>
      </w:r>
      <w:r>
        <w:rPr>
          <w:snapToGrid w:val="0"/>
        </w:rPr>
        <w:tab/>
        <w:t>Designated areas</w:t>
      </w:r>
      <w:bookmarkEnd w:id="129"/>
      <w:bookmarkEnd w:id="130"/>
      <w:bookmarkEnd w:id="131"/>
      <w:bookmarkEnd w:id="132"/>
      <w:bookmarkEnd w:id="133"/>
      <w:bookmarkEnd w:id="134"/>
      <w:bookmarkEnd w:id="135"/>
      <w:bookmarkEnd w:id="136"/>
      <w:r>
        <w:rPr>
          <w:snapToGrid w:val="0"/>
        </w:rPr>
        <w:t xml:space="preserve"> </w:t>
      </w:r>
    </w:p>
    <w:p>
      <w:pPr>
        <w:pStyle w:val="Subsection"/>
        <w:rPr>
          <w:snapToGrid w:val="0"/>
        </w:rPr>
      </w:pPr>
      <w:r>
        <w:rPr>
          <w:snapToGrid w:val="0"/>
        </w:rPr>
        <w:tab/>
      </w:r>
      <w:bookmarkStart w:id="137" w:name="_Hlt499613900"/>
      <w:bookmarkEnd w:id="137"/>
      <w:r>
        <w:rPr>
          <w:snapToGrid w:val="0"/>
        </w:rPr>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 xml:space="preserve">declare an area of CALM land to be a designated area for the purposes of regulations </w:t>
      </w:r>
      <w:bookmarkStart w:id="138" w:name="_Hlt499613740"/>
      <w:r>
        <w:rPr>
          <w:snapToGrid w:val="0"/>
        </w:rPr>
        <w:t>16</w:t>
      </w:r>
      <w:bookmarkEnd w:id="138"/>
      <w:r>
        <w:rPr>
          <w:snapToGrid w:val="0"/>
        </w:rPr>
        <w:t xml:space="preserve"> (dogs), </w:t>
      </w:r>
      <w:bookmarkStart w:id="139" w:name="_Hlt499613743"/>
      <w:r>
        <w:rPr>
          <w:snapToGrid w:val="0"/>
        </w:rPr>
        <w:t>17</w:t>
      </w:r>
      <w:bookmarkEnd w:id="139"/>
      <w:r>
        <w:rPr>
          <w:snapToGrid w:val="0"/>
        </w:rPr>
        <w:t xml:space="preserve"> (horses), </w:t>
      </w:r>
      <w:bookmarkStart w:id="140" w:name="_Hlt499613748"/>
      <w:r>
        <w:rPr>
          <w:snapToGrid w:val="0"/>
        </w:rPr>
        <w:t>21(3)</w:t>
      </w:r>
      <w:bookmarkEnd w:id="140"/>
      <w:r>
        <w:rPr>
          <w:snapToGrid w:val="0"/>
        </w:rPr>
        <w:t> (discharge of sewage from a vessel)</w:t>
      </w:r>
      <w:r>
        <w:t>, 33 (abseiling), 51 (vehicles), 51A (bicycles), 61A (vessels on nature reserves)</w:t>
      </w:r>
      <w:r>
        <w:rPr>
          <w:snapToGrid w:val="0"/>
        </w:rPr>
        <w:t xml:space="preserve"> and </w:t>
      </w:r>
      <w:bookmarkStart w:id="141" w:name="_Hlt499613756"/>
      <w:r>
        <w:rPr>
          <w:snapToGrid w:val="0"/>
        </w:rPr>
        <w:t>66</w:t>
      </w:r>
      <w:bookmarkEnd w:id="141"/>
      <w:r>
        <w:rPr>
          <w:snapToGrid w:val="0"/>
        </w:rPr>
        <w:t> (camping) or any of those regulations; and</w:t>
      </w:r>
    </w:p>
    <w:p>
      <w:pPr>
        <w:pStyle w:val="Indenta"/>
        <w:rPr>
          <w:snapToGrid w:val="0"/>
        </w:rPr>
      </w:pPr>
      <w:r>
        <w:rPr>
          <w:snapToGrid w:val="0"/>
        </w:rPr>
        <w:tab/>
        <w:t>(b)</w:t>
      </w:r>
      <w:r>
        <w:rPr>
          <w:snapToGrid w:val="0"/>
        </w:rPr>
        <w:tab/>
      </w:r>
      <w:r>
        <w:t>specify conditions which apply to the use of the designated area for those purposes</w:t>
      </w:r>
      <w:r>
        <w:rPr>
          <w:snapToGrid w:val="0"/>
        </w:rPr>
        <w:t>.</w:t>
      </w:r>
    </w:p>
    <w:p>
      <w:pPr>
        <w:pStyle w:val="Subsection"/>
        <w:rPr>
          <w:snapToGrid w:val="0"/>
        </w:rPr>
      </w:pPr>
      <w:r>
        <w:rPr>
          <w:snapToGrid w:val="0"/>
        </w:rPr>
        <w:tab/>
        <w:t>(2)</w:t>
      </w:r>
      <w:r>
        <w:rPr>
          <w:snapToGrid w:val="0"/>
        </w:rPr>
        <w:tab/>
        <w:t>An area may be declared to be a designated area at all times or during a period or periods specified in the notice.</w:t>
      </w:r>
    </w:p>
    <w:p>
      <w:pPr>
        <w:pStyle w:val="Subsection"/>
        <w:rPr>
          <w:snapToGrid w:val="0"/>
        </w:rPr>
      </w:pPr>
      <w:r>
        <w:rPr>
          <w:snapToGrid w:val="0"/>
        </w:rPr>
        <w:tab/>
      </w:r>
      <w:bookmarkStart w:id="142" w:name="_Hlt499613872"/>
      <w:bookmarkEnd w:id="142"/>
      <w:r>
        <w:rPr>
          <w:snapToGrid w:val="0"/>
        </w:rPr>
        <w:t>(3)</w:t>
      </w:r>
      <w:r>
        <w:rPr>
          <w:snapToGrid w:val="0"/>
        </w:rPr>
        <w:tab/>
        <w:t xml:space="preserve">Where practicable, sufficient signs are to be erected and maintained by the </w:t>
      </w:r>
      <w:r>
        <w:t>CEO</w:t>
      </w:r>
      <w:r>
        <w:rPr>
          <w:snapToGrid w:val="0"/>
        </w:rPr>
        <w:t xml:space="preserve"> in or in the vicinity of a designated area indicating — </w:t>
      </w:r>
    </w:p>
    <w:p>
      <w:pPr>
        <w:pStyle w:val="Indenta"/>
        <w:rPr>
          <w:snapToGrid w:val="0"/>
        </w:rPr>
      </w:pPr>
      <w:r>
        <w:rPr>
          <w:snapToGrid w:val="0"/>
        </w:rPr>
        <w:tab/>
        <w:t>(a)</w:t>
      </w:r>
      <w:r>
        <w:rPr>
          <w:snapToGrid w:val="0"/>
        </w:rPr>
        <w:tab/>
        <w:t xml:space="preserve">that the area is a designated area during the periods specified in the notice; </w:t>
      </w:r>
    </w:p>
    <w:p>
      <w:pPr>
        <w:pStyle w:val="Indenta"/>
        <w:rPr>
          <w:snapToGrid w:val="0"/>
        </w:rPr>
      </w:pPr>
      <w:r>
        <w:rPr>
          <w:snapToGrid w:val="0"/>
        </w:rPr>
        <w:tab/>
        <w:t>(b)</w:t>
      </w:r>
      <w:r>
        <w:rPr>
          <w:snapToGrid w:val="0"/>
        </w:rPr>
        <w:tab/>
        <w:t>the activities in that area that are permitted by reason of the area being a designated area; and</w:t>
      </w:r>
    </w:p>
    <w:p>
      <w:pPr>
        <w:pStyle w:val="Indenta"/>
        <w:rPr>
          <w:b/>
          <w:i/>
          <w:snapToGrid w:val="0"/>
        </w:rPr>
      </w:pPr>
      <w:r>
        <w:rPr>
          <w:snapToGrid w:val="0"/>
        </w:rPr>
        <w:tab/>
        <w:t>(c)</w:t>
      </w:r>
      <w:r>
        <w:rPr>
          <w:snapToGrid w:val="0"/>
        </w:rPr>
        <w:tab/>
        <w:t>if activities are subject to conditions, the nature of the conditions.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r>
      <w:bookmarkStart w:id="143" w:name="_Hlt499613640"/>
      <w:bookmarkEnd w:id="143"/>
      <w:r>
        <w:rPr>
          <w:snapToGrid w:val="0"/>
        </w:rPr>
        <w:t>(6)</w:t>
      </w:r>
      <w:r>
        <w:rPr>
          <w:snapToGrid w:val="0"/>
        </w:rPr>
        <w:tab/>
        <w:t xml:space="preserve">A reference in a </w:t>
      </w:r>
      <w:r>
        <w:t xml:space="preserve">provision of these regulations </w:t>
      </w:r>
      <w:r>
        <w:rPr>
          <w:snapToGrid w:val="0"/>
        </w:rPr>
        <w:t>to a designated area is a reference to an area declared to be a designated area under subregulation (1) for the purposes of that</w:t>
      </w:r>
      <w:r>
        <w:t xml:space="preserve"> provision</w:t>
      </w:r>
      <w:r>
        <w:rPr>
          <w:snapToGrid w:val="0"/>
        </w:rPr>
        <w:t>.</w:t>
      </w:r>
    </w:p>
    <w:p>
      <w:pPr>
        <w:pStyle w:val="Footnotesection"/>
      </w:pPr>
      <w:r>
        <w:tab/>
        <w:t>[Regulation 6 amended in Gazette 29 Sep 2006 p. 4306 and 4334.]</w:t>
      </w:r>
    </w:p>
    <w:p>
      <w:pPr>
        <w:pStyle w:val="Heading2"/>
      </w:pPr>
      <w:bookmarkStart w:id="144" w:name="_Toc189456494"/>
      <w:bookmarkStart w:id="145" w:name="_Toc524422505"/>
      <w:bookmarkStart w:id="146" w:name="_Toc71354863"/>
      <w:bookmarkStart w:id="147" w:name="_Toc78623601"/>
      <w:bookmarkStart w:id="148" w:name="_Toc78685204"/>
      <w:bookmarkStart w:id="149" w:name="_Toc147312301"/>
      <w:bookmarkStart w:id="150" w:name="_Toc147631162"/>
      <w:bookmarkStart w:id="151" w:name="_Toc147633496"/>
      <w:bookmarkStart w:id="152" w:name="_Toc147906940"/>
      <w:bookmarkStart w:id="153" w:name="_Toc147907339"/>
      <w:bookmarkStart w:id="154" w:name="_Toc149009892"/>
      <w:bookmarkStart w:id="155" w:name="_Toc149010246"/>
      <w:bookmarkStart w:id="156" w:name="_Toc149010414"/>
      <w:bookmarkStart w:id="157" w:name="_Toc149016294"/>
      <w:bookmarkStart w:id="158" w:name="_Toc149039037"/>
      <w:bookmarkStart w:id="159" w:name="_Toc149039758"/>
      <w:bookmarkStart w:id="160" w:name="_Toc150315366"/>
      <w:bookmarkStart w:id="161" w:name="_Toc150315577"/>
      <w:bookmarkStart w:id="162" w:name="_Toc160272787"/>
      <w:bookmarkStart w:id="163" w:name="_Toc160332735"/>
      <w:bookmarkStart w:id="164" w:name="_Toc170207761"/>
      <w:r>
        <w:rPr>
          <w:rStyle w:val="CharPartNo"/>
        </w:rPr>
        <w:t>Part 2</w:t>
      </w:r>
      <w:r>
        <w:t xml:space="preserve"> — </w:t>
      </w:r>
      <w:r>
        <w:rPr>
          <w:rStyle w:val="CharPartText"/>
        </w:rPr>
        <w:t>Protection of the environment</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Heading3"/>
      </w:pPr>
      <w:bookmarkStart w:id="165" w:name="_Toc189456495"/>
      <w:bookmarkStart w:id="166" w:name="_Toc524422506"/>
      <w:bookmarkStart w:id="167" w:name="_Toc71354864"/>
      <w:bookmarkStart w:id="168" w:name="_Toc78623602"/>
      <w:bookmarkStart w:id="169" w:name="_Toc78685205"/>
      <w:bookmarkStart w:id="170" w:name="_Toc147312302"/>
      <w:bookmarkStart w:id="171" w:name="_Toc147631163"/>
      <w:bookmarkStart w:id="172" w:name="_Toc147633497"/>
      <w:bookmarkStart w:id="173" w:name="_Toc147906941"/>
      <w:bookmarkStart w:id="174" w:name="_Toc147907340"/>
      <w:bookmarkStart w:id="175" w:name="_Toc149009893"/>
      <w:bookmarkStart w:id="176" w:name="_Toc149010247"/>
      <w:bookmarkStart w:id="177" w:name="_Toc149010415"/>
      <w:bookmarkStart w:id="178" w:name="_Toc149016295"/>
      <w:bookmarkStart w:id="179" w:name="_Toc149039038"/>
      <w:bookmarkStart w:id="180" w:name="_Toc149039759"/>
      <w:bookmarkStart w:id="181" w:name="_Toc150315367"/>
      <w:bookmarkStart w:id="182" w:name="_Toc150315578"/>
      <w:bookmarkStart w:id="183" w:name="_Toc160272788"/>
      <w:bookmarkStart w:id="184" w:name="_Toc160332736"/>
      <w:bookmarkStart w:id="185" w:name="_Toc170207762"/>
      <w:r>
        <w:rPr>
          <w:rStyle w:val="CharDivNo"/>
        </w:rPr>
        <w:t>Division 1</w:t>
      </w:r>
      <w:r>
        <w:t xml:space="preserve"> — </w:t>
      </w:r>
      <w:r>
        <w:rPr>
          <w:rStyle w:val="CharDivText"/>
        </w:rPr>
        <w:t>Protection of flora and fauna</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Heading5"/>
      </w:pPr>
      <w:bookmarkStart w:id="186" w:name="_Toc189456496"/>
      <w:bookmarkStart w:id="187" w:name="_Toc524422507"/>
      <w:bookmarkStart w:id="188" w:name="_Toc5508120"/>
      <w:bookmarkStart w:id="189" w:name="_Toc8119088"/>
      <w:bookmarkStart w:id="190" w:name="_Toc78685206"/>
      <w:bookmarkStart w:id="191" w:name="_Toc150315579"/>
      <w:bookmarkStart w:id="192" w:name="_Toc160332737"/>
      <w:bookmarkStart w:id="193" w:name="_Toc170207763"/>
      <w:r>
        <w:rPr>
          <w:rStyle w:val="CharSectno"/>
        </w:rPr>
        <w:t>7</w:t>
      </w:r>
      <w:r>
        <w:t>.</w:t>
      </w:r>
      <w:r>
        <w:tab/>
        <w:t>Limitation on restriction</w:t>
      </w:r>
      <w:bookmarkEnd w:id="186"/>
      <w:bookmarkEnd w:id="187"/>
      <w:bookmarkEnd w:id="188"/>
      <w:bookmarkEnd w:id="189"/>
      <w:bookmarkEnd w:id="190"/>
      <w:bookmarkEnd w:id="191"/>
      <w:bookmarkEnd w:id="192"/>
      <w:bookmarkEnd w:id="193"/>
    </w:p>
    <w:p>
      <w:pPr>
        <w:pStyle w:val="Subsection"/>
      </w:pPr>
      <w:r>
        <w:tab/>
      </w:r>
      <w:r>
        <w:tab/>
        <w:t xml:space="preserve">Nothing in these regulations imposes any restriction on the taking, in a marine park or marine management area — </w:t>
      </w:r>
    </w:p>
    <w:p>
      <w:pPr>
        <w:pStyle w:val="Indenta"/>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pPr>
      <w:r>
        <w:tab/>
        <w:t>(b)</w:t>
      </w:r>
      <w:r>
        <w:tab/>
        <w:t xml:space="preserve">of pearl oyster within the meaning of the </w:t>
      </w:r>
      <w:r>
        <w:rPr>
          <w:i/>
        </w:rPr>
        <w:t>Pearling Act 1990</w:t>
      </w:r>
      <w:r>
        <w:t>, in accordance with that Act,</w:t>
      </w:r>
    </w:p>
    <w:p>
      <w:pPr>
        <w:pStyle w:val="Subsection"/>
      </w:pPr>
      <w:r>
        <w:tab/>
      </w:r>
      <w:r>
        <w:tab/>
        <w:t>except to the extent that the restriction relates to conduct or activity other than the taking of fish but that incidentally affects the taking of fish.</w:t>
      </w:r>
    </w:p>
    <w:p>
      <w:pPr>
        <w:pStyle w:val="Heading5"/>
        <w:rPr>
          <w:snapToGrid w:val="0"/>
        </w:rPr>
      </w:pPr>
      <w:bookmarkStart w:id="194" w:name="_Toc189456497"/>
      <w:bookmarkStart w:id="195" w:name="_Toc524422508"/>
      <w:bookmarkStart w:id="196" w:name="_Toc5508121"/>
      <w:bookmarkStart w:id="197" w:name="_Toc8119089"/>
      <w:bookmarkStart w:id="198" w:name="_Toc78685207"/>
      <w:bookmarkStart w:id="199" w:name="_Toc150315580"/>
      <w:bookmarkStart w:id="200" w:name="_Toc160332738"/>
      <w:bookmarkStart w:id="201" w:name="_Toc170207764"/>
      <w:r>
        <w:rPr>
          <w:rStyle w:val="CharSectno"/>
        </w:rPr>
        <w:t>8</w:t>
      </w:r>
      <w:r>
        <w:rPr>
          <w:snapToGrid w:val="0"/>
        </w:rPr>
        <w:t>.</w:t>
      </w:r>
      <w:r>
        <w:rPr>
          <w:snapToGrid w:val="0"/>
        </w:rPr>
        <w:tab/>
        <w:t>Unlawful taking of flora and fauna other than fish</w:t>
      </w:r>
      <w:bookmarkEnd w:id="194"/>
      <w:bookmarkEnd w:id="195"/>
      <w:bookmarkEnd w:id="196"/>
      <w:bookmarkEnd w:id="197"/>
      <w:bookmarkEnd w:id="198"/>
      <w:bookmarkEnd w:id="199"/>
      <w:bookmarkEnd w:id="200"/>
      <w:bookmarkEnd w:id="201"/>
    </w:p>
    <w:p>
      <w:pPr>
        <w:pStyle w:val="Subsection"/>
        <w:rPr>
          <w:snapToGrid w:val="0"/>
        </w:rPr>
      </w:pPr>
      <w:r>
        <w:rPr>
          <w:snapToGrid w:val="0"/>
        </w:rPr>
        <w:tab/>
      </w:r>
      <w:bookmarkStart w:id="202" w:name="_Hlt499625648"/>
      <w:bookmarkEnd w:id="202"/>
      <w:r>
        <w:rPr>
          <w:snapToGrid w:val="0"/>
        </w:rPr>
        <w:t>(1)</w:t>
      </w:r>
      <w:r>
        <w:rPr>
          <w:snapToGrid w:val="0"/>
        </w:rPr>
        <w:tab/>
        <w:t>Without limiting section 106(b), a person must not, without lawful authority, take any flora or fauna on CALM land.</w:t>
      </w:r>
    </w:p>
    <w:p>
      <w:pPr>
        <w:pStyle w:val="Penstart"/>
        <w:rPr>
          <w:snapToGrid w:val="0"/>
        </w:rPr>
      </w:pPr>
      <w:r>
        <w:rPr>
          <w:snapToGrid w:val="0"/>
        </w:rPr>
        <w:tab/>
        <w:t>Penalty: $2 000.</w:t>
      </w:r>
    </w:p>
    <w:p>
      <w:pPr>
        <w:pStyle w:val="Subsection"/>
        <w:rPr>
          <w:snapToGrid w:val="0"/>
        </w:rPr>
      </w:pPr>
      <w:r>
        <w:rPr>
          <w:snapToGrid w:val="0"/>
        </w:rPr>
        <w:tab/>
        <w:t>(2)</w:t>
      </w:r>
      <w:r>
        <w:rPr>
          <w:snapToGrid w:val="0"/>
        </w:rPr>
        <w:tab/>
        <w:t>Section 101C of the Act applies to the taking of flora or fauna in a marine reserve.</w:t>
      </w:r>
    </w:p>
    <w:p>
      <w:pPr>
        <w:pStyle w:val="Subsection"/>
        <w:rPr>
          <w:snapToGrid w:val="0"/>
        </w:rPr>
      </w:pPr>
      <w:r>
        <w:rPr>
          <w:snapToGrid w:val="0"/>
        </w:rPr>
        <w:tab/>
        <w:t>(3)</w:t>
      </w:r>
      <w:r>
        <w:rPr>
          <w:snapToGrid w:val="0"/>
        </w:rPr>
        <w:tab/>
        <w:t>In subregulation (1) — </w:t>
      </w:r>
    </w:p>
    <w:p>
      <w:pPr>
        <w:pStyle w:val="Defstart"/>
      </w:pPr>
      <w:r>
        <w:tab/>
      </w:r>
      <w:del w:id="203" w:author="Master Repository Process" w:date="2021-07-31T17:33:00Z">
        <w:r>
          <w:rPr>
            <w:b/>
          </w:rPr>
          <w:delText>“</w:delText>
        </w:r>
      </w:del>
      <w:r>
        <w:rPr>
          <w:rStyle w:val="CharDefText"/>
        </w:rPr>
        <w:t>CALM land</w:t>
      </w:r>
      <w:del w:id="204" w:author="Master Repository Process" w:date="2021-07-31T17:33:00Z">
        <w:r>
          <w:rPr>
            <w:b/>
          </w:rPr>
          <w:delText>”</w:delText>
        </w:r>
      </w:del>
      <w:r>
        <w:rPr>
          <w:b/>
        </w:rPr>
        <w:t xml:space="preserve"> </w:t>
      </w:r>
      <w:r>
        <w:t>does not include a marine reserve;</w:t>
      </w:r>
    </w:p>
    <w:p>
      <w:pPr>
        <w:pStyle w:val="Defstart"/>
      </w:pPr>
      <w:r>
        <w:tab/>
      </w:r>
      <w:del w:id="205" w:author="Master Repository Process" w:date="2021-07-31T17:33:00Z">
        <w:r>
          <w:rPr>
            <w:b/>
          </w:rPr>
          <w:delText>“</w:delText>
        </w:r>
      </w:del>
      <w:r>
        <w:rPr>
          <w:rStyle w:val="CharDefText"/>
        </w:rPr>
        <w:t>fauna</w:t>
      </w:r>
      <w:del w:id="206" w:author="Master Repository Process" w:date="2021-07-31T17:33:00Z">
        <w:r>
          <w:rPr>
            <w:b/>
          </w:rPr>
          <w:delText>”</w:delText>
        </w:r>
      </w:del>
      <w:r>
        <w:rPr>
          <w:b/>
        </w:rPr>
        <w:t xml:space="preserve"> </w:t>
      </w:r>
      <w:r>
        <w:t>does not include fish.</w:t>
      </w:r>
    </w:p>
    <w:p>
      <w:pPr>
        <w:pStyle w:val="Heading5"/>
        <w:rPr>
          <w:snapToGrid w:val="0"/>
        </w:rPr>
      </w:pPr>
      <w:bookmarkStart w:id="207" w:name="_Hlt499613704"/>
      <w:bookmarkStart w:id="208" w:name="_Toc189456498"/>
      <w:bookmarkStart w:id="209" w:name="_Toc524422509"/>
      <w:bookmarkStart w:id="210" w:name="_Toc5508122"/>
      <w:bookmarkStart w:id="211" w:name="_Toc8119090"/>
      <w:bookmarkStart w:id="212" w:name="_Toc78685208"/>
      <w:bookmarkStart w:id="213" w:name="_Toc150315581"/>
      <w:bookmarkStart w:id="214" w:name="_Toc160332739"/>
      <w:bookmarkStart w:id="215" w:name="_Toc170207765"/>
      <w:bookmarkEnd w:id="207"/>
      <w:r>
        <w:rPr>
          <w:rStyle w:val="CharSectno"/>
        </w:rPr>
        <w:t>9</w:t>
      </w:r>
      <w:r>
        <w:rPr>
          <w:snapToGrid w:val="0"/>
        </w:rPr>
        <w:t>.</w:t>
      </w:r>
      <w:r>
        <w:rPr>
          <w:snapToGrid w:val="0"/>
        </w:rPr>
        <w:tab/>
        <w:t>Fishing in restricted areas</w:t>
      </w:r>
      <w:bookmarkEnd w:id="208"/>
      <w:bookmarkEnd w:id="209"/>
      <w:bookmarkEnd w:id="210"/>
      <w:bookmarkEnd w:id="211"/>
      <w:bookmarkEnd w:id="212"/>
      <w:bookmarkEnd w:id="213"/>
      <w:bookmarkEnd w:id="214"/>
      <w:bookmarkEnd w:id="215"/>
    </w:p>
    <w:p>
      <w:pPr>
        <w:pStyle w:val="Subsection"/>
        <w:rPr>
          <w:snapToGrid w:val="0"/>
        </w:rPr>
      </w:pPr>
      <w:r>
        <w:rPr>
          <w:snapToGrid w:val="0"/>
        </w:rPr>
        <w:tab/>
      </w:r>
      <w:bookmarkStart w:id="216" w:name="_Hlt499625677"/>
      <w:bookmarkEnd w:id="216"/>
      <w:r>
        <w:rPr>
          <w:snapToGrid w:val="0"/>
        </w:rPr>
        <w:t>(1)</w:t>
      </w:r>
      <w:r>
        <w:rPr>
          <w:snapToGrid w:val="0"/>
        </w:rPr>
        <w:tab/>
        <w:t>A person must not, without lawful authority, in a restricted area — </w:t>
      </w:r>
    </w:p>
    <w:p>
      <w:pPr>
        <w:pStyle w:val="Indenta"/>
        <w:rPr>
          <w:snapToGrid w:val="0"/>
        </w:rPr>
      </w:pPr>
      <w:r>
        <w:rPr>
          <w:snapToGrid w:val="0"/>
        </w:rPr>
        <w:tab/>
        <w:t>(a)</w:t>
      </w:r>
      <w:r>
        <w:rPr>
          <w:snapToGrid w:val="0"/>
        </w:rPr>
        <w:tab/>
        <w:t>engage in a fishing activity prohibited in that area under regulation </w:t>
      </w:r>
      <w:bookmarkStart w:id="217" w:name="_Hlt499613798"/>
      <w:r>
        <w:rPr>
          <w:snapToGrid w:val="0"/>
        </w:rPr>
        <w:t>5</w:t>
      </w:r>
      <w:bookmarkEnd w:id="217"/>
      <w:r>
        <w:rPr>
          <w:snapToGrid w:val="0"/>
        </w:rPr>
        <w:t>; or</w:t>
      </w:r>
    </w:p>
    <w:p>
      <w:pPr>
        <w:pStyle w:val="Indenta"/>
        <w:rPr>
          <w:snapToGrid w:val="0"/>
        </w:rPr>
      </w:pPr>
      <w:r>
        <w:rPr>
          <w:snapToGrid w:val="0"/>
        </w:rPr>
        <w:tab/>
        <w:t>(b)</w:t>
      </w:r>
      <w:r>
        <w:rPr>
          <w:snapToGrid w:val="0"/>
        </w:rPr>
        <w:tab/>
        <w:t>contravene a restriction imposed on a fishing activity in that area under regulation </w:t>
      </w:r>
      <w:bookmarkStart w:id="218" w:name="_Hlt499613823"/>
      <w:r>
        <w:rPr>
          <w:snapToGrid w:val="0"/>
        </w:rPr>
        <w:t>5</w:t>
      </w:r>
      <w:bookmarkEnd w:id="218"/>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In this regulation — </w:t>
      </w:r>
    </w:p>
    <w:p>
      <w:pPr>
        <w:pStyle w:val="Defstart"/>
      </w:pPr>
      <w:r>
        <w:tab/>
      </w:r>
      <w:del w:id="219" w:author="Master Repository Process" w:date="2021-07-31T17:33:00Z">
        <w:r>
          <w:rPr>
            <w:b/>
          </w:rPr>
          <w:delText>“</w:delText>
        </w:r>
      </w:del>
      <w:r>
        <w:rPr>
          <w:rStyle w:val="CharDefText"/>
        </w:rPr>
        <w:t>fishing activity</w:t>
      </w:r>
      <w:del w:id="220" w:author="Master Repository Process" w:date="2021-07-31T17:33:00Z">
        <w:r>
          <w:rPr>
            <w:b/>
          </w:rPr>
          <w:delText>”</w:delText>
        </w:r>
      </w:del>
      <w:r>
        <w:rPr>
          <w:b/>
        </w:rPr>
        <w:t xml:space="preserve"> </w:t>
      </w:r>
      <w:r>
        <w:t xml:space="preserve">has the same meaning as in the </w:t>
      </w:r>
      <w:r>
        <w:rPr>
          <w:i/>
        </w:rPr>
        <w:t>Fish Resources Management Act 1994</w:t>
      </w:r>
      <w:r>
        <w:t>.</w:t>
      </w:r>
    </w:p>
    <w:p>
      <w:pPr>
        <w:pStyle w:val="Heading5"/>
        <w:rPr>
          <w:snapToGrid w:val="0"/>
        </w:rPr>
      </w:pPr>
      <w:bookmarkStart w:id="221" w:name="_Toc189456499"/>
      <w:bookmarkStart w:id="222" w:name="_Toc524422510"/>
      <w:bookmarkStart w:id="223" w:name="_Toc5508123"/>
      <w:bookmarkStart w:id="224" w:name="_Toc8119091"/>
      <w:bookmarkStart w:id="225" w:name="_Toc78685209"/>
      <w:bookmarkStart w:id="226" w:name="_Toc150315582"/>
      <w:bookmarkStart w:id="227" w:name="_Toc160332740"/>
      <w:bookmarkStart w:id="228" w:name="_Toc170207766"/>
      <w:r>
        <w:rPr>
          <w:rStyle w:val="CharSectno"/>
        </w:rPr>
        <w:t>10</w:t>
      </w:r>
      <w:r>
        <w:rPr>
          <w:snapToGrid w:val="0"/>
        </w:rPr>
        <w:t>.</w:t>
      </w:r>
      <w:r>
        <w:rPr>
          <w:snapToGrid w:val="0"/>
        </w:rPr>
        <w:tab/>
        <w:t>Feeding of fauna</w:t>
      </w:r>
      <w:bookmarkEnd w:id="221"/>
      <w:bookmarkEnd w:id="222"/>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r>
      <w:r>
        <w:rPr>
          <w:snapToGrid w:val="0"/>
        </w:rPr>
        <w:tab/>
        <w:t>A person must not, without lawful authority, feed fauna, or entice fauna with food, on CALM land.</w:t>
      </w:r>
    </w:p>
    <w:p>
      <w:pPr>
        <w:pStyle w:val="Penstart"/>
        <w:rPr>
          <w:snapToGrid w:val="0"/>
        </w:rPr>
      </w:pPr>
      <w:r>
        <w:rPr>
          <w:snapToGrid w:val="0"/>
        </w:rPr>
        <w:tab/>
        <w:t>Penalty: $500.</w:t>
      </w:r>
    </w:p>
    <w:p>
      <w:pPr>
        <w:pStyle w:val="Heading5"/>
        <w:rPr>
          <w:snapToGrid w:val="0"/>
        </w:rPr>
      </w:pPr>
      <w:bookmarkStart w:id="229" w:name="_Toc189456500"/>
      <w:bookmarkStart w:id="230" w:name="_Toc524422511"/>
      <w:bookmarkStart w:id="231" w:name="_Toc5508124"/>
      <w:bookmarkStart w:id="232" w:name="_Toc8119092"/>
      <w:bookmarkStart w:id="233" w:name="_Toc78685210"/>
      <w:bookmarkStart w:id="234" w:name="_Toc150315583"/>
      <w:bookmarkStart w:id="235" w:name="_Toc160332741"/>
      <w:bookmarkStart w:id="236" w:name="_Toc170207767"/>
      <w:r>
        <w:rPr>
          <w:rStyle w:val="CharSectno"/>
        </w:rPr>
        <w:t>11</w:t>
      </w:r>
      <w:r>
        <w:rPr>
          <w:snapToGrid w:val="0"/>
        </w:rPr>
        <w:t>.</w:t>
      </w:r>
      <w:r>
        <w:rPr>
          <w:snapToGrid w:val="0"/>
        </w:rPr>
        <w:tab/>
        <w:t>Restrictions on approaching certain marine fauna</w:t>
      </w:r>
      <w:bookmarkEnd w:id="229"/>
      <w:bookmarkEnd w:id="230"/>
      <w:bookmarkEnd w:id="231"/>
      <w:bookmarkEnd w:id="232"/>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A person in a vessel or aircraft must not, without lawful authority, herd, chase, interfere with the movement of, or otherwise prevent the free movement of, a whale, dolphin, dugong, seal, sea lion, whale shark, manta ray, marine turtle or any other marine fauna in a marine reserve.</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does not contravene subregulation (1) if the person is in a vessel that is underway and fauna are riding in or on the bow wave of the vessel.</w:t>
      </w:r>
    </w:p>
    <w:p>
      <w:pPr>
        <w:pStyle w:val="Heading5"/>
        <w:rPr>
          <w:snapToGrid w:val="0"/>
        </w:rPr>
      </w:pPr>
      <w:bookmarkStart w:id="237" w:name="_Toc5508125"/>
      <w:bookmarkStart w:id="238" w:name="_Toc8119093"/>
      <w:bookmarkStart w:id="239" w:name="_Toc78685211"/>
      <w:bookmarkStart w:id="240" w:name="_Toc189456501"/>
      <w:bookmarkStart w:id="241" w:name="_Toc524422512"/>
      <w:bookmarkStart w:id="242" w:name="_Toc150315584"/>
      <w:bookmarkStart w:id="243" w:name="_Toc160332742"/>
      <w:bookmarkStart w:id="244" w:name="_Toc170207768"/>
      <w:r>
        <w:rPr>
          <w:rStyle w:val="CharSectno"/>
        </w:rPr>
        <w:t>12</w:t>
      </w:r>
      <w:r>
        <w:rPr>
          <w:snapToGrid w:val="0"/>
        </w:rPr>
        <w:t>.</w:t>
      </w:r>
      <w:r>
        <w:rPr>
          <w:snapToGrid w:val="0"/>
        </w:rPr>
        <w:tab/>
        <w:t xml:space="preserve">Possession </w:t>
      </w:r>
      <w:bookmarkEnd w:id="237"/>
      <w:bookmarkEnd w:id="238"/>
      <w:bookmarkEnd w:id="239"/>
      <w:r>
        <w:rPr>
          <w:snapToGrid w:val="0"/>
        </w:rPr>
        <w:t>or use of firearms, spears, restricted devices, etc.</w:t>
      </w:r>
      <w:bookmarkEnd w:id="240"/>
      <w:bookmarkEnd w:id="241"/>
      <w:bookmarkEnd w:id="242"/>
      <w:bookmarkEnd w:id="243"/>
      <w:bookmarkEnd w:id="244"/>
    </w:p>
    <w:p>
      <w:pPr>
        <w:pStyle w:val="Subsection"/>
        <w:rPr>
          <w:snapToGrid w:val="0"/>
        </w:rPr>
      </w:pPr>
      <w:r>
        <w:rPr>
          <w:snapToGrid w:val="0"/>
        </w:rPr>
        <w:tab/>
        <w:t>(1)</w:t>
      </w:r>
      <w:r>
        <w:rPr>
          <w:snapToGrid w:val="0"/>
        </w:rPr>
        <w:tab/>
        <w:t xml:space="preserve">A person must not, without lawful authority, have in his or her possession on CALM land a firearm or ammunition unless that thing — </w:t>
      </w:r>
    </w:p>
    <w:p>
      <w:pPr>
        <w:pStyle w:val="Indenta"/>
        <w:rPr>
          <w:snapToGrid w:val="0"/>
        </w:rPr>
      </w:pPr>
      <w:r>
        <w:rPr>
          <w:snapToGrid w:val="0"/>
        </w:rPr>
        <w:tab/>
        <w:t>(a)</w:t>
      </w:r>
      <w:r>
        <w:rPr>
          <w:snapToGrid w:val="0"/>
        </w:rPr>
        <w:tab/>
        <w:t>is completely stowed within a vehicle or vessel; and</w:t>
      </w:r>
    </w:p>
    <w:p>
      <w:pPr>
        <w:pStyle w:val="Indenta"/>
        <w:rPr>
          <w:snapToGrid w:val="0"/>
        </w:rPr>
      </w:pPr>
      <w:r>
        <w:rPr>
          <w:snapToGrid w:val="0"/>
        </w:rPr>
        <w:tab/>
        <w:t>(b)</w:t>
      </w:r>
      <w:r>
        <w:rPr>
          <w:snapToGrid w:val="0"/>
        </w:rPr>
        <w:tab/>
      </w:r>
      <w:r>
        <w:t>in the case of a firearm, is unloaded and disassembled</w:t>
      </w:r>
      <w:r>
        <w:rPr>
          <w:snapToGrid w:val="0"/>
        </w:rPr>
        <w:t>.</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 xml:space="preserve">A person must not, without lawful authority, have a spear, speargun, gidgie or Hawaiian sling in his or her possession in — </w:t>
      </w:r>
    </w:p>
    <w:p>
      <w:pPr>
        <w:pStyle w:val="Indenta"/>
        <w:rPr>
          <w:snapToGrid w:val="0"/>
        </w:rPr>
      </w:pPr>
      <w:r>
        <w:rPr>
          <w:snapToGrid w:val="0"/>
        </w:rPr>
        <w:tab/>
        <w:t>(a)</w:t>
      </w:r>
      <w:r>
        <w:rPr>
          <w:snapToGrid w:val="0"/>
        </w:rPr>
        <w:tab/>
        <w:t>a restricted area declared for the purposes of regulation </w:t>
      </w:r>
      <w:bookmarkStart w:id="245" w:name="_Hlt499613838"/>
      <w:r>
        <w:rPr>
          <w:snapToGrid w:val="0"/>
        </w:rPr>
        <w:t>9</w:t>
      </w:r>
      <w:bookmarkEnd w:id="245"/>
      <w:r>
        <w:rPr>
          <w:snapToGrid w:val="0"/>
        </w:rPr>
        <w:t xml:space="preserve">; or </w:t>
      </w:r>
    </w:p>
    <w:p>
      <w:pPr>
        <w:pStyle w:val="Indenta"/>
        <w:rPr>
          <w:snapToGrid w:val="0"/>
        </w:rPr>
      </w:pPr>
      <w:r>
        <w:rPr>
          <w:snapToGrid w:val="0"/>
        </w:rPr>
        <w:tab/>
        <w:t>(b)</w:t>
      </w:r>
      <w:r>
        <w:rPr>
          <w:snapToGrid w:val="0"/>
        </w:rPr>
        <w:tab/>
        <w:t>an area classified under section 62(1a) of the Act as a sanctuary area,</w:t>
      </w:r>
    </w:p>
    <w:p>
      <w:pPr>
        <w:pStyle w:val="Subsection"/>
        <w:rPr>
          <w:snapToGrid w:val="0"/>
        </w:rPr>
      </w:pPr>
      <w:r>
        <w:rPr>
          <w:snapToGrid w:val="0"/>
        </w:rPr>
        <w:tab/>
      </w:r>
      <w:r>
        <w:rPr>
          <w:snapToGrid w:val="0"/>
        </w:rPr>
        <w:tab/>
        <w:t>unless that thing is completely stowed within a vehicle or vessel and, if it is practicable to do so, is unloaded and disassembled.</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A person must not, without lawful authority, have in his or her possession on CALM land any restricted device that is intended to be used for the taking of fauna or that constitutes a danger to the public. </w:t>
      </w:r>
    </w:p>
    <w:p>
      <w:pPr>
        <w:pStyle w:val="Penstart"/>
        <w:rPr>
          <w:snapToGrid w:val="0"/>
        </w:rPr>
      </w:pPr>
      <w:r>
        <w:rPr>
          <w:snapToGrid w:val="0"/>
        </w:rPr>
        <w:tab/>
        <w:t>Penalty: $1 000.</w:t>
      </w:r>
    </w:p>
    <w:p>
      <w:pPr>
        <w:pStyle w:val="Subsection"/>
      </w:pPr>
      <w:r>
        <w:tab/>
        <w:t>(3a)</w:t>
      </w:r>
      <w:r>
        <w:tab/>
        <w:t xml:space="preserve">A person must not, without lawful authority — </w:t>
      </w:r>
    </w:p>
    <w:p>
      <w:pPr>
        <w:pStyle w:val="Indenta"/>
      </w:pPr>
      <w:r>
        <w:tab/>
        <w:t>(a)</w:t>
      </w:r>
      <w:r>
        <w:tab/>
        <w:t>discharge a firearm on CALM land; or</w:t>
      </w:r>
    </w:p>
    <w:p>
      <w:pPr>
        <w:pStyle w:val="Indenta"/>
      </w:pPr>
      <w:r>
        <w:tab/>
        <w:t>(b)</w:t>
      </w:r>
      <w:r>
        <w:tab/>
        <w:t xml:space="preserve">use a spear, speargun, gidgie or Hawaiian sling in — </w:t>
      </w:r>
    </w:p>
    <w:p>
      <w:pPr>
        <w:pStyle w:val="Indenti"/>
      </w:pPr>
      <w:r>
        <w:tab/>
        <w:t>(i)</w:t>
      </w:r>
      <w:r>
        <w:tab/>
        <w:t>a restricted area declared for the purposes of regulation 9; or</w:t>
      </w:r>
    </w:p>
    <w:p>
      <w:pPr>
        <w:pStyle w:val="Indenti"/>
      </w:pPr>
      <w:r>
        <w:tab/>
        <w:t>(ii)</w:t>
      </w:r>
      <w:r>
        <w:tab/>
        <w:t>an area classified under section 62(1a) of the Act as a sanctuary area;</w:t>
      </w:r>
    </w:p>
    <w:p>
      <w:pPr>
        <w:pStyle w:val="Indenta"/>
      </w:pPr>
      <w:r>
        <w:tab/>
      </w:r>
      <w:r>
        <w:tab/>
        <w:t>or</w:t>
      </w:r>
    </w:p>
    <w:p>
      <w:pPr>
        <w:pStyle w:val="Indenta"/>
      </w:pPr>
      <w:r>
        <w:tab/>
        <w:t>(c)</w:t>
      </w:r>
      <w:r>
        <w:tab/>
        <w:t>use a restricted device on CALM land for taking fauna or in a manner that constitutes a danger to the public.</w:t>
      </w:r>
    </w:p>
    <w:p>
      <w:pPr>
        <w:pStyle w:val="Penstart"/>
      </w:pPr>
      <w:r>
        <w:tab/>
        <w:t>Penalty: $1 000.</w:t>
      </w:r>
    </w:p>
    <w:p>
      <w:pPr>
        <w:pStyle w:val="Subsection"/>
      </w:pPr>
      <w:r>
        <w:rPr>
          <w:snapToGrid w:val="0"/>
        </w:rPr>
        <w:tab/>
        <w:t>(4)</w:t>
      </w:r>
      <w:r>
        <w:rPr>
          <w:snapToGrid w:val="0"/>
        </w:rPr>
        <w:tab/>
      </w:r>
      <w:r>
        <w:t>Nothing in this regulation prohibits a person from having or using a thing in his or her possession on CALM land where that person has lawful authority to take fauna using that thing.</w:t>
      </w:r>
    </w:p>
    <w:p>
      <w:pPr>
        <w:pStyle w:val="Subsection"/>
        <w:rPr>
          <w:snapToGrid w:val="0"/>
        </w:rPr>
      </w:pPr>
      <w:r>
        <w:rPr>
          <w:snapToGrid w:val="0"/>
        </w:rPr>
        <w:tab/>
        <w:t>(5)</w:t>
      </w:r>
      <w:r>
        <w:rPr>
          <w:snapToGrid w:val="0"/>
        </w:rPr>
        <w:tab/>
        <w:t xml:space="preserve">In this regulation — </w:t>
      </w:r>
    </w:p>
    <w:p>
      <w:pPr>
        <w:pStyle w:val="Defstart"/>
      </w:pPr>
      <w:r>
        <w:tab/>
      </w:r>
      <w:del w:id="246" w:author="Master Repository Process" w:date="2021-07-31T17:33:00Z">
        <w:r>
          <w:rPr>
            <w:b/>
          </w:rPr>
          <w:delText>“</w:delText>
        </w:r>
      </w:del>
      <w:r>
        <w:rPr>
          <w:rStyle w:val="CharDefText"/>
        </w:rPr>
        <w:t>restricted device</w:t>
      </w:r>
      <w:del w:id="247" w:author="Master Repository Process" w:date="2021-07-31T17:33:00Z">
        <w:r>
          <w:rPr>
            <w:b/>
          </w:rPr>
          <w:delText>”</w:delText>
        </w:r>
      </w:del>
      <w:r>
        <w:t xml:space="preserve"> means — </w:t>
      </w:r>
    </w:p>
    <w:p>
      <w:pPr>
        <w:pStyle w:val="Defpara"/>
      </w:pPr>
      <w:r>
        <w:tab/>
        <w:t>(a)</w:t>
      </w:r>
      <w:r>
        <w:tab/>
        <w:t>a bow or cross</w:t>
      </w:r>
      <w:r>
        <w:noBreakHyphen/>
        <w:t>bow;</w:t>
      </w:r>
    </w:p>
    <w:p>
      <w:pPr>
        <w:pStyle w:val="Defpara"/>
      </w:pPr>
      <w:r>
        <w:tab/>
        <w:t>(b)</w:t>
      </w:r>
      <w:r>
        <w:tab/>
        <w:t>an explosive, poisonous, noxious or narcotising substance;</w:t>
      </w:r>
    </w:p>
    <w:p>
      <w:pPr>
        <w:pStyle w:val="Defpara"/>
      </w:pPr>
      <w:r>
        <w:tab/>
        <w:t>(c)</w:t>
      </w:r>
      <w:r>
        <w:tab/>
        <w:t>a snare, trap or net; or</w:t>
      </w:r>
    </w:p>
    <w:p>
      <w:pPr>
        <w:pStyle w:val="Defpara"/>
      </w:pPr>
      <w:r>
        <w:tab/>
        <w:t>(d)</w:t>
      </w:r>
      <w:r>
        <w:tab/>
        <w:t>any other equipment, implement, device, apparatus or other thing that is used, capable of being used, or designed or adapted for use for, or in connection with, taking fauna, and is not referred to in subregulation (1) or (2).</w:t>
      </w:r>
    </w:p>
    <w:p>
      <w:pPr>
        <w:pStyle w:val="Footnotesection"/>
      </w:pPr>
      <w:r>
        <w:tab/>
        <w:t>[Regulation 12 amended in Gazette 29 Sep 2006 p. 4306</w:t>
      </w:r>
      <w:r>
        <w:noBreakHyphen/>
        <w:t>7; 27 Feb 2007 p. 625.]</w:t>
      </w:r>
    </w:p>
    <w:p>
      <w:pPr>
        <w:pStyle w:val="Heading5"/>
        <w:rPr>
          <w:snapToGrid w:val="0"/>
        </w:rPr>
      </w:pPr>
      <w:bookmarkStart w:id="248" w:name="_Hlt499613854"/>
      <w:bookmarkStart w:id="249" w:name="_Toc189456502"/>
      <w:bookmarkStart w:id="250" w:name="_Toc524422513"/>
      <w:bookmarkStart w:id="251" w:name="_Toc5508126"/>
      <w:bookmarkStart w:id="252" w:name="_Toc8119094"/>
      <w:bookmarkStart w:id="253" w:name="_Toc78685212"/>
      <w:bookmarkStart w:id="254" w:name="_Toc150315585"/>
      <w:bookmarkStart w:id="255" w:name="_Toc160332743"/>
      <w:bookmarkStart w:id="256" w:name="_Toc170207769"/>
      <w:bookmarkEnd w:id="248"/>
      <w:r>
        <w:rPr>
          <w:rStyle w:val="CharSectno"/>
        </w:rPr>
        <w:t>13</w:t>
      </w:r>
      <w:r>
        <w:rPr>
          <w:snapToGrid w:val="0"/>
        </w:rPr>
        <w:t>.</w:t>
      </w:r>
      <w:r>
        <w:rPr>
          <w:snapToGrid w:val="0"/>
        </w:rPr>
        <w:tab/>
        <w:t>Cultivation etc. prohibited</w:t>
      </w:r>
      <w:bookmarkEnd w:id="249"/>
      <w:bookmarkEnd w:id="250"/>
      <w:bookmarkEnd w:id="251"/>
      <w:bookmarkEnd w:id="252"/>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A person must not, without lawful authority, plant, cultivate or abandon any plant on CALM 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 </w:t>
      </w:r>
      <w:del w:id="257" w:author="Master Repository Process" w:date="2021-07-31T17:33:00Z">
        <w:r>
          <w:rPr>
            <w:b/>
            <w:snapToGrid w:val="0"/>
          </w:rPr>
          <w:delText>“</w:delText>
        </w:r>
      </w:del>
      <w:r>
        <w:rPr>
          <w:rStyle w:val="CharDefText"/>
        </w:rPr>
        <w:t>plant</w:t>
      </w:r>
      <w:del w:id="258" w:author="Master Repository Process" w:date="2021-07-31T17:33:00Z">
        <w:r>
          <w:rPr>
            <w:b/>
            <w:snapToGrid w:val="0"/>
          </w:rPr>
          <w:delText>”</w:delText>
        </w:r>
      </w:del>
      <w:r>
        <w:rPr>
          <w:snapToGrid w:val="0"/>
        </w:rPr>
        <w:t xml:space="preserve"> includes any part of a plant.</w:t>
      </w:r>
    </w:p>
    <w:p>
      <w:pPr>
        <w:pStyle w:val="Heading5"/>
        <w:rPr>
          <w:snapToGrid w:val="0"/>
        </w:rPr>
      </w:pPr>
      <w:bookmarkStart w:id="259" w:name="_Toc189456503"/>
      <w:bookmarkStart w:id="260" w:name="_Toc524422514"/>
      <w:bookmarkStart w:id="261" w:name="_Toc5508127"/>
      <w:bookmarkStart w:id="262" w:name="_Toc8119095"/>
      <w:bookmarkStart w:id="263" w:name="_Toc78685213"/>
      <w:bookmarkStart w:id="264" w:name="_Toc150315586"/>
      <w:bookmarkStart w:id="265" w:name="_Toc160332744"/>
      <w:bookmarkStart w:id="266" w:name="_Toc170207770"/>
      <w:r>
        <w:rPr>
          <w:rStyle w:val="CharSectno"/>
        </w:rPr>
        <w:t>14</w:t>
      </w:r>
      <w:r>
        <w:rPr>
          <w:snapToGrid w:val="0"/>
        </w:rPr>
        <w:t>.</w:t>
      </w:r>
      <w:r>
        <w:rPr>
          <w:snapToGrid w:val="0"/>
        </w:rPr>
        <w:tab/>
        <w:t>Removal of plants</w:t>
      </w:r>
      <w:bookmarkEnd w:id="259"/>
      <w:bookmarkEnd w:id="260"/>
      <w:bookmarkEnd w:id="261"/>
      <w:bookmarkEnd w:id="262"/>
      <w:bookmarkEnd w:id="263"/>
      <w:bookmarkEnd w:id="264"/>
      <w:bookmarkEnd w:id="265"/>
      <w:bookmarkEnd w:id="266"/>
      <w:r>
        <w:rPr>
          <w:snapToGrid w:val="0"/>
        </w:rPr>
        <w:t xml:space="preserve"> </w:t>
      </w:r>
    </w:p>
    <w:p>
      <w:pPr>
        <w:pStyle w:val="Subsection"/>
        <w:rPr>
          <w:snapToGrid w:val="0"/>
        </w:rPr>
      </w:pPr>
      <w:r>
        <w:rPr>
          <w:snapToGrid w:val="0"/>
        </w:rPr>
        <w:tab/>
        <w:t>(1)</w:t>
      </w:r>
      <w:r>
        <w:rPr>
          <w:snapToGrid w:val="0"/>
        </w:rPr>
        <w:tab/>
        <w:t>An authorised officer who finds a person contravening regulation </w:t>
      </w:r>
      <w:bookmarkStart w:id="267" w:name="_Hlt499613852"/>
      <w:r>
        <w:rPr>
          <w:snapToGrid w:val="0"/>
        </w:rPr>
        <w:t>13</w:t>
      </w:r>
      <w:bookmarkEnd w:id="267"/>
      <w:r>
        <w:rPr>
          <w:snapToGrid w:val="0"/>
        </w:rPr>
        <w:t xml:space="preserve"> may direct that person then and there to remove the plant the subject of the offence, and any equipment likely to be used in the cultivation of the plant, from the land.</w:t>
      </w:r>
    </w:p>
    <w:p>
      <w:pPr>
        <w:pStyle w:val="Subsection"/>
        <w:rPr>
          <w:snapToGrid w:val="0"/>
        </w:rPr>
      </w:pPr>
      <w:r>
        <w:rPr>
          <w:snapToGrid w:val="0"/>
        </w:rPr>
        <w:tab/>
        <w:t>(2)</w:t>
      </w:r>
      <w:r>
        <w:rPr>
          <w:snapToGrid w:val="0"/>
        </w:rPr>
        <w:tab/>
        <w:t>A person must comply with a direction under subregulation (1).</w:t>
      </w:r>
    </w:p>
    <w:p>
      <w:pPr>
        <w:pStyle w:val="Penstart"/>
        <w:rPr>
          <w:snapToGrid w:val="0"/>
        </w:rPr>
      </w:pPr>
      <w:r>
        <w:rPr>
          <w:snapToGrid w:val="0"/>
        </w:rPr>
        <w:tab/>
        <w:t>Penalty: $2 000.</w:t>
      </w:r>
    </w:p>
    <w:p>
      <w:pPr>
        <w:pStyle w:val="Heading3"/>
      </w:pPr>
      <w:bookmarkStart w:id="268" w:name="_Toc71354873"/>
      <w:bookmarkStart w:id="269" w:name="_Toc78623611"/>
      <w:bookmarkStart w:id="270" w:name="_Toc78685214"/>
      <w:bookmarkStart w:id="271" w:name="_Toc189456504"/>
      <w:bookmarkStart w:id="272" w:name="_Toc524422515"/>
      <w:bookmarkStart w:id="273" w:name="_Toc147312311"/>
      <w:bookmarkStart w:id="274" w:name="_Toc147631172"/>
      <w:bookmarkStart w:id="275" w:name="_Toc147633506"/>
      <w:bookmarkStart w:id="276" w:name="_Toc147906950"/>
      <w:bookmarkStart w:id="277" w:name="_Toc147907349"/>
      <w:bookmarkStart w:id="278" w:name="_Toc149009902"/>
      <w:bookmarkStart w:id="279" w:name="_Toc149010256"/>
      <w:bookmarkStart w:id="280" w:name="_Toc149010424"/>
      <w:bookmarkStart w:id="281" w:name="_Toc149016304"/>
      <w:bookmarkStart w:id="282" w:name="_Toc149039047"/>
      <w:bookmarkStart w:id="283" w:name="_Toc149039768"/>
      <w:bookmarkStart w:id="284" w:name="_Toc150315376"/>
      <w:bookmarkStart w:id="285" w:name="_Toc150315587"/>
      <w:bookmarkStart w:id="286" w:name="_Toc160272797"/>
      <w:bookmarkStart w:id="287" w:name="_Toc160332745"/>
      <w:bookmarkStart w:id="288" w:name="_Toc170207771"/>
      <w:r>
        <w:rPr>
          <w:rStyle w:val="CharDivNo"/>
        </w:rPr>
        <w:t>Division 2</w:t>
      </w:r>
      <w:r>
        <w:rPr>
          <w:snapToGrid w:val="0"/>
        </w:rPr>
        <w:t xml:space="preserve"> — </w:t>
      </w:r>
      <w:bookmarkEnd w:id="268"/>
      <w:bookmarkEnd w:id="269"/>
      <w:bookmarkEnd w:id="270"/>
      <w:r>
        <w:rPr>
          <w:rStyle w:val="CharDivText"/>
        </w:rPr>
        <w:t>Animals on CALM land</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pPr>
        <w:pStyle w:val="Footnoteheading"/>
      </w:pPr>
      <w:r>
        <w:tab/>
        <w:t>[Heading amended in Gazette 29 Sep 2006 p. 4307.]</w:t>
      </w:r>
    </w:p>
    <w:p>
      <w:pPr>
        <w:pStyle w:val="Heading5"/>
        <w:rPr>
          <w:snapToGrid w:val="0"/>
        </w:rPr>
      </w:pPr>
      <w:bookmarkStart w:id="289" w:name="_Hlt499613889"/>
      <w:bookmarkStart w:id="290" w:name="_Toc189456505"/>
      <w:bookmarkStart w:id="291" w:name="_Toc524422516"/>
      <w:bookmarkStart w:id="292" w:name="_Toc5508128"/>
      <w:bookmarkStart w:id="293" w:name="_Toc8119096"/>
      <w:bookmarkStart w:id="294" w:name="_Toc78685215"/>
      <w:bookmarkStart w:id="295" w:name="_Toc150315588"/>
      <w:bookmarkStart w:id="296" w:name="_Toc160332746"/>
      <w:bookmarkStart w:id="297" w:name="_Toc170207772"/>
      <w:bookmarkEnd w:id="289"/>
      <w:r>
        <w:rPr>
          <w:rStyle w:val="CharSectno"/>
        </w:rPr>
        <w:t>15</w:t>
      </w:r>
      <w:r>
        <w:rPr>
          <w:snapToGrid w:val="0"/>
        </w:rPr>
        <w:t>.</w:t>
      </w:r>
      <w:r>
        <w:rPr>
          <w:snapToGrid w:val="0"/>
        </w:rPr>
        <w:tab/>
        <w:t>Bringing animal on to CALM land</w:t>
      </w:r>
      <w:bookmarkEnd w:id="290"/>
      <w:bookmarkEnd w:id="291"/>
      <w:bookmarkEnd w:id="292"/>
      <w:bookmarkEnd w:id="293"/>
      <w:bookmarkEnd w:id="294"/>
      <w:bookmarkEnd w:id="295"/>
      <w:bookmarkEnd w:id="296"/>
      <w:bookmarkEnd w:id="297"/>
      <w:r>
        <w:rPr>
          <w:snapToGrid w:val="0"/>
        </w:rPr>
        <w:t xml:space="preserve"> </w:t>
      </w:r>
    </w:p>
    <w:p>
      <w:pPr>
        <w:pStyle w:val="Subsection"/>
        <w:rPr>
          <w:snapToGrid w:val="0"/>
        </w:rPr>
      </w:pPr>
      <w:r>
        <w:rPr>
          <w:snapToGrid w:val="0"/>
        </w:rPr>
        <w:tab/>
      </w:r>
      <w:r>
        <w:rPr>
          <w:snapToGrid w:val="0"/>
        </w:rPr>
        <w:tab/>
        <w:t>Without limiting section 106(a), and subject to regulations </w:t>
      </w:r>
      <w:bookmarkStart w:id="298" w:name="_Hlt499613861"/>
      <w:r>
        <w:rPr>
          <w:snapToGrid w:val="0"/>
        </w:rPr>
        <w:t>16</w:t>
      </w:r>
      <w:bookmarkEnd w:id="298"/>
      <w:r>
        <w:rPr>
          <w:snapToGrid w:val="0"/>
        </w:rPr>
        <w:t xml:space="preserve"> and 17, a person must not, without lawful authority — </w:t>
      </w:r>
    </w:p>
    <w:p>
      <w:pPr>
        <w:pStyle w:val="Indenta"/>
        <w:rPr>
          <w:snapToGrid w:val="0"/>
        </w:rPr>
      </w:pPr>
      <w:r>
        <w:rPr>
          <w:snapToGrid w:val="0"/>
        </w:rPr>
        <w:tab/>
        <w:t>(a)</w:t>
      </w:r>
      <w:r>
        <w:rPr>
          <w:snapToGrid w:val="0"/>
        </w:rPr>
        <w:tab/>
        <w:t>bring an animal on to CALM land; or</w:t>
      </w:r>
    </w:p>
    <w:p>
      <w:pPr>
        <w:pStyle w:val="Indenta"/>
        <w:keepNext/>
        <w:rPr>
          <w:snapToGrid w:val="0"/>
        </w:rPr>
      </w:pPr>
      <w:r>
        <w:rPr>
          <w:snapToGrid w:val="0"/>
        </w:rPr>
        <w:tab/>
        <w:t>(b)</w:t>
      </w:r>
      <w:r>
        <w:rPr>
          <w:snapToGrid w:val="0"/>
        </w:rPr>
        <w:tab/>
        <w:t>allow an animal to enter or remain on CALM land.</w:t>
      </w:r>
    </w:p>
    <w:p>
      <w:pPr>
        <w:pStyle w:val="Penstart"/>
        <w:rPr>
          <w:snapToGrid w:val="0"/>
        </w:rPr>
      </w:pPr>
      <w:r>
        <w:rPr>
          <w:snapToGrid w:val="0"/>
        </w:rPr>
        <w:tab/>
        <w:t>Penalty: $500.</w:t>
      </w:r>
    </w:p>
    <w:p>
      <w:pPr>
        <w:pStyle w:val="Heading5"/>
        <w:spacing w:before="180"/>
        <w:rPr>
          <w:snapToGrid w:val="0"/>
        </w:rPr>
      </w:pPr>
      <w:bookmarkStart w:id="299" w:name="_Hlt499613741"/>
      <w:bookmarkStart w:id="300" w:name="_Toc189456506"/>
      <w:bookmarkStart w:id="301" w:name="_Toc524422517"/>
      <w:bookmarkStart w:id="302" w:name="_Toc5508129"/>
      <w:bookmarkStart w:id="303" w:name="_Toc8119097"/>
      <w:bookmarkStart w:id="304" w:name="_Toc78685216"/>
      <w:bookmarkStart w:id="305" w:name="_Toc150315589"/>
      <w:bookmarkStart w:id="306" w:name="_Toc160332747"/>
      <w:bookmarkStart w:id="307" w:name="_Toc170207773"/>
      <w:bookmarkEnd w:id="299"/>
      <w:r>
        <w:rPr>
          <w:rStyle w:val="CharSectno"/>
        </w:rPr>
        <w:t>16</w:t>
      </w:r>
      <w:r>
        <w:rPr>
          <w:snapToGrid w:val="0"/>
        </w:rPr>
        <w:t>.</w:t>
      </w:r>
      <w:r>
        <w:rPr>
          <w:snapToGrid w:val="0"/>
        </w:rPr>
        <w:tab/>
        <w:t>Dogs on CALM land</w:t>
      </w:r>
      <w:bookmarkEnd w:id="300"/>
      <w:bookmarkEnd w:id="301"/>
      <w:bookmarkEnd w:id="302"/>
      <w:bookmarkEnd w:id="303"/>
      <w:bookmarkEnd w:id="304"/>
      <w:bookmarkEnd w:id="305"/>
      <w:bookmarkEnd w:id="306"/>
      <w:bookmarkEnd w:id="307"/>
      <w:r>
        <w:rPr>
          <w:snapToGrid w:val="0"/>
        </w:rPr>
        <w:t xml:space="preserve"> </w:t>
      </w:r>
    </w:p>
    <w:p>
      <w:pPr>
        <w:pStyle w:val="Subsection"/>
        <w:rPr>
          <w:snapToGrid w:val="0"/>
        </w:rPr>
      </w:pPr>
      <w:r>
        <w:rPr>
          <w:snapToGrid w:val="0"/>
        </w:rPr>
        <w:tab/>
        <w:t>(1)</w:t>
      </w:r>
      <w:r>
        <w:rPr>
          <w:snapToGrid w:val="0"/>
        </w:rPr>
        <w:tab/>
        <w:t>A person may bring a dog on to a designated area.</w:t>
      </w:r>
    </w:p>
    <w:p>
      <w:pPr>
        <w:pStyle w:val="Subsection"/>
        <w:rPr>
          <w:snapToGrid w:val="0"/>
        </w:rPr>
      </w:pPr>
      <w:r>
        <w:rPr>
          <w:snapToGrid w:val="0"/>
        </w:rPr>
        <w:tab/>
      </w:r>
      <w:bookmarkStart w:id="308" w:name="_Hlt500046053"/>
      <w:bookmarkEnd w:id="308"/>
      <w:r>
        <w:rPr>
          <w:snapToGrid w:val="0"/>
        </w:rPr>
        <w:t>(2)</w:t>
      </w:r>
      <w:r>
        <w:rPr>
          <w:snapToGrid w:val="0"/>
        </w:rPr>
        <w:tab/>
        <w:t>A person must control and manage a dog in a designated area in accordance with conditions specified on the signs erected in or in the vicinity of that area for the purposes of regulation </w:t>
      </w:r>
      <w:bookmarkStart w:id="309" w:name="_Hlt499613871"/>
      <w:r>
        <w:rPr>
          <w:snapToGrid w:val="0"/>
        </w:rPr>
        <w:t>6(3)</w:t>
      </w:r>
      <w:bookmarkEnd w:id="309"/>
      <w:r>
        <w:rPr>
          <w:snapToGrid w:val="0"/>
        </w:rPr>
        <w:t>.</w:t>
      </w:r>
    </w:p>
    <w:p>
      <w:pPr>
        <w:pStyle w:val="Penstart"/>
        <w:rPr>
          <w:snapToGrid w:val="0"/>
        </w:rPr>
      </w:pPr>
      <w:r>
        <w:rPr>
          <w:snapToGrid w:val="0"/>
        </w:rPr>
        <w:tab/>
        <w:t>Penalty: $500.</w:t>
      </w:r>
    </w:p>
    <w:p>
      <w:pPr>
        <w:pStyle w:val="Heading5"/>
        <w:spacing w:before="180"/>
        <w:rPr>
          <w:snapToGrid w:val="0"/>
        </w:rPr>
      </w:pPr>
      <w:bookmarkStart w:id="310" w:name="_Hlt499613744"/>
      <w:bookmarkStart w:id="311" w:name="_Toc189456507"/>
      <w:bookmarkStart w:id="312" w:name="_Toc524422518"/>
      <w:bookmarkStart w:id="313" w:name="_Toc5508130"/>
      <w:bookmarkStart w:id="314" w:name="_Toc8119098"/>
      <w:bookmarkStart w:id="315" w:name="_Toc78685217"/>
      <w:bookmarkStart w:id="316" w:name="_Toc150315590"/>
      <w:bookmarkStart w:id="317" w:name="_Toc160332748"/>
      <w:bookmarkStart w:id="318" w:name="_Toc170207774"/>
      <w:bookmarkEnd w:id="310"/>
      <w:r>
        <w:rPr>
          <w:rStyle w:val="CharSectno"/>
        </w:rPr>
        <w:t>17</w:t>
      </w:r>
      <w:r>
        <w:rPr>
          <w:snapToGrid w:val="0"/>
        </w:rPr>
        <w:t>.</w:t>
      </w:r>
      <w:r>
        <w:rPr>
          <w:snapToGrid w:val="0"/>
        </w:rPr>
        <w:tab/>
        <w:t>Horses on CALM land</w:t>
      </w:r>
      <w:bookmarkEnd w:id="311"/>
      <w:bookmarkEnd w:id="312"/>
      <w:bookmarkEnd w:id="313"/>
      <w:bookmarkEnd w:id="314"/>
      <w:bookmarkEnd w:id="315"/>
      <w:bookmarkEnd w:id="316"/>
      <w:bookmarkEnd w:id="317"/>
      <w:bookmarkEnd w:id="318"/>
      <w:r>
        <w:rPr>
          <w:snapToGrid w:val="0"/>
        </w:rPr>
        <w:t xml:space="preserve"> </w:t>
      </w:r>
    </w:p>
    <w:p>
      <w:pPr>
        <w:pStyle w:val="Subsection"/>
        <w:rPr>
          <w:snapToGrid w:val="0"/>
        </w:rPr>
      </w:pPr>
      <w:r>
        <w:rPr>
          <w:snapToGrid w:val="0"/>
        </w:rPr>
        <w:tab/>
        <w:t>(1)</w:t>
      </w:r>
      <w:r>
        <w:rPr>
          <w:snapToGrid w:val="0"/>
        </w:rPr>
        <w:tab/>
        <w:t>A person may bring a horse on to a designated area.</w:t>
      </w:r>
    </w:p>
    <w:p>
      <w:pPr>
        <w:pStyle w:val="Subsection"/>
        <w:spacing w:before="120"/>
        <w:rPr>
          <w:snapToGrid w:val="0"/>
        </w:rPr>
      </w:pPr>
      <w:r>
        <w:rPr>
          <w:snapToGrid w:val="0"/>
        </w:rPr>
        <w:tab/>
        <w:t>(2)</w:t>
      </w:r>
      <w:r>
        <w:rPr>
          <w:snapToGrid w:val="0"/>
        </w:rPr>
        <w:tab/>
        <w:t>A person must control and manage a horse in a designated area in accordance with conditions specified on the signs erected in or in the vicinity of that area for the purposes of regulation 6(3).</w:t>
      </w:r>
    </w:p>
    <w:p>
      <w:pPr>
        <w:pStyle w:val="Penstart"/>
        <w:rPr>
          <w:snapToGrid w:val="0"/>
        </w:rPr>
      </w:pPr>
      <w:r>
        <w:rPr>
          <w:snapToGrid w:val="0"/>
        </w:rPr>
        <w:tab/>
        <w:t>Penalty: $500.</w:t>
      </w:r>
    </w:p>
    <w:p>
      <w:pPr>
        <w:pStyle w:val="Heading5"/>
        <w:spacing w:before="180"/>
        <w:rPr>
          <w:snapToGrid w:val="0"/>
        </w:rPr>
      </w:pPr>
      <w:bookmarkStart w:id="319" w:name="_Toc189456508"/>
      <w:bookmarkStart w:id="320" w:name="_Toc524422519"/>
      <w:bookmarkStart w:id="321" w:name="_Toc5508131"/>
      <w:bookmarkStart w:id="322" w:name="_Toc8119099"/>
      <w:bookmarkStart w:id="323" w:name="_Toc78685218"/>
      <w:bookmarkStart w:id="324" w:name="_Toc150315591"/>
      <w:bookmarkStart w:id="325" w:name="_Toc160332749"/>
      <w:bookmarkStart w:id="326" w:name="_Toc170207775"/>
      <w:r>
        <w:rPr>
          <w:rStyle w:val="CharSectno"/>
        </w:rPr>
        <w:t>18</w:t>
      </w:r>
      <w:r>
        <w:rPr>
          <w:snapToGrid w:val="0"/>
        </w:rPr>
        <w:t>.</w:t>
      </w:r>
      <w:r>
        <w:rPr>
          <w:snapToGrid w:val="0"/>
        </w:rPr>
        <w:tab/>
        <w:t>Unlawful taking of non</w:t>
      </w:r>
      <w:r>
        <w:rPr>
          <w:snapToGrid w:val="0"/>
        </w:rPr>
        <w:noBreakHyphen/>
        <w:t>indigenous animals</w:t>
      </w:r>
      <w:bookmarkEnd w:id="319"/>
      <w:bookmarkEnd w:id="320"/>
      <w:bookmarkEnd w:id="321"/>
      <w:bookmarkEnd w:id="322"/>
      <w:bookmarkEnd w:id="323"/>
      <w:bookmarkEnd w:id="324"/>
      <w:bookmarkEnd w:id="325"/>
      <w:bookmarkEnd w:id="326"/>
      <w:r>
        <w:rPr>
          <w:snapToGrid w:val="0"/>
        </w:rPr>
        <w:t xml:space="preserve"> </w:t>
      </w:r>
    </w:p>
    <w:p>
      <w:pPr>
        <w:pStyle w:val="Subsection"/>
        <w:spacing w:before="120"/>
        <w:rPr>
          <w:snapToGrid w:val="0"/>
        </w:rPr>
      </w:pPr>
      <w:r>
        <w:rPr>
          <w:snapToGrid w:val="0"/>
        </w:rPr>
        <w:tab/>
      </w:r>
      <w:r>
        <w:rPr>
          <w:snapToGrid w:val="0"/>
        </w:rPr>
        <w:tab/>
        <w:t>A person must not, without lawful authority, take any non</w:t>
      </w:r>
      <w:r>
        <w:rPr>
          <w:snapToGrid w:val="0"/>
        </w:rPr>
        <w:noBreakHyphen/>
        <w:t>indigenous animal on CALM land.</w:t>
      </w:r>
    </w:p>
    <w:p>
      <w:pPr>
        <w:pStyle w:val="Penstart"/>
        <w:rPr>
          <w:snapToGrid w:val="0"/>
        </w:rPr>
      </w:pPr>
      <w:r>
        <w:rPr>
          <w:snapToGrid w:val="0"/>
        </w:rPr>
        <w:tab/>
        <w:t>Penalty: $1 000.</w:t>
      </w:r>
    </w:p>
    <w:p>
      <w:pPr>
        <w:pStyle w:val="Heading5"/>
        <w:spacing w:before="180"/>
        <w:rPr>
          <w:snapToGrid w:val="0"/>
        </w:rPr>
      </w:pPr>
      <w:bookmarkStart w:id="327" w:name="_Toc189456509"/>
      <w:bookmarkStart w:id="328" w:name="_Toc524422520"/>
      <w:bookmarkStart w:id="329" w:name="_Toc5508132"/>
      <w:bookmarkStart w:id="330" w:name="_Toc8119100"/>
      <w:bookmarkStart w:id="331" w:name="_Toc78685219"/>
      <w:bookmarkStart w:id="332" w:name="_Toc150315592"/>
      <w:bookmarkStart w:id="333" w:name="_Toc160332750"/>
      <w:bookmarkStart w:id="334" w:name="_Toc170207776"/>
      <w:r>
        <w:rPr>
          <w:rStyle w:val="CharSectno"/>
        </w:rPr>
        <w:t>19</w:t>
      </w:r>
      <w:r>
        <w:rPr>
          <w:snapToGrid w:val="0"/>
        </w:rPr>
        <w:t>.</w:t>
      </w:r>
      <w:r>
        <w:rPr>
          <w:snapToGrid w:val="0"/>
        </w:rPr>
        <w:tab/>
        <w:t>Removal of animal by owner or person in charge</w:t>
      </w:r>
      <w:bookmarkEnd w:id="327"/>
      <w:bookmarkEnd w:id="328"/>
      <w:bookmarkEnd w:id="329"/>
      <w:bookmarkEnd w:id="330"/>
      <w:bookmarkEnd w:id="331"/>
      <w:bookmarkEnd w:id="332"/>
      <w:bookmarkEnd w:id="333"/>
      <w:bookmarkEnd w:id="334"/>
      <w:r>
        <w:rPr>
          <w:snapToGrid w:val="0"/>
        </w:rPr>
        <w:t xml:space="preserve"> </w:t>
      </w:r>
    </w:p>
    <w:p>
      <w:pPr>
        <w:pStyle w:val="Subsection"/>
        <w:spacing w:before="120"/>
        <w:rPr>
          <w:snapToGrid w:val="0"/>
        </w:rPr>
      </w:pPr>
      <w:r>
        <w:rPr>
          <w:snapToGrid w:val="0"/>
        </w:rPr>
        <w:tab/>
      </w:r>
      <w:r>
        <w:rPr>
          <w:snapToGrid w:val="0"/>
        </w:rPr>
        <w:tab/>
        <w:t>An owner or person in charge of an animal on CALM land in contravention of regulation </w:t>
      </w:r>
      <w:bookmarkStart w:id="335" w:name="_Hlt499613888"/>
      <w:r>
        <w:rPr>
          <w:snapToGrid w:val="0"/>
        </w:rPr>
        <w:t>15</w:t>
      </w:r>
      <w:bookmarkEnd w:id="335"/>
      <w:r>
        <w:rPr>
          <w:snapToGrid w:val="0"/>
        </w:rPr>
        <w:t xml:space="preserve"> must remove the animal from the land when required to do so by an authorised officer.</w:t>
      </w:r>
    </w:p>
    <w:p>
      <w:pPr>
        <w:pStyle w:val="Penstart"/>
        <w:rPr>
          <w:snapToGrid w:val="0"/>
        </w:rPr>
      </w:pPr>
      <w:r>
        <w:rPr>
          <w:snapToGrid w:val="0"/>
        </w:rPr>
        <w:tab/>
        <w:t>Penalty: $500.</w:t>
      </w:r>
    </w:p>
    <w:p>
      <w:pPr>
        <w:pStyle w:val="Heading5"/>
        <w:keepNext w:val="0"/>
        <w:keepLines w:val="0"/>
        <w:spacing w:before="180"/>
        <w:rPr>
          <w:snapToGrid w:val="0"/>
        </w:rPr>
      </w:pPr>
      <w:bookmarkStart w:id="336" w:name="_Toc189456510"/>
      <w:bookmarkStart w:id="337" w:name="_Toc524422521"/>
      <w:bookmarkStart w:id="338" w:name="_Toc5508133"/>
      <w:bookmarkStart w:id="339" w:name="_Toc8119101"/>
      <w:bookmarkStart w:id="340" w:name="_Toc78685220"/>
      <w:bookmarkStart w:id="341" w:name="_Toc150315593"/>
      <w:bookmarkStart w:id="342" w:name="_Toc160332751"/>
      <w:bookmarkStart w:id="343" w:name="_Toc170207777"/>
      <w:r>
        <w:rPr>
          <w:rStyle w:val="CharSectno"/>
        </w:rPr>
        <w:t>20</w:t>
      </w:r>
      <w:r>
        <w:rPr>
          <w:snapToGrid w:val="0"/>
        </w:rPr>
        <w:t>.</w:t>
      </w:r>
      <w:r>
        <w:rPr>
          <w:snapToGrid w:val="0"/>
        </w:rPr>
        <w:tab/>
        <w:t>Removal of animals by authorised officer</w:t>
      </w:r>
      <w:bookmarkEnd w:id="336"/>
      <w:bookmarkEnd w:id="337"/>
      <w:bookmarkEnd w:id="338"/>
      <w:bookmarkEnd w:id="339"/>
      <w:bookmarkEnd w:id="340"/>
      <w:bookmarkEnd w:id="341"/>
      <w:bookmarkEnd w:id="342"/>
      <w:bookmarkEnd w:id="343"/>
      <w:r>
        <w:rPr>
          <w:snapToGrid w:val="0"/>
        </w:rPr>
        <w:t xml:space="preserve"> </w:t>
      </w:r>
    </w:p>
    <w:p>
      <w:pPr>
        <w:pStyle w:val="Subsection"/>
        <w:spacing w:before="120"/>
        <w:rPr>
          <w:snapToGrid w:val="0"/>
        </w:rPr>
      </w:pPr>
      <w:r>
        <w:rPr>
          <w:snapToGrid w:val="0"/>
        </w:rPr>
        <w:tab/>
      </w:r>
      <w:r>
        <w:rPr>
          <w:snapToGrid w:val="0"/>
        </w:rPr>
        <w:tab/>
        <w:t xml:space="preserve">An authorised officer may seize and remove any animal found on CALM land </w:t>
      </w:r>
      <w:r>
        <w:t xml:space="preserve">in contravention of regulation 15 </w:t>
      </w:r>
      <w:r>
        <w:rPr>
          <w:snapToGrid w:val="0"/>
        </w:rPr>
        <w:t>if the authorised officer is unable to find the owner or person in charge of the animal.</w:t>
      </w:r>
    </w:p>
    <w:p>
      <w:pPr>
        <w:pStyle w:val="Footnotesection"/>
        <w:keepLines w:val="0"/>
        <w:spacing w:before="80"/>
        <w:ind w:left="890" w:hanging="890"/>
      </w:pPr>
      <w:r>
        <w:tab/>
        <w:t>[Regulation 20 amended in Gazette 29 Sep 2006 p. 4307.]</w:t>
      </w:r>
    </w:p>
    <w:p>
      <w:pPr>
        <w:pStyle w:val="Heading3"/>
        <w:spacing w:before="160"/>
      </w:pPr>
      <w:bookmarkStart w:id="344" w:name="_Toc189456511"/>
      <w:bookmarkStart w:id="345" w:name="_Toc524422522"/>
      <w:bookmarkStart w:id="346" w:name="_Toc71354880"/>
      <w:bookmarkStart w:id="347" w:name="_Toc78623618"/>
      <w:bookmarkStart w:id="348" w:name="_Toc78685221"/>
      <w:bookmarkStart w:id="349" w:name="_Toc147312318"/>
      <w:bookmarkStart w:id="350" w:name="_Toc147631179"/>
      <w:bookmarkStart w:id="351" w:name="_Toc147633513"/>
      <w:bookmarkStart w:id="352" w:name="_Toc147906957"/>
      <w:bookmarkStart w:id="353" w:name="_Toc147907356"/>
      <w:bookmarkStart w:id="354" w:name="_Toc149009909"/>
      <w:bookmarkStart w:id="355" w:name="_Toc149010263"/>
      <w:bookmarkStart w:id="356" w:name="_Toc149010431"/>
      <w:bookmarkStart w:id="357" w:name="_Toc149016311"/>
      <w:bookmarkStart w:id="358" w:name="_Toc149039054"/>
      <w:bookmarkStart w:id="359" w:name="_Toc149039775"/>
      <w:bookmarkStart w:id="360" w:name="_Toc150315383"/>
      <w:bookmarkStart w:id="361" w:name="_Toc150315594"/>
      <w:bookmarkStart w:id="362" w:name="_Toc160272804"/>
      <w:bookmarkStart w:id="363" w:name="_Toc160332752"/>
      <w:bookmarkStart w:id="364" w:name="_Toc170207778"/>
      <w:r>
        <w:rPr>
          <w:rStyle w:val="CharDivNo"/>
        </w:rPr>
        <w:t>Division 3</w:t>
      </w:r>
      <w:r>
        <w:rPr>
          <w:snapToGrid w:val="0"/>
        </w:rPr>
        <w:t xml:space="preserve"> — </w:t>
      </w:r>
      <w:r>
        <w:rPr>
          <w:rStyle w:val="CharDivText"/>
        </w:rPr>
        <w:t>Pollution and litter</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r>
        <w:rPr>
          <w:rStyle w:val="CharDivText"/>
        </w:rPr>
        <w:t xml:space="preserve"> </w:t>
      </w:r>
    </w:p>
    <w:p>
      <w:pPr>
        <w:pStyle w:val="Heading5"/>
        <w:rPr>
          <w:snapToGrid w:val="0"/>
        </w:rPr>
      </w:pPr>
      <w:bookmarkStart w:id="365" w:name="_Hlt499613909"/>
      <w:bookmarkStart w:id="366" w:name="_Toc189456512"/>
      <w:bookmarkStart w:id="367" w:name="_Toc524422523"/>
      <w:bookmarkStart w:id="368" w:name="_Toc5508134"/>
      <w:bookmarkStart w:id="369" w:name="_Toc8119102"/>
      <w:bookmarkStart w:id="370" w:name="_Toc78685222"/>
      <w:bookmarkStart w:id="371" w:name="_Toc150315595"/>
      <w:bookmarkStart w:id="372" w:name="_Toc160332753"/>
      <w:bookmarkStart w:id="373" w:name="_Toc170207779"/>
      <w:bookmarkEnd w:id="365"/>
      <w:r>
        <w:rPr>
          <w:rStyle w:val="CharSectno"/>
        </w:rPr>
        <w:t>21</w:t>
      </w:r>
      <w:r>
        <w:rPr>
          <w:snapToGrid w:val="0"/>
        </w:rPr>
        <w:t>.</w:t>
      </w:r>
      <w:r>
        <w:rPr>
          <w:snapToGrid w:val="0"/>
        </w:rPr>
        <w:tab/>
        <w:t>Discharging or depositing waste</w:t>
      </w:r>
      <w:bookmarkEnd w:id="366"/>
      <w:bookmarkEnd w:id="367"/>
      <w:bookmarkEnd w:id="368"/>
      <w:bookmarkEnd w:id="369"/>
      <w:bookmarkEnd w:id="370"/>
      <w:bookmarkEnd w:id="371"/>
      <w:bookmarkEnd w:id="372"/>
      <w:bookmarkEnd w:id="373"/>
      <w:r>
        <w:rPr>
          <w:snapToGrid w:val="0"/>
        </w:rPr>
        <w:t xml:space="preserve"> </w:t>
      </w:r>
    </w:p>
    <w:p>
      <w:pPr>
        <w:pStyle w:val="Subsection"/>
        <w:rPr>
          <w:snapToGrid w:val="0"/>
        </w:rPr>
      </w:pPr>
      <w:r>
        <w:rPr>
          <w:snapToGrid w:val="0"/>
        </w:rPr>
        <w:tab/>
        <w:t>(1)</w:t>
      </w:r>
      <w:r>
        <w:rPr>
          <w:snapToGrid w:val="0"/>
        </w:rPr>
        <w:tab/>
        <w:t>Subject to subregulations (2) and (3), a person must not, without lawful authority, cause or allow waste to be discharged or placed on CALM land.</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Subregulation (1) does not apply to fuel discharged during the normal operation of 2 stroke outboard motors on vessels.</w:t>
      </w:r>
    </w:p>
    <w:p>
      <w:pPr>
        <w:pStyle w:val="Subsection"/>
      </w:pPr>
      <w:r>
        <w:rPr>
          <w:snapToGrid w:val="0"/>
        </w:rPr>
        <w:tab/>
      </w:r>
      <w:bookmarkStart w:id="374" w:name="_Hlt499613754"/>
      <w:bookmarkEnd w:id="374"/>
      <w:r>
        <w:rPr>
          <w:snapToGrid w:val="0"/>
        </w:rPr>
        <w:t>(3)</w:t>
      </w:r>
      <w:r>
        <w:rPr>
          <w:snapToGrid w:val="0"/>
        </w:rPr>
        <w:tab/>
      </w:r>
      <w:r>
        <w:t>A person may discharge sewage from a vessel in a designated area.</w:t>
      </w:r>
    </w:p>
    <w:p>
      <w:pPr>
        <w:pStyle w:val="Subsection"/>
      </w:pPr>
      <w:r>
        <w:tab/>
      </w:r>
      <w:bookmarkStart w:id="375" w:name="_Hlt499631135"/>
      <w:bookmarkEnd w:id="375"/>
      <w:r>
        <w:t>(4)</w:t>
      </w:r>
      <w:r>
        <w:tab/>
        <w:t>A person must discharge sewage in a designated area in accordance with any conditions specified in respect of that discharge in the notice published under regulation 6(1) designating that area for the purposes of this regulation.</w:t>
      </w:r>
    </w:p>
    <w:p>
      <w:pPr>
        <w:pStyle w:val="Penstart"/>
      </w:pPr>
      <w:r>
        <w:tab/>
        <w:t>Penalty: $2 000.</w:t>
      </w:r>
    </w:p>
    <w:p>
      <w:pPr>
        <w:pStyle w:val="Subsection"/>
        <w:rPr>
          <w:snapToGrid w:val="0"/>
        </w:rPr>
      </w:pPr>
      <w:r>
        <w:rPr>
          <w:snapToGrid w:val="0"/>
        </w:rPr>
        <w:tab/>
        <w:t>(5)</w:t>
      </w:r>
      <w:r>
        <w:rPr>
          <w:snapToGrid w:val="0"/>
        </w:rPr>
        <w:tab/>
        <w:t>In subregulation (1) — </w:t>
      </w:r>
    </w:p>
    <w:p>
      <w:pPr>
        <w:pStyle w:val="Defstart"/>
      </w:pPr>
      <w:r>
        <w:tab/>
      </w:r>
      <w:del w:id="376" w:author="Master Repository Process" w:date="2021-07-31T17:33:00Z">
        <w:r>
          <w:rPr>
            <w:b/>
          </w:rPr>
          <w:delText>“</w:delText>
        </w:r>
      </w:del>
      <w:r>
        <w:rPr>
          <w:rStyle w:val="CharDefText"/>
        </w:rPr>
        <w:t>waste</w:t>
      </w:r>
      <w:del w:id="377" w:author="Master Repository Process" w:date="2021-07-31T17:33:00Z">
        <w:r>
          <w:rPr>
            <w:b/>
          </w:rPr>
          <w:delText>”</w:delText>
        </w:r>
      </w:del>
      <w:r>
        <w:rPr>
          <w:b/>
        </w:rPr>
        <w:t xml:space="preserve"> </w:t>
      </w:r>
      <w:r>
        <w:t xml:space="preserve">means any waste which could reasonably be expected to significantly and adversely affect the land on which it is discharged or placed, and includes liquid, solid, gaseous and radioactive matter, whether useful or useless. </w:t>
      </w:r>
    </w:p>
    <w:p>
      <w:pPr>
        <w:pStyle w:val="Heading5"/>
      </w:pPr>
      <w:bookmarkStart w:id="378" w:name="_Toc189456513"/>
      <w:bookmarkStart w:id="379" w:name="_Toc524422524"/>
      <w:bookmarkStart w:id="380" w:name="_Toc5508135"/>
      <w:bookmarkStart w:id="381" w:name="_Toc8119103"/>
      <w:bookmarkStart w:id="382" w:name="_Toc78685223"/>
      <w:bookmarkStart w:id="383" w:name="_Toc150315596"/>
      <w:bookmarkStart w:id="384" w:name="_Toc160332754"/>
      <w:bookmarkStart w:id="385" w:name="_Toc170207780"/>
      <w:r>
        <w:rPr>
          <w:rStyle w:val="CharSectno"/>
        </w:rPr>
        <w:t>22</w:t>
      </w:r>
      <w:r>
        <w:t>.</w:t>
      </w:r>
      <w:r>
        <w:tab/>
        <w:t>Painting or treating vessels</w:t>
      </w:r>
      <w:bookmarkEnd w:id="378"/>
      <w:bookmarkEnd w:id="379"/>
      <w:bookmarkEnd w:id="380"/>
      <w:bookmarkEnd w:id="381"/>
      <w:bookmarkEnd w:id="382"/>
      <w:bookmarkEnd w:id="383"/>
      <w:bookmarkEnd w:id="384"/>
      <w:bookmarkEnd w:id="385"/>
    </w:p>
    <w:p>
      <w:pPr>
        <w:pStyle w:val="Subsection"/>
      </w:pPr>
      <w:r>
        <w:tab/>
      </w:r>
      <w:r>
        <w:tab/>
        <w:t>A person must not, without lawful authority, paint or chemically treat, or cause to be painted or chemically treated, the hull or keel of a vessel on CALM land.</w:t>
      </w:r>
    </w:p>
    <w:p>
      <w:pPr>
        <w:pStyle w:val="Penstart"/>
        <w:rPr>
          <w:snapToGrid w:val="0"/>
        </w:rPr>
      </w:pPr>
      <w:r>
        <w:rPr>
          <w:snapToGrid w:val="0"/>
        </w:rPr>
        <w:tab/>
        <w:t>Penalty: $2 000.</w:t>
      </w:r>
    </w:p>
    <w:p>
      <w:pPr>
        <w:pStyle w:val="Heading5"/>
        <w:rPr>
          <w:snapToGrid w:val="0"/>
        </w:rPr>
      </w:pPr>
      <w:bookmarkStart w:id="386" w:name="_Toc189456514"/>
      <w:bookmarkStart w:id="387" w:name="_Toc524422525"/>
      <w:bookmarkStart w:id="388" w:name="_Toc5508136"/>
      <w:bookmarkStart w:id="389" w:name="_Toc8119104"/>
      <w:bookmarkStart w:id="390" w:name="_Toc78685224"/>
      <w:bookmarkStart w:id="391" w:name="_Toc150315597"/>
      <w:bookmarkStart w:id="392" w:name="_Toc160332755"/>
      <w:bookmarkStart w:id="393" w:name="_Toc170207781"/>
      <w:r>
        <w:rPr>
          <w:rStyle w:val="CharSectno"/>
        </w:rPr>
        <w:t>23</w:t>
      </w:r>
      <w:r>
        <w:rPr>
          <w:snapToGrid w:val="0"/>
        </w:rPr>
        <w:t>.</w:t>
      </w:r>
      <w:r>
        <w:rPr>
          <w:snapToGrid w:val="0"/>
        </w:rPr>
        <w:tab/>
        <w:t>Pollution of water supply</w:t>
      </w:r>
      <w:bookmarkEnd w:id="386"/>
      <w:bookmarkEnd w:id="387"/>
      <w:bookmarkEnd w:id="388"/>
      <w:bookmarkEnd w:id="389"/>
      <w:bookmarkEnd w:id="390"/>
      <w:bookmarkEnd w:id="391"/>
      <w:bookmarkEnd w:id="392"/>
      <w:bookmarkEnd w:id="393"/>
      <w:r>
        <w:rPr>
          <w:snapToGrid w:val="0"/>
        </w:rPr>
        <w:t xml:space="preserve"> </w:t>
      </w:r>
    </w:p>
    <w:p>
      <w:pPr>
        <w:pStyle w:val="Subsection"/>
        <w:spacing w:before="180"/>
        <w:rPr>
          <w:snapToGrid w:val="0"/>
        </w:rPr>
      </w:pPr>
      <w:r>
        <w:rPr>
          <w:snapToGrid w:val="0"/>
        </w:rPr>
        <w:tab/>
        <w:t>(1)</w:t>
      </w:r>
      <w:r>
        <w:rPr>
          <w:snapToGrid w:val="0"/>
        </w:rPr>
        <w:tab/>
        <w:t>A person must not discharge or place any refuse or any poisonous, noxious or polluting matter, or cause any refuse or poisonous, noxious or polluting matter to be discharged or placed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reservoir or tank that holds or is intended to hold water for human consumption or use on CALM land, or in any area on CALM land where the matter is likely to pass to such a reservoir or tank;</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t>(b)</w:t>
      </w:r>
      <w:r>
        <w:rPr>
          <w:snapToGrid w:val="0"/>
        </w:rPr>
        <w:tab/>
        <w:t>in any public water catchment area on CALM land, or in any area on CALM land where the matter is likely to pass to a public water catchment area; or</w:t>
      </w:r>
    </w:p>
    <w:p>
      <w:pPr>
        <w:pStyle w:val="Indenta"/>
        <w:rPr>
          <w:snapToGrid w:val="0"/>
        </w:rPr>
      </w:pPr>
      <w:r>
        <w:rPr>
          <w:snapToGrid w:val="0"/>
        </w:rPr>
        <w:tab/>
        <w:t>(c)</w:t>
      </w:r>
      <w:r>
        <w:rPr>
          <w:snapToGrid w:val="0"/>
        </w:rPr>
        <w:tab/>
        <w:t>except as permitted under regulation </w:t>
      </w:r>
      <w:bookmarkStart w:id="394" w:name="_Hlt499613907"/>
      <w:r>
        <w:rPr>
          <w:snapToGrid w:val="0"/>
        </w:rPr>
        <w:t>21</w:t>
      </w:r>
      <w:bookmarkEnd w:id="394"/>
      <w:r>
        <w:rPr>
          <w:snapToGrid w:val="0"/>
        </w:rPr>
        <w:t>, in any naturally occurring water course or water body on CALM land, or in any area on CALM land where the matter is likely to pass to a naturally occurring water course or water body.</w:t>
      </w:r>
    </w:p>
    <w:p>
      <w:pPr>
        <w:pStyle w:val="Penstart"/>
        <w:rPr>
          <w:snapToGrid w:val="0"/>
        </w:rPr>
      </w:pPr>
      <w:r>
        <w:rPr>
          <w:snapToGrid w:val="0"/>
        </w:rPr>
        <w:tab/>
        <w:t>Penalty: $2 000.</w:t>
      </w:r>
    </w:p>
    <w:p>
      <w:pPr>
        <w:pStyle w:val="Subsection"/>
      </w:pPr>
      <w:r>
        <w:tab/>
        <w:t>(1a)</w:t>
      </w:r>
      <w:r>
        <w:tab/>
        <w:t>Subregulation (1) does not apply to swimming or bathing in a water course or water body that is not used for storing water for human consumption.</w:t>
      </w:r>
    </w:p>
    <w:p>
      <w:pPr>
        <w:pStyle w:val="Subsection"/>
        <w:rPr>
          <w:snapToGrid w:val="0"/>
        </w:rPr>
      </w:pPr>
      <w:r>
        <w:rPr>
          <w:snapToGrid w:val="0"/>
        </w:rPr>
        <w:tab/>
        <w:t>(2)</w:t>
      </w:r>
      <w:r>
        <w:rPr>
          <w:snapToGrid w:val="0"/>
        </w:rPr>
        <w:tab/>
        <w:t>A person must not swim, bathe or wash in any reservoir or tank containing water stored for human consumption or use on CALM land.</w:t>
      </w:r>
    </w:p>
    <w:p>
      <w:pPr>
        <w:pStyle w:val="Penstart"/>
        <w:rPr>
          <w:snapToGrid w:val="0"/>
        </w:rPr>
      </w:pPr>
      <w:r>
        <w:rPr>
          <w:snapToGrid w:val="0"/>
        </w:rPr>
        <w:tab/>
        <w:t>Penalty: $500.</w:t>
      </w:r>
    </w:p>
    <w:p>
      <w:pPr>
        <w:pStyle w:val="Footnotesection"/>
      </w:pPr>
      <w:r>
        <w:tab/>
        <w:t>[Regulation 23 amended in Gazette 29 Sep 2006 p. 4308.]</w:t>
      </w:r>
    </w:p>
    <w:p>
      <w:pPr>
        <w:pStyle w:val="Heading5"/>
        <w:rPr>
          <w:snapToGrid w:val="0"/>
        </w:rPr>
      </w:pPr>
      <w:bookmarkStart w:id="395" w:name="_Hlt499613929"/>
      <w:bookmarkStart w:id="396" w:name="_Toc189456515"/>
      <w:bookmarkStart w:id="397" w:name="_Toc524422526"/>
      <w:bookmarkStart w:id="398" w:name="_Toc5508137"/>
      <w:bookmarkStart w:id="399" w:name="_Toc8119105"/>
      <w:bookmarkStart w:id="400" w:name="_Toc78685225"/>
      <w:bookmarkStart w:id="401" w:name="_Toc150315598"/>
      <w:bookmarkStart w:id="402" w:name="_Toc160332756"/>
      <w:bookmarkStart w:id="403" w:name="_Toc170207782"/>
      <w:bookmarkEnd w:id="395"/>
      <w:r>
        <w:rPr>
          <w:rStyle w:val="CharSectno"/>
        </w:rPr>
        <w:t>24</w:t>
      </w:r>
      <w:r>
        <w:rPr>
          <w:snapToGrid w:val="0"/>
        </w:rPr>
        <w:t>.</w:t>
      </w:r>
      <w:r>
        <w:rPr>
          <w:snapToGrid w:val="0"/>
        </w:rPr>
        <w:tab/>
        <w:t>Litter</w:t>
      </w:r>
      <w:bookmarkEnd w:id="396"/>
      <w:bookmarkEnd w:id="397"/>
      <w:bookmarkEnd w:id="398"/>
      <w:bookmarkEnd w:id="399"/>
      <w:bookmarkEnd w:id="400"/>
      <w:bookmarkEnd w:id="401"/>
      <w:bookmarkEnd w:id="402"/>
      <w:bookmarkEnd w:id="403"/>
      <w:r>
        <w:rPr>
          <w:snapToGrid w:val="0"/>
        </w:rPr>
        <w:t xml:space="preserve"> </w:t>
      </w:r>
    </w:p>
    <w:p>
      <w:pPr>
        <w:pStyle w:val="Subsection"/>
        <w:rPr>
          <w:snapToGrid w:val="0"/>
        </w:rPr>
      </w:pPr>
      <w:r>
        <w:rPr>
          <w:snapToGrid w:val="0"/>
        </w:rPr>
        <w:tab/>
        <w:t>(1)</w:t>
      </w:r>
      <w:r>
        <w:rPr>
          <w:snapToGrid w:val="0"/>
        </w:rPr>
        <w:tab/>
        <w:t xml:space="preserve">A person must not deposit litter, or cause litter to be deposited, on CALM land (unless the person deposits the litter in a place or receptacle set aside or provided by the </w:t>
      </w:r>
      <w:r>
        <w:t xml:space="preserve">CEO </w:t>
      </w:r>
      <w:r>
        <w:rPr>
          <w:snapToGrid w:val="0"/>
        </w:rPr>
        <w:t>for that purpose).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In this regulation — </w:t>
      </w:r>
    </w:p>
    <w:p>
      <w:pPr>
        <w:pStyle w:val="Defstart"/>
      </w:pPr>
      <w:r>
        <w:tab/>
      </w:r>
      <w:del w:id="404" w:author="Master Repository Process" w:date="2021-07-31T17:33:00Z">
        <w:r>
          <w:rPr>
            <w:b/>
          </w:rPr>
          <w:delText>“</w:delText>
        </w:r>
      </w:del>
      <w:r>
        <w:rPr>
          <w:rStyle w:val="CharDefText"/>
        </w:rPr>
        <w:t>litter</w:t>
      </w:r>
      <w:del w:id="405" w:author="Master Repository Process" w:date="2021-07-31T17:33:00Z">
        <w:r>
          <w:rPr>
            <w:b/>
          </w:rPr>
          <w:delText>”</w:delText>
        </w:r>
      </w:del>
      <w:r>
        <w:rPr>
          <w:b/>
        </w:rPr>
        <w:t xml:space="preserve"> </w:t>
      </w:r>
      <w:r>
        <w:t xml:space="preserve">has the same meaning as in the </w:t>
      </w:r>
      <w:r>
        <w:rPr>
          <w:i/>
        </w:rPr>
        <w:t>Litter Act 1979</w:t>
      </w:r>
      <w:r>
        <w:t>.</w:t>
      </w:r>
    </w:p>
    <w:p>
      <w:pPr>
        <w:pStyle w:val="Footnotesection"/>
      </w:pPr>
      <w:r>
        <w:tab/>
        <w:t>[Regulation 24 amended in Gazette 29 Sep 2006 p. 4334.]</w:t>
      </w:r>
    </w:p>
    <w:p>
      <w:pPr>
        <w:pStyle w:val="Heading5"/>
        <w:rPr>
          <w:snapToGrid w:val="0"/>
        </w:rPr>
      </w:pPr>
      <w:bookmarkStart w:id="406" w:name="_Hlt499613932"/>
      <w:bookmarkStart w:id="407" w:name="_Toc189456516"/>
      <w:bookmarkStart w:id="408" w:name="_Toc524422527"/>
      <w:bookmarkStart w:id="409" w:name="_Toc5508138"/>
      <w:bookmarkStart w:id="410" w:name="_Toc8119106"/>
      <w:bookmarkStart w:id="411" w:name="_Toc78685226"/>
      <w:bookmarkStart w:id="412" w:name="_Toc150315599"/>
      <w:bookmarkStart w:id="413" w:name="_Toc160332757"/>
      <w:bookmarkStart w:id="414" w:name="_Toc170207783"/>
      <w:bookmarkEnd w:id="406"/>
      <w:r>
        <w:rPr>
          <w:rStyle w:val="CharSectno"/>
        </w:rPr>
        <w:t>25</w:t>
      </w:r>
      <w:r>
        <w:rPr>
          <w:snapToGrid w:val="0"/>
        </w:rPr>
        <w:t>.</w:t>
      </w:r>
      <w:r>
        <w:rPr>
          <w:snapToGrid w:val="0"/>
        </w:rPr>
        <w:tab/>
        <w:t>Building materials and other matter</w:t>
      </w:r>
      <w:bookmarkEnd w:id="407"/>
      <w:bookmarkEnd w:id="408"/>
      <w:bookmarkEnd w:id="409"/>
      <w:bookmarkEnd w:id="410"/>
      <w:bookmarkEnd w:id="411"/>
      <w:bookmarkEnd w:id="412"/>
      <w:bookmarkEnd w:id="413"/>
      <w:bookmarkEnd w:id="414"/>
      <w:r>
        <w:rPr>
          <w:snapToGrid w:val="0"/>
        </w:rPr>
        <w:t xml:space="preserve"> </w:t>
      </w:r>
    </w:p>
    <w:p>
      <w:pPr>
        <w:pStyle w:val="Subsection"/>
        <w:rPr>
          <w:snapToGrid w:val="0"/>
        </w:rPr>
      </w:pPr>
      <w:r>
        <w:rPr>
          <w:snapToGrid w:val="0"/>
        </w:rPr>
        <w:tab/>
      </w:r>
      <w:r>
        <w:rPr>
          <w:snapToGrid w:val="0"/>
        </w:rPr>
        <w:tab/>
        <w:t>A person must not discharge or place building materials, soil, rocks, sand, rubble, over</w:t>
      </w:r>
      <w:r>
        <w:rPr>
          <w:snapToGrid w:val="0"/>
        </w:rPr>
        <w:noBreakHyphen/>
        <w:t>burden or waste products from any industry, or cause building materials, soil, rocks, sand, rubble, over</w:t>
      </w:r>
      <w:r>
        <w:rPr>
          <w:snapToGrid w:val="0"/>
        </w:rPr>
        <w:noBreakHyphen/>
        <w:t>burden or waste products from any industry to be discharged or placed, on CALM land.</w:t>
      </w:r>
    </w:p>
    <w:p>
      <w:pPr>
        <w:pStyle w:val="Penstart"/>
        <w:rPr>
          <w:snapToGrid w:val="0"/>
        </w:rPr>
      </w:pPr>
      <w:r>
        <w:rPr>
          <w:snapToGrid w:val="0"/>
        </w:rPr>
        <w:tab/>
        <w:t>Penalty: $2 000.</w:t>
      </w:r>
    </w:p>
    <w:p>
      <w:pPr>
        <w:pStyle w:val="Heading5"/>
        <w:rPr>
          <w:snapToGrid w:val="0"/>
        </w:rPr>
      </w:pPr>
      <w:bookmarkStart w:id="415" w:name="_Hlt499613707"/>
      <w:bookmarkStart w:id="416" w:name="_Toc189456517"/>
      <w:bookmarkStart w:id="417" w:name="_Toc524422528"/>
      <w:bookmarkStart w:id="418" w:name="_Toc5508139"/>
      <w:bookmarkStart w:id="419" w:name="_Toc8119107"/>
      <w:bookmarkStart w:id="420" w:name="_Toc78685227"/>
      <w:bookmarkStart w:id="421" w:name="_Toc150315600"/>
      <w:bookmarkStart w:id="422" w:name="_Toc160332758"/>
      <w:bookmarkStart w:id="423" w:name="_Toc170207784"/>
      <w:bookmarkEnd w:id="415"/>
      <w:r>
        <w:rPr>
          <w:rStyle w:val="CharSectno"/>
        </w:rPr>
        <w:t>26</w:t>
      </w:r>
      <w:r>
        <w:rPr>
          <w:snapToGrid w:val="0"/>
        </w:rPr>
        <w:t>.</w:t>
      </w:r>
      <w:r>
        <w:rPr>
          <w:snapToGrid w:val="0"/>
        </w:rPr>
        <w:tab/>
        <w:t>Glass in restricted areas</w:t>
      </w:r>
      <w:bookmarkEnd w:id="416"/>
      <w:bookmarkEnd w:id="417"/>
      <w:bookmarkEnd w:id="418"/>
      <w:bookmarkEnd w:id="419"/>
      <w:bookmarkEnd w:id="420"/>
      <w:bookmarkEnd w:id="421"/>
      <w:bookmarkEnd w:id="422"/>
      <w:bookmarkEnd w:id="423"/>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take, or have in his or her possession, any drinking glass, glass bottle or glass drinking implement in a restricted area where taking or possession of that item is prohibited under regulation </w:t>
      </w:r>
      <w:bookmarkStart w:id="424" w:name="_Hlt499613916"/>
      <w:r>
        <w:rPr>
          <w:snapToGrid w:val="0"/>
        </w:rPr>
        <w:t>5</w:t>
      </w:r>
      <w:bookmarkEnd w:id="424"/>
      <w:r>
        <w:rPr>
          <w:snapToGrid w:val="0"/>
        </w:rPr>
        <w:t>; or</w:t>
      </w:r>
    </w:p>
    <w:p>
      <w:pPr>
        <w:pStyle w:val="Indenta"/>
        <w:rPr>
          <w:snapToGrid w:val="0"/>
        </w:rPr>
      </w:pPr>
      <w:r>
        <w:rPr>
          <w:snapToGrid w:val="0"/>
        </w:rPr>
        <w:tab/>
        <w:t>(b)</w:t>
      </w:r>
      <w:r>
        <w:rPr>
          <w:snapToGrid w:val="0"/>
        </w:rPr>
        <w:tab/>
        <w:t>contravene a restriction on taking or possession of glass in a restricted area imposed under regulation </w:t>
      </w:r>
      <w:bookmarkStart w:id="425" w:name="_Hlt499613922"/>
      <w:r>
        <w:rPr>
          <w:snapToGrid w:val="0"/>
        </w:rPr>
        <w:t>5</w:t>
      </w:r>
      <w:bookmarkEnd w:id="425"/>
      <w:r>
        <w:rPr>
          <w:snapToGrid w:val="0"/>
        </w:rPr>
        <w:t>.</w:t>
      </w:r>
    </w:p>
    <w:p>
      <w:pPr>
        <w:pStyle w:val="Penstart"/>
        <w:rPr>
          <w:snapToGrid w:val="0"/>
        </w:rPr>
      </w:pPr>
      <w:r>
        <w:rPr>
          <w:snapToGrid w:val="0"/>
        </w:rPr>
        <w:tab/>
        <w:t>Penalty: $500.</w:t>
      </w:r>
    </w:p>
    <w:p>
      <w:pPr>
        <w:pStyle w:val="Heading5"/>
        <w:rPr>
          <w:snapToGrid w:val="0"/>
        </w:rPr>
      </w:pPr>
      <w:bookmarkStart w:id="426" w:name="_Toc189456518"/>
      <w:bookmarkStart w:id="427" w:name="_Toc524422529"/>
      <w:bookmarkStart w:id="428" w:name="_Toc5508140"/>
      <w:bookmarkStart w:id="429" w:name="_Toc8119108"/>
      <w:bookmarkStart w:id="430" w:name="_Toc78685228"/>
      <w:bookmarkStart w:id="431" w:name="_Toc150315601"/>
      <w:bookmarkStart w:id="432" w:name="_Toc160332759"/>
      <w:bookmarkStart w:id="433" w:name="_Toc170207785"/>
      <w:r>
        <w:rPr>
          <w:rStyle w:val="CharSectno"/>
        </w:rPr>
        <w:t>27</w:t>
      </w:r>
      <w:r>
        <w:rPr>
          <w:snapToGrid w:val="0"/>
        </w:rPr>
        <w:t>.</w:t>
      </w:r>
      <w:r>
        <w:rPr>
          <w:snapToGrid w:val="0"/>
        </w:rPr>
        <w:tab/>
        <w:t>Removal of litter etc.</w:t>
      </w:r>
      <w:bookmarkEnd w:id="426"/>
      <w:bookmarkEnd w:id="427"/>
      <w:bookmarkEnd w:id="428"/>
      <w:bookmarkEnd w:id="429"/>
      <w:bookmarkEnd w:id="430"/>
      <w:bookmarkEnd w:id="431"/>
      <w:bookmarkEnd w:id="432"/>
      <w:bookmarkEnd w:id="433"/>
      <w:r>
        <w:rPr>
          <w:snapToGrid w:val="0"/>
        </w:rPr>
        <w:t xml:space="preserve"> </w:t>
      </w:r>
    </w:p>
    <w:p>
      <w:pPr>
        <w:pStyle w:val="Subsection"/>
        <w:rPr>
          <w:snapToGrid w:val="0"/>
        </w:rPr>
      </w:pPr>
      <w:r>
        <w:rPr>
          <w:snapToGrid w:val="0"/>
        </w:rPr>
        <w:tab/>
        <w:t>(1)</w:t>
      </w:r>
      <w:r>
        <w:rPr>
          <w:snapToGrid w:val="0"/>
        </w:rPr>
        <w:tab/>
        <w:t>An authorised officer who finds a person contravening regulation </w:t>
      </w:r>
      <w:bookmarkStart w:id="434" w:name="_Hlt499613928"/>
      <w:r>
        <w:rPr>
          <w:snapToGrid w:val="0"/>
        </w:rPr>
        <w:t>24</w:t>
      </w:r>
      <w:bookmarkEnd w:id="434"/>
      <w:r>
        <w:rPr>
          <w:snapToGrid w:val="0"/>
        </w:rPr>
        <w:t xml:space="preserve">, 25 or </w:t>
      </w:r>
      <w:bookmarkStart w:id="435" w:name="_Hlt499613933"/>
      <w:r>
        <w:rPr>
          <w:snapToGrid w:val="0"/>
        </w:rPr>
        <w:t>26</w:t>
      </w:r>
      <w:bookmarkEnd w:id="435"/>
      <w:r>
        <w:rPr>
          <w:snapToGrid w:val="0"/>
        </w:rPr>
        <w:t xml:space="preserve"> may direct that person then and there — </w:t>
      </w:r>
    </w:p>
    <w:p>
      <w:pPr>
        <w:pStyle w:val="Indenta"/>
        <w:rPr>
          <w:snapToGrid w:val="0"/>
        </w:rPr>
      </w:pPr>
      <w:r>
        <w:rPr>
          <w:snapToGrid w:val="0"/>
        </w:rPr>
        <w:tab/>
        <w:t>(a)</w:t>
      </w:r>
      <w:r>
        <w:rPr>
          <w:snapToGrid w:val="0"/>
        </w:rPr>
        <w:tab/>
        <w:t>to remove the thing the subject of the offence from the land; or</w:t>
      </w:r>
    </w:p>
    <w:p>
      <w:pPr>
        <w:pStyle w:val="Indenta"/>
        <w:rPr>
          <w:snapToGrid w:val="0"/>
        </w:rPr>
      </w:pPr>
      <w:r>
        <w:rPr>
          <w:snapToGrid w:val="0"/>
        </w:rPr>
        <w:tab/>
        <w:t>(b)</w:t>
      </w:r>
      <w:r>
        <w:rPr>
          <w:snapToGrid w:val="0"/>
        </w:rPr>
        <w:tab/>
        <w:t>to deposit the thing the subject of the offence in the nearest place or receptacle set aside or provided for the deposit of litter.</w:t>
      </w:r>
    </w:p>
    <w:p>
      <w:pPr>
        <w:pStyle w:val="Subsection"/>
        <w:rPr>
          <w:snapToGrid w:val="0"/>
        </w:rPr>
      </w:pPr>
      <w:r>
        <w:rPr>
          <w:snapToGrid w:val="0"/>
        </w:rPr>
        <w:tab/>
      </w:r>
      <w:bookmarkStart w:id="436" w:name="_Hlt499631225"/>
      <w:bookmarkEnd w:id="436"/>
      <w:r>
        <w:rPr>
          <w:snapToGrid w:val="0"/>
        </w:rPr>
        <w:t>(2)</w:t>
      </w:r>
      <w:r>
        <w:rPr>
          <w:snapToGrid w:val="0"/>
        </w:rPr>
        <w:tab/>
        <w:t>A person must comply with a direction under subregulation (1).</w:t>
      </w:r>
    </w:p>
    <w:p>
      <w:pPr>
        <w:pStyle w:val="Penstart"/>
        <w:rPr>
          <w:snapToGrid w:val="0"/>
        </w:rPr>
      </w:pPr>
      <w:r>
        <w:rPr>
          <w:snapToGrid w:val="0"/>
        </w:rPr>
        <w:tab/>
        <w:t>Penalty: $2 000.</w:t>
      </w:r>
    </w:p>
    <w:p>
      <w:pPr>
        <w:pStyle w:val="Heading5"/>
        <w:rPr>
          <w:snapToGrid w:val="0"/>
        </w:rPr>
      </w:pPr>
      <w:bookmarkStart w:id="437" w:name="_Hlt499613710"/>
      <w:bookmarkStart w:id="438" w:name="_Toc189456519"/>
      <w:bookmarkStart w:id="439" w:name="_Toc524422530"/>
      <w:bookmarkStart w:id="440" w:name="_Toc5508141"/>
      <w:bookmarkStart w:id="441" w:name="_Toc8119109"/>
      <w:bookmarkStart w:id="442" w:name="_Toc78685229"/>
      <w:bookmarkStart w:id="443" w:name="_Toc150315602"/>
      <w:bookmarkStart w:id="444" w:name="_Toc160332760"/>
      <w:bookmarkStart w:id="445" w:name="_Toc170207786"/>
      <w:bookmarkEnd w:id="437"/>
      <w:r>
        <w:rPr>
          <w:rStyle w:val="CharSectno"/>
        </w:rPr>
        <w:t>28</w:t>
      </w:r>
      <w:r>
        <w:rPr>
          <w:snapToGrid w:val="0"/>
        </w:rPr>
        <w:t>.</w:t>
      </w:r>
      <w:r>
        <w:rPr>
          <w:snapToGrid w:val="0"/>
        </w:rPr>
        <w:tab/>
        <w:t>Cleaning, scaling etc. fish</w:t>
      </w:r>
      <w:bookmarkEnd w:id="438"/>
      <w:bookmarkEnd w:id="439"/>
      <w:bookmarkEnd w:id="440"/>
      <w:bookmarkEnd w:id="441"/>
      <w:bookmarkEnd w:id="442"/>
      <w:bookmarkEnd w:id="443"/>
      <w:bookmarkEnd w:id="444"/>
      <w:bookmarkEnd w:id="445"/>
      <w:r>
        <w:rPr>
          <w:snapToGrid w:val="0"/>
        </w:rPr>
        <w:t xml:space="preserve"> </w:t>
      </w:r>
    </w:p>
    <w:p>
      <w:pPr>
        <w:pStyle w:val="Subsection"/>
        <w:rPr>
          <w:snapToGrid w:val="0"/>
        </w:rPr>
      </w:pPr>
      <w:r>
        <w:rPr>
          <w:snapToGrid w:val="0"/>
        </w:rPr>
        <w:tab/>
      </w:r>
      <w:r>
        <w:rPr>
          <w:snapToGrid w:val="0"/>
        </w:rPr>
        <w:tab/>
        <w:t>A person must not, without lawful authority, in a restricted area — </w:t>
      </w:r>
    </w:p>
    <w:p>
      <w:pPr>
        <w:pStyle w:val="Indenta"/>
        <w:rPr>
          <w:snapToGrid w:val="0"/>
        </w:rPr>
      </w:pPr>
      <w:r>
        <w:rPr>
          <w:snapToGrid w:val="0"/>
        </w:rPr>
        <w:tab/>
        <w:t>(a)</w:t>
      </w:r>
      <w:r>
        <w:rPr>
          <w:snapToGrid w:val="0"/>
        </w:rPr>
        <w:tab/>
        <w:t>clean, scale, gut or fillet fish if that activity is prohibited in that area under regulation </w:t>
      </w:r>
      <w:bookmarkStart w:id="446" w:name="_Hlt499613941"/>
      <w:r>
        <w:rPr>
          <w:snapToGrid w:val="0"/>
        </w:rPr>
        <w:t>5</w:t>
      </w:r>
      <w:bookmarkEnd w:id="446"/>
      <w:r>
        <w:rPr>
          <w:snapToGrid w:val="0"/>
        </w:rPr>
        <w:t>; or</w:t>
      </w:r>
    </w:p>
    <w:p>
      <w:pPr>
        <w:pStyle w:val="Indenta"/>
        <w:rPr>
          <w:snapToGrid w:val="0"/>
        </w:rPr>
      </w:pPr>
      <w:r>
        <w:rPr>
          <w:snapToGrid w:val="0"/>
        </w:rPr>
        <w:tab/>
        <w:t>(b)</w:t>
      </w:r>
      <w:r>
        <w:rPr>
          <w:snapToGrid w:val="0"/>
        </w:rPr>
        <w:tab/>
        <w:t>contravene a restriction imposed on cleaning, scaling, gutting or filleting fish in that area under regulation </w:t>
      </w:r>
      <w:bookmarkStart w:id="447" w:name="_Hlt499613948"/>
      <w:r>
        <w:rPr>
          <w:snapToGrid w:val="0"/>
        </w:rPr>
        <w:t>5</w:t>
      </w:r>
      <w:bookmarkEnd w:id="447"/>
      <w:r>
        <w:rPr>
          <w:snapToGrid w:val="0"/>
        </w:rPr>
        <w:t>.</w:t>
      </w:r>
    </w:p>
    <w:p>
      <w:pPr>
        <w:pStyle w:val="Penstart"/>
        <w:rPr>
          <w:snapToGrid w:val="0"/>
        </w:rPr>
      </w:pPr>
      <w:r>
        <w:rPr>
          <w:snapToGrid w:val="0"/>
        </w:rPr>
        <w:tab/>
        <w:t>Penalty: $200.</w:t>
      </w:r>
    </w:p>
    <w:p>
      <w:pPr>
        <w:pStyle w:val="Heading5"/>
        <w:rPr>
          <w:snapToGrid w:val="0"/>
        </w:rPr>
      </w:pPr>
      <w:bookmarkStart w:id="448" w:name="_Toc189456520"/>
      <w:bookmarkStart w:id="449" w:name="_Toc524422531"/>
      <w:bookmarkStart w:id="450" w:name="_Toc5508142"/>
      <w:bookmarkStart w:id="451" w:name="_Toc8119110"/>
      <w:bookmarkStart w:id="452" w:name="_Toc78685230"/>
      <w:bookmarkStart w:id="453" w:name="_Toc150315603"/>
      <w:bookmarkStart w:id="454" w:name="_Toc160332761"/>
      <w:bookmarkStart w:id="455" w:name="_Toc170207787"/>
      <w:r>
        <w:rPr>
          <w:rStyle w:val="CharSectno"/>
        </w:rPr>
        <w:t>29</w:t>
      </w:r>
      <w:r>
        <w:rPr>
          <w:snapToGrid w:val="0"/>
        </w:rPr>
        <w:t>.</w:t>
      </w:r>
      <w:r>
        <w:rPr>
          <w:snapToGrid w:val="0"/>
        </w:rPr>
        <w:tab/>
        <w:t>Fires and smoking in caves</w:t>
      </w:r>
      <w:bookmarkEnd w:id="448"/>
      <w:bookmarkEnd w:id="449"/>
      <w:bookmarkEnd w:id="450"/>
      <w:bookmarkEnd w:id="451"/>
      <w:bookmarkEnd w:id="452"/>
      <w:bookmarkEnd w:id="453"/>
      <w:bookmarkEnd w:id="454"/>
      <w:bookmarkEnd w:id="455"/>
      <w:r>
        <w:rPr>
          <w:snapToGrid w:val="0"/>
        </w:rPr>
        <w:t xml:space="preserve"> </w:t>
      </w:r>
    </w:p>
    <w:p>
      <w:pPr>
        <w:pStyle w:val="Subsection"/>
        <w:rPr>
          <w:snapToGrid w:val="0"/>
        </w:rPr>
      </w:pPr>
      <w:r>
        <w:rPr>
          <w:snapToGrid w:val="0"/>
        </w:rPr>
        <w:tab/>
        <w:t>(1)</w:t>
      </w:r>
      <w:r>
        <w:rPr>
          <w:snapToGrid w:val="0"/>
        </w:rPr>
        <w:tab/>
        <w:t>A person must not smoke a cigarette, cigar or pipe in any cave or part of a cave which is on or under CALM land.</w:t>
      </w:r>
    </w:p>
    <w:p>
      <w:pPr>
        <w:pStyle w:val="Penstart"/>
        <w:rPr>
          <w:snapToGrid w:val="0"/>
        </w:rPr>
      </w:pPr>
      <w:r>
        <w:rPr>
          <w:snapToGrid w:val="0"/>
        </w:rPr>
        <w:tab/>
        <w:t>Penalty: $500.</w:t>
      </w:r>
    </w:p>
    <w:p>
      <w:pPr>
        <w:pStyle w:val="Subsection"/>
        <w:rPr>
          <w:snapToGrid w:val="0"/>
        </w:rPr>
      </w:pPr>
      <w:bookmarkStart w:id="456" w:name="_Hlt499613979"/>
      <w:bookmarkEnd w:id="456"/>
      <w:r>
        <w:rPr>
          <w:snapToGrid w:val="0"/>
        </w:rPr>
        <w:tab/>
        <w:t>(2)</w:t>
      </w:r>
      <w:r>
        <w:rPr>
          <w:snapToGrid w:val="0"/>
        </w:rPr>
        <w:tab/>
        <w:t>A person must not light a fire in any cave or part of a cave which is on or under CALM land.</w:t>
      </w:r>
    </w:p>
    <w:p>
      <w:pPr>
        <w:pStyle w:val="Penstart"/>
        <w:rPr>
          <w:snapToGrid w:val="0"/>
        </w:rPr>
      </w:pPr>
      <w:r>
        <w:rPr>
          <w:snapToGrid w:val="0"/>
        </w:rPr>
        <w:tab/>
        <w:t>Penalty: $2 000.</w:t>
      </w:r>
    </w:p>
    <w:p>
      <w:pPr>
        <w:pStyle w:val="Heading3"/>
      </w:pPr>
      <w:bookmarkStart w:id="457" w:name="_Toc189456521"/>
      <w:bookmarkStart w:id="458" w:name="_Toc524422532"/>
      <w:bookmarkStart w:id="459" w:name="_Toc71354890"/>
      <w:bookmarkStart w:id="460" w:name="_Toc78623628"/>
      <w:bookmarkStart w:id="461" w:name="_Toc78685231"/>
      <w:bookmarkStart w:id="462" w:name="_Toc147312328"/>
      <w:bookmarkStart w:id="463" w:name="_Toc147631189"/>
      <w:bookmarkStart w:id="464" w:name="_Toc147633523"/>
      <w:bookmarkStart w:id="465" w:name="_Toc147906967"/>
      <w:bookmarkStart w:id="466" w:name="_Toc147907366"/>
      <w:bookmarkStart w:id="467" w:name="_Toc149009919"/>
      <w:bookmarkStart w:id="468" w:name="_Toc149010273"/>
      <w:bookmarkStart w:id="469" w:name="_Toc149010441"/>
      <w:bookmarkStart w:id="470" w:name="_Toc149016321"/>
      <w:bookmarkStart w:id="471" w:name="_Toc149039064"/>
      <w:bookmarkStart w:id="472" w:name="_Toc149039785"/>
      <w:bookmarkStart w:id="473" w:name="_Toc150315393"/>
      <w:bookmarkStart w:id="474" w:name="_Toc150315604"/>
      <w:bookmarkStart w:id="475" w:name="_Toc160272814"/>
      <w:bookmarkStart w:id="476" w:name="_Toc160332762"/>
      <w:bookmarkStart w:id="477" w:name="_Toc170207788"/>
      <w:r>
        <w:rPr>
          <w:rStyle w:val="CharDivNo"/>
        </w:rPr>
        <w:t>Division 4</w:t>
      </w:r>
      <w:r>
        <w:rPr>
          <w:snapToGrid w:val="0"/>
        </w:rPr>
        <w:t xml:space="preserve"> — </w:t>
      </w:r>
      <w:r>
        <w:rPr>
          <w:rStyle w:val="CharDivText"/>
        </w:rPr>
        <w:t>Disturbance of the landscape</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r>
        <w:rPr>
          <w:rStyle w:val="CharDivText"/>
        </w:rPr>
        <w:t xml:space="preserve"> </w:t>
      </w:r>
    </w:p>
    <w:p>
      <w:pPr>
        <w:pStyle w:val="Heading5"/>
        <w:rPr>
          <w:snapToGrid w:val="0"/>
        </w:rPr>
      </w:pPr>
      <w:bookmarkStart w:id="478" w:name="_Toc189456522"/>
      <w:bookmarkStart w:id="479" w:name="_Toc524422533"/>
      <w:bookmarkStart w:id="480" w:name="_Toc5508143"/>
      <w:bookmarkStart w:id="481" w:name="_Toc8119111"/>
      <w:bookmarkStart w:id="482" w:name="_Toc78685232"/>
      <w:bookmarkStart w:id="483" w:name="_Toc150315605"/>
      <w:bookmarkStart w:id="484" w:name="_Toc160332763"/>
      <w:bookmarkStart w:id="485" w:name="_Toc170207789"/>
      <w:r>
        <w:rPr>
          <w:rStyle w:val="CharSectno"/>
        </w:rPr>
        <w:t>30</w:t>
      </w:r>
      <w:r>
        <w:rPr>
          <w:snapToGrid w:val="0"/>
        </w:rPr>
        <w:t>.</w:t>
      </w:r>
      <w:r>
        <w:rPr>
          <w:snapToGrid w:val="0"/>
        </w:rPr>
        <w:tab/>
        <w:t>Water</w:t>
      </w:r>
      <w:bookmarkEnd w:id="478"/>
      <w:bookmarkEnd w:id="479"/>
      <w:bookmarkEnd w:id="480"/>
      <w:bookmarkEnd w:id="481"/>
      <w:bookmarkEnd w:id="482"/>
      <w:bookmarkEnd w:id="483"/>
      <w:bookmarkEnd w:id="484"/>
      <w:bookmarkEnd w:id="485"/>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take water from, or interfere with water on, CALM land;</w:t>
      </w:r>
    </w:p>
    <w:p>
      <w:pPr>
        <w:pStyle w:val="Indenta"/>
        <w:rPr>
          <w:snapToGrid w:val="0"/>
        </w:rPr>
      </w:pPr>
      <w:r>
        <w:rPr>
          <w:snapToGrid w:val="0"/>
        </w:rPr>
        <w:tab/>
        <w:t>(b)</w:t>
      </w:r>
      <w:r>
        <w:rPr>
          <w:snapToGrid w:val="0"/>
        </w:rPr>
        <w:tab/>
        <w:t>drain any part of CALM land;</w:t>
      </w:r>
    </w:p>
    <w:p>
      <w:pPr>
        <w:pStyle w:val="Indenta"/>
        <w:rPr>
          <w:snapToGrid w:val="0"/>
        </w:rPr>
      </w:pPr>
      <w:r>
        <w:rPr>
          <w:snapToGrid w:val="0"/>
        </w:rPr>
        <w:tab/>
        <w:t>(c)</w:t>
      </w:r>
      <w:r>
        <w:rPr>
          <w:snapToGrid w:val="0"/>
        </w:rPr>
        <w:tab/>
      </w:r>
      <w:r>
        <w:t>interfere with any drain on CALM land;</w:t>
      </w:r>
    </w:p>
    <w:p>
      <w:pPr>
        <w:pStyle w:val="Indenta"/>
        <w:rPr>
          <w:snapToGrid w:val="0"/>
        </w:rPr>
      </w:pPr>
      <w:r>
        <w:rPr>
          <w:snapToGrid w:val="0"/>
        </w:rPr>
        <w:tab/>
        <w:t>(d)</w:t>
      </w:r>
      <w:r>
        <w:rPr>
          <w:snapToGrid w:val="0"/>
        </w:rPr>
        <w:tab/>
        <w:t>divert water on or onto CALM land; or</w:t>
      </w:r>
    </w:p>
    <w:p>
      <w:pPr>
        <w:pStyle w:val="Indenta"/>
        <w:rPr>
          <w:snapToGrid w:val="0"/>
        </w:rPr>
      </w:pPr>
      <w:r>
        <w:rPr>
          <w:snapToGrid w:val="0"/>
        </w:rPr>
        <w:tab/>
        <w:t>(e)</w:t>
      </w:r>
      <w:r>
        <w:rPr>
          <w:snapToGrid w:val="0"/>
        </w:rPr>
        <w:tab/>
        <w:t>make any construction</w:t>
      </w:r>
      <w:r>
        <w:t xml:space="preserve"> for a purpose referred to in paragraph (a), (b), (c) or (d)</w:t>
      </w:r>
      <w:r>
        <w:rPr>
          <w:snapToGrid w:val="0"/>
        </w:rPr>
        <w:t>.</w:t>
      </w:r>
    </w:p>
    <w:p>
      <w:pPr>
        <w:pStyle w:val="Penstart"/>
        <w:rPr>
          <w:snapToGrid w:val="0"/>
        </w:rPr>
      </w:pPr>
      <w:r>
        <w:rPr>
          <w:snapToGrid w:val="0"/>
        </w:rPr>
        <w:tab/>
        <w:t>Penalty: $2 000.</w:t>
      </w:r>
    </w:p>
    <w:p>
      <w:pPr>
        <w:pStyle w:val="Subsection"/>
      </w:pPr>
      <w:r>
        <w:tab/>
        <w:t>(2)</w:t>
      </w:r>
      <w:r>
        <w:tab/>
        <w:t>Subregulation (1)(a) does not apply to an individual who takes water for the personal needs of the individual or others associated with the individual.</w:t>
      </w:r>
    </w:p>
    <w:p>
      <w:pPr>
        <w:pStyle w:val="Footnotesection"/>
      </w:pPr>
      <w:r>
        <w:tab/>
        <w:t>[Regulation 30 amended in Gazette 29 Sep 2006 p. 4308.]</w:t>
      </w:r>
    </w:p>
    <w:p>
      <w:pPr>
        <w:pStyle w:val="Heading5"/>
        <w:rPr>
          <w:snapToGrid w:val="0"/>
        </w:rPr>
      </w:pPr>
      <w:bookmarkStart w:id="486" w:name="_Toc189456523"/>
      <w:bookmarkStart w:id="487" w:name="_Toc524422534"/>
      <w:bookmarkStart w:id="488" w:name="_Toc5508144"/>
      <w:bookmarkStart w:id="489" w:name="_Toc8119112"/>
      <w:bookmarkStart w:id="490" w:name="_Toc78685233"/>
      <w:bookmarkStart w:id="491" w:name="_Toc150315606"/>
      <w:bookmarkStart w:id="492" w:name="_Toc160332764"/>
      <w:bookmarkStart w:id="493" w:name="_Toc170207790"/>
      <w:r>
        <w:rPr>
          <w:rStyle w:val="CharSectno"/>
        </w:rPr>
        <w:t>31</w:t>
      </w:r>
      <w:r>
        <w:rPr>
          <w:snapToGrid w:val="0"/>
        </w:rPr>
        <w:t>.</w:t>
      </w:r>
      <w:r>
        <w:rPr>
          <w:snapToGrid w:val="0"/>
        </w:rPr>
        <w:tab/>
        <w:t>Damage etc. to naturally occurring features</w:t>
      </w:r>
      <w:bookmarkEnd w:id="486"/>
      <w:bookmarkEnd w:id="487"/>
      <w:bookmarkEnd w:id="488"/>
      <w:bookmarkEnd w:id="489"/>
      <w:bookmarkEnd w:id="490"/>
      <w:bookmarkEnd w:id="491"/>
      <w:bookmarkEnd w:id="492"/>
      <w:bookmarkEnd w:id="493"/>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pPr>
      <w:r>
        <w:rPr>
          <w:snapToGrid w:val="0"/>
        </w:rPr>
        <w:tab/>
        <w:t>(a)</w:t>
      </w:r>
      <w:r>
        <w:rPr>
          <w:snapToGrid w:val="0"/>
        </w:rPr>
        <w:tab/>
      </w:r>
      <w:r>
        <w:t>cause any significant damage or disturbance to a naturally occurring feature on CALM land;</w:t>
      </w:r>
    </w:p>
    <w:p>
      <w:pPr>
        <w:pStyle w:val="Indenta"/>
        <w:rPr>
          <w:snapToGrid w:val="0"/>
        </w:rPr>
      </w:pPr>
      <w:r>
        <w:rPr>
          <w:snapToGrid w:val="0"/>
        </w:rPr>
        <w:tab/>
        <w:t>(b)</w:t>
      </w:r>
      <w:r>
        <w:rPr>
          <w:snapToGrid w:val="0"/>
        </w:rPr>
        <w:tab/>
        <w:t>damage or disturb any naturally occurring feature on CALM land in a way that causes, or creates a potential for, adverse consequences to or in relation to CALM land; or</w:t>
      </w:r>
    </w:p>
    <w:p>
      <w:pPr>
        <w:pStyle w:val="Indenta"/>
        <w:rPr>
          <w:snapToGrid w:val="0"/>
        </w:rPr>
      </w:pPr>
      <w:r>
        <w:rPr>
          <w:snapToGrid w:val="0"/>
        </w:rPr>
        <w:tab/>
        <w:t>(c)</w:t>
      </w:r>
      <w:r>
        <w:rPr>
          <w:snapToGrid w:val="0"/>
        </w:rPr>
        <w:tab/>
        <w:t>remove any naturally occurring feature from CALM land.</w:t>
      </w:r>
    </w:p>
    <w:p>
      <w:pPr>
        <w:pStyle w:val="Penstart"/>
        <w:rPr>
          <w:snapToGrid w:val="0"/>
        </w:rPr>
      </w:pPr>
      <w:r>
        <w:rPr>
          <w:snapToGrid w:val="0"/>
        </w:rPr>
        <w:tab/>
        <w:t>Penalty: $2 000.</w:t>
      </w:r>
    </w:p>
    <w:p>
      <w:pPr>
        <w:pStyle w:val="Subsection"/>
        <w:rPr>
          <w:snapToGrid w:val="0"/>
        </w:rPr>
      </w:pPr>
      <w:r>
        <w:rPr>
          <w:snapToGrid w:val="0"/>
        </w:rPr>
        <w:tab/>
        <w:t>(2)</w:t>
      </w:r>
      <w:r>
        <w:rPr>
          <w:snapToGrid w:val="0"/>
        </w:rPr>
        <w:tab/>
        <w:t>An authorised officer who believes on reasonable grounds that a naturally occurring feature found in the possession of a person is involved in the commission of an offence against subregulation (1) may direct that person to surrender the naturally occurring feature to the authorised officer immediately.</w:t>
      </w:r>
    </w:p>
    <w:p>
      <w:pPr>
        <w:pStyle w:val="Subsection"/>
        <w:rPr>
          <w:snapToGrid w:val="0"/>
        </w:rPr>
      </w:pPr>
      <w:r>
        <w:rPr>
          <w:snapToGrid w:val="0"/>
        </w:rPr>
        <w:tab/>
        <w:t>(3)</w:t>
      </w:r>
      <w:r>
        <w:rPr>
          <w:snapToGrid w:val="0"/>
        </w:rPr>
        <w:tab/>
        <w:t>A person must comply with a direction under subregulation (2).</w:t>
      </w:r>
    </w:p>
    <w:p>
      <w:pPr>
        <w:pStyle w:val="Penstart"/>
        <w:rPr>
          <w:snapToGrid w:val="0"/>
        </w:rPr>
      </w:pPr>
      <w:r>
        <w:rPr>
          <w:snapToGrid w:val="0"/>
        </w:rPr>
        <w:tab/>
        <w:t>Penalty: $2 000.</w:t>
      </w:r>
    </w:p>
    <w:p>
      <w:pPr>
        <w:pStyle w:val="Subsection"/>
        <w:rPr>
          <w:snapToGrid w:val="0"/>
        </w:rPr>
      </w:pPr>
      <w:r>
        <w:rPr>
          <w:snapToGrid w:val="0"/>
        </w:rPr>
        <w:tab/>
        <w:t>(4)</w:t>
      </w:r>
      <w:r>
        <w:rPr>
          <w:snapToGrid w:val="0"/>
        </w:rPr>
        <w:tab/>
        <w:t>In this regulation — </w:t>
      </w:r>
    </w:p>
    <w:p>
      <w:pPr>
        <w:pStyle w:val="Defstart"/>
      </w:pPr>
      <w:r>
        <w:tab/>
      </w:r>
      <w:del w:id="494" w:author="Master Repository Process" w:date="2021-07-31T17:33:00Z">
        <w:r>
          <w:rPr>
            <w:b/>
          </w:rPr>
          <w:delText>“</w:delText>
        </w:r>
      </w:del>
      <w:r>
        <w:rPr>
          <w:rStyle w:val="CharDefText"/>
        </w:rPr>
        <w:t>naturally occurring feature</w:t>
      </w:r>
      <w:del w:id="495" w:author="Master Repository Process" w:date="2021-07-31T17:33:00Z">
        <w:r>
          <w:rPr>
            <w:b/>
          </w:rPr>
          <w:delText>”</w:delText>
        </w:r>
      </w:del>
      <w:r>
        <w:t xml:space="preserve"> includes —</w:t>
      </w:r>
    </w:p>
    <w:p>
      <w:pPr>
        <w:pStyle w:val="Defpara"/>
      </w:pPr>
      <w:r>
        <w:tab/>
        <w:t>(a)</w:t>
      </w:r>
      <w:r>
        <w:tab/>
        <w:t>a fossil;</w:t>
      </w:r>
    </w:p>
    <w:p>
      <w:pPr>
        <w:pStyle w:val="Defpara"/>
      </w:pPr>
      <w:r>
        <w:tab/>
        <w:t>(b)</w:t>
      </w:r>
      <w:r>
        <w:tab/>
        <w:t>a mineral specimen, meteorite and tektite;</w:t>
      </w:r>
    </w:p>
    <w:p>
      <w:pPr>
        <w:pStyle w:val="Defpara"/>
      </w:pPr>
      <w:r>
        <w:tab/>
        <w:t>(c)</w:t>
      </w:r>
      <w:r>
        <w:tab/>
        <w:t>a speleotherm and speleogen;</w:t>
      </w:r>
    </w:p>
    <w:p>
      <w:pPr>
        <w:pStyle w:val="Defpara"/>
      </w:pPr>
      <w:r>
        <w:tab/>
        <w:t>(d)</w:t>
      </w:r>
      <w:r>
        <w:tab/>
        <w:t>a termite mound;</w:t>
      </w:r>
    </w:p>
    <w:p>
      <w:pPr>
        <w:pStyle w:val="Defpara"/>
      </w:pPr>
      <w:r>
        <w:tab/>
        <w:t>(e)</w:t>
      </w:r>
      <w:r>
        <w:tab/>
        <w:t>guano;</w:t>
      </w:r>
    </w:p>
    <w:p>
      <w:pPr>
        <w:pStyle w:val="Defpara"/>
      </w:pPr>
      <w:r>
        <w:tab/>
        <w:t>(f)</w:t>
      </w:r>
      <w:r>
        <w:tab/>
        <w:t>a stromatolite, sedimentary deposit associated with stromatolites or other sedimentary deposit, and cyano</w:t>
      </w:r>
      <w:r>
        <w:noBreakHyphen/>
        <w:t>bacteria responsible for building stromatolites which are present in stromatolites; and</w:t>
      </w:r>
    </w:p>
    <w:p>
      <w:pPr>
        <w:pStyle w:val="Defpara"/>
      </w:pPr>
      <w:r>
        <w:tab/>
        <w:t>(g)</w:t>
      </w:r>
      <w:r>
        <w:tab/>
        <w:t>dead marine shell, dead coral, dead sea urchin, coralline algae and live coral organisms living in dead coral.</w:t>
      </w:r>
    </w:p>
    <w:p>
      <w:pPr>
        <w:pStyle w:val="Heading5"/>
        <w:rPr>
          <w:snapToGrid w:val="0"/>
        </w:rPr>
      </w:pPr>
      <w:bookmarkStart w:id="496" w:name="_Toc189456524"/>
      <w:bookmarkStart w:id="497" w:name="_Toc524422535"/>
      <w:bookmarkStart w:id="498" w:name="_Toc5508145"/>
      <w:bookmarkStart w:id="499" w:name="_Toc8119113"/>
      <w:bookmarkStart w:id="500" w:name="_Toc78685234"/>
      <w:bookmarkStart w:id="501" w:name="_Toc150315607"/>
      <w:bookmarkStart w:id="502" w:name="_Toc160332765"/>
      <w:bookmarkStart w:id="503" w:name="_Toc170207791"/>
      <w:r>
        <w:rPr>
          <w:rStyle w:val="CharSectno"/>
        </w:rPr>
        <w:t>32</w:t>
      </w:r>
      <w:r>
        <w:rPr>
          <w:snapToGrid w:val="0"/>
        </w:rPr>
        <w:t>.</w:t>
      </w:r>
      <w:r>
        <w:rPr>
          <w:snapToGrid w:val="0"/>
        </w:rPr>
        <w:tab/>
        <w:t>Sandboarding</w:t>
      </w:r>
      <w:bookmarkEnd w:id="496"/>
      <w:bookmarkEnd w:id="497"/>
      <w:bookmarkEnd w:id="498"/>
      <w:bookmarkEnd w:id="499"/>
      <w:bookmarkEnd w:id="500"/>
      <w:bookmarkEnd w:id="501"/>
      <w:bookmarkEnd w:id="502"/>
      <w:bookmarkEnd w:id="503"/>
      <w:r>
        <w:rPr>
          <w:snapToGrid w:val="0"/>
        </w:rPr>
        <w:t xml:space="preserve"> </w:t>
      </w:r>
    </w:p>
    <w:p>
      <w:pPr>
        <w:pStyle w:val="Subsection"/>
        <w:rPr>
          <w:snapToGrid w:val="0"/>
        </w:rPr>
      </w:pPr>
      <w:r>
        <w:rPr>
          <w:snapToGrid w:val="0"/>
        </w:rPr>
        <w:tab/>
      </w:r>
      <w:r>
        <w:rPr>
          <w:snapToGrid w:val="0"/>
        </w:rPr>
        <w:tab/>
        <w:t>A person must not, without lawful authority, on CALM land use a board or other object to slide down a slope.</w:t>
      </w:r>
    </w:p>
    <w:p>
      <w:pPr>
        <w:pStyle w:val="Penstart"/>
        <w:rPr>
          <w:snapToGrid w:val="0"/>
        </w:rPr>
      </w:pPr>
      <w:r>
        <w:rPr>
          <w:snapToGrid w:val="0"/>
        </w:rPr>
        <w:tab/>
        <w:t>Penalty: $500.</w:t>
      </w:r>
    </w:p>
    <w:p>
      <w:pPr>
        <w:pStyle w:val="Heading5"/>
      </w:pPr>
      <w:bookmarkStart w:id="504" w:name="_Hlt499631294"/>
      <w:bookmarkStart w:id="505" w:name="_Toc189456525"/>
      <w:bookmarkStart w:id="506" w:name="_Toc524422536"/>
      <w:bookmarkStart w:id="507" w:name="_Toc5508146"/>
      <w:bookmarkStart w:id="508" w:name="_Toc8119114"/>
      <w:bookmarkStart w:id="509" w:name="_Toc78685235"/>
      <w:bookmarkStart w:id="510" w:name="_Toc150315608"/>
      <w:bookmarkStart w:id="511" w:name="_Toc160332766"/>
      <w:bookmarkStart w:id="512" w:name="_Toc170207792"/>
      <w:bookmarkEnd w:id="504"/>
      <w:r>
        <w:rPr>
          <w:rStyle w:val="CharSectno"/>
        </w:rPr>
        <w:t>33</w:t>
      </w:r>
      <w:r>
        <w:rPr>
          <w:snapToGrid w:val="0"/>
        </w:rPr>
        <w:t>.</w:t>
      </w:r>
      <w:r>
        <w:rPr>
          <w:snapToGrid w:val="0"/>
        </w:rPr>
        <w:tab/>
        <w:t>Abseiling</w:t>
      </w:r>
      <w:bookmarkEnd w:id="505"/>
      <w:bookmarkEnd w:id="506"/>
      <w:bookmarkEnd w:id="507"/>
      <w:bookmarkEnd w:id="508"/>
      <w:bookmarkEnd w:id="509"/>
      <w:bookmarkEnd w:id="510"/>
      <w:bookmarkEnd w:id="511"/>
      <w:bookmarkEnd w:id="512"/>
    </w:p>
    <w:p>
      <w:pPr>
        <w:pStyle w:val="Subsection"/>
      </w:pPr>
      <w:r>
        <w:tab/>
      </w:r>
      <w:r>
        <w:tab/>
        <w:t>A person must not, without lawful authority, abseil on CALM land except in a designated area.</w:t>
      </w:r>
    </w:p>
    <w:p>
      <w:pPr>
        <w:pStyle w:val="Penstart"/>
      </w:pPr>
      <w:r>
        <w:tab/>
        <w:t>Penalty: $500.</w:t>
      </w:r>
    </w:p>
    <w:p>
      <w:pPr>
        <w:pStyle w:val="Footnotesection"/>
      </w:pPr>
      <w:r>
        <w:tab/>
        <w:t>[Regulation 33 amended in Gazette 29 Sep 2006 p. 4308.]</w:t>
      </w:r>
    </w:p>
    <w:p>
      <w:pPr>
        <w:pStyle w:val="Heading5"/>
        <w:rPr>
          <w:snapToGrid w:val="0"/>
        </w:rPr>
      </w:pPr>
      <w:bookmarkStart w:id="513" w:name="_Toc189456526"/>
      <w:bookmarkStart w:id="514" w:name="_Toc524422537"/>
      <w:bookmarkStart w:id="515" w:name="_Toc5508147"/>
      <w:bookmarkStart w:id="516" w:name="_Toc8119115"/>
      <w:bookmarkStart w:id="517" w:name="_Toc78685236"/>
      <w:bookmarkStart w:id="518" w:name="_Toc150315609"/>
      <w:bookmarkStart w:id="519" w:name="_Toc160332767"/>
      <w:bookmarkStart w:id="520" w:name="_Toc170207793"/>
      <w:r>
        <w:rPr>
          <w:rStyle w:val="CharSectno"/>
        </w:rPr>
        <w:t>34</w:t>
      </w:r>
      <w:r>
        <w:rPr>
          <w:snapToGrid w:val="0"/>
        </w:rPr>
        <w:t>.</w:t>
      </w:r>
      <w:r>
        <w:rPr>
          <w:snapToGrid w:val="0"/>
        </w:rPr>
        <w:tab/>
        <w:t>Unauthorised buildings etc.</w:t>
      </w:r>
      <w:bookmarkEnd w:id="513"/>
      <w:bookmarkEnd w:id="514"/>
      <w:bookmarkEnd w:id="515"/>
      <w:bookmarkEnd w:id="516"/>
      <w:bookmarkEnd w:id="517"/>
      <w:bookmarkEnd w:id="518"/>
      <w:bookmarkEnd w:id="519"/>
      <w:bookmarkEnd w:id="520"/>
      <w:r>
        <w:rPr>
          <w:snapToGrid w:val="0"/>
        </w:rPr>
        <w:t xml:space="preserve"> </w:t>
      </w:r>
    </w:p>
    <w:p>
      <w:pPr>
        <w:pStyle w:val="Subsection"/>
        <w:rPr>
          <w:snapToGrid w:val="0"/>
        </w:rPr>
      </w:pPr>
      <w:r>
        <w:rPr>
          <w:snapToGrid w:val="0"/>
        </w:rPr>
        <w:tab/>
        <w:t>(1)</w:t>
      </w:r>
      <w:r>
        <w:rPr>
          <w:snapToGrid w:val="0"/>
        </w:rPr>
        <w:tab/>
        <w:t>A person must not, without lawful authority, erect or place any structure on CALM land.</w:t>
      </w:r>
    </w:p>
    <w:p>
      <w:pPr>
        <w:pStyle w:val="Penstart"/>
        <w:rPr>
          <w:snapToGrid w:val="0"/>
        </w:rPr>
      </w:pPr>
      <w:r>
        <w:rPr>
          <w:snapToGrid w:val="0"/>
        </w:rPr>
        <w:tab/>
        <w:t>Penalty: $2 000.</w:t>
      </w:r>
    </w:p>
    <w:p>
      <w:pPr>
        <w:pStyle w:val="Subsection"/>
        <w:rPr>
          <w:snapToGrid w:val="0"/>
        </w:rPr>
      </w:pPr>
      <w:r>
        <w:rPr>
          <w:snapToGrid w:val="0"/>
        </w:rPr>
        <w:tab/>
        <w:t>(2)</w:t>
      </w:r>
      <w:r>
        <w:rPr>
          <w:snapToGrid w:val="0"/>
        </w:rPr>
        <w:tab/>
        <w:t xml:space="preserve">In subregulation (1) </w:t>
      </w:r>
      <w:del w:id="521" w:author="Master Repository Process" w:date="2021-07-31T17:33:00Z">
        <w:r>
          <w:rPr>
            <w:b/>
            <w:snapToGrid w:val="0"/>
          </w:rPr>
          <w:delText>“</w:delText>
        </w:r>
      </w:del>
      <w:r>
        <w:rPr>
          <w:rStyle w:val="CharDefText"/>
        </w:rPr>
        <w:t>structure</w:t>
      </w:r>
      <w:del w:id="522" w:author="Master Repository Process" w:date="2021-07-31T17:33:00Z">
        <w:r>
          <w:rPr>
            <w:b/>
            <w:snapToGrid w:val="0"/>
          </w:rPr>
          <w:delText>”</w:delText>
        </w:r>
      </w:del>
      <w:r>
        <w:rPr>
          <w:snapToGrid w:val="0"/>
        </w:rPr>
        <w:t xml:space="preserve"> includes any building, tramline, fence, post, pipeline, jetty, mooring, pontoon, cairn, memorial, ramp, barrier or gate.</w:t>
      </w:r>
    </w:p>
    <w:p>
      <w:pPr>
        <w:pStyle w:val="Subsection"/>
      </w:pPr>
      <w:r>
        <w:tab/>
        <w:t>(3)</w:t>
      </w:r>
      <w:r>
        <w:tab/>
        <w:t>An authorised officer may direct a person who has contravened subregulation (1) to pull down, take apart or remove the structure.</w:t>
      </w:r>
    </w:p>
    <w:p>
      <w:pPr>
        <w:pStyle w:val="Subsection"/>
      </w:pPr>
      <w:r>
        <w:tab/>
        <w:t>(4)</w:t>
      </w:r>
      <w:r>
        <w:tab/>
        <w:t>The person must comply with the direction.</w:t>
      </w:r>
    </w:p>
    <w:p>
      <w:pPr>
        <w:pStyle w:val="Penstart"/>
      </w:pPr>
      <w:r>
        <w:tab/>
        <w:t>Penalty: $2 000.</w:t>
      </w:r>
    </w:p>
    <w:p>
      <w:pPr>
        <w:pStyle w:val="Footnotesection"/>
      </w:pPr>
      <w:r>
        <w:tab/>
        <w:t>[Regulation 34 amended in Gazette 29 Sep 2006 p. 4308</w:t>
      </w:r>
      <w:r>
        <w:noBreakHyphen/>
        <w:t>9.]</w:t>
      </w:r>
    </w:p>
    <w:p>
      <w:pPr>
        <w:pStyle w:val="Heading5"/>
        <w:rPr>
          <w:snapToGrid w:val="0"/>
        </w:rPr>
      </w:pPr>
      <w:bookmarkStart w:id="523" w:name="_Toc189456527"/>
      <w:bookmarkStart w:id="524" w:name="_Toc524422538"/>
      <w:bookmarkStart w:id="525" w:name="_Toc5508148"/>
      <w:bookmarkStart w:id="526" w:name="_Toc8119116"/>
      <w:bookmarkStart w:id="527" w:name="_Toc78685237"/>
      <w:bookmarkStart w:id="528" w:name="_Toc150315610"/>
      <w:bookmarkStart w:id="529" w:name="_Toc160332768"/>
      <w:bookmarkStart w:id="530" w:name="_Toc170207794"/>
      <w:r>
        <w:rPr>
          <w:rStyle w:val="CharSectno"/>
        </w:rPr>
        <w:t>35</w:t>
      </w:r>
      <w:r>
        <w:rPr>
          <w:snapToGrid w:val="0"/>
        </w:rPr>
        <w:t>.</w:t>
      </w:r>
      <w:r>
        <w:rPr>
          <w:snapToGrid w:val="0"/>
        </w:rPr>
        <w:tab/>
        <w:t>Unauthorised clearing</w:t>
      </w:r>
      <w:bookmarkEnd w:id="523"/>
      <w:bookmarkEnd w:id="524"/>
      <w:bookmarkEnd w:id="525"/>
      <w:bookmarkEnd w:id="526"/>
      <w:bookmarkEnd w:id="527"/>
      <w:bookmarkEnd w:id="528"/>
      <w:bookmarkEnd w:id="529"/>
      <w:bookmarkEnd w:id="530"/>
      <w:r>
        <w:rPr>
          <w:snapToGrid w:val="0"/>
        </w:rPr>
        <w:t xml:space="preserve"> </w:t>
      </w:r>
    </w:p>
    <w:p>
      <w:pPr>
        <w:pStyle w:val="Subsection"/>
        <w:rPr>
          <w:snapToGrid w:val="0"/>
        </w:rPr>
      </w:pPr>
      <w:r>
        <w:rPr>
          <w:snapToGrid w:val="0"/>
        </w:rPr>
        <w:tab/>
      </w:r>
      <w:r>
        <w:rPr>
          <w:snapToGrid w:val="0"/>
        </w:rPr>
        <w:tab/>
        <w:t>A person must not, without lawful authority, construct or mark out any road, track, fire break, landing strip, parking area, vessel launching area or pad or platform for building or machinery on CALM land.</w:t>
      </w:r>
    </w:p>
    <w:p>
      <w:pPr>
        <w:pStyle w:val="Penstart"/>
        <w:rPr>
          <w:snapToGrid w:val="0"/>
        </w:rPr>
      </w:pPr>
      <w:r>
        <w:rPr>
          <w:snapToGrid w:val="0"/>
        </w:rPr>
        <w:tab/>
        <w:t>Penalty: $2 000.</w:t>
      </w:r>
    </w:p>
    <w:p>
      <w:pPr>
        <w:pStyle w:val="Heading5"/>
      </w:pPr>
      <w:bookmarkStart w:id="531" w:name="_Toc189456528"/>
      <w:bookmarkStart w:id="532" w:name="_Toc524422539"/>
      <w:bookmarkStart w:id="533" w:name="_Toc144874246"/>
      <w:bookmarkStart w:id="534" w:name="_Toc150315611"/>
      <w:bookmarkStart w:id="535" w:name="_Toc160332769"/>
      <w:bookmarkStart w:id="536" w:name="_Toc170207795"/>
      <w:bookmarkStart w:id="537" w:name="_Toc5508149"/>
      <w:bookmarkStart w:id="538" w:name="_Toc8119117"/>
      <w:bookmarkStart w:id="539" w:name="_Toc78685238"/>
      <w:r>
        <w:t>35A.</w:t>
      </w:r>
      <w:r>
        <w:tab/>
        <w:t>Quarrying, removing or disturbing soil etc.</w:t>
      </w:r>
      <w:bookmarkEnd w:id="531"/>
      <w:bookmarkEnd w:id="532"/>
      <w:bookmarkEnd w:id="533"/>
      <w:bookmarkEnd w:id="534"/>
      <w:bookmarkEnd w:id="535"/>
      <w:bookmarkEnd w:id="536"/>
    </w:p>
    <w:p>
      <w:pPr>
        <w:pStyle w:val="Subsection"/>
      </w:pPr>
      <w:r>
        <w:tab/>
        <w:t>(1)</w:t>
      </w:r>
      <w:r>
        <w:tab/>
        <w:t>A person must not, without lawful authority, disturb or remove leaf mould, rotting vegetation, humus, soil, stone or gravel on or in CALM land.</w:t>
      </w:r>
    </w:p>
    <w:p>
      <w:pPr>
        <w:pStyle w:val="Penstart"/>
      </w:pPr>
      <w:r>
        <w:tab/>
        <w:t>Penalty: $2 000.</w:t>
      </w:r>
    </w:p>
    <w:p>
      <w:pPr>
        <w:pStyle w:val="Subsection"/>
      </w:pPr>
      <w:r>
        <w:tab/>
        <w:t>(2)</w:t>
      </w:r>
      <w:r>
        <w:tab/>
        <w:t xml:space="preserve">In this regulation — </w:t>
      </w:r>
    </w:p>
    <w:p>
      <w:pPr>
        <w:pStyle w:val="Defstart"/>
      </w:pPr>
      <w:r>
        <w:rPr>
          <w:b/>
        </w:rPr>
        <w:tab/>
      </w:r>
      <w:del w:id="540" w:author="Master Repository Process" w:date="2021-07-31T17:33:00Z">
        <w:r>
          <w:rPr>
            <w:b/>
          </w:rPr>
          <w:delText>“</w:delText>
        </w:r>
      </w:del>
      <w:r>
        <w:rPr>
          <w:rStyle w:val="CharDefText"/>
        </w:rPr>
        <w:t>soil</w:t>
      </w:r>
      <w:del w:id="541" w:author="Master Repository Process" w:date="2021-07-31T17:33:00Z">
        <w:r>
          <w:rPr>
            <w:b/>
          </w:rPr>
          <w:delText>”</w:delText>
        </w:r>
      </w:del>
      <w:r>
        <w:t xml:space="preserve"> includes sand, shale, clay and evaporites.</w:t>
      </w:r>
    </w:p>
    <w:p>
      <w:pPr>
        <w:pStyle w:val="Footnotesection"/>
      </w:pPr>
      <w:r>
        <w:tab/>
        <w:t>[Regulation 35A inserted in Gazette 29 Sep 2006 p. 4309.]</w:t>
      </w:r>
    </w:p>
    <w:p>
      <w:pPr>
        <w:pStyle w:val="Heading5"/>
        <w:rPr>
          <w:snapToGrid w:val="0"/>
        </w:rPr>
      </w:pPr>
      <w:bookmarkStart w:id="542" w:name="_Toc189456529"/>
      <w:bookmarkStart w:id="543" w:name="_Toc524422540"/>
      <w:bookmarkStart w:id="544" w:name="_Toc150315612"/>
      <w:bookmarkStart w:id="545" w:name="_Toc160332770"/>
      <w:bookmarkStart w:id="546" w:name="_Toc170207796"/>
      <w:r>
        <w:rPr>
          <w:rStyle w:val="CharSectno"/>
        </w:rPr>
        <w:t>36</w:t>
      </w:r>
      <w:r>
        <w:rPr>
          <w:snapToGrid w:val="0"/>
        </w:rPr>
        <w:t>.</w:t>
      </w:r>
      <w:r>
        <w:rPr>
          <w:snapToGrid w:val="0"/>
        </w:rPr>
        <w:tab/>
        <w:t>Dumping</w:t>
      </w:r>
      <w:bookmarkEnd w:id="542"/>
      <w:bookmarkEnd w:id="543"/>
      <w:bookmarkEnd w:id="537"/>
      <w:bookmarkEnd w:id="538"/>
      <w:bookmarkEnd w:id="539"/>
      <w:bookmarkEnd w:id="544"/>
      <w:bookmarkEnd w:id="545"/>
      <w:bookmarkEnd w:id="546"/>
      <w:r>
        <w:rPr>
          <w:snapToGrid w:val="0"/>
        </w:rPr>
        <w:t xml:space="preserve"> </w:t>
      </w:r>
    </w:p>
    <w:p>
      <w:pPr>
        <w:pStyle w:val="Subsection"/>
        <w:rPr>
          <w:snapToGrid w:val="0"/>
        </w:rPr>
      </w:pPr>
      <w:r>
        <w:rPr>
          <w:snapToGrid w:val="0"/>
        </w:rPr>
        <w:tab/>
      </w:r>
      <w:r>
        <w:rPr>
          <w:snapToGrid w:val="0"/>
        </w:rPr>
        <w:tab/>
        <w:t>A person must not, without lawful authority, abandon any vehicle, vessel, machinery or any part of a vehicle, vessel or machinery, on CALM land.</w:t>
      </w:r>
    </w:p>
    <w:p>
      <w:pPr>
        <w:pStyle w:val="Penstart"/>
        <w:rPr>
          <w:snapToGrid w:val="0"/>
        </w:rPr>
      </w:pPr>
      <w:r>
        <w:rPr>
          <w:snapToGrid w:val="0"/>
        </w:rPr>
        <w:tab/>
        <w:t>Penalty: $2 000.</w:t>
      </w:r>
    </w:p>
    <w:p>
      <w:pPr>
        <w:pStyle w:val="Heading5"/>
        <w:rPr>
          <w:snapToGrid w:val="0"/>
        </w:rPr>
      </w:pPr>
      <w:bookmarkStart w:id="547" w:name="_Toc189456530"/>
      <w:bookmarkStart w:id="548" w:name="_Toc524422541"/>
      <w:bookmarkStart w:id="549" w:name="_Toc5508150"/>
      <w:bookmarkStart w:id="550" w:name="_Toc8119118"/>
      <w:bookmarkStart w:id="551" w:name="_Toc78685239"/>
      <w:bookmarkStart w:id="552" w:name="_Toc150315613"/>
      <w:bookmarkStart w:id="553" w:name="_Toc160332771"/>
      <w:bookmarkStart w:id="554" w:name="_Toc170207797"/>
      <w:r>
        <w:rPr>
          <w:rStyle w:val="CharSectno"/>
        </w:rPr>
        <w:t>37</w:t>
      </w:r>
      <w:r>
        <w:rPr>
          <w:snapToGrid w:val="0"/>
        </w:rPr>
        <w:t>.</w:t>
      </w:r>
      <w:r>
        <w:rPr>
          <w:snapToGrid w:val="0"/>
        </w:rPr>
        <w:tab/>
        <w:t>Damage to property</w:t>
      </w:r>
      <w:bookmarkEnd w:id="547"/>
      <w:bookmarkEnd w:id="548"/>
      <w:bookmarkEnd w:id="549"/>
      <w:bookmarkEnd w:id="550"/>
      <w:bookmarkEnd w:id="551"/>
      <w:bookmarkEnd w:id="552"/>
      <w:bookmarkEnd w:id="553"/>
      <w:bookmarkEnd w:id="554"/>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post, stick, stamp, stencil or otherwise affix any notice, handbill, placard, advertisement, paper or other document on or to any thing or structure that is part of the landscape or property on CALM land; or</w:t>
      </w:r>
    </w:p>
    <w:p>
      <w:pPr>
        <w:pStyle w:val="Indenta"/>
        <w:rPr>
          <w:snapToGrid w:val="0"/>
        </w:rPr>
      </w:pPr>
      <w:r>
        <w:rPr>
          <w:snapToGrid w:val="0"/>
        </w:rPr>
        <w:tab/>
        <w:t>(b)</w:t>
      </w:r>
      <w:r>
        <w:rPr>
          <w:snapToGrid w:val="0"/>
        </w:rPr>
        <w:tab/>
        <w:t xml:space="preserve">write, draw or paint on or deface any thing or structure that is part of the landscape or property on CALM land. </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must not, without lawful authority, cause any damage or disturbance to, or interfere with, any ticket vending machine, sign</w:t>
      </w:r>
      <w:r>
        <w:t xml:space="preserve">, aboriginal site or artefact, </w:t>
      </w:r>
      <w:r>
        <w:rPr>
          <w:snapToGrid w:val="0"/>
        </w:rPr>
        <w:t>or other thing or structure that is part of the landscape or property on CALM land.</w:t>
      </w:r>
    </w:p>
    <w:p>
      <w:pPr>
        <w:pStyle w:val="Penstart"/>
        <w:rPr>
          <w:snapToGrid w:val="0"/>
        </w:rPr>
      </w:pPr>
      <w:r>
        <w:rPr>
          <w:snapToGrid w:val="0"/>
        </w:rPr>
        <w:tab/>
        <w:t>Penalty: $2 000.</w:t>
      </w:r>
    </w:p>
    <w:p>
      <w:pPr>
        <w:pStyle w:val="Subsection"/>
        <w:rPr>
          <w:snapToGrid w:val="0"/>
        </w:rPr>
      </w:pPr>
      <w:r>
        <w:rPr>
          <w:snapToGrid w:val="0"/>
        </w:rPr>
        <w:tab/>
        <w:t>(3)</w:t>
      </w:r>
      <w:r>
        <w:rPr>
          <w:snapToGrid w:val="0"/>
        </w:rPr>
        <w:tab/>
        <w:t xml:space="preserve">Nothing in subregulation (1)(a) applies to the use of a notice board set up with the authority of the </w:t>
      </w:r>
      <w:r>
        <w:t xml:space="preserve">CEO </w:t>
      </w:r>
      <w:r>
        <w:rPr>
          <w:snapToGrid w:val="0"/>
        </w:rPr>
        <w:t>for public use.</w:t>
      </w:r>
    </w:p>
    <w:p>
      <w:pPr>
        <w:pStyle w:val="Footnotesection"/>
      </w:pPr>
      <w:r>
        <w:tab/>
        <w:t>[Regulation 37 amended in Gazette 29 Sep 2006 p. 4309 and 4334.]</w:t>
      </w:r>
    </w:p>
    <w:p>
      <w:pPr>
        <w:pStyle w:val="Heading5"/>
        <w:rPr>
          <w:snapToGrid w:val="0"/>
        </w:rPr>
      </w:pPr>
      <w:bookmarkStart w:id="555" w:name="_Toc189456531"/>
      <w:bookmarkStart w:id="556" w:name="_Toc524422542"/>
      <w:bookmarkStart w:id="557" w:name="_Toc5508151"/>
      <w:bookmarkStart w:id="558" w:name="_Toc8119119"/>
      <w:bookmarkStart w:id="559" w:name="_Toc78685240"/>
      <w:bookmarkStart w:id="560" w:name="_Toc150315614"/>
      <w:bookmarkStart w:id="561" w:name="_Toc160332772"/>
      <w:bookmarkStart w:id="562" w:name="_Toc170207798"/>
      <w:r>
        <w:rPr>
          <w:rStyle w:val="CharSectno"/>
        </w:rPr>
        <w:t>38</w:t>
      </w:r>
      <w:r>
        <w:rPr>
          <w:snapToGrid w:val="0"/>
        </w:rPr>
        <w:t>.</w:t>
      </w:r>
      <w:r>
        <w:rPr>
          <w:snapToGrid w:val="0"/>
        </w:rPr>
        <w:tab/>
        <w:t>Unauthorised signs</w:t>
      </w:r>
      <w:bookmarkEnd w:id="555"/>
      <w:bookmarkEnd w:id="556"/>
      <w:bookmarkEnd w:id="557"/>
      <w:bookmarkEnd w:id="558"/>
      <w:bookmarkEnd w:id="559"/>
      <w:bookmarkEnd w:id="560"/>
      <w:bookmarkEnd w:id="561"/>
      <w:bookmarkEnd w:id="562"/>
      <w:r>
        <w:rPr>
          <w:snapToGrid w:val="0"/>
        </w:rPr>
        <w:t xml:space="preserve"> </w:t>
      </w:r>
    </w:p>
    <w:p>
      <w:pPr>
        <w:pStyle w:val="Subsection"/>
        <w:rPr>
          <w:snapToGrid w:val="0"/>
        </w:rPr>
      </w:pPr>
      <w:r>
        <w:rPr>
          <w:snapToGrid w:val="0"/>
        </w:rPr>
        <w:tab/>
        <w:t>(1)</w:t>
      </w:r>
      <w:r>
        <w:rPr>
          <w:snapToGrid w:val="0"/>
        </w:rPr>
        <w:tab/>
        <w:t>A person must not, without lawful authority, erect any sign or notice on CALM 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authorised officer may remove any sign or notice erected without lawful authority on CALM land.</w:t>
      </w:r>
    </w:p>
    <w:p>
      <w:pPr>
        <w:pStyle w:val="Heading5"/>
        <w:rPr>
          <w:snapToGrid w:val="0"/>
        </w:rPr>
      </w:pPr>
      <w:bookmarkStart w:id="563" w:name="_Hlt499613713"/>
      <w:bookmarkStart w:id="564" w:name="_Toc189456532"/>
      <w:bookmarkStart w:id="565" w:name="_Toc524422543"/>
      <w:bookmarkStart w:id="566" w:name="_Toc5508152"/>
      <w:bookmarkStart w:id="567" w:name="_Toc8119120"/>
      <w:bookmarkStart w:id="568" w:name="_Toc78685241"/>
      <w:bookmarkStart w:id="569" w:name="_Toc150315615"/>
      <w:bookmarkStart w:id="570" w:name="_Toc160332773"/>
      <w:bookmarkStart w:id="571" w:name="_Toc170207799"/>
      <w:bookmarkEnd w:id="563"/>
      <w:r>
        <w:rPr>
          <w:rStyle w:val="CharSectno"/>
        </w:rPr>
        <w:t>39</w:t>
      </w:r>
      <w:r>
        <w:rPr>
          <w:snapToGrid w:val="0"/>
        </w:rPr>
        <w:t>.</w:t>
      </w:r>
      <w:r>
        <w:rPr>
          <w:snapToGrid w:val="0"/>
        </w:rPr>
        <w:tab/>
        <w:t>Unlawful lighting of campfires etc.</w:t>
      </w:r>
      <w:bookmarkEnd w:id="564"/>
      <w:bookmarkEnd w:id="565"/>
      <w:bookmarkEnd w:id="566"/>
      <w:bookmarkEnd w:id="567"/>
      <w:bookmarkEnd w:id="568"/>
      <w:bookmarkEnd w:id="569"/>
      <w:bookmarkEnd w:id="570"/>
      <w:bookmarkEnd w:id="571"/>
      <w:r>
        <w:rPr>
          <w:snapToGrid w:val="0"/>
        </w:rPr>
        <w:t xml:space="preserve"> </w:t>
      </w:r>
    </w:p>
    <w:p>
      <w:pPr>
        <w:pStyle w:val="Subsection"/>
        <w:rPr>
          <w:snapToGrid w:val="0"/>
        </w:rPr>
      </w:pPr>
      <w:r>
        <w:rPr>
          <w:snapToGrid w:val="0"/>
        </w:rPr>
        <w:tab/>
      </w:r>
      <w:bookmarkStart w:id="572" w:name="_Hlt499631348"/>
      <w:bookmarkEnd w:id="572"/>
      <w:r>
        <w:rPr>
          <w:snapToGrid w:val="0"/>
        </w:rPr>
        <w:t>(1)</w:t>
      </w:r>
      <w:r>
        <w:rPr>
          <w:snapToGrid w:val="0"/>
        </w:rPr>
        <w:tab/>
        <w:t xml:space="preserve">A person must not, without lawful authority, </w:t>
      </w:r>
      <w:r>
        <w:t>light, kindle, maintain or use, or assist another person in lighting, kindling or maintaining</w:t>
      </w:r>
      <w:r>
        <w:rPr>
          <w:snapToGrid w:val="0"/>
        </w:rPr>
        <w:t>, a campfire, barbecue or portable stove on CALM land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in a restricted area where that activity — </w:t>
      </w:r>
    </w:p>
    <w:p>
      <w:pPr>
        <w:pStyle w:val="Indenti"/>
        <w:rPr>
          <w:snapToGrid w:val="0"/>
        </w:rPr>
      </w:pPr>
      <w:r>
        <w:rPr>
          <w:snapToGrid w:val="0"/>
        </w:rPr>
        <w:tab/>
        <w:t>(i)</w:t>
      </w:r>
      <w:r>
        <w:rPr>
          <w:snapToGrid w:val="0"/>
        </w:rPr>
        <w:tab/>
        <w:t>is prohibited under regulation </w:t>
      </w:r>
      <w:bookmarkStart w:id="573" w:name="_Hlt499613960"/>
      <w:r>
        <w:rPr>
          <w:snapToGrid w:val="0"/>
        </w:rPr>
        <w:t>5</w:t>
      </w:r>
      <w:bookmarkEnd w:id="573"/>
      <w:r>
        <w:rPr>
          <w:snapToGrid w:val="0"/>
        </w:rPr>
        <w:t>; or</w:t>
      </w:r>
    </w:p>
    <w:p>
      <w:pPr>
        <w:pStyle w:val="Indenti"/>
        <w:rPr>
          <w:snapToGrid w:val="0"/>
        </w:rPr>
      </w:pPr>
      <w:r>
        <w:rPr>
          <w:snapToGrid w:val="0"/>
        </w:rPr>
        <w:tab/>
        <w:t>(ii)</w:t>
      </w:r>
      <w:r>
        <w:rPr>
          <w:snapToGrid w:val="0"/>
        </w:rPr>
        <w:tab/>
        <w:t>contravenes a restriction imposed on that activity under regulation </w:t>
      </w:r>
      <w:bookmarkStart w:id="574" w:name="_Hlt499613968"/>
      <w:r>
        <w:rPr>
          <w:snapToGrid w:val="0"/>
        </w:rPr>
        <w:t>5</w:t>
      </w:r>
      <w:bookmarkEnd w:id="574"/>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flora and forest produce is in danger of being burnt or injured.</w:t>
      </w:r>
    </w:p>
    <w:p>
      <w:pPr>
        <w:pStyle w:val="Penstart"/>
        <w:rPr>
          <w:snapToGrid w:val="0"/>
        </w:rPr>
      </w:pPr>
      <w:r>
        <w:rPr>
          <w:snapToGrid w:val="0"/>
        </w:rPr>
        <w:tab/>
        <w:t>Penalty: $2 000.</w:t>
      </w:r>
    </w:p>
    <w:p>
      <w:pPr>
        <w:pStyle w:val="Subsection"/>
        <w:rPr>
          <w:snapToGrid w:val="0"/>
        </w:rPr>
      </w:pPr>
      <w:bookmarkStart w:id="575" w:name="_Toc5508153"/>
      <w:bookmarkStart w:id="576" w:name="_Toc8119121"/>
      <w:bookmarkStart w:id="577" w:name="_Toc78685242"/>
      <w:r>
        <w:tab/>
        <w:t>(2)</w:t>
      </w:r>
      <w:r>
        <w:tab/>
      </w:r>
      <w:r>
        <w:rPr>
          <w:snapToGrid w:val="0"/>
        </w:rPr>
        <w:t>A person must not, without lawful authority — </w:t>
      </w:r>
    </w:p>
    <w:p>
      <w:pPr>
        <w:pStyle w:val="Indenta"/>
        <w:rPr>
          <w:snapToGrid w:val="0"/>
        </w:rPr>
      </w:pPr>
      <w:r>
        <w:rPr>
          <w:snapToGrid w:val="0"/>
        </w:rPr>
        <w:tab/>
        <w:t>(a)</w:t>
      </w:r>
      <w:r>
        <w:rPr>
          <w:snapToGrid w:val="0"/>
        </w:rPr>
        <w:tab/>
        <w:t>light, kindle, maintain or use, or assist another person in lighting, kindling or maintaining, any fire within the boundaries or within 20 metres of any boundary of CALM land; or</w:t>
      </w:r>
    </w:p>
    <w:p>
      <w:pPr>
        <w:pStyle w:val="Indenta"/>
        <w:rPr>
          <w:snapToGrid w:val="0"/>
        </w:rPr>
      </w:pPr>
      <w:r>
        <w:rPr>
          <w:snapToGrid w:val="0"/>
        </w:rPr>
        <w:tab/>
        <w:t>(b)</w:t>
      </w:r>
      <w:r>
        <w:rPr>
          <w:snapToGrid w:val="0"/>
        </w:rPr>
        <w:tab/>
        <w:t>leave a fire described in paragraph (a) without taking due precaution against its spreading or causing injury,</w:t>
      </w:r>
    </w:p>
    <w:p>
      <w:pPr>
        <w:pStyle w:val="Subsection"/>
        <w:rPr>
          <w:snapToGrid w:val="0"/>
        </w:rPr>
      </w:pPr>
      <w:r>
        <w:rPr>
          <w:snapToGrid w:val="0"/>
        </w:rPr>
        <w:tab/>
      </w:r>
      <w:r>
        <w:rPr>
          <w:snapToGrid w:val="0"/>
        </w:rPr>
        <w:tab/>
        <w:t>if in either case any flora or forest produce is in danger of being burnt or injured.</w:t>
      </w:r>
    </w:p>
    <w:p>
      <w:pPr>
        <w:pStyle w:val="Penstart"/>
        <w:rPr>
          <w:snapToGrid w:val="0"/>
        </w:rPr>
      </w:pPr>
      <w:r>
        <w:rPr>
          <w:snapToGrid w:val="0"/>
        </w:rPr>
        <w:tab/>
        <w:t>Penalty: $2 000.</w:t>
      </w:r>
    </w:p>
    <w:p>
      <w:pPr>
        <w:pStyle w:val="Subsection"/>
      </w:pPr>
      <w:r>
        <w:tab/>
        <w:t>(3)</w:t>
      </w:r>
      <w:r>
        <w:tab/>
        <w:t>Subregulation (2) does not apply to a campfire, barbecue or portable stove on CALM land.</w:t>
      </w:r>
    </w:p>
    <w:p>
      <w:pPr>
        <w:pStyle w:val="Subsection"/>
      </w:pPr>
      <w:r>
        <w:tab/>
        <w:t>(4)</w:t>
      </w:r>
      <w:r>
        <w:tab/>
        <w:t xml:space="preserve">Nothing in this regulation affects the application of section 104 of the Act or regulation 29(2), or section 25 of the </w:t>
      </w:r>
      <w:r>
        <w:rPr>
          <w:i/>
        </w:rPr>
        <w:t>Bush Fires Act 1954</w:t>
      </w:r>
      <w:r>
        <w:t>.</w:t>
      </w:r>
    </w:p>
    <w:p>
      <w:pPr>
        <w:pStyle w:val="Footnotesection"/>
      </w:pPr>
      <w:r>
        <w:tab/>
        <w:t>[Regulation 39 amended in Gazette 29 Sep 2006 p. 4309</w:t>
      </w:r>
      <w:r>
        <w:noBreakHyphen/>
        <w:t>10.]</w:t>
      </w:r>
    </w:p>
    <w:p>
      <w:pPr>
        <w:pStyle w:val="Heading5"/>
        <w:rPr>
          <w:snapToGrid w:val="0"/>
        </w:rPr>
      </w:pPr>
      <w:bookmarkStart w:id="578" w:name="_Toc189456533"/>
      <w:bookmarkStart w:id="579" w:name="_Toc524422544"/>
      <w:bookmarkStart w:id="580" w:name="_Toc150315616"/>
      <w:bookmarkStart w:id="581" w:name="_Toc160332774"/>
      <w:bookmarkStart w:id="582" w:name="_Toc170207800"/>
      <w:r>
        <w:rPr>
          <w:rStyle w:val="CharSectno"/>
        </w:rPr>
        <w:t>40</w:t>
      </w:r>
      <w:r>
        <w:rPr>
          <w:snapToGrid w:val="0"/>
        </w:rPr>
        <w:t>.</w:t>
      </w:r>
      <w:r>
        <w:rPr>
          <w:snapToGrid w:val="0"/>
        </w:rPr>
        <w:tab/>
        <w:t>Authorised officer may direct that camp fire, barbecue or portable stove be extinguished</w:t>
      </w:r>
      <w:bookmarkEnd w:id="578"/>
      <w:bookmarkEnd w:id="579"/>
      <w:bookmarkEnd w:id="575"/>
      <w:bookmarkEnd w:id="576"/>
      <w:bookmarkEnd w:id="577"/>
      <w:bookmarkEnd w:id="580"/>
      <w:bookmarkEnd w:id="581"/>
      <w:bookmarkEnd w:id="582"/>
      <w:r>
        <w:rPr>
          <w:snapToGrid w:val="0"/>
        </w:rPr>
        <w:t xml:space="preserve"> </w:t>
      </w:r>
    </w:p>
    <w:p>
      <w:pPr>
        <w:pStyle w:val="Subsection"/>
        <w:rPr>
          <w:snapToGrid w:val="0"/>
        </w:rPr>
      </w:pPr>
      <w:r>
        <w:rPr>
          <w:snapToGrid w:val="0"/>
        </w:rPr>
        <w:tab/>
        <w:t>(1)</w:t>
      </w:r>
      <w:r>
        <w:rPr>
          <w:snapToGrid w:val="0"/>
        </w:rPr>
        <w:tab/>
        <w:t>An authorised officer may direct any person to extinguish a campfire, barbecue or portable stove on CALM land if the authorised officer considers that the campfire, barbecue or stove constitutes a fire risk to any part of that land.</w:t>
      </w:r>
    </w:p>
    <w:p>
      <w:pPr>
        <w:pStyle w:val="Subsection"/>
        <w:rPr>
          <w:snapToGrid w:val="0"/>
        </w:rPr>
      </w:pPr>
      <w:r>
        <w:rPr>
          <w:snapToGrid w:val="0"/>
        </w:rPr>
        <w:tab/>
        <w:t>(2)</w:t>
      </w:r>
      <w:r>
        <w:rPr>
          <w:snapToGrid w:val="0"/>
        </w:rPr>
        <w:tab/>
        <w:t>A person must comply with a direction given to that person under subregulation (1).</w:t>
      </w:r>
    </w:p>
    <w:p>
      <w:pPr>
        <w:pStyle w:val="Penstart"/>
        <w:rPr>
          <w:snapToGrid w:val="0"/>
        </w:rPr>
      </w:pPr>
      <w:r>
        <w:rPr>
          <w:snapToGrid w:val="0"/>
        </w:rPr>
        <w:tab/>
        <w:t>Penalty: $2 000.</w:t>
      </w:r>
    </w:p>
    <w:p>
      <w:pPr>
        <w:pStyle w:val="Heading5"/>
      </w:pPr>
      <w:bookmarkStart w:id="583" w:name="_Toc189456534"/>
      <w:bookmarkStart w:id="584" w:name="_Toc524422545"/>
      <w:bookmarkStart w:id="585" w:name="_Toc144874250"/>
      <w:bookmarkStart w:id="586" w:name="_Toc150315617"/>
      <w:bookmarkStart w:id="587" w:name="_Toc160332775"/>
      <w:bookmarkStart w:id="588" w:name="_Toc170207801"/>
      <w:bookmarkStart w:id="589" w:name="_Toc71354902"/>
      <w:bookmarkStart w:id="590" w:name="_Toc78623640"/>
      <w:bookmarkStart w:id="591" w:name="_Toc78685243"/>
      <w:r>
        <w:rPr>
          <w:rStyle w:val="CharSectno"/>
        </w:rPr>
        <w:t>40A</w:t>
      </w:r>
      <w:r>
        <w:t>.</w:t>
      </w:r>
      <w:r>
        <w:tab/>
        <w:t>Unlawful lighting of fires — only one conviction</w:t>
      </w:r>
      <w:bookmarkEnd w:id="583"/>
      <w:bookmarkEnd w:id="584"/>
      <w:bookmarkEnd w:id="585"/>
      <w:bookmarkEnd w:id="586"/>
      <w:bookmarkEnd w:id="587"/>
      <w:bookmarkEnd w:id="588"/>
    </w:p>
    <w:p>
      <w:pPr>
        <w:pStyle w:val="Subsection"/>
      </w:pPr>
      <w:r>
        <w:tab/>
      </w:r>
      <w:r>
        <w:tab/>
        <w:t xml:space="preserve">A person cannot be convicted of more than one offence arising from the one act or omission that contravenes 2 or more of the following provisions — </w:t>
      </w:r>
    </w:p>
    <w:p>
      <w:pPr>
        <w:pStyle w:val="Indenta"/>
      </w:pPr>
      <w:r>
        <w:tab/>
        <w:t>(a)</w:t>
      </w:r>
      <w:r>
        <w:tab/>
        <w:t>section 104(1) of the Act;</w:t>
      </w:r>
    </w:p>
    <w:p>
      <w:pPr>
        <w:pStyle w:val="Indenta"/>
      </w:pPr>
      <w:r>
        <w:tab/>
        <w:t>(b)</w:t>
      </w:r>
      <w:r>
        <w:tab/>
        <w:t>regulation 29(2);</w:t>
      </w:r>
    </w:p>
    <w:p>
      <w:pPr>
        <w:pStyle w:val="Indenta"/>
      </w:pPr>
      <w:r>
        <w:tab/>
        <w:t>(c)</w:t>
      </w:r>
      <w:r>
        <w:tab/>
        <w:t>regulation 39(1);</w:t>
      </w:r>
    </w:p>
    <w:p>
      <w:pPr>
        <w:pStyle w:val="Indenta"/>
      </w:pPr>
      <w:r>
        <w:tab/>
        <w:t>(d)</w:t>
      </w:r>
      <w:r>
        <w:tab/>
        <w:t>regulation 39(2).</w:t>
      </w:r>
    </w:p>
    <w:p>
      <w:pPr>
        <w:pStyle w:val="Footnotesection"/>
      </w:pPr>
      <w:r>
        <w:tab/>
        <w:t>[Regulation 40A inserted in Gazette 29 Sep 2006 p. 4310</w:t>
      </w:r>
      <w:r>
        <w:noBreakHyphen/>
        <w:t>11.]</w:t>
      </w:r>
    </w:p>
    <w:p>
      <w:pPr>
        <w:pStyle w:val="Heading2"/>
      </w:pPr>
      <w:bookmarkStart w:id="592" w:name="_Toc189456535"/>
      <w:bookmarkStart w:id="593" w:name="_Toc524422546"/>
      <w:bookmarkStart w:id="594" w:name="_Toc147312342"/>
      <w:bookmarkStart w:id="595" w:name="_Toc147631203"/>
      <w:bookmarkStart w:id="596" w:name="_Toc147633537"/>
      <w:bookmarkStart w:id="597" w:name="_Toc147906981"/>
      <w:bookmarkStart w:id="598" w:name="_Toc147907380"/>
      <w:bookmarkStart w:id="599" w:name="_Toc149009933"/>
      <w:bookmarkStart w:id="600" w:name="_Toc149010287"/>
      <w:bookmarkStart w:id="601" w:name="_Toc149010455"/>
      <w:bookmarkStart w:id="602" w:name="_Toc149016335"/>
      <w:bookmarkStart w:id="603" w:name="_Toc149039078"/>
      <w:bookmarkStart w:id="604" w:name="_Toc149039799"/>
      <w:bookmarkStart w:id="605" w:name="_Toc150315407"/>
      <w:bookmarkStart w:id="606" w:name="_Toc150315618"/>
      <w:bookmarkStart w:id="607" w:name="_Toc160272828"/>
      <w:bookmarkStart w:id="608" w:name="_Toc160332776"/>
      <w:bookmarkStart w:id="609" w:name="_Toc170207802"/>
      <w:r>
        <w:rPr>
          <w:rStyle w:val="CharPartNo"/>
        </w:rPr>
        <w:t>Part 3</w:t>
      </w:r>
      <w:r>
        <w:t xml:space="preserve"> — </w:t>
      </w:r>
      <w:r>
        <w:rPr>
          <w:rStyle w:val="CharPartText"/>
        </w:rPr>
        <w:t>Access to CALM land</w:t>
      </w:r>
      <w:bookmarkEnd w:id="592"/>
      <w:bookmarkEnd w:id="593"/>
      <w:bookmarkEnd w:id="589"/>
      <w:bookmarkEnd w:id="590"/>
      <w:bookmarkEnd w:id="591"/>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pPr>
        <w:pStyle w:val="Heading3"/>
      </w:pPr>
      <w:bookmarkStart w:id="610" w:name="_Toc189456536"/>
      <w:bookmarkStart w:id="611" w:name="_Toc524422547"/>
      <w:bookmarkStart w:id="612" w:name="_Toc71354903"/>
      <w:bookmarkStart w:id="613" w:name="_Toc78623641"/>
      <w:bookmarkStart w:id="614" w:name="_Toc78685244"/>
      <w:bookmarkStart w:id="615" w:name="_Toc147312343"/>
      <w:bookmarkStart w:id="616" w:name="_Toc147631204"/>
      <w:bookmarkStart w:id="617" w:name="_Toc147633538"/>
      <w:bookmarkStart w:id="618" w:name="_Toc147906982"/>
      <w:bookmarkStart w:id="619" w:name="_Toc147907381"/>
      <w:bookmarkStart w:id="620" w:name="_Toc149009934"/>
      <w:bookmarkStart w:id="621" w:name="_Toc149010288"/>
      <w:bookmarkStart w:id="622" w:name="_Toc149010456"/>
      <w:bookmarkStart w:id="623" w:name="_Toc149016336"/>
      <w:bookmarkStart w:id="624" w:name="_Toc149039079"/>
      <w:bookmarkStart w:id="625" w:name="_Toc149039800"/>
      <w:bookmarkStart w:id="626" w:name="_Toc150315408"/>
      <w:bookmarkStart w:id="627" w:name="_Toc150315619"/>
      <w:bookmarkStart w:id="628" w:name="_Toc160272829"/>
      <w:bookmarkStart w:id="629" w:name="_Toc160332777"/>
      <w:bookmarkStart w:id="630" w:name="_Toc170207803"/>
      <w:r>
        <w:rPr>
          <w:rStyle w:val="CharDivNo"/>
        </w:rPr>
        <w:t>Division 1</w:t>
      </w:r>
      <w:r>
        <w:rPr>
          <w:snapToGrid w:val="0"/>
        </w:rPr>
        <w:t xml:space="preserve"> — </w:t>
      </w:r>
      <w:r>
        <w:rPr>
          <w:rStyle w:val="CharDivText"/>
        </w:rPr>
        <w:t>General</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p>
      <w:pPr>
        <w:pStyle w:val="Heading5"/>
        <w:rPr>
          <w:snapToGrid w:val="0"/>
        </w:rPr>
      </w:pPr>
      <w:bookmarkStart w:id="631" w:name="_Toc189456537"/>
      <w:bookmarkStart w:id="632" w:name="_Toc524422548"/>
      <w:bookmarkStart w:id="633" w:name="_Toc5508154"/>
      <w:bookmarkStart w:id="634" w:name="_Toc8119122"/>
      <w:bookmarkStart w:id="635" w:name="_Toc78685245"/>
      <w:bookmarkStart w:id="636" w:name="_Toc150315620"/>
      <w:bookmarkStart w:id="637" w:name="_Toc160332778"/>
      <w:bookmarkStart w:id="638" w:name="_Toc170207804"/>
      <w:r>
        <w:rPr>
          <w:rStyle w:val="CharSectno"/>
        </w:rPr>
        <w:t>41</w:t>
      </w:r>
      <w:r>
        <w:rPr>
          <w:snapToGrid w:val="0"/>
        </w:rPr>
        <w:t>.</w:t>
      </w:r>
      <w:r>
        <w:rPr>
          <w:snapToGrid w:val="0"/>
        </w:rPr>
        <w:tab/>
        <w:t>Access to certain areas classified under s. 62</w:t>
      </w:r>
      <w:bookmarkEnd w:id="631"/>
      <w:bookmarkEnd w:id="632"/>
      <w:bookmarkEnd w:id="633"/>
      <w:bookmarkEnd w:id="634"/>
      <w:bookmarkEnd w:id="635"/>
      <w:bookmarkEnd w:id="636"/>
      <w:bookmarkEnd w:id="637"/>
      <w:bookmarkEnd w:id="638"/>
      <w:r>
        <w:rPr>
          <w:snapToGrid w:val="0"/>
        </w:rPr>
        <w:t xml:space="preserve"> </w:t>
      </w:r>
    </w:p>
    <w:p>
      <w:pPr>
        <w:pStyle w:val="Subsection"/>
        <w:rPr>
          <w:snapToGrid w:val="0"/>
        </w:rPr>
      </w:pPr>
      <w:r>
        <w:rPr>
          <w:snapToGrid w:val="0"/>
        </w:rPr>
        <w:tab/>
      </w:r>
      <w:r>
        <w:rPr>
          <w:snapToGrid w:val="0"/>
        </w:rPr>
        <w:tab/>
        <w:t>A person must not, without lawful authority, enter any land or waters classified — </w:t>
      </w:r>
    </w:p>
    <w:p>
      <w:pPr>
        <w:pStyle w:val="Indenta"/>
        <w:rPr>
          <w:snapToGrid w:val="0"/>
        </w:rPr>
      </w:pPr>
      <w:r>
        <w:rPr>
          <w:snapToGrid w:val="0"/>
        </w:rPr>
        <w:tab/>
        <w:t>(a)</w:t>
      </w:r>
      <w:r>
        <w:rPr>
          <w:snapToGrid w:val="0"/>
        </w:rPr>
        <w:tab/>
        <w:t>under section 62(1)(b) of the Act as a prohibited area;</w:t>
      </w:r>
    </w:p>
    <w:p>
      <w:pPr>
        <w:pStyle w:val="Indenta"/>
        <w:rPr>
          <w:snapToGrid w:val="0"/>
        </w:rPr>
      </w:pPr>
      <w:r>
        <w:rPr>
          <w:snapToGrid w:val="0"/>
        </w:rPr>
        <w:tab/>
        <w:t>(b)</w:t>
      </w:r>
      <w:r>
        <w:rPr>
          <w:snapToGrid w:val="0"/>
        </w:rPr>
        <w:tab/>
        <w:t>under section 62(1)(d) of the Act as a temporary control area;</w:t>
      </w:r>
    </w:p>
    <w:p>
      <w:pPr>
        <w:pStyle w:val="Indenta"/>
      </w:pPr>
      <w:r>
        <w:rPr>
          <w:snapToGrid w:val="0"/>
        </w:rPr>
        <w:tab/>
        <w:t>(c)</w:t>
      </w:r>
      <w:r>
        <w:rPr>
          <w:snapToGrid w:val="0"/>
        </w:rPr>
        <w:tab/>
        <w:t xml:space="preserve">under section 62(1)(f) of the Act as </w:t>
      </w:r>
      <w:r>
        <w:t>a plant disease management area; or</w:t>
      </w:r>
    </w:p>
    <w:p>
      <w:pPr>
        <w:pStyle w:val="Indenta"/>
      </w:pPr>
      <w:r>
        <w:rPr>
          <w:snapToGrid w:val="0"/>
        </w:rPr>
        <w:tab/>
        <w:t>(d)</w:t>
      </w:r>
      <w:r>
        <w:rPr>
          <w:snapToGrid w:val="0"/>
        </w:rPr>
        <w:tab/>
      </w:r>
      <w:r>
        <w:t xml:space="preserve">under section 12A(2) of the </w:t>
      </w:r>
      <w:r>
        <w:rPr>
          <w:i/>
        </w:rPr>
        <w:t>Wildlife Conservation Act 1950</w:t>
      </w:r>
      <w:r>
        <w:t xml:space="preserve"> as a prohibited area where that classification remains in force.</w:t>
      </w:r>
    </w:p>
    <w:p>
      <w:pPr>
        <w:pStyle w:val="Penstart"/>
        <w:rPr>
          <w:snapToGrid w:val="0"/>
        </w:rPr>
      </w:pPr>
      <w:r>
        <w:rPr>
          <w:snapToGrid w:val="0"/>
        </w:rPr>
        <w:tab/>
        <w:t>Penalty: $2 000.</w:t>
      </w:r>
    </w:p>
    <w:p>
      <w:pPr>
        <w:pStyle w:val="Heading5"/>
        <w:rPr>
          <w:snapToGrid w:val="0"/>
        </w:rPr>
      </w:pPr>
      <w:bookmarkStart w:id="639" w:name="_Toc189456538"/>
      <w:bookmarkStart w:id="640" w:name="_Toc524422549"/>
      <w:bookmarkStart w:id="641" w:name="_Toc5508155"/>
      <w:bookmarkStart w:id="642" w:name="_Toc8119123"/>
      <w:bookmarkStart w:id="643" w:name="_Toc78685246"/>
      <w:bookmarkStart w:id="644" w:name="_Toc150315621"/>
      <w:bookmarkStart w:id="645" w:name="_Toc160332779"/>
      <w:bookmarkStart w:id="646" w:name="_Toc170207805"/>
      <w:r>
        <w:rPr>
          <w:rStyle w:val="CharSectno"/>
        </w:rPr>
        <w:t>42</w:t>
      </w:r>
      <w:r>
        <w:rPr>
          <w:snapToGrid w:val="0"/>
        </w:rPr>
        <w:t>.</w:t>
      </w:r>
      <w:r>
        <w:rPr>
          <w:snapToGrid w:val="0"/>
        </w:rPr>
        <w:tab/>
        <w:t>Access to limited access areas</w:t>
      </w:r>
      <w:bookmarkEnd w:id="639"/>
      <w:bookmarkEnd w:id="640"/>
      <w:bookmarkEnd w:id="641"/>
      <w:bookmarkEnd w:id="642"/>
      <w:bookmarkEnd w:id="643"/>
      <w:bookmarkEnd w:id="644"/>
      <w:bookmarkEnd w:id="645"/>
      <w:bookmarkEnd w:id="646"/>
      <w:r>
        <w:rPr>
          <w:snapToGrid w:val="0"/>
        </w:rPr>
        <w:t xml:space="preserve"> </w:t>
      </w:r>
    </w:p>
    <w:p>
      <w:pPr>
        <w:pStyle w:val="Subsection"/>
        <w:rPr>
          <w:snapToGrid w:val="0"/>
        </w:rPr>
      </w:pPr>
      <w:r>
        <w:rPr>
          <w:snapToGrid w:val="0"/>
        </w:rPr>
        <w:tab/>
      </w:r>
      <w:r>
        <w:rPr>
          <w:snapToGrid w:val="0"/>
        </w:rPr>
        <w:tab/>
        <w:t xml:space="preserve">A person must not, without lawful authority, enter otherwise than on foot or by vessel any land classified — </w:t>
      </w:r>
    </w:p>
    <w:p>
      <w:pPr>
        <w:pStyle w:val="Indenta"/>
        <w:rPr>
          <w:snapToGrid w:val="0"/>
        </w:rPr>
      </w:pPr>
      <w:r>
        <w:rPr>
          <w:snapToGrid w:val="0"/>
        </w:rPr>
        <w:tab/>
        <w:t>(a)</w:t>
      </w:r>
      <w:r>
        <w:rPr>
          <w:snapToGrid w:val="0"/>
        </w:rPr>
        <w:tab/>
        <w:t>under section 62(1)(c) of the Act as a limited access area; or</w:t>
      </w:r>
    </w:p>
    <w:p>
      <w:pPr>
        <w:pStyle w:val="Indenta"/>
      </w:pPr>
      <w:r>
        <w:rPr>
          <w:snapToGrid w:val="0"/>
        </w:rPr>
        <w:tab/>
        <w:t>(b)</w:t>
      </w:r>
      <w:r>
        <w:rPr>
          <w:snapToGrid w:val="0"/>
        </w:rPr>
        <w:tab/>
      </w:r>
      <w:r>
        <w:t xml:space="preserve">under section 12A(2) of the </w:t>
      </w:r>
      <w:r>
        <w:rPr>
          <w:i/>
        </w:rPr>
        <w:t>Wildlife Conservation Act 1950</w:t>
      </w:r>
      <w:r>
        <w:t xml:space="preserve"> as a limited access area where that classification remains in force.</w:t>
      </w:r>
    </w:p>
    <w:p>
      <w:pPr>
        <w:pStyle w:val="Penstart"/>
        <w:rPr>
          <w:snapToGrid w:val="0"/>
        </w:rPr>
      </w:pPr>
      <w:r>
        <w:rPr>
          <w:snapToGrid w:val="0"/>
        </w:rPr>
        <w:tab/>
        <w:t>Penalty: $2 000.</w:t>
      </w:r>
    </w:p>
    <w:p>
      <w:pPr>
        <w:pStyle w:val="Heading5"/>
        <w:rPr>
          <w:snapToGrid w:val="0"/>
        </w:rPr>
      </w:pPr>
      <w:bookmarkStart w:id="647" w:name="_Toc189456539"/>
      <w:bookmarkStart w:id="648" w:name="_Toc524422550"/>
      <w:bookmarkStart w:id="649" w:name="_Toc5508156"/>
      <w:bookmarkStart w:id="650" w:name="_Toc8119124"/>
      <w:bookmarkStart w:id="651" w:name="_Toc78685247"/>
      <w:bookmarkStart w:id="652" w:name="_Toc150315622"/>
      <w:bookmarkStart w:id="653" w:name="_Toc160332780"/>
      <w:bookmarkStart w:id="654" w:name="_Toc170207806"/>
      <w:r>
        <w:rPr>
          <w:rStyle w:val="CharSectno"/>
        </w:rPr>
        <w:t>43</w:t>
      </w:r>
      <w:r>
        <w:rPr>
          <w:snapToGrid w:val="0"/>
        </w:rPr>
        <w:t>.</w:t>
      </w:r>
      <w:r>
        <w:rPr>
          <w:snapToGrid w:val="0"/>
        </w:rPr>
        <w:tab/>
        <w:t>Access to wilderness areas</w:t>
      </w:r>
      <w:bookmarkEnd w:id="647"/>
      <w:bookmarkEnd w:id="648"/>
      <w:bookmarkEnd w:id="649"/>
      <w:bookmarkEnd w:id="650"/>
      <w:bookmarkEnd w:id="651"/>
      <w:bookmarkEnd w:id="652"/>
      <w:bookmarkEnd w:id="653"/>
      <w:bookmarkEnd w:id="654"/>
      <w:r>
        <w:rPr>
          <w:snapToGrid w:val="0"/>
        </w:rPr>
        <w:t xml:space="preserve"> </w:t>
      </w:r>
    </w:p>
    <w:p>
      <w:pPr>
        <w:pStyle w:val="Subsection"/>
        <w:rPr>
          <w:snapToGrid w:val="0"/>
        </w:rPr>
      </w:pPr>
      <w:r>
        <w:rPr>
          <w:snapToGrid w:val="0"/>
        </w:rPr>
        <w:tab/>
      </w:r>
      <w:r>
        <w:rPr>
          <w:snapToGrid w:val="0"/>
        </w:rPr>
        <w:tab/>
        <w:t>A person must not, without lawful authority, enter by vehicle, powered vessel or animal any land or waters classified under section 62(1)(a) of the Act as a wilderness area.</w:t>
      </w:r>
    </w:p>
    <w:p>
      <w:pPr>
        <w:pStyle w:val="Penstart"/>
        <w:rPr>
          <w:snapToGrid w:val="0"/>
        </w:rPr>
      </w:pPr>
      <w:r>
        <w:rPr>
          <w:snapToGrid w:val="0"/>
        </w:rPr>
        <w:tab/>
        <w:t>Penalty: $1 000.</w:t>
      </w:r>
    </w:p>
    <w:p>
      <w:pPr>
        <w:pStyle w:val="Heading5"/>
        <w:rPr>
          <w:snapToGrid w:val="0"/>
        </w:rPr>
      </w:pPr>
      <w:bookmarkStart w:id="655" w:name="_Hlt499613992"/>
      <w:bookmarkStart w:id="656" w:name="_Toc189456540"/>
      <w:bookmarkStart w:id="657" w:name="_Toc524422551"/>
      <w:bookmarkStart w:id="658" w:name="_Toc5508157"/>
      <w:bookmarkStart w:id="659" w:name="_Toc8119125"/>
      <w:bookmarkStart w:id="660" w:name="_Toc78685248"/>
      <w:bookmarkStart w:id="661" w:name="_Toc150315623"/>
      <w:bookmarkStart w:id="662" w:name="_Toc160332781"/>
      <w:bookmarkStart w:id="663" w:name="_Toc170207807"/>
      <w:bookmarkEnd w:id="655"/>
      <w:r>
        <w:rPr>
          <w:rStyle w:val="CharSectno"/>
        </w:rPr>
        <w:t>44</w:t>
      </w:r>
      <w:r>
        <w:rPr>
          <w:snapToGrid w:val="0"/>
        </w:rPr>
        <w:t>.</w:t>
      </w:r>
      <w:r>
        <w:rPr>
          <w:snapToGrid w:val="0"/>
        </w:rPr>
        <w:tab/>
        <w:t>Direction to close area</w:t>
      </w:r>
      <w:bookmarkEnd w:id="656"/>
      <w:bookmarkEnd w:id="657"/>
      <w:bookmarkEnd w:id="658"/>
      <w:bookmarkEnd w:id="659"/>
      <w:bookmarkEnd w:id="660"/>
      <w:bookmarkEnd w:id="661"/>
      <w:bookmarkEnd w:id="662"/>
      <w:bookmarkEnd w:id="663"/>
      <w:r>
        <w:rPr>
          <w:snapToGrid w:val="0"/>
        </w:rPr>
        <w:t xml:space="preserve"> </w:t>
      </w:r>
    </w:p>
    <w:p>
      <w:pPr>
        <w:pStyle w:val="Subsection"/>
      </w:pPr>
      <w:r>
        <w:rPr>
          <w:snapToGrid w:val="0"/>
        </w:rPr>
        <w:tab/>
        <w:t>(1)</w:t>
      </w:r>
      <w:r>
        <w:rPr>
          <w:snapToGrid w:val="0"/>
        </w:rPr>
        <w:tab/>
        <w:t>If the CEO is satisfied that there is a significant and imminent threat of loss or harm to the safety or health of persons or fauna, or of damage to property or any part of the environment, the CEO may direct a named authorised officer to close as much CALM land as the officer thinks necessary to reduce or remove the threat.</w:t>
      </w:r>
    </w:p>
    <w:p>
      <w:pPr>
        <w:pStyle w:val="Subsection"/>
        <w:rPr>
          <w:snapToGrid w:val="0"/>
        </w:rPr>
      </w:pPr>
      <w:r>
        <w:rPr>
          <w:snapToGrid w:val="0"/>
        </w:rPr>
        <w:tab/>
        <w:t>(2)</w:t>
      </w:r>
      <w:r>
        <w:rPr>
          <w:snapToGrid w:val="0"/>
        </w:rPr>
        <w:tab/>
        <w:t xml:space="preserve">If the </w:t>
      </w:r>
      <w:r>
        <w:t xml:space="preserve">CEO </w:t>
      </w:r>
      <w:r>
        <w:rPr>
          <w:snapToGrid w:val="0"/>
        </w:rPr>
        <w:t xml:space="preserve">gives an oral direction for a closure under subregulation (1), the direction is to be confirmed by the </w:t>
      </w:r>
      <w:r>
        <w:t xml:space="preserve">CEO </w:t>
      </w:r>
      <w:r>
        <w:rPr>
          <w:snapToGrid w:val="0"/>
        </w:rPr>
        <w:t>in writing as soon as is reasonably practicable.</w:t>
      </w:r>
    </w:p>
    <w:p>
      <w:pPr>
        <w:pStyle w:val="Subsection"/>
        <w:rPr>
          <w:snapToGrid w:val="0"/>
        </w:rPr>
      </w:pPr>
      <w:r>
        <w:rPr>
          <w:snapToGrid w:val="0"/>
        </w:rPr>
        <w:tab/>
        <w:t>(3)</w:t>
      </w:r>
      <w:r>
        <w:rPr>
          <w:snapToGrid w:val="0"/>
        </w:rPr>
        <w:tab/>
        <w:t xml:space="preserve">The </w:t>
      </w:r>
      <w:r>
        <w:t xml:space="preserve">CEO </w:t>
      </w:r>
      <w:r>
        <w:rPr>
          <w:snapToGrid w:val="0"/>
        </w:rPr>
        <w:t>may vary or revoke a direction under subregulation (1) and is to revoke a direction as soon as practicable after being satisfied that the circumstances that gave rise to the direction no longer exist.</w:t>
      </w:r>
    </w:p>
    <w:p>
      <w:pPr>
        <w:pStyle w:val="Subsection"/>
      </w:pPr>
      <w:r>
        <w:tab/>
        <w:t>(4)</w:t>
      </w:r>
      <w:r>
        <w:tab/>
        <w:t>The closure of an area in a marine park or marine management area does not operate so as to prohibit a person entering or remaining in the area for the purpose of activities authorised in the area by an authorisation, licence, permit, lease, management plan or notice to which section 13D or 13E of the Act applies.</w:t>
      </w:r>
    </w:p>
    <w:p>
      <w:pPr>
        <w:pStyle w:val="Footnotesection"/>
      </w:pPr>
      <w:r>
        <w:tab/>
        <w:t>[Regulation 44 amended in Gazette 29 Sep 2006 p. 4311 and 4334.]</w:t>
      </w:r>
    </w:p>
    <w:p>
      <w:pPr>
        <w:pStyle w:val="Heading5"/>
        <w:rPr>
          <w:snapToGrid w:val="0"/>
        </w:rPr>
      </w:pPr>
      <w:bookmarkStart w:id="664" w:name="_Hlt499614013"/>
      <w:bookmarkStart w:id="665" w:name="_Toc189456541"/>
      <w:bookmarkStart w:id="666" w:name="_Toc524422552"/>
      <w:bookmarkStart w:id="667" w:name="_Toc5508158"/>
      <w:bookmarkStart w:id="668" w:name="_Toc8119126"/>
      <w:bookmarkStart w:id="669" w:name="_Toc78685249"/>
      <w:bookmarkStart w:id="670" w:name="_Toc150315624"/>
      <w:bookmarkStart w:id="671" w:name="_Toc160332782"/>
      <w:bookmarkStart w:id="672" w:name="_Toc170207808"/>
      <w:bookmarkEnd w:id="664"/>
      <w:r>
        <w:rPr>
          <w:rStyle w:val="CharSectno"/>
        </w:rPr>
        <w:t>45</w:t>
      </w:r>
      <w:r>
        <w:rPr>
          <w:snapToGrid w:val="0"/>
        </w:rPr>
        <w:t>.</w:t>
      </w:r>
      <w:r>
        <w:rPr>
          <w:snapToGrid w:val="0"/>
        </w:rPr>
        <w:tab/>
        <w:t>Closed area</w:t>
      </w:r>
      <w:bookmarkEnd w:id="665"/>
      <w:bookmarkEnd w:id="666"/>
      <w:bookmarkEnd w:id="667"/>
      <w:bookmarkEnd w:id="668"/>
      <w:bookmarkEnd w:id="669"/>
      <w:bookmarkEnd w:id="670"/>
      <w:bookmarkEnd w:id="671"/>
      <w:bookmarkEnd w:id="672"/>
      <w:r>
        <w:rPr>
          <w:snapToGrid w:val="0"/>
        </w:rPr>
        <w:t xml:space="preserve"> </w:t>
      </w:r>
    </w:p>
    <w:p>
      <w:pPr>
        <w:pStyle w:val="Subsection"/>
        <w:rPr>
          <w:snapToGrid w:val="0"/>
        </w:rPr>
      </w:pPr>
      <w:r>
        <w:rPr>
          <w:snapToGrid w:val="0"/>
        </w:rPr>
        <w:tab/>
        <w:t>(1)</w:t>
      </w:r>
      <w:r>
        <w:rPr>
          <w:snapToGrid w:val="0"/>
        </w:rPr>
        <w:tab/>
        <w:t>While a direction is in force under regulation </w:t>
      </w:r>
      <w:bookmarkStart w:id="673" w:name="_Hlt499613990"/>
      <w:r>
        <w:rPr>
          <w:snapToGrid w:val="0"/>
        </w:rPr>
        <w:t>44</w:t>
      </w:r>
      <w:bookmarkEnd w:id="673"/>
      <w:r>
        <w:rPr>
          <w:snapToGrid w:val="0"/>
        </w:rPr>
        <w:t>, any authorised officer may by placement of signs, markings, barriers, or buoys mark out any area (whether one or more) that is for the time being closed for the purposes of that regulation.</w:t>
      </w:r>
    </w:p>
    <w:p>
      <w:pPr>
        <w:pStyle w:val="Subsection"/>
        <w:rPr>
          <w:snapToGrid w:val="0"/>
        </w:rPr>
      </w:pPr>
      <w:r>
        <w:rPr>
          <w:snapToGrid w:val="0"/>
        </w:rPr>
        <w:tab/>
        <w:t>(2)</w:t>
      </w:r>
      <w:r>
        <w:rPr>
          <w:snapToGrid w:val="0"/>
        </w:rPr>
        <w:tab/>
        <w:t>The dimensions of any closed area are not to be greater than is reasonably required for the purposes of regulation 44(1).</w:t>
      </w:r>
    </w:p>
    <w:p>
      <w:pPr>
        <w:pStyle w:val="Subsection"/>
        <w:rPr>
          <w:snapToGrid w:val="0"/>
        </w:rPr>
      </w:pPr>
      <w:r>
        <w:rPr>
          <w:snapToGrid w:val="0"/>
        </w:rPr>
        <w:tab/>
      </w:r>
      <w:bookmarkStart w:id="674" w:name="_Hlt499614023"/>
      <w:bookmarkEnd w:id="674"/>
      <w:r>
        <w:rPr>
          <w:snapToGrid w:val="0"/>
        </w:rPr>
        <w:t>(3)</w:t>
      </w:r>
      <w:r>
        <w:rPr>
          <w:snapToGrid w:val="0"/>
        </w:rPr>
        <w:tab/>
        <w:t>Sufficient signs, markings, barriers or buoys are to be erected and maintained in or in the vicinity of a closed area indicating that entry to that area is prohibited without permission of an authorised officer.</w:t>
      </w:r>
    </w:p>
    <w:p>
      <w:pPr>
        <w:pStyle w:val="Subsection"/>
        <w:rPr>
          <w:snapToGrid w:val="0"/>
        </w:rPr>
      </w:pPr>
      <w:r>
        <w:rPr>
          <w:snapToGrid w:val="0"/>
        </w:rPr>
        <w:tab/>
        <w:t>(4)</w:t>
      </w:r>
      <w:r>
        <w:rPr>
          <w:snapToGrid w:val="0"/>
        </w:rPr>
        <w:tab/>
        <w:t>A sign, marking, barrier or buoy placed in the vicinity of any land or waters to which a direction under regulation </w:t>
      </w:r>
      <w:bookmarkStart w:id="675" w:name="_Hlt499614004"/>
      <w:r>
        <w:rPr>
          <w:snapToGrid w:val="0"/>
        </w:rPr>
        <w:t>44</w:t>
      </w:r>
      <w:bookmarkEnd w:id="675"/>
      <w:r>
        <w:rPr>
          <w:snapToGrid w:val="0"/>
        </w:rPr>
        <w:t xml:space="preserve"> applies is to be presumed, in the absence of evidence to the contrary, to be a sign, marking, barrier or buoy placed by an authorised officer under subregulation (1).</w:t>
      </w:r>
    </w:p>
    <w:p>
      <w:pPr>
        <w:pStyle w:val="Footnotesection"/>
      </w:pPr>
      <w:r>
        <w:tab/>
        <w:t>[Regulation 45 amended in Gazette 29 Sep 2006 p. 4311.]</w:t>
      </w:r>
    </w:p>
    <w:p>
      <w:pPr>
        <w:pStyle w:val="Heading5"/>
        <w:rPr>
          <w:snapToGrid w:val="0"/>
        </w:rPr>
      </w:pPr>
      <w:bookmarkStart w:id="676" w:name="_Toc189456542"/>
      <w:bookmarkStart w:id="677" w:name="_Toc524422553"/>
      <w:bookmarkStart w:id="678" w:name="_Toc5508159"/>
      <w:bookmarkStart w:id="679" w:name="_Toc8119127"/>
      <w:bookmarkStart w:id="680" w:name="_Toc78685250"/>
      <w:bookmarkStart w:id="681" w:name="_Toc150315625"/>
      <w:bookmarkStart w:id="682" w:name="_Toc160332783"/>
      <w:bookmarkStart w:id="683" w:name="_Toc170207809"/>
      <w:r>
        <w:rPr>
          <w:rStyle w:val="CharSectno"/>
        </w:rPr>
        <w:t>46</w:t>
      </w:r>
      <w:r>
        <w:rPr>
          <w:snapToGrid w:val="0"/>
        </w:rPr>
        <w:t>.</w:t>
      </w:r>
      <w:r>
        <w:rPr>
          <w:snapToGrid w:val="0"/>
        </w:rPr>
        <w:tab/>
        <w:t>Offences relating to closed areas</w:t>
      </w:r>
      <w:bookmarkEnd w:id="676"/>
      <w:bookmarkEnd w:id="677"/>
      <w:bookmarkEnd w:id="678"/>
      <w:bookmarkEnd w:id="679"/>
      <w:bookmarkEnd w:id="680"/>
      <w:bookmarkEnd w:id="681"/>
      <w:bookmarkEnd w:id="682"/>
      <w:bookmarkEnd w:id="683"/>
      <w:r>
        <w:rPr>
          <w:snapToGrid w:val="0"/>
        </w:rPr>
        <w:t xml:space="preserve"> </w:t>
      </w:r>
    </w:p>
    <w:p>
      <w:pPr>
        <w:pStyle w:val="Subsection"/>
        <w:rPr>
          <w:snapToGrid w:val="0"/>
        </w:rPr>
      </w:pPr>
      <w:r>
        <w:rPr>
          <w:snapToGrid w:val="0"/>
        </w:rPr>
        <w:tab/>
        <w:t>(1)</w:t>
      </w:r>
      <w:r>
        <w:rPr>
          <w:snapToGrid w:val="0"/>
        </w:rPr>
        <w:tab/>
        <w:t>Subject to regulation 44(4), a person must not, without permission of an authorised officer, enter or remain in an area closed under regulation </w:t>
      </w:r>
      <w:bookmarkStart w:id="684" w:name="_Hlt499614012"/>
      <w:r>
        <w:rPr>
          <w:snapToGrid w:val="0"/>
        </w:rPr>
        <w:t>45</w:t>
      </w:r>
      <w:bookmarkEnd w:id="684"/>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authorised officer may revoke a permission given to a person for the purposes of subregulation (1) in which case if the person is in a closed area he or she must leave the area immediately.</w:t>
      </w:r>
    </w:p>
    <w:p>
      <w:pPr>
        <w:pStyle w:val="Penstart"/>
        <w:rPr>
          <w:snapToGrid w:val="0"/>
        </w:rPr>
      </w:pPr>
      <w:r>
        <w:rPr>
          <w:snapToGrid w:val="0"/>
        </w:rPr>
        <w:tab/>
        <w:t>Penalty: $1 000.</w:t>
      </w:r>
    </w:p>
    <w:p>
      <w:pPr>
        <w:pStyle w:val="Subsection"/>
        <w:rPr>
          <w:snapToGrid w:val="0"/>
        </w:rPr>
      </w:pPr>
      <w:r>
        <w:rPr>
          <w:snapToGrid w:val="0"/>
        </w:rPr>
        <w:tab/>
        <w:t>(3)</w:t>
      </w:r>
      <w:r>
        <w:rPr>
          <w:snapToGrid w:val="0"/>
        </w:rPr>
        <w:tab/>
        <w:t>An authorised officer may grant permission for the purposes of subregulation (1) subject to any condition, and during any period when the condition is not observed or performed by that person the permission is to be treated as having been revoked.</w:t>
      </w:r>
    </w:p>
    <w:p>
      <w:pPr>
        <w:pStyle w:val="Subsection"/>
        <w:rPr>
          <w:snapToGrid w:val="0"/>
        </w:rPr>
      </w:pPr>
      <w:r>
        <w:rPr>
          <w:snapToGrid w:val="0"/>
        </w:rPr>
        <w:tab/>
        <w:t>(4)</w:t>
      </w:r>
      <w:r>
        <w:rPr>
          <w:snapToGrid w:val="0"/>
        </w:rPr>
        <w:tab/>
        <w:t>It is a defence to a charge of contravening subregulation (1) or (2) for a person to show that his or her presence in a closed area without permission was necessary to prevent or mitigate injury to a person or damage to property.</w:t>
      </w:r>
    </w:p>
    <w:p>
      <w:pPr>
        <w:pStyle w:val="Heading5"/>
      </w:pPr>
      <w:bookmarkStart w:id="685" w:name="_Toc189456543"/>
      <w:bookmarkStart w:id="686" w:name="_Toc524422554"/>
      <w:bookmarkStart w:id="687" w:name="_Toc144874254"/>
      <w:bookmarkStart w:id="688" w:name="_Toc150315626"/>
      <w:bookmarkStart w:id="689" w:name="_Toc160332784"/>
      <w:bookmarkStart w:id="690" w:name="_Toc170207810"/>
      <w:bookmarkStart w:id="691" w:name="_Toc5508161"/>
      <w:bookmarkStart w:id="692" w:name="_Toc8119129"/>
      <w:bookmarkStart w:id="693" w:name="_Toc78685252"/>
      <w:r>
        <w:rPr>
          <w:rStyle w:val="CharSectno"/>
        </w:rPr>
        <w:t>47</w:t>
      </w:r>
      <w:r>
        <w:t>.</w:t>
      </w:r>
      <w:r>
        <w:tab/>
        <w:t>Entering CALM land via gates etc.</w:t>
      </w:r>
      <w:bookmarkEnd w:id="685"/>
      <w:bookmarkEnd w:id="686"/>
      <w:bookmarkEnd w:id="687"/>
      <w:bookmarkEnd w:id="688"/>
      <w:bookmarkEnd w:id="689"/>
      <w:bookmarkEnd w:id="690"/>
    </w:p>
    <w:p>
      <w:pPr>
        <w:pStyle w:val="Subsection"/>
      </w:pPr>
      <w:r>
        <w:tab/>
        <w:t>(1)</w:t>
      </w:r>
      <w:r>
        <w:tab/>
        <w:t>If an entrance to an area of CALM land (other than land covered by subregulation (2)) is controlled by a gate or other barrier a person must not, without lawful authority, enter or cause a vehicle or animal to enter that area other than through that gate or barrier.</w:t>
      </w:r>
    </w:p>
    <w:p>
      <w:pPr>
        <w:pStyle w:val="Penstart"/>
      </w:pPr>
      <w:r>
        <w:tab/>
        <w:t>Penalty: $500.</w:t>
      </w:r>
    </w:p>
    <w:p>
      <w:pPr>
        <w:pStyle w:val="Subsection"/>
      </w:pPr>
      <w:r>
        <w:tab/>
        <w:t>(2)</w:t>
      </w:r>
      <w:r>
        <w:tab/>
        <w:t>A person must not, without lawful authority, unlock, dismantle or break down a locked gate or locked barrier controlling an entrance to an area of CALM land.</w:t>
      </w:r>
    </w:p>
    <w:p>
      <w:pPr>
        <w:pStyle w:val="Penstart"/>
      </w:pPr>
      <w:r>
        <w:tab/>
        <w:t>Penalty: $500.</w:t>
      </w:r>
    </w:p>
    <w:p>
      <w:pPr>
        <w:pStyle w:val="Subsection"/>
      </w:pPr>
      <w:r>
        <w:tab/>
        <w:t>(3)</w:t>
      </w:r>
      <w:r>
        <w:tab/>
        <w:t>A person must not, without lawful authority, open, remove, dismantle or breakdown a gate or barrier controlling an entrance to an area of CALM land if it is clear, by signs on or near the gate or barrier, that the gate or barrier is not meant to be opened or removed.</w:t>
      </w:r>
    </w:p>
    <w:p>
      <w:pPr>
        <w:pStyle w:val="Penstart"/>
      </w:pPr>
      <w:r>
        <w:tab/>
        <w:t>Penalty: $500.</w:t>
      </w:r>
    </w:p>
    <w:p>
      <w:pPr>
        <w:pStyle w:val="Footnotesection"/>
      </w:pPr>
      <w:r>
        <w:tab/>
        <w:t>[Regulation 47 inserted in Gazette 29 Sep 2006 p. 4311</w:t>
      </w:r>
      <w:r>
        <w:noBreakHyphen/>
        <w:t>12.]</w:t>
      </w:r>
    </w:p>
    <w:p>
      <w:pPr>
        <w:pStyle w:val="Heading5"/>
        <w:rPr>
          <w:snapToGrid w:val="0"/>
        </w:rPr>
      </w:pPr>
      <w:bookmarkStart w:id="694" w:name="_Toc189456544"/>
      <w:bookmarkStart w:id="695" w:name="_Toc524422555"/>
      <w:bookmarkStart w:id="696" w:name="_Toc150315627"/>
      <w:bookmarkStart w:id="697" w:name="_Toc160332785"/>
      <w:bookmarkStart w:id="698" w:name="_Toc170207811"/>
      <w:r>
        <w:rPr>
          <w:rStyle w:val="CharSectno"/>
        </w:rPr>
        <w:t>48</w:t>
      </w:r>
      <w:r>
        <w:rPr>
          <w:snapToGrid w:val="0"/>
        </w:rPr>
        <w:t>.</w:t>
      </w:r>
      <w:r>
        <w:rPr>
          <w:snapToGrid w:val="0"/>
        </w:rPr>
        <w:tab/>
        <w:t xml:space="preserve">Areas set aside </w:t>
      </w:r>
      <w:r>
        <w:t>for purposes of CEO</w:t>
      </w:r>
      <w:bookmarkEnd w:id="694"/>
      <w:bookmarkEnd w:id="695"/>
      <w:bookmarkEnd w:id="691"/>
      <w:bookmarkEnd w:id="692"/>
      <w:bookmarkEnd w:id="693"/>
      <w:bookmarkEnd w:id="696"/>
      <w:bookmarkEnd w:id="697"/>
      <w:bookmarkEnd w:id="698"/>
    </w:p>
    <w:p>
      <w:pPr>
        <w:pStyle w:val="Subsection"/>
        <w:rPr>
          <w:snapToGrid w:val="0"/>
        </w:rPr>
      </w:pPr>
      <w:r>
        <w:rPr>
          <w:snapToGrid w:val="0"/>
        </w:rPr>
        <w:tab/>
      </w:r>
      <w:r>
        <w:rPr>
          <w:snapToGrid w:val="0"/>
        </w:rPr>
        <w:tab/>
        <w:t xml:space="preserve">A person must not, without lawful authority, enter or remain in any area of CALM land set aside for cultivation, gardens, animal enclosures, housing, education facilities or machinery sheds or any other property or facilities which are established </w:t>
      </w:r>
      <w:r>
        <w:t xml:space="preserve">for the purposes of the CEO </w:t>
      </w:r>
      <w:r>
        <w:rPr>
          <w:snapToGrid w:val="0"/>
        </w:rPr>
        <w:t>and which are not open to the public.</w:t>
      </w:r>
    </w:p>
    <w:p>
      <w:pPr>
        <w:pStyle w:val="Penstart"/>
        <w:rPr>
          <w:snapToGrid w:val="0"/>
        </w:rPr>
      </w:pPr>
      <w:r>
        <w:rPr>
          <w:snapToGrid w:val="0"/>
        </w:rPr>
        <w:tab/>
        <w:t>Penalty: $500.</w:t>
      </w:r>
    </w:p>
    <w:p>
      <w:pPr>
        <w:pStyle w:val="Footnotesection"/>
      </w:pPr>
      <w:r>
        <w:tab/>
        <w:t>[Regulation 48 amended in Gazette 29 Sep 2006 p. 4312.]</w:t>
      </w:r>
    </w:p>
    <w:p>
      <w:pPr>
        <w:pStyle w:val="Heading5"/>
        <w:rPr>
          <w:snapToGrid w:val="0"/>
        </w:rPr>
      </w:pPr>
      <w:bookmarkStart w:id="699" w:name="_Hlt4904149"/>
      <w:bookmarkStart w:id="700" w:name="_Toc189456545"/>
      <w:bookmarkStart w:id="701" w:name="_Toc524422556"/>
      <w:bookmarkStart w:id="702" w:name="_Toc5508162"/>
      <w:bookmarkStart w:id="703" w:name="_Toc8119130"/>
      <w:bookmarkStart w:id="704" w:name="_Toc78685253"/>
      <w:bookmarkStart w:id="705" w:name="_Toc150315628"/>
      <w:bookmarkStart w:id="706" w:name="_Toc160332786"/>
      <w:bookmarkStart w:id="707" w:name="_Toc170207812"/>
      <w:bookmarkEnd w:id="699"/>
      <w:r>
        <w:rPr>
          <w:rStyle w:val="CharSectno"/>
        </w:rPr>
        <w:t>49</w:t>
      </w:r>
      <w:r>
        <w:rPr>
          <w:snapToGrid w:val="0"/>
        </w:rPr>
        <w:t>.</w:t>
      </w:r>
      <w:r>
        <w:rPr>
          <w:snapToGrid w:val="0"/>
        </w:rPr>
        <w:tab/>
        <w:t>Caves</w:t>
      </w:r>
      <w:bookmarkEnd w:id="700"/>
      <w:bookmarkEnd w:id="701"/>
      <w:bookmarkEnd w:id="702"/>
      <w:bookmarkEnd w:id="703"/>
      <w:bookmarkEnd w:id="704"/>
      <w:bookmarkEnd w:id="705"/>
      <w:bookmarkEnd w:id="706"/>
      <w:bookmarkEnd w:id="707"/>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del w:id="708" w:author="Master Repository Process" w:date="2021-07-31T17:33:00Z">
        <w:r>
          <w:rPr>
            <w:b/>
          </w:rPr>
          <w:delText>“</w:delText>
        </w:r>
      </w:del>
      <w:r>
        <w:rPr>
          <w:rStyle w:val="CharDefText"/>
        </w:rPr>
        <w:t>cave</w:t>
      </w:r>
      <w:del w:id="709" w:author="Master Repository Process" w:date="2021-07-31T17:33:00Z">
        <w:r>
          <w:rPr>
            <w:b/>
          </w:rPr>
          <w:delText>”</w:delText>
        </w:r>
      </w:del>
      <w:r>
        <w:rPr>
          <w:b/>
        </w:rPr>
        <w:t xml:space="preserve"> </w:t>
      </w:r>
      <w:r>
        <w:t>means a cave or part of a cave which is on or under CALM land.</w:t>
      </w:r>
    </w:p>
    <w:p>
      <w:pPr>
        <w:pStyle w:val="Subsection"/>
        <w:rPr>
          <w:snapToGrid w:val="0"/>
        </w:rPr>
      </w:pPr>
      <w:r>
        <w:rPr>
          <w:snapToGrid w:val="0"/>
        </w:rPr>
        <w:tab/>
        <w:t>(2)</w:t>
      </w:r>
      <w:r>
        <w:rPr>
          <w:snapToGrid w:val="0"/>
        </w:rPr>
        <w:tab/>
        <w:t xml:space="preserve">The </w:t>
      </w:r>
      <w:r>
        <w:t xml:space="preserve">CEO </w:t>
      </w:r>
      <w:r>
        <w:rPr>
          <w:snapToGrid w:val="0"/>
        </w:rPr>
        <w:t xml:space="preserve">may, on payment of the </w:t>
      </w:r>
      <w:r>
        <w:t xml:space="preserve">appropriate </w:t>
      </w:r>
      <w:r>
        <w:rPr>
          <w:snapToGrid w:val="0"/>
        </w:rPr>
        <w:t>fee specified in Schedule </w:t>
      </w:r>
      <w:bookmarkStart w:id="710" w:name="_Hlt4839860"/>
      <w:r>
        <w:rPr>
          <w:snapToGrid w:val="0"/>
        </w:rPr>
        <w:t>1</w:t>
      </w:r>
      <w:bookmarkEnd w:id="710"/>
      <w:r>
        <w:t xml:space="preserve"> Division 8 item 1</w:t>
      </w:r>
      <w:r>
        <w:rPr>
          <w:snapToGrid w:val="0"/>
        </w:rPr>
        <w:t>, grant to any person a permit in an approved form to be in a cave.</w:t>
      </w:r>
    </w:p>
    <w:p>
      <w:pPr>
        <w:pStyle w:val="Subsection"/>
        <w:rPr>
          <w:snapToGrid w:val="0"/>
        </w:rPr>
      </w:pPr>
      <w:r>
        <w:rPr>
          <w:snapToGrid w:val="0"/>
        </w:rPr>
        <w:tab/>
        <w:t>(3)</w:t>
      </w:r>
      <w:r>
        <w:rPr>
          <w:snapToGrid w:val="0"/>
        </w:rPr>
        <w:tab/>
        <w:t>A permit — </w:t>
      </w:r>
    </w:p>
    <w:p>
      <w:pPr>
        <w:pStyle w:val="Indenta"/>
        <w:rPr>
          <w:snapToGrid w:val="0"/>
        </w:rPr>
      </w:pPr>
      <w:r>
        <w:rPr>
          <w:snapToGrid w:val="0"/>
        </w:rPr>
        <w:tab/>
        <w:t>(a)</w:t>
      </w:r>
      <w:r>
        <w:rPr>
          <w:snapToGrid w:val="0"/>
        </w:rPr>
        <w:tab/>
        <w:t>authorises a person to be in a cave for the period specified in the permit; and</w:t>
      </w:r>
    </w:p>
    <w:p>
      <w:pPr>
        <w:pStyle w:val="Indenta"/>
        <w:rPr>
          <w:snapToGrid w:val="0"/>
        </w:rPr>
      </w:pPr>
      <w:r>
        <w:rPr>
          <w:snapToGrid w:val="0"/>
        </w:rPr>
        <w:tab/>
        <w:t>(b)</w:t>
      </w:r>
      <w:r>
        <w:rPr>
          <w:snapToGrid w:val="0"/>
        </w:rPr>
        <w:tab/>
        <w:t>is subject to such conditions and restrictions as are specified on the permit.</w:t>
      </w:r>
    </w:p>
    <w:p>
      <w:pPr>
        <w:pStyle w:val="Subsection"/>
      </w:pPr>
      <w:r>
        <w:tab/>
        <w:t>(3a)</w:t>
      </w:r>
      <w:r>
        <w:tab/>
        <w:t>If a person who holds a permit to be in a cave notifies the CEO more than 2 weeks before the period specified in the permit that the person is not going to use the permit, the CEO may refund the fee for the permit.</w:t>
      </w:r>
    </w:p>
    <w:p>
      <w:pPr>
        <w:pStyle w:val="Subsection"/>
        <w:rPr>
          <w:snapToGrid w:val="0"/>
        </w:rPr>
      </w:pPr>
      <w:r>
        <w:rPr>
          <w:snapToGrid w:val="0"/>
        </w:rPr>
        <w:tab/>
        <w:t>(4)</w:t>
      </w:r>
      <w:r>
        <w:rPr>
          <w:snapToGrid w:val="0"/>
        </w:rPr>
        <w:tab/>
        <w:t>A person must not, without lawful authority, enter or remain in a cave.</w:t>
      </w:r>
    </w:p>
    <w:p>
      <w:pPr>
        <w:pStyle w:val="Penstart"/>
        <w:rPr>
          <w:snapToGrid w:val="0"/>
        </w:rPr>
      </w:pPr>
      <w:r>
        <w:rPr>
          <w:snapToGrid w:val="0"/>
        </w:rPr>
        <w:tab/>
        <w:t>Penalty: $1 000.</w:t>
      </w:r>
    </w:p>
    <w:p>
      <w:pPr>
        <w:pStyle w:val="Subsection"/>
        <w:rPr>
          <w:snapToGrid w:val="0"/>
        </w:rPr>
      </w:pPr>
      <w:r>
        <w:rPr>
          <w:snapToGrid w:val="0"/>
        </w:rPr>
        <w:tab/>
        <w:t>(5)</w:t>
      </w:r>
      <w:r>
        <w:rPr>
          <w:snapToGrid w:val="0"/>
        </w:rPr>
        <w:tab/>
        <w:t>A person in a cave must comply with the conditions and restrictions subject to which that person was given permission to be in the cave.</w:t>
      </w:r>
    </w:p>
    <w:p>
      <w:pPr>
        <w:pStyle w:val="Penstart"/>
        <w:rPr>
          <w:snapToGrid w:val="0"/>
        </w:rPr>
      </w:pPr>
      <w:r>
        <w:rPr>
          <w:snapToGrid w:val="0"/>
        </w:rPr>
        <w:tab/>
        <w:t>Penalty: $1 000.</w:t>
      </w:r>
    </w:p>
    <w:p>
      <w:pPr>
        <w:pStyle w:val="Subsection"/>
        <w:spacing w:before="120"/>
        <w:rPr>
          <w:snapToGrid w:val="0"/>
        </w:rPr>
      </w:pPr>
      <w:r>
        <w:rPr>
          <w:snapToGrid w:val="0"/>
        </w:rPr>
        <w:tab/>
        <w:t>(6)</w:t>
      </w:r>
      <w:r>
        <w:rPr>
          <w:snapToGrid w:val="0"/>
        </w:rPr>
        <w:tab/>
        <w:t>Nothing in this regulation prohibits persons entering or remaining in a cave under the control of a person licensed under a commercial operations licence to take those persons into the cave.</w:t>
      </w:r>
    </w:p>
    <w:p>
      <w:pPr>
        <w:pStyle w:val="Footnotesection"/>
      </w:pPr>
      <w:r>
        <w:tab/>
        <w:t>[Regulation 49 amended in Gazette 29 Sep 2006 p. 4312 and 4334.]</w:t>
      </w:r>
    </w:p>
    <w:p>
      <w:pPr>
        <w:pStyle w:val="Heading5"/>
        <w:spacing w:before="180"/>
        <w:rPr>
          <w:snapToGrid w:val="0"/>
        </w:rPr>
      </w:pPr>
      <w:bookmarkStart w:id="711" w:name="_Toc189456546"/>
      <w:bookmarkStart w:id="712" w:name="_Toc524422557"/>
      <w:bookmarkStart w:id="713" w:name="_Toc5508163"/>
      <w:bookmarkStart w:id="714" w:name="_Toc8119131"/>
      <w:bookmarkStart w:id="715" w:name="_Toc78685254"/>
      <w:bookmarkStart w:id="716" w:name="_Toc150315629"/>
      <w:bookmarkStart w:id="717" w:name="_Toc160332787"/>
      <w:bookmarkStart w:id="718" w:name="_Toc170207813"/>
      <w:r>
        <w:rPr>
          <w:rStyle w:val="CharSectno"/>
        </w:rPr>
        <w:t>50</w:t>
      </w:r>
      <w:r>
        <w:rPr>
          <w:snapToGrid w:val="0"/>
        </w:rPr>
        <w:t>.</w:t>
      </w:r>
      <w:r>
        <w:rPr>
          <w:snapToGrid w:val="0"/>
        </w:rPr>
        <w:tab/>
        <w:t>Cross country and other events</w:t>
      </w:r>
      <w:bookmarkEnd w:id="711"/>
      <w:bookmarkEnd w:id="712"/>
      <w:bookmarkEnd w:id="713"/>
      <w:bookmarkEnd w:id="714"/>
      <w:bookmarkEnd w:id="715"/>
      <w:bookmarkEnd w:id="716"/>
      <w:bookmarkEnd w:id="717"/>
      <w:bookmarkEnd w:id="718"/>
      <w:r>
        <w:rPr>
          <w:snapToGrid w:val="0"/>
        </w:rPr>
        <w:t xml:space="preserve"> </w:t>
      </w:r>
    </w:p>
    <w:p>
      <w:pPr>
        <w:pStyle w:val="Subsection"/>
        <w:spacing w:before="120"/>
        <w:rPr>
          <w:snapToGrid w:val="0"/>
        </w:rPr>
      </w:pPr>
      <w:r>
        <w:rPr>
          <w:snapToGrid w:val="0"/>
        </w:rPr>
        <w:tab/>
      </w:r>
      <w:r>
        <w:rPr>
          <w:snapToGrid w:val="0"/>
        </w:rPr>
        <w:tab/>
        <w:t>A person must not, without lawful authority, organise, promote or conduct any event involving cross country running, orienteering, rogaining, cross country navigation exercises or equestrian events on CALM land.</w:t>
      </w:r>
    </w:p>
    <w:p>
      <w:pPr>
        <w:pStyle w:val="Penstart"/>
        <w:rPr>
          <w:snapToGrid w:val="0"/>
        </w:rPr>
      </w:pPr>
      <w:r>
        <w:rPr>
          <w:snapToGrid w:val="0"/>
        </w:rPr>
        <w:tab/>
        <w:t>Penalty: $1 000.</w:t>
      </w:r>
    </w:p>
    <w:p>
      <w:pPr>
        <w:pStyle w:val="Heading3"/>
        <w:spacing w:before="200"/>
      </w:pPr>
      <w:bookmarkStart w:id="719" w:name="_Toc189456547"/>
      <w:bookmarkStart w:id="720" w:name="_Toc524422558"/>
      <w:bookmarkStart w:id="721" w:name="_Toc71354914"/>
      <w:bookmarkStart w:id="722" w:name="_Toc78623652"/>
      <w:bookmarkStart w:id="723" w:name="_Toc78685255"/>
      <w:bookmarkStart w:id="724" w:name="_Toc147312355"/>
      <w:bookmarkStart w:id="725" w:name="_Toc147631215"/>
      <w:bookmarkStart w:id="726" w:name="_Toc147633549"/>
      <w:bookmarkStart w:id="727" w:name="_Toc147906993"/>
      <w:bookmarkStart w:id="728" w:name="_Toc147907392"/>
      <w:bookmarkStart w:id="729" w:name="_Toc149009945"/>
      <w:bookmarkStart w:id="730" w:name="_Toc149010299"/>
      <w:bookmarkStart w:id="731" w:name="_Toc149010467"/>
      <w:bookmarkStart w:id="732" w:name="_Toc149016347"/>
      <w:bookmarkStart w:id="733" w:name="_Toc149039090"/>
      <w:bookmarkStart w:id="734" w:name="_Toc149039811"/>
      <w:bookmarkStart w:id="735" w:name="_Toc150315419"/>
      <w:bookmarkStart w:id="736" w:name="_Toc150315630"/>
      <w:bookmarkStart w:id="737" w:name="_Toc160272840"/>
      <w:bookmarkStart w:id="738" w:name="_Toc160332788"/>
      <w:bookmarkStart w:id="739" w:name="_Toc170207814"/>
      <w:r>
        <w:rPr>
          <w:rStyle w:val="CharDivNo"/>
        </w:rPr>
        <w:t>Division 2</w:t>
      </w:r>
      <w:r>
        <w:rPr>
          <w:snapToGrid w:val="0"/>
        </w:rPr>
        <w:t xml:space="preserve"> — </w:t>
      </w:r>
      <w:r>
        <w:rPr>
          <w:rStyle w:val="CharDivText"/>
        </w:rPr>
        <w:t>Vehicles</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p>
    <w:p>
      <w:pPr>
        <w:pStyle w:val="Heading5"/>
        <w:spacing w:before="180"/>
        <w:rPr>
          <w:snapToGrid w:val="0"/>
        </w:rPr>
      </w:pPr>
      <w:bookmarkStart w:id="740" w:name="_Toc189456548"/>
      <w:bookmarkStart w:id="741" w:name="_Toc524422559"/>
      <w:bookmarkStart w:id="742" w:name="_Toc5508164"/>
      <w:bookmarkStart w:id="743" w:name="_Toc8119132"/>
      <w:bookmarkStart w:id="744" w:name="_Toc78685256"/>
      <w:bookmarkStart w:id="745" w:name="_Toc150315631"/>
      <w:bookmarkStart w:id="746" w:name="_Toc160332789"/>
      <w:bookmarkStart w:id="747" w:name="_Toc170207815"/>
      <w:r>
        <w:rPr>
          <w:rStyle w:val="CharSectno"/>
        </w:rPr>
        <w:t>51</w:t>
      </w:r>
      <w:r>
        <w:rPr>
          <w:snapToGrid w:val="0"/>
        </w:rPr>
        <w:t>.</w:t>
      </w:r>
      <w:r>
        <w:rPr>
          <w:snapToGrid w:val="0"/>
        </w:rPr>
        <w:tab/>
        <w:t>Vehicles</w:t>
      </w:r>
      <w:bookmarkEnd w:id="740"/>
      <w:bookmarkEnd w:id="741"/>
      <w:bookmarkEnd w:id="742"/>
      <w:bookmarkEnd w:id="743"/>
      <w:bookmarkEnd w:id="744"/>
      <w:bookmarkEnd w:id="745"/>
      <w:bookmarkEnd w:id="746"/>
      <w:bookmarkEnd w:id="747"/>
      <w:r>
        <w:rPr>
          <w:snapToGrid w:val="0"/>
        </w:rPr>
        <w:t xml:space="preserve"> </w:t>
      </w:r>
    </w:p>
    <w:p>
      <w:pPr>
        <w:pStyle w:val="Subsection"/>
        <w:spacing w:before="120"/>
        <w:rPr>
          <w:snapToGrid w:val="0"/>
        </w:rPr>
      </w:pPr>
      <w:r>
        <w:rPr>
          <w:snapToGrid w:val="0"/>
        </w:rPr>
        <w:tab/>
        <w:t>(1)</w:t>
      </w:r>
      <w:r>
        <w:rPr>
          <w:snapToGrid w:val="0"/>
        </w:rPr>
        <w:tab/>
        <w:t>A person must not, without lawful authority, drive or use a vehicle (other than a bicycle) on CALM land other than on a road</w:t>
      </w:r>
      <w:r>
        <w:t xml:space="preserve"> or in a designated area</w:t>
      </w:r>
      <w:r>
        <w:rPr>
          <w:snapToGrid w:val="0"/>
        </w:rPr>
        <w:t>.</w:t>
      </w:r>
    </w:p>
    <w:p>
      <w:pPr>
        <w:pStyle w:val="Penstart"/>
        <w:rPr>
          <w:snapToGrid w:val="0"/>
        </w:rPr>
      </w:pPr>
      <w:r>
        <w:rPr>
          <w:snapToGrid w:val="0"/>
        </w:rPr>
        <w:tab/>
        <w:t>Penalty: $1 000.</w:t>
      </w:r>
    </w:p>
    <w:p>
      <w:pPr>
        <w:pStyle w:val="Subsection"/>
      </w:pPr>
      <w:bookmarkStart w:id="748" w:name="_Toc5508165"/>
      <w:bookmarkStart w:id="749" w:name="_Toc8119133"/>
      <w:bookmarkStart w:id="750" w:name="_Toc78685257"/>
      <w:r>
        <w:tab/>
        <w:t>(2)</w:t>
      </w:r>
      <w:r>
        <w:tab/>
        <w:t>Subregulation (1) does not apply in respect of a road that is in a restricted area.</w:t>
      </w:r>
    </w:p>
    <w:p>
      <w:pPr>
        <w:pStyle w:val="Subsection"/>
      </w:pPr>
      <w:r>
        <w:tab/>
        <w:t>(3)</w:t>
      </w:r>
      <w:r>
        <w:tab/>
        <w:t xml:space="preserve">A person must not, without lawful authority, on a road that is in a restricted area — </w:t>
      </w:r>
    </w:p>
    <w:p>
      <w:pPr>
        <w:pStyle w:val="Indenta"/>
      </w:pPr>
      <w:r>
        <w:tab/>
        <w:t>(a)</w:t>
      </w:r>
      <w:r>
        <w:tab/>
        <w:t>drive or use a vehicle if that activity is prohibited in the area under regulation 5; or</w:t>
      </w:r>
    </w:p>
    <w:p>
      <w:pPr>
        <w:pStyle w:val="Indenta"/>
      </w:pPr>
      <w:r>
        <w:tab/>
        <w:t>(b)</w:t>
      </w:r>
      <w:r>
        <w:tab/>
        <w:t>contravene a restriction imposed on driving or using a vehicle in the area under regulation 5.</w:t>
      </w:r>
    </w:p>
    <w:p>
      <w:pPr>
        <w:pStyle w:val="Penstart"/>
      </w:pPr>
      <w:r>
        <w:tab/>
        <w:t>Penalty: $2 000.</w:t>
      </w:r>
    </w:p>
    <w:p>
      <w:pPr>
        <w:pStyle w:val="Footnotesection"/>
      </w:pPr>
      <w:r>
        <w:tab/>
        <w:t>[Regulation 51 amended in Gazette 29 Sep 2006 p. 4313.]</w:t>
      </w:r>
    </w:p>
    <w:p>
      <w:pPr>
        <w:pStyle w:val="Heading5"/>
      </w:pPr>
      <w:bookmarkStart w:id="751" w:name="_Toc189456549"/>
      <w:bookmarkStart w:id="752" w:name="_Toc524422560"/>
      <w:bookmarkStart w:id="753" w:name="_Toc144874259"/>
      <w:bookmarkStart w:id="754" w:name="_Toc150315632"/>
      <w:bookmarkStart w:id="755" w:name="_Toc160332790"/>
      <w:bookmarkStart w:id="756" w:name="_Toc170207816"/>
      <w:r>
        <w:rPr>
          <w:rStyle w:val="CharSectno"/>
        </w:rPr>
        <w:t>51A</w:t>
      </w:r>
      <w:r>
        <w:t>.</w:t>
      </w:r>
      <w:r>
        <w:tab/>
        <w:t>Bicycles</w:t>
      </w:r>
      <w:bookmarkEnd w:id="751"/>
      <w:bookmarkEnd w:id="752"/>
      <w:bookmarkEnd w:id="753"/>
      <w:bookmarkEnd w:id="754"/>
      <w:bookmarkEnd w:id="755"/>
      <w:bookmarkEnd w:id="756"/>
    </w:p>
    <w:p>
      <w:pPr>
        <w:pStyle w:val="Subsection"/>
      </w:pPr>
      <w:r>
        <w:tab/>
        <w:t>(1)</w:t>
      </w:r>
      <w:r>
        <w:tab/>
        <w:t>A person must not, without lawful authority, ride a bicycle on CALM land other than on a road or bicycle path or in a designated area.</w:t>
      </w:r>
    </w:p>
    <w:p>
      <w:pPr>
        <w:pStyle w:val="Penstart"/>
      </w:pPr>
      <w:r>
        <w:tab/>
        <w:t>Penalty: $500.</w:t>
      </w:r>
    </w:p>
    <w:p>
      <w:pPr>
        <w:pStyle w:val="Subsection"/>
      </w:pPr>
      <w:r>
        <w:tab/>
        <w:t>(2)</w:t>
      </w:r>
      <w:r>
        <w:tab/>
        <w:t>Subregulation (1) does not apply in respect of a road that is in a restricted area.</w:t>
      </w:r>
    </w:p>
    <w:p>
      <w:pPr>
        <w:pStyle w:val="Subsection"/>
      </w:pPr>
      <w:r>
        <w:tab/>
        <w:t>(3)</w:t>
      </w:r>
      <w:r>
        <w:tab/>
        <w:t xml:space="preserve">A person must not, without lawful authority, on a road that is in a restricted area — </w:t>
      </w:r>
    </w:p>
    <w:p>
      <w:pPr>
        <w:pStyle w:val="Indenta"/>
      </w:pPr>
      <w:r>
        <w:tab/>
        <w:t>(a)</w:t>
      </w:r>
      <w:r>
        <w:tab/>
        <w:t>ride a bicycle if that activity is prohibited in the area under regulation 5; or</w:t>
      </w:r>
    </w:p>
    <w:p>
      <w:pPr>
        <w:pStyle w:val="Indenta"/>
      </w:pPr>
      <w:r>
        <w:tab/>
        <w:t>(b)</w:t>
      </w:r>
      <w:r>
        <w:tab/>
        <w:t>contravene a restriction imposed on riding a bicycle in the area under regulation 5.</w:t>
      </w:r>
    </w:p>
    <w:p>
      <w:pPr>
        <w:pStyle w:val="Penstart"/>
      </w:pPr>
      <w:r>
        <w:tab/>
        <w:t>Penalty: $1 000.</w:t>
      </w:r>
    </w:p>
    <w:p>
      <w:pPr>
        <w:pStyle w:val="Subsection"/>
      </w:pPr>
      <w:r>
        <w:tab/>
        <w:t>(4)</w:t>
      </w:r>
      <w:r>
        <w:tab/>
        <w:t xml:space="preserve">In this regulation — </w:t>
      </w:r>
    </w:p>
    <w:p>
      <w:pPr>
        <w:pStyle w:val="Defstart"/>
      </w:pPr>
      <w:r>
        <w:rPr>
          <w:b/>
        </w:rPr>
        <w:tab/>
      </w:r>
      <w:del w:id="757" w:author="Master Repository Process" w:date="2021-07-31T17:33:00Z">
        <w:r>
          <w:rPr>
            <w:b/>
          </w:rPr>
          <w:delText>“</w:delText>
        </w:r>
      </w:del>
      <w:r>
        <w:rPr>
          <w:rStyle w:val="CharDefText"/>
        </w:rPr>
        <w:t>bicycle path</w:t>
      </w:r>
      <w:del w:id="758" w:author="Master Repository Process" w:date="2021-07-31T17:33:00Z">
        <w:r>
          <w:rPr>
            <w:b/>
          </w:rPr>
          <w:delText>”</w:delText>
        </w:r>
      </w:del>
      <w:r>
        <w:t xml:space="preserve"> means a path, or length of a path, at both ends of which are signs indicating that persons may ride bicycles on the path or the length between those signs.</w:t>
      </w:r>
    </w:p>
    <w:p>
      <w:pPr>
        <w:pStyle w:val="Footnotesection"/>
      </w:pPr>
      <w:r>
        <w:tab/>
        <w:t>[Regulation 51A inserted in Gazette 29 Sep 2006 p. 4313</w:t>
      </w:r>
      <w:r>
        <w:noBreakHyphen/>
        <w:t>14.]</w:t>
      </w:r>
    </w:p>
    <w:p>
      <w:pPr>
        <w:pStyle w:val="Heading5"/>
        <w:rPr>
          <w:snapToGrid w:val="0"/>
        </w:rPr>
      </w:pPr>
      <w:bookmarkStart w:id="759" w:name="_Toc189456550"/>
      <w:bookmarkStart w:id="760" w:name="_Toc524422561"/>
      <w:bookmarkStart w:id="761" w:name="_Toc150315633"/>
      <w:bookmarkStart w:id="762" w:name="_Toc160332791"/>
      <w:bookmarkStart w:id="763" w:name="_Toc170207817"/>
      <w:r>
        <w:rPr>
          <w:rStyle w:val="CharSectno"/>
        </w:rPr>
        <w:t>52</w:t>
      </w:r>
      <w:r>
        <w:rPr>
          <w:snapToGrid w:val="0"/>
        </w:rPr>
        <w:t>.</w:t>
      </w:r>
      <w:r>
        <w:rPr>
          <w:snapToGrid w:val="0"/>
        </w:rPr>
        <w:tab/>
        <w:t>Off</w:t>
      </w:r>
      <w:r>
        <w:rPr>
          <w:snapToGrid w:val="0"/>
        </w:rPr>
        <w:noBreakHyphen/>
        <w:t>road vehicles</w:t>
      </w:r>
      <w:bookmarkEnd w:id="759"/>
      <w:bookmarkEnd w:id="760"/>
      <w:bookmarkEnd w:id="748"/>
      <w:bookmarkEnd w:id="749"/>
      <w:bookmarkEnd w:id="750"/>
      <w:bookmarkEnd w:id="761"/>
      <w:bookmarkEnd w:id="762"/>
      <w:bookmarkEnd w:id="763"/>
      <w:r>
        <w:rPr>
          <w:snapToGrid w:val="0"/>
        </w:rPr>
        <w:t xml:space="preserve"> </w:t>
      </w:r>
    </w:p>
    <w:p>
      <w:pPr>
        <w:pStyle w:val="Subsection"/>
        <w:rPr>
          <w:snapToGrid w:val="0"/>
        </w:rPr>
      </w:pPr>
      <w:r>
        <w:rPr>
          <w:snapToGrid w:val="0"/>
        </w:rPr>
        <w:tab/>
        <w:t>(1)</w:t>
      </w:r>
      <w:r>
        <w:rPr>
          <w:snapToGrid w:val="0"/>
        </w:rPr>
        <w:tab/>
        <w:t>A person must not drive into or within, or bring into or have within, CALM land an off</w:t>
      </w:r>
      <w:r>
        <w:rPr>
          <w:snapToGrid w:val="0"/>
        </w:rPr>
        <w:noBreakHyphen/>
        <w:t xml:space="preserve">road vehicle within the meaning of the </w:t>
      </w:r>
      <w:r>
        <w:rPr>
          <w:i/>
          <w:snapToGrid w:val="0"/>
        </w:rPr>
        <w:t>Control of Vehicles (Off</w:t>
      </w:r>
      <w:r>
        <w:rPr>
          <w:i/>
          <w:snapToGrid w:val="0"/>
        </w:rPr>
        <w:noBreakHyphen/>
        <w:t>road Areas) Act 1978</w:t>
      </w:r>
      <w:r>
        <w:rPr>
          <w:snapToGrid w:val="0"/>
        </w:rPr>
        <w:t xml:space="preserve"> unless that person — </w:t>
      </w:r>
    </w:p>
    <w:p>
      <w:pPr>
        <w:pStyle w:val="Indenta"/>
        <w:rPr>
          <w:snapToGrid w:val="0"/>
        </w:rPr>
      </w:pPr>
      <w:r>
        <w:rPr>
          <w:snapToGrid w:val="0"/>
        </w:rPr>
        <w:tab/>
        <w:t>(a)</w:t>
      </w:r>
      <w:r>
        <w:rPr>
          <w:snapToGrid w:val="0"/>
        </w:rPr>
        <w:tab/>
        <w:t>is the holder of a permit — </w:t>
      </w:r>
    </w:p>
    <w:p>
      <w:pPr>
        <w:pStyle w:val="Indenti"/>
        <w:rPr>
          <w:snapToGrid w:val="0"/>
        </w:rPr>
      </w:pPr>
      <w:r>
        <w:rPr>
          <w:snapToGrid w:val="0"/>
        </w:rPr>
        <w:tab/>
        <w:t>(i)</w:t>
      </w:r>
      <w:r>
        <w:rPr>
          <w:snapToGrid w:val="0"/>
        </w:rPr>
        <w:tab/>
        <w:t>granted under section 8(4) of that Act; and</w:t>
      </w:r>
    </w:p>
    <w:p>
      <w:pPr>
        <w:pStyle w:val="Indenti"/>
        <w:rPr>
          <w:snapToGrid w:val="0"/>
        </w:rPr>
      </w:pPr>
      <w:r>
        <w:rPr>
          <w:snapToGrid w:val="0"/>
        </w:rPr>
        <w:tab/>
        <w:t>(ii)</w:t>
      </w:r>
      <w:r>
        <w:rPr>
          <w:snapToGrid w:val="0"/>
        </w:rPr>
        <w:tab/>
        <w:t>authorising that person so to drive, bring or have that off</w:t>
      </w:r>
      <w:r>
        <w:rPr>
          <w:snapToGrid w:val="0"/>
        </w:rPr>
        <w:noBreakHyphen/>
        <w:t xml:space="preserve">road vehicle;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person so drives, brings or has that off</w:t>
      </w:r>
      <w:r>
        <w:rPr>
          <w:snapToGrid w:val="0"/>
        </w:rPr>
        <w:noBreakHyphen/>
        <w:t>road vehicle in accordance with any restrictions, limitations or conditions to which that permit is subject.</w:t>
      </w:r>
    </w:p>
    <w:p>
      <w:pPr>
        <w:pStyle w:val="Penstart"/>
        <w:rPr>
          <w:snapToGrid w:val="0"/>
        </w:rPr>
      </w:pPr>
      <w:r>
        <w:rPr>
          <w:snapToGrid w:val="0"/>
        </w:rPr>
        <w:tab/>
        <w:t>Penalty: $1 000.</w:t>
      </w:r>
    </w:p>
    <w:p>
      <w:pPr>
        <w:pStyle w:val="Subsection"/>
      </w:pPr>
      <w:r>
        <w:tab/>
        <w:t>(2)</w:t>
      </w:r>
      <w:r>
        <w:tab/>
        <w:t xml:space="preserve">Subregulation (1) does not apply to private land (as defined in the </w:t>
      </w:r>
      <w:r>
        <w:rPr>
          <w:i/>
        </w:rPr>
        <w:t>Control of Vehicles (Off</w:t>
      </w:r>
      <w:r>
        <w:rPr>
          <w:i/>
        </w:rPr>
        <w:noBreakHyphen/>
        <w:t>road Areas) Act 1978</w:t>
      </w:r>
      <w:r>
        <w:t>) or permitted areas (as defined in that Act).</w:t>
      </w:r>
    </w:p>
    <w:p>
      <w:pPr>
        <w:pStyle w:val="Footnotesection"/>
      </w:pPr>
      <w:r>
        <w:tab/>
        <w:t>[Regulation 52 amended in Gazette 29 Sep 2006 p. 4314.]</w:t>
      </w:r>
    </w:p>
    <w:p>
      <w:pPr>
        <w:pStyle w:val="Heading5"/>
        <w:rPr>
          <w:snapToGrid w:val="0"/>
        </w:rPr>
      </w:pPr>
      <w:bookmarkStart w:id="764" w:name="_Toc189456551"/>
      <w:bookmarkStart w:id="765" w:name="_Toc524422562"/>
      <w:bookmarkStart w:id="766" w:name="_Toc5508166"/>
      <w:bookmarkStart w:id="767" w:name="_Toc8119134"/>
      <w:bookmarkStart w:id="768" w:name="_Toc78685258"/>
      <w:bookmarkStart w:id="769" w:name="_Toc150315634"/>
      <w:bookmarkStart w:id="770" w:name="_Toc160332792"/>
      <w:bookmarkStart w:id="771" w:name="_Toc170207818"/>
      <w:r>
        <w:rPr>
          <w:rStyle w:val="CharSectno"/>
        </w:rPr>
        <w:t>53</w:t>
      </w:r>
      <w:r>
        <w:rPr>
          <w:snapToGrid w:val="0"/>
        </w:rPr>
        <w:t>.</w:t>
      </w:r>
      <w:r>
        <w:rPr>
          <w:snapToGrid w:val="0"/>
        </w:rPr>
        <w:tab/>
        <w:t>Car rallies etc.</w:t>
      </w:r>
      <w:bookmarkEnd w:id="764"/>
      <w:bookmarkEnd w:id="765"/>
      <w:bookmarkEnd w:id="766"/>
      <w:bookmarkEnd w:id="767"/>
      <w:bookmarkEnd w:id="768"/>
      <w:bookmarkEnd w:id="769"/>
      <w:bookmarkEnd w:id="770"/>
      <w:bookmarkEnd w:id="771"/>
      <w:r>
        <w:rPr>
          <w:snapToGrid w:val="0"/>
        </w:rPr>
        <w:t xml:space="preserve"> </w:t>
      </w:r>
    </w:p>
    <w:p>
      <w:pPr>
        <w:pStyle w:val="Subsection"/>
        <w:rPr>
          <w:snapToGrid w:val="0"/>
        </w:rPr>
      </w:pPr>
      <w:r>
        <w:rPr>
          <w:snapToGrid w:val="0"/>
        </w:rPr>
        <w:tab/>
      </w:r>
      <w:r>
        <w:rPr>
          <w:snapToGrid w:val="0"/>
        </w:rPr>
        <w:tab/>
        <w:t>A person must not, without lawful authority, organise, promote or conduct a car rally, associated navigation exercise, mountain bike event or other race involving vehicles on or through CALM land.</w:t>
      </w:r>
    </w:p>
    <w:p>
      <w:pPr>
        <w:pStyle w:val="Penstart"/>
        <w:rPr>
          <w:snapToGrid w:val="0"/>
        </w:rPr>
      </w:pPr>
      <w:r>
        <w:rPr>
          <w:snapToGrid w:val="0"/>
        </w:rPr>
        <w:tab/>
        <w:t>Penalty: $2 000.</w:t>
      </w:r>
    </w:p>
    <w:p>
      <w:pPr>
        <w:pStyle w:val="Heading5"/>
        <w:rPr>
          <w:snapToGrid w:val="0"/>
        </w:rPr>
      </w:pPr>
      <w:bookmarkStart w:id="772" w:name="_Toc189456552"/>
      <w:bookmarkStart w:id="773" w:name="_Toc524422563"/>
      <w:bookmarkStart w:id="774" w:name="_Toc5508167"/>
      <w:bookmarkStart w:id="775" w:name="_Toc8119135"/>
      <w:bookmarkStart w:id="776" w:name="_Toc78685259"/>
      <w:bookmarkStart w:id="777" w:name="_Toc150315635"/>
      <w:bookmarkStart w:id="778" w:name="_Toc160332793"/>
      <w:bookmarkStart w:id="779" w:name="_Toc170207819"/>
      <w:r>
        <w:rPr>
          <w:rStyle w:val="CharSectno"/>
        </w:rPr>
        <w:t>54</w:t>
      </w:r>
      <w:r>
        <w:rPr>
          <w:snapToGrid w:val="0"/>
        </w:rPr>
        <w:t>.</w:t>
      </w:r>
      <w:r>
        <w:rPr>
          <w:snapToGrid w:val="0"/>
        </w:rPr>
        <w:tab/>
        <w:t>Traffic laws apply</w:t>
      </w:r>
      <w:bookmarkEnd w:id="772"/>
      <w:bookmarkEnd w:id="773"/>
      <w:bookmarkEnd w:id="774"/>
      <w:bookmarkEnd w:id="775"/>
      <w:bookmarkEnd w:id="776"/>
      <w:bookmarkEnd w:id="777"/>
      <w:bookmarkEnd w:id="778"/>
      <w:bookmarkEnd w:id="779"/>
      <w:r>
        <w:rPr>
          <w:snapToGrid w:val="0"/>
        </w:rPr>
        <w:t xml:space="preserve"> </w:t>
      </w:r>
    </w:p>
    <w:p>
      <w:pPr>
        <w:pStyle w:val="Subsection"/>
        <w:rPr>
          <w:snapToGrid w:val="0"/>
        </w:rPr>
      </w:pPr>
      <w:r>
        <w:rPr>
          <w:snapToGrid w:val="0"/>
        </w:rPr>
        <w:tab/>
        <w:t>(1)</w:t>
      </w:r>
      <w:r>
        <w:rPr>
          <w:snapToGrid w:val="0"/>
        </w:rPr>
        <w:tab/>
        <w:t xml:space="preserve">A person driving or in charge of a vehicle on a road or track on CALM land must not, without lawful authority, do any act that would be a breach of a law of the State if that road or track were a “road” for the purposes of the </w:t>
      </w:r>
      <w:r>
        <w:rPr>
          <w:i/>
          <w:snapToGrid w:val="0"/>
        </w:rPr>
        <w:t>Road Traffic Act 1974</w:t>
      </w:r>
      <w:r>
        <w:rPr>
          <w:snapToGrid w:val="0"/>
        </w:rPr>
        <w:t>.</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must not drive a vehicle on CALM land in a dangerous or careless manner or without all reasonable consideration for other persons, vehicles and animals in the vicinity.</w:t>
      </w:r>
    </w:p>
    <w:p>
      <w:pPr>
        <w:pStyle w:val="Penstart"/>
        <w:rPr>
          <w:snapToGrid w:val="0"/>
        </w:rPr>
      </w:pPr>
      <w:r>
        <w:rPr>
          <w:snapToGrid w:val="0"/>
        </w:rPr>
        <w:tab/>
        <w:t xml:space="preserve">Penalty: </w:t>
      </w:r>
      <w:r>
        <w:t>$1 000</w:t>
      </w:r>
      <w:r>
        <w:rPr>
          <w:snapToGrid w:val="0"/>
        </w:rPr>
        <w:t>.</w:t>
      </w:r>
    </w:p>
    <w:p>
      <w:pPr>
        <w:pStyle w:val="Footnotesection"/>
      </w:pPr>
      <w:r>
        <w:tab/>
        <w:t>[Regulation 54 amended in Gazette 29 Sep 2006 p. 4314.]</w:t>
      </w:r>
    </w:p>
    <w:p>
      <w:pPr>
        <w:pStyle w:val="Heading5"/>
        <w:keepNext w:val="0"/>
        <w:keepLines w:val="0"/>
        <w:spacing w:before="200"/>
        <w:rPr>
          <w:snapToGrid w:val="0"/>
        </w:rPr>
      </w:pPr>
      <w:bookmarkStart w:id="780" w:name="_Toc189456553"/>
      <w:bookmarkStart w:id="781" w:name="_Toc524422564"/>
      <w:bookmarkStart w:id="782" w:name="_Toc5508168"/>
      <w:bookmarkStart w:id="783" w:name="_Toc8119136"/>
      <w:bookmarkStart w:id="784" w:name="_Toc78685260"/>
      <w:bookmarkStart w:id="785" w:name="_Toc150315636"/>
      <w:bookmarkStart w:id="786" w:name="_Toc160332794"/>
      <w:bookmarkStart w:id="787" w:name="_Toc170207820"/>
      <w:r>
        <w:rPr>
          <w:rStyle w:val="CharSectno"/>
        </w:rPr>
        <w:t>55</w:t>
      </w:r>
      <w:r>
        <w:rPr>
          <w:snapToGrid w:val="0"/>
        </w:rPr>
        <w:t>.</w:t>
      </w:r>
      <w:r>
        <w:rPr>
          <w:snapToGrid w:val="0"/>
        </w:rPr>
        <w:tab/>
        <w:t>Driver to obey reasonable direction</w:t>
      </w:r>
      <w:bookmarkEnd w:id="780"/>
      <w:bookmarkEnd w:id="781"/>
      <w:bookmarkEnd w:id="782"/>
      <w:bookmarkEnd w:id="783"/>
      <w:bookmarkEnd w:id="784"/>
      <w:bookmarkEnd w:id="785"/>
      <w:bookmarkEnd w:id="786"/>
      <w:bookmarkEnd w:id="787"/>
      <w:r>
        <w:rPr>
          <w:snapToGrid w:val="0"/>
        </w:rPr>
        <w:t xml:space="preserve"> </w:t>
      </w:r>
    </w:p>
    <w:p>
      <w:pPr>
        <w:pStyle w:val="Subsection"/>
        <w:rPr>
          <w:snapToGrid w:val="0"/>
          <w:spacing w:val="-4"/>
        </w:rPr>
      </w:pPr>
      <w:r>
        <w:rPr>
          <w:snapToGrid w:val="0"/>
          <w:spacing w:val="-4"/>
        </w:rPr>
        <w:tab/>
      </w:r>
      <w:r>
        <w:rPr>
          <w:snapToGrid w:val="0"/>
          <w:spacing w:val="-4"/>
        </w:rPr>
        <w:tab/>
        <w:t>The driver or person in charge of a vehicle must obey any reasonable direction given to him or her by an authorised officer in relation to the parking or movement of the vehicle on CALM land.</w:t>
      </w:r>
    </w:p>
    <w:p>
      <w:pPr>
        <w:pStyle w:val="Penstart"/>
        <w:rPr>
          <w:snapToGrid w:val="0"/>
        </w:rPr>
      </w:pPr>
      <w:r>
        <w:rPr>
          <w:snapToGrid w:val="0"/>
        </w:rPr>
        <w:tab/>
        <w:t>Penalty: $500.</w:t>
      </w:r>
    </w:p>
    <w:p>
      <w:pPr>
        <w:pStyle w:val="Heading5"/>
        <w:rPr>
          <w:snapToGrid w:val="0"/>
        </w:rPr>
      </w:pPr>
      <w:bookmarkStart w:id="788" w:name="_Toc189456554"/>
      <w:bookmarkStart w:id="789" w:name="_Toc524422565"/>
      <w:bookmarkStart w:id="790" w:name="_Toc5508169"/>
      <w:bookmarkStart w:id="791" w:name="_Toc8119137"/>
      <w:bookmarkStart w:id="792" w:name="_Toc78685261"/>
      <w:bookmarkStart w:id="793" w:name="_Toc150315637"/>
      <w:bookmarkStart w:id="794" w:name="_Toc160332795"/>
      <w:bookmarkStart w:id="795" w:name="_Toc170207821"/>
      <w:r>
        <w:rPr>
          <w:rStyle w:val="CharSectno"/>
        </w:rPr>
        <w:t>56</w:t>
      </w:r>
      <w:r>
        <w:rPr>
          <w:snapToGrid w:val="0"/>
        </w:rPr>
        <w:t>.</w:t>
      </w:r>
      <w:r>
        <w:rPr>
          <w:snapToGrid w:val="0"/>
        </w:rPr>
        <w:tab/>
        <w:t>Signs to be obeyed</w:t>
      </w:r>
      <w:bookmarkEnd w:id="788"/>
      <w:bookmarkEnd w:id="789"/>
      <w:bookmarkEnd w:id="790"/>
      <w:bookmarkEnd w:id="791"/>
      <w:bookmarkEnd w:id="792"/>
      <w:bookmarkEnd w:id="793"/>
      <w:bookmarkEnd w:id="794"/>
      <w:bookmarkEnd w:id="795"/>
    </w:p>
    <w:p>
      <w:pPr>
        <w:pStyle w:val="Subsection"/>
        <w:rPr>
          <w:snapToGrid w:val="0"/>
        </w:rPr>
      </w:pPr>
      <w:r>
        <w:rPr>
          <w:snapToGrid w:val="0"/>
        </w:rPr>
        <w:tab/>
        <w:t>(1)</w:t>
      </w:r>
      <w:r>
        <w:rPr>
          <w:snapToGrid w:val="0"/>
        </w:rPr>
        <w:tab/>
        <w:t>A person must not park or stand a vehicle on CALM land contrary to any direction on a sign.</w:t>
      </w:r>
    </w:p>
    <w:p>
      <w:pPr>
        <w:pStyle w:val="Penstart"/>
        <w:rPr>
          <w:snapToGrid w:val="0"/>
        </w:rPr>
      </w:pPr>
      <w:r>
        <w:rPr>
          <w:snapToGrid w:val="0"/>
        </w:rPr>
        <w:tab/>
        <w:t>Penalty: $500.</w:t>
      </w:r>
    </w:p>
    <w:p>
      <w:pPr>
        <w:pStyle w:val="Subsection"/>
        <w:rPr>
          <w:snapToGrid w:val="0"/>
        </w:rPr>
      </w:pPr>
      <w:r>
        <w:rPr>
          <w:snapToGrid w:val="0"/>
        </w:rPr>
        <w:tab/>
        <w:t>(2)</w:t>
      </w:r>
      <w:r>
        <w:rPr>
          <w:snapToGrid w:val="0"/>
        </w:rPr>
        <w:tab/>
        <w:t>A sign may direct that an area of CALM land is set aside — </w:t>
      </w:r>
    </w:p>
    <w:p>
      <w:pPr>
        <w:pStyle w:val="Indenta"/>
        <w:rPr>
          <w:snapToGrid w:val="0"/>
        </w:rPr>
      </w:pPr>
      <w:r>
        <w:rPr>
          <w:snapToGrid w:val="0"/>
        </w:rPr>
        <w:tab/>
        <w:t>(a)</w:t>
      </w:r>
      <w:r>
        <w:rPr>
          <w:snapToGrid w:val="0"/>
        </w:rPr>
        <w:tab/>
        <w:t>for the parking of a specified vehicle or specified class of vehicles;</w:t>
      </w:r>
    </w:p>
    <w:p>
      <w:pPr>
        <w:pStyle w:val="Indenta"/>
        <w:rPr>
          <w:snapToGrid w:val="0"/>
        </w:rPr>
      </w:pPr>
      <w:r>
        <w:rPr>
          <w:snapToGrid w:val="0"/>
        </w:rPr>
        <w:tab/>
        <w:t>(b)</w:t>
      </w:r>
      <w:r>
        <w:rPr>
          <w:snapToGrid w:val="0"/>
        </w:rPr>
        <w:tab/>
        <w:t>for the parking of a vehicle of a specified person or specified class of persons;</w:t>
      </w:r>
    </w:p>
    <w:p>
      <w:pPr>
        <w:pStyle w:val="Indenta"/>
        <w:rPr>
          <w:snapToGrid w:val="0"/>
        </w:rPr>
      </w:pPr>
      <w:r>
        <w:rPr>
          <w:snapToGrid w:val="0"/>
        </w:rPr>
        <w:tab/>
        <w:t>(c)</w:t>
      </w:r>
      <w:r>
        <w:rPr>
          <w:snapToGrid w:val="0"/>
        </w:rPr>
        <w:tab/>
        <w:t>for the parking of vehicles for a specified maximum period of time;</w:t>
      </w:r>
    </w:p>
    <w:p>
      <w:pPr>
        <w:pStyle w:val="Indenta"/>
        <w:rPr>
          <w:snapToGrid w:val="0"/>
        </w:rPr>
      </w:pPr>
      <w:r>
        <w:rPr>
          <w:snapToGrid w:val="0"/>
        </w:rPr>
        <w:tab/>
        <w:t>(d)</w:t>
      </w:r>
      <w:r>
        <w:rPr>
          <w:snapToGrid w:val="0"/>
        </w:rPr>
        <w:tab/>
        <w:t>for the parking of vehicles only within specified parking bays;</w:t>
      </w:r>
    </w:p>
    <w:p>
      <w:pPr>
        <w:pStyle w:val="Indenta"/>
        <w:rPr>
          <w:snapToGrid w:val="0"/>
        </w:rPr>
      </w:pPr>
      <w:r>
        <w:rPr>
          <w:snapToGrid w:val="0"/>
        </w:rPr>
        <w:tab/>
        <w:t>(e)</w:t>
      </w:r>
      <w:r>
        <w:rPr>
          <w:snapToGrid w:val="0"/>
        </w:rPr>
        <w:tab/>
        <w:t>as a “no standing” or “no parking” area.</w:t>
      </w:r>
    </w:p>
    <w:p>
      <w:pPr>
        <w:pStyle w:val="Subsection"/>
        <w:rPr>
          <w:snapToGrid w:val="0"/>
        </w:rPr>
      </w:pPr>
      <w:r>
        <w:rPr>
          <w:snapToGrid w:val="0"/>
        </w:rPr>
        <w:tab/>
        <w:t>(3)</w:t>
      </w:r>
      <w:r>
        <w:rPr>
          <w:snapToGrid w:val="0"/>
        </w:rPr>
        <w:tab/>
        <w:t>A sign may direct that an area of CALM land may be used for parking subject to the payment of a specified charge.</w:t>
      </w:r>
    </w:p>
    <w:p>
      <w:pPr>
        <w:pStyle w:val="Subsection"/>
        <w:keepNext/>
        <w:keepLines/>
        <w:rPr>
          <w:snapToGrid w:val="0"/>
        </w:rPr>
      </w:pPr>
      <w:r>
        <w:rPr>
          <w:snapToGrid w:val="0"/>
        </w:rPr>
        <w:tab/>
        <w:t>(4)</w:t>
      </w:r>
      <w:r>
        <w:rPr>
          <w:snapToGrid w:val="0"/>
        </w:rPr>
        <w:tab/>
        <w:t>A person must not park a vehicle in an area that is subject to subregulation (3) at any time when the charge applies unless — </w:t>
      </w:r>
    </w:p>
    <w:p>
      <w:pPr>
        <w:pStyle w:val="Indenta"/>
        <w:rPr>
          <w:snapToGrid w:val="0"/>
        </w:rPr>
      </w:pPr>
      <w:r>
        <w:rPr>
          <w:snapToGrid w:val="0"/>
        </w:rPr>
        <w:tab/>
        <w:t>(a)</w:t>
      </w:r>
      <w:r>
        <w:rPr>
          <w:snapToGrid w:val="0"/>
        </w:rPr>
        <w:tab/>
        <w:t>the specified charge has been paid into a ticket vending machine;</w:t>
      </w:r>
    </w:p>
    <w:p>
      <w:pPr>
        <w:pStyle w:val="Indenta"/>
        <w:rPr>
          <w:snapToGrid w:val="0"/>
        </w:rPr>
      </w:pPr>
      <w:r>
        <w:rPr>
          <w:snapToGrid w:val="0"/>
        </w:rPr>
        <w:tab/>
        <w:t>(b)</w:t>
      </w:r>
      <w:r>
        <w:rPr>
          <w:snapToGrid w:val="0"/>
        </w:rPr>
        <w:tab/>
        <w:t>there is displayed in the vehicle at that time a parking ticket issued from a ticket vending machine that shows — </w:t>
      </w:r>
    </w:p>
    <w:p>
      <w:pPr>
        <w:pStyle w:val="Indenti"/>
        <w:rPr>
          <w:snapToGrid w:val="0"/>
        </w:rPr>
      </w:pPr>
      <w:r>
        <w:rPr>
          <w:snapToGrid w:val="0"/>
        </w:rPr>
        <w:tab/>
        <w:t>(i)</w:t>
      </w:r>
      <w:r>
        <w:rPr>
          <w:snapToGrid w:val="0"/>
        </w:rPr>
        <w:tab/>
        <w:t>the amount paid;</w:t>
      </w:r>
    </w:p>
    <w:p>
      <w:pPr>
        <w:pStyle w:val="Indenti"/>
        <w:rPr>
          <w:snapToGrid w:val="0"/>
        </w:rPr>
      </w:pPr>
      <w:r>
        <w:rPr>
          <w:snapToGrid w:val="0"/>
        </w:rPr>
        <w:tab/>
        <w:t>(ii)</w:t>
      </w:r>
      <w:r>
        <w:rPr>
          <w:snapToGrid w:val="0"/>
        </w:rPr>
        <w:tab/>
        <w:t>the date; and</w:t>
      </w:r>
    </w:p>
    <w:p>
      <w:pPr>
        <w:pStyle w:val="Indenti"/>
        <w:rPr>
          <w:snapToGrid w:val="0"/>
        </w:rPr>
      </w:pPr>
      <w:r>
        <w:rPr>
          <w:snapToGrid w:val="0"/>
        </w:rPr>
        <w:tab/>
        <w:t>(iii)</w:t>
      </w:r>
      <w:r>
        <w:rPr>
          <w:snapToGrid w:val="0"/>
        </w:rPr>
        <w:tab/>
        <w:t>an expiry time for permitted parking that is after that time;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parking ticket issued from the ticket vending machine is displayed in the vehicle in such a manner that an authorised officer is able to read it from outside the vehicle.</w:t>
      </w:r>
    </w:p>
    <w:p>
      <w:pPr>
        <w:pStyle w:val="Penstart"/>
        <w:rPr>
          <w:snapToGrid w:val="0"/>
        </w:rPr>
      </w:pPr>
      <w:r>
        <w:rPr>
          <w:snapToGrid w:val="0"/>
        </w:rPr>
        <w:tab/>
        <w:t>Penalty: $500.</w:t>
      </w:r>
    </w:p>
    <w:p>
      <w:pPr>
        <w:pStyle w:val="Subsection"/>
        <w:spacing w:before="140"/>
        <w:rPr>
          <w:snapToGrid w:val="0"/>
        </w:rPr>
      </w:pPr>
      <w:r>
        <w:rPr>
          <w:snapToGrid w:val="0"/>
        </w:rPr>
        <w:tab/>
        <w:t>(5)</w:t>
      </w:r>
      <w:r>
        <w:rPr>
          <w:snapToGrid w:val="0"/>
        </w:rPr>
        <w:tab/>
        <w:t xml:space="preserve">The charge specified for the purposes of subregulation (3) is not to exceed — </w:t>
      </w:r>
    </w:p>
    <w:p>
      <w:pPr>
        <w:pStyle w:val="Indenta"/>
        <w:rPr>
          <w:snapToGrid w:val="0"/>
        </w:rPr>
      </w:pPr>
      <w:r>
        <w:rPr>
          <w:snapToGrid w:val="0"/>
        </w:rPr>
        <w:tab/>
        <w:t>(a)</w:t>
      </w:r>
      <w:r>
        <w:rPr>
          <w:snapToGrid w:val="0"/>
        </w:rPr>
        <w:tab/>
      </w:r>
      <w:r>
        <w:t xml:space="preserve">$1.00 </w:t>
      </w:r>
      <w:r>
        <w:rPr>
          <w:snapToGrid w:val="0"/>
        </w:rPr>
        <w:t>for every hour or part of an hour; and</w:t>
      </w:r>
    </w:p>
    <w:p>
      <w:pPr>
        <w:pStyle w:val="Indenta"/>
        <w:rPr>
          <w:snapToGrid w:val="0"/>
        </w:rPr>
      </w:pPr>
      <w:r>
        <w:rPr>
          <w:snapToGrid w:val="0"/>
        </w:rPr>
        <w:tab/>
        <w:t>(b)</w:t>
      </w:r>
      <w:r>
        <w:rPr>
          <w:snapToGrid w:val="0"/>
        </w:rPr>
        <w:tab/>
      </w:r>
      <w:r>
        <w:t>$5.00 for any day or part of a day.</w:t>
      </w:r>
    </w:p>
    <w:p>
      <w:pPr>
        <w:pStyle w:val="Subsection"/>
        <w:spacing w:before="140"/>
        <w:rPr>
          <w:snapToGrid w:val="0"/>
        </w:rPr>
      </w:pPr>
      <w:r>
        <w:rPr>
          <w:snapToGrid w:val="0"/>
        </w:rPr>
        <w:tab/>
      </w:r>
      <w:bookmarkStart w:id="796" w:name="_Hlt499614046"/>
      <w:bookmarkEnd w:id="796"/>
      <w:r>
        <w:rPr>
          <w:snapToGrid w:val="0"/>
        </w:rPr>
        <w:t>(6)</w:t>
      </w:r>
      <w:r>
        <w:rPr>
          <w:snapToGrid w:val="0"/>
        </w:rPr>
        <w:tab/>
        <w:t>In this regulation — </w:t>
      </w:r>
    </w:p>
    <w:p>
      <w:pPr>
        <w:pStyle w:val="Defstart"/>
      </w:pPr>
      <w:r>
        <w:tab/>
      </w:r>
      <w:del w:id="797" w:author="Master Repository Process" w:date="2021-07-31T17:33:00Z">
        <w:r>
          <w:rPr>
            <w:b/>
          </w:rPr>
          <w:delText>“</w:delText>
        </w:r>
      </w:del>
      <w:r>
        <w:rPr>
          <w:rStyle w:val="CharDefText"/>
        </w:rPr>
        <w:t>specified</w:t>
      </w:r>
      <w:del w:id="798" w:author="Master Repository Process" w:date="2021-07-31T17:33:00Z">
        <w:r>
          <w:rPr>
            <w:b/>
          </w:rPr>
          <w:delText>”</w:delText>
        </w:r>
      </w:del>
      <w:r>
        <w:rPr>
          <w:b/>
        </w:rPr>
        <w:t xml:space="preserve"> </w:t>
      </w:r>
      <w:r>
        <w:t xml:space="preserve">means specified by a sign; </w:t>
      </w:r>
    </w:p>
    <w:p>
      <w:pPr>
        <w:pStyle w:val="Defstart"/>
      </w:pPr>
      <w:r>
        <w:tab/>
      </w:r>
      <w:del w:id="799" w:author="Master Repository Process" w:date="2021-07-31T17:33:00Z">
        <w:r>
          <w:rPr>
            <w:b/>
          </w:rPr>
          <w:delText>“</w:delText>
        </w:r>
      </w:del>
      <w:r>
        <w:rPr>
          <w:rStyle w:val="CharDefText"/>
        </w:rPr>
        <w:t>ticket vending machine</w:t>
      </w:r>
      <w:del w:id="800" w:author="Master Repository Process" w:date="2021-07-31T17:33:00Z">
        <w:r>
          <w:rPr>
            <w:b/>
          </w:rPr>
          <w:delText>”</w:delText>
        </w:r>
      </w:del>
      <w:r>
        <w:rPr>
          <w:b/>
        </w:rPr>
        <w:t xml:space="preserve"> </w:t>
      </w:r>
      <w:r>
        <w:t>means a machine situated on CALM land which, following the insertion of a coin or coins, issues a parking ticket.</w:t>
      </w:r>
    </w:p>
    <w:p>
      <w:pPr>
        <w:pStyle w:val="Footnotesection"/>
      </w:pPr>
      <w:r>
        <w:tab/>
        <w:t>[Regulation 56 amended in Gazette 29 Sep 2006 p. 4315.]</w:t>
      </w:r>
    </w:p>
    <w:p>
      <w:pPr>
        <w:pStyle w:val="Heading5"/>
        <w:rPr>
          <w:snapToGrid w:val="0"/>
        </w:rPr>
      </w:pPr>
      <w:bookmarkStart w:id="801" w:name="_Toc189456555"/>
      <w:bookmarkStart w:id="802" w:name="_Toc524422566"/>
      <w:bookmarkStart w:id="803" w:name="_Toc5508170"/>
      <w:bookmarkStart w:id="804" w:name="_Toc8119138"/>
      <w:bookmarkStart w:id="805" w:name="_Toc78685262"/>
      <w:bookmarkStart w:id="806" w:name="_Toc150315638"/>
      <w:bookmarkStart w:id="807" w:name="_Toc160332796"/>
      <w:bookmarkStart w:id="808" w:name="_Toc170207822"/>
      <w:r>
        <w:rPr>
          <w:rStyle w:val="CharSectno"/>
        </w:rPr>
        <w:t>57</w:t>
      </w:r>
      <w:r>
        <w:rPr>
          <w:snapToGrid w:val="0"/>
        </w:rPr>
        <w:t>.</w:t>
      </w:r>
      <w:r>
        <w:rPr>
          <w:snapToGrid w:val="0"/>
        </w:rPr>
        <w:tab/>
        <w:t>Obstructing other vehicles etc.</w:t>
      </w:r>
      <w:bookmarkEnd w:id="801"/>
      <w:bookmarkEnd w:id="802"/>
      <w:bookmarkEnd w:id="803"/>
      <w:bookmarkEnd w:id="804"/>
      <w:bookmarkEnd w:id="805"/>
      <w:bookmarkEnd w:id="806"/>
      <w:bookmarkEnd w:id="807"/>
      <w:bookmarkEnd w:id="808"/>
      <w:r>
        <w:rPr>
          <w:snapToGrid w:val="0"/>
        </w:rPr>
        <w:t xml:space="preserve"> </w:t>
      </w:r>
    </w:p>
    <w:p>
      <w:pPr>
        <w:pStyle w:val="Subsection"/>
        <w:spacing w:before="140"/>
        <w:rPr>
          <w:snapToGrid w:val="0"/>
        </w:rPr>
      </w:pPr>
      <w:r>
        <w:rPr>
          <w:snapToGrid w:val="0"/>
        </w:rPr>
        <w:tab/>
      </w:r>
      <w:r>
        <w:rPr>
          <w:snapToGrid w:val="0"/>
        </w:rPr>
        <w:tab/>
        <w:t>A person must not park or stand a vehicle on CALM land in such a manner as to obstruct — </w:t>
      </w:r>
    </w:p>
    <w:p>
      <w:pPr>
        <w:pStyle w:val="Indenta"/>
        <w:rPr>
          <w:snapToGrid w:val="0"/>
        </w:rPr>
      </w:pPr>
      <w:r>
        <w:rPr>
          <w:snapToGrid w:val="0"/>
        </w:rPr>
        <w:tab/>
        <w:t>(a)</w:t>
      </w:r>
      <w:r>
        <w:rPr>
          <w:snapToGrid w:val="0"/>
        </w:rPr>
        <w:tab/>
        <w:t>any other vehicle on the land;</w:t>
      </w:r>
    </w:p>
    <w:p>
      <w:pPr>
        <w:pStyle w:val="Indenta"/>
        <w:rPr>
          <w:snapToGrid w:val="0"/>
        </w:rPr>
      </w:pPr>
      <w:r>
        <w:rPr>
          <w:snapToGrid w:val="0"/>
        </w:rPr>
        <w:tab/>
        <w:t>(b)</w:t>
      </w:r>
      <w:r>
        <w:rPr>
          <w:snapToGrid w:val="0"/>
        </w:rPr>
        <w:tab/>
        <w:t>a footpath;</w:t>
      </w:r>
    </w:p>
    <w:p>
      <w:pPr>
        <w:pStyle w:val="Indenta"/>
        <w:rPr>
          <w:snapToGrid w:val="0"/>
        </w:rPr>
      </w:pPr>
      <w:r>
        <w:rPr>
          <w:snapToGrid w:val="0"/>
        </w:rPr>
        <w:tab/>
        <w:t>(c)</w:t>
      </w:r>
      <w:r>
        <w:rPr>
          <w:snapToGrid w:val="0"/>
        </w:rPr>
        <w:tab/>
        <w:t>access to a ticket vending machine within the meaning of regulation 56(6); or</w:t>
      </w:r>
    </w:p>
    <w:p>
      <w:pPr>
        <w:pStyle w:val="Indenta"/>
        <w:rPr>
          <w:snapToGrid w:val="0"/>
        </w:rPr>
      </w:pPr>
      <w:r>
        <w:rPr>
          <w:snapToGrid w:val="0"/>
        </w:rPr>
        <w:tab/>
        <w:t>(d)</w:t>
      </w:r>
      <w:r>
        <w:rPr>
          <w:snapToGrid w:val="0"/>
        </w:rPr>
        <w:tab/>
        <w:t>access to a facility on the land.</w:t>
      </w:r>
    </w:p>
    <w:p>
      <w:pPr>
        <w:pStyle w:val="Penstart"/>
        <w:rPr>
          <w:snapToGrid w:val="0"/>
        </w:rPr>
      </w:pPr>
      <w:r>
        <w:rPr>
          <w:snapToGrid w:val="0"/>
        </w:rPr>
        <w:tab/>
        <w:t>Penalty: $500.</w:t>
      </w:r>
    </w:p>
    <w:p>
      <w:pPr>
        <w:pStyle w:val="Heading3"/>
      </w:pPr>
      <w:bookmarkStart w:id="809" w:name="_Toc189456556"/>
      <w:bookmarkStart w:id="810" w:name="_Toc524422567"/>
      <w:bookmarkStart w:id="811" w:name="_Toc71354922"/>
      <w:bookmarkStart w:id="812" w:name="_Toc78623660"/>
      <w:bookmarkStart w:id="813" w:name="_Toc78685263"/>
      <w:bookmarkStart w:id="814" w:name="_Toc147312364"/>
      <w:bookmarkStart w:id="815" w:name="_Toc147631224"/>
      <w:bookmarkStart w:id="816" w:name="_Toc147633558"/>
      <w:bookmarkStart w:id="817" w:name="_Toc147907002"/>
      <w:bookmarkStart w:id="818" w:name="_Toc147907401"/>
      <w:bookmarkStart w:id="819" w:name="_Toc149009954"/>
      <w:bookmarkStart w:id="820" w:name="_Toc149010308"/>
      <w:bookmarkStart w:id="821" w:name="_Toc149010476"/>
      <w:bookmarkStart w:id="822" w:name="_Toc149016356"/>
      <w:bookmarkStart w:id="823" w:name="_Toc149039099"/>
      <w:bookmarkStart w:id="824" w:name="_Toc149039820"/>
      <w:bookmarkStart w:id="825" w:name="_Toc150315428"/>
      <w:bookmarkStart w:id="826" w:name="_Toc150315639"/>
      <w:bookmarkStart w:id="827" w:name="_Toc160272849"/>
      <w:bookmarkStart w:id="828" w:name="_Toc160332797"/>
      <w:bookmarkStart w:id="829" w:name="_Toc170207823"/>
      <w:r>
        <w:rPr>
          <w:rStyle w:val="CharDivNo"/>
        </w:rPr>
        <w:t>Division 3</w:t>
      </w:r>
      <w:r>
        <w:rPr>
          <w:snapToGrid w:val="0"/>
        </w:rPr>
        <w:t xml:space="preserve"> — </w:t>
      </w:r>
      <w:r>
        <w:rPr>
          <w:rStyle w:val="CharDivText"/>
        </w:rPr>
        <w:t>Vessels</w:t>
      </w:r>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p>
    <w:p>
      <w:pPr>
        <w:pStyle w:val="Heading5"/>
        <w:rPr>
          <w:snapToGrid w:val="0"/>
        </w:rPr>
      </w:pPr>
      <w:bookmarkStart w:id="830" w:name="_Toc189456557"/>
      <w:bookmarkStart w:id="831" w:name="_Toc524422568"/>
      <w:bookmarkStart w:id="832" w:name="_Toc5508171"/>
      <w:bookmarkStart w:id="833" w:name="_Toc8119139"/>
      <w:bookmarkStart w:id="834" w:name="_Toc78685264"/>
      <w:bookmarkStart w:id="835" w:name="_Toc150315640"/>
      <w:bookmarkStart w:id="836" w:name="_Toc160332798"/>
      <w:bookmarkStart w:id="837" w:name="_Toc170207824"/>
      <w:r>
        <w:rPr>
          <w:rStyle w:val="CharSectno"/>
        </w:rPr>
        <w:t>58</w:t>
      </w:r>
      <w:r>
        <w:rPr>
          <w:snapToGrid w:val="0"/>
        </w:rPr>
        <w:t>.</w:t>
      </w:r>
      <w:r>
        <w:rPr>
          <w:snapToGrid w:val="0"/>
        </w:rPr>
        <w:tab/>
        <w:t>Races</w:t>
      </w:r>
      <w:bookmarkEnd w:id="830"/>
      <w:bookmarkEnd w:id="831"/>
      <w:bookmarkEnd w:id="832"/>
      <w:bookmarkEnd w:id="833"/>
      <w:bookmarkEnd w:id="834"/>
      <w:bookmarkEnd w:id="835"/>
      <w:bookmarkEnd w:id="836"/>
      <w:bookmarkEnd w:id="837"/>
      <w:r>
        <w:rPr>
          <w:snapToGrid w:val="0"/>
        </w:rPr>
        <w:t xml:space="preserve"> </w:t>
      </w:r>
    </w:p>
    <w:p>
      <w:pPr>
        <w:pStyle w:val="Subsection"/>
        <w:rPr>
          <w:snapToGrid w:val="0"/>
        </w:rPr>
      </w:pPr>
      <w:r>
        <w:rPr>
          <w:snapToGrid w:val="0"/>
        </w:rPr>
        <w:tab/>
      </w:r>
      <w:r>
        <w:rPr>
          <w:snapToGrid w:val="0"/>
        </w:rPr>
        <w:tab/>
        <w:t>A person must not, without lawful authority, organise, promote or conduct a race involving vessels on or through CALM land.</w:t>
      </w:r>
    </w:p>
    <w:p>
      <w:pPr>
        <w:pStyle w:val="Penstart"/>
        <w:rPr>
          <w:snapToGrid w:val="0"/>
        </w:rPr>
      </w:pPr>
      <w:r>
        <w:rPr>
          <w:snapToGrid w:val="0"/>
        </w:rPr>
        <w:tab/>
        <w:t>Penalty: $2 000.</w:t>
      </w:r>
    </w:p>
    <w:p>
      <w:pPr>
        <w:pStyle w:val="Heading5"/>
        <w:rPr>
          <w:snapToGrid w:val="0"/>
        </w:rPr>
      </w:pPr>
      <w:bookmarkStart w:id="838" w:name="_Toc189456558"/>
      <w:bookmarkStart w:id="839" w:name="_Toc524422569"/>
      <w:bookmarkStart w:id="840" w:name="_Toc5508172"/>
      <w:bookmarkStart w:id="841" w:name="_Toc8119140"/>
      <w:bookmarkStart w:id="842" w:name="_Toc78685265"/>
      <w:bookmarkStart w:id="843" w:name="_Toc150315641"/>
      <w:bookmarkStart w:id="844" w:name="_Toc160332799"/>
      <w:bookmarkStart w:id="845" w:name="_Toc170207825"/>
      <w:r>
        <w:rPr>
          <w:rStyle w:val="CharSectno"/>
        </w:rPr>
        <w:t>59</w:t>
      </w:r>
      <w:r>
        <w:rPr>
          <w:snapToGrid w:val="0"/>
        </w:rPr>
        <w:t>.</w:t>
      </w:r>
      <w:r>
        <w:rPr>
          <w:snapToGrid w:val="0"/>
        </w:rPr>
        <w:tab/>
        <w:t>Moorings</w:t>
      </w:r>
      <w:bookmarkEnd w:id="838"/>
      <w:bookmarkEnd w:id="839"/>
      <w:bookmarkEnd w:id="840"/>
      <w:bookmarkEnd w:id="841"/>
      <w:bookmarkEnd w:id="842"/>
      <w:bookmarkEnd w:id="843"/>
      <w:bookmarkEnd w:id="844"/>
      <w:bookmarkEnd w:id="845"/>
      <w:r>
        <w:rPr>
          <w:snapToGrid w:val="0"/>
        </w:rPr>
        <w:t xml:space="preserve"> </w:t>
      </w:r>
    </w:p>
    <w:p>
      <w:pPr>
        <w:pStyle w:val="Subsection"/>
        <w:rPr>
          <w:snapToGrid w:val="0"/>
        </w:rPr>
      </w:pPr>
      <w:r>
        <w:rPr>
          <w:snapToGrid w:val="0"/>
        </w:rPr>
        <w:tab/>
        <w:t>(1)</w:t>
      </w:r>
      <w:r>
        <w:rPr>
          <w:snapToGrid w:val="0"/>
        </w:rPr>
        <w:tab/>
        <w:t>A person must not, without lawful authority, install a mooring for a vessel in waters on CALM land.</w:t>
      </w:r>
    </w:p>
    <w:p>
      <w:pPr>
        <w:pStyle w:val="Penstart"/>
        <w:rPr>
          <w:snapToGrid w:val="0"/>
        </w:rPr>
      </w:pPr>
      <w:r>
        <w:rPr>
          <w:snapToGrid w:val="0"/>
        </w:rPr>
        <w:tab/>
        <w:t>Penalty: $2 000.</w:t>
      </w:r>
    </w:p>
    <w:p>
      <w:pPr>
        <w:pStyle w:val="Subsection"/>
        <w:keepNext/>
        <w:keepLines/>
        <w:rPr>
          <w:snapToGrid w:val="0"/>
        </w:rPr>
      </w:pPr>
      <w:r>
        <w:rPr>
          <w:snapToGrid w:val="0"/>
        </w:rPr>
        <w:tab/>
        <w:t>(2)</w:t>
      </w:r>
      <w:r>
        <w:rPr>
          <w:snapToGrid w:val="0"/>
        </w:rPr>
        <w:tab/>
        <w:t>A person must not, without lawful authority, secure a vessel, or allow it to remain secured, to a mooring in waters on CALM land that is installed without lawful authority.</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person must not secure a vessel, or allow it to remain secured, to — </w:t>
      </w:r>
    </w:p>
    <w:p>
      <w:pPr>
        <w:pStyle w:val="Indenta"/>
      </w:pPr>
      <w:r>
        <w:rPr>
          <w:snapToGrid w:val="0"/>
        </w:rPr>
        <w:tab/>
        <w:t>(a)</w:t>
      </w:r>
      <w:r>
        <w:rPr>
          <w:snapToGrid w:val="0"/>
        </w:rPr>
        <w:tab/>
      </w:r>
      <w:r>
        <w:t>a mooring in waters on CALM land, without lawful authority;</w:t>
      </w:r>
    </w:p>
    <w:p>
      <w:pPr>
        <w:pStyle w:val="Indenta"/>
        <w:rPr>
          <w:snapToGrid w:val="0"/>
        </w:rPr>
      </w:pPr>
      <w:r>
        <w:rPr>
          <w:snapToGrid w:val="0"/>
        </w:rPr>
        <w:tab/>
        <w:t>(b)</w:t>
      </w:r>
      <w:r>
        <w:rPr>
          <w:snapToGrid w:val="0"/>
        </w:rPr>
        <w:tab/>
        <w:t>a mooring in waters on CALM land to which a vessel is already secured; or</w:t>
      </w:r>
    </w:p>
    <w:p>
      <w:pPr>
        <w:pStyle w:val="Indenta"/>
        <w:rPr>
          <w:snapToGrid w:val="0"/>
        </w:rPr>
      </w:pPr>
      <w:r>
        <w:rPr>
          <w:snapToGrid w:val="0"/>
        </w:rPr>
        <w:tab/>
        <w:t>(c)</w:t>
      </w:r>
      <w:r>
        <w:rPr>
          <w:snapToGrid w:val="0"/>
        </w:rPr>
        <w:tab/>
        <w:t>a vessel that is secured to a mooring in waters on CALM land.</w:t>
      </w:r>
    </w:p>
    <w:p>
      <w:pPr>
        <w:pStyle w:val="Penstart"/>
        <w:rPr>
          <w:snapToGrid w:val="0"/>
        </w:rPr>
      </w:pPr>
      <w:r>
        <w:rPr>
          <w:snapToGrid w:val="0"/>
        </w:rPr>
        <w:tab/>
        <w:t>Penalty: $1 000.</w:t>
      </w:r>
    </w:p>
    <w:p>
      <w:pPr>
        <w:pStyle w:val="Subsection"/>
        <w:rPr>
          <w:snapToGrid w:val="0"/>
        </w:rPr>
      </w:pPr>
      <w:r>
        <w:rPr>
          <w:snapToGrid w:val="0"/>
        </w:rPr>
        <w:tab/>
        <w:t>(4)</w:t>
      </w:r>
      <w:r>
        <w:rPr>
          <w:snapToGrid w:val="0"/>
        </w:rPr>
        <w:tab/>
        <w:t>Subregulation (3) does not apply so as to prohibit a tender being attached to a vessel.</w:t>
      </w:r>
    </w:p>
    <w:p>
      <w:pPr>
        <w:pStyle w:val="Subsection"/>
        <w:rPr>
          <w:snapToGrid w:val="0"/>
        </w:rPr>
      </w:pPr>
      <w:r>
        <w:rPr>
          <w:snapToGrid w:val="0"/>
        </w:rPr>
        <w:tab/>
        <w:t>(5)</w:t>
      </w:r>
      <w:r>
        <w:rPr>
          <w:snapToGrid w:val="0"/>
        </w:rPr>
        <w:tab/>
        <w:t>For the purposes of this regulation, a person who is on a vessel that is secured to a mooring</w:t>
      </w:r>
      <w:r>
        <w:rPr>
          <w:spacing w:val="-6"/>
          <w:kern w:val="24"/>
        </w:rPr>
        <w:t>, or secured to a vessel that is secured to a mooring,</w:t>
      </w:r>
      <w:r>
        <w:t xml:space="preserve"> </w:t>
      </w:r>
      <w:r>
        <w:rPr>
          <w:snapToGrid w:val="0"/>
        </w:rPr>
        <w:t>is taken to allow it to remain secured to that mooring</w:t>
      </w:r>
      <w:r>
        <w:t xml:space="preserve"> or that vessel</w:t>
      </w:r>
      <w:r>
        <w:rPr>
          <w:snapToGrid w:val="0"/>
        </w:rPr>
        <w:t>.</w:t>
      </w:r>
    </w:p>
    <w:p>
      <w:pPr>
        <w:pStyle w:val="Footnotesection"/>
      </w:pPr>
      <w:r>
        <w:tab/>
        <w:t>[Regulation 59 amended in Gazette 29 Sep 2006 p. 4315.]</w:t>
      </w:r>
    </w:p>
    <w:p>
      <w:pPr>
        <w:pStyle w:val="Heading5"/>
      </w:pPr>
      <w:bookmarkStart w:id="846" w:name="_Hlt499613716"/>
      <w:bookmarkStart w:id="847" w:name="_Toc189456559"/>
      <w:bookmarkStart w:id="848" w:name="_Toc524422570"/>
      <w:bookmarkStart w:id="849" w:name="_Toc5508173"/>
      <w:bookmarkStart w:id="850" w:name="_Toc8119141"/>
      <w:bookmarkStart w:id="851" w:name="_Toc78685266"/>
      <w:bookmarkStart w:id="852" w:name="_Toc150315642"/>
      <w:bookmarkStart w:id="853" w:name="_Toc160332800"/>
      <w:bookmarkStart w:id="854" w:name="_Toc170207826"/>
      <w:bookmarkEnd w:id="846"/>
      <w:r>
        <w:rPr>
          <w:rStyle w:val="CharSectno"/>
        </w:rPr>
        <w:t>60</w:t>
      </w:r>
      <w:r>
        <w:rPr>
          <w:snapToGrid w:val="0"/>
        </w:rPr>
        <w:t>.</w:t>
      </w:r>
      <w:r>
        <w:rPr>
          <w:snapToGrid w:val="0"/>
        </w:rPr>
        <w:tab/>
        <w:t>Anchoring vessels</w:t>
      </w:r>
      <w:bookmarkEnd w:id="847"/>
      <w:bookmarkEnd w:id="848"/>
      <w:bookmarkEnd w:id="849"/>
      <w:bookmarkEnd w:id="850"/>
      <w:bookmarkEnd w:id="851"/>
      <w:bookmarkEnd w:id="852"/>
      <w:bookmarkEnd w:id="853"/>
      <w:bookmarkEnd w:id="854"/>
    </w:p>
    <w:p>
      <w:pPr>
        <w:pStyle w:val="Subsection"/>
        <w:ind w:left="0" w:firstLine="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anchor a vessel in a restricted area if that activity is prohibited under regulation </w:t>
      </w:r>
      <w:bookmarkStart w:id="855" w:name="_Hlt499614054"/>
      <w:r>
        <w:rPr>
          <w:snapToGrid w:val="0"/>
        </w:rPr>
        <w:t>5</w:t>
      </w:r>
      <w:bookmarkEnd w:id="855"/>
      <w:r>
        <w:rPr>
          <w:snapToGrid w:val="0"/>
        </w:rPr>
        <w:t>; or</w:t>
      </w:r>
    </w:p>
    <w:p>
      <w:pPr>
        <w:pStyle w:val="Indenta"/>
        <w:rPr>
          <w:snapToGrid w:val="0"/>
        </w:rPr>
      </w:pPr>
      <w:r>
        <w:rPr>
          <w:snapToGrid w:val="0"/>
        </w:rPr>
        <w:tab/>
        <w:t>(b)</w:t>
      </w:r>
      <w:r>
        <w:rPr>
          <w:snapToGrid w:val="0"/>
        </w:rPr>
        <w:tab/>
        <w:t>contravene a restriction on the anchoring of vessels in a restricted area imposed under regulation </w:t>
      </w:r>
      <w:bookmarkStart w:id="856" w:name="_Hlt499614060"/>
      <w:r>
        <w:rPr>
          <w:snapToGrid w:val="0"/>
        </w:rPr>
        <w:t>5</w:t>
      </w:r>
      <w:bookmarkEnd w:id="856"/>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Subregulation (1) does not apply to a vessel that is required to anchor contrary to that subregulation to avoid or mitigate danger to human life or significant damage to property.</w:t>
      </w:r>
    </w:p>
    <w:p>
      <w:pPr>
        <w:pStyle w:val="Heading5"/>
        <w:rPr>
          <w:snapToGrid w:val="0"/>
        </w:rPr>
      </w:pPr>
      <w:bookmarkStart w:id="857" w:name="_Hlt499613720"/>
      <w:bookmarkStart w:id="858" w:name="_Toc189456560"/>
      <w:bookmarkStart w:id="859" w:name="_Toc524422571"/>
      <w:bookmarkStart w:id="860" w:name="_Toc5508174"/>
      <w:bookmarkStart w:id="861" w:name="_Toc8119142"/>
      <w:bookmarkStart w:id="862" w:name="_Toc78685267"/>
      <w:bookmarkStart w:id="863" w:name="_Toc150315643"/>
      <w:bookmarkStart w:id="864" w:name="_Toc160332801"/>
      <w:bookmarkStart w:id="865" w:name="_Toc170207827"/>
      <w:bookmarkEnd w:id="857"/>
      <w:r>
        <w:rPr>
          <w:rStyle w:val="CharSectno"/>
        </w:rPr>
        <w:t>61</w:t>
      </w:r>
      <w:r>
        <w:rPr>
          <w:snapToGrid w:val="0"/>
        </w:rPr>
        <w:t>.</w:t>
      </w:r>
      <w:r>
        <w:rPr>
          <w:snapToGrid w:val="0"/>
        </w:rPr>
        <w:tab/>
        <w:t>Operation of certain vessel in restricted area</w:t>
      </w:r>
      <w:bookmarkEnd w:id="858"/>
      <w:bookmarkEnd w:id="859"/>
      <w:bookmarkEnd w:id="860"/>
      <w:bookmarkEnd w:id="861"/>
      <w:bookmarkEnd w:id="862"/>
      <w:bookmarkEnd w:id="863"/>
      <w:bookmarkEnd w:id="864"/>
      <w:bookmarkEnd w:id="865"/>
    </w:p>
    <w:p>
      <w:pPr>
        <w:pStyle w:val="Subsection"/>
      </w:pPr>
      <w:r>
        <w:rPr>
          <w:snapToGrid w:val="0"/>
        </w:rPr>
        <w:tab/>
      </w:r>
      <w:r>
        <w:rPr>
          <w:snapToGrid w:val="0"/>
        </w:rPr>
        <w:tab/>
      </w:r>
      <w:r>
        <w:t xml:space="preserve">A person must not, without lawful authority, in a restricted area — </w:t>
      </w:r>
    </w:p>
    <w:p>
      <w:pPr>
        <w:pStyle w:val="Indenta"/>
      </w:pPr>
      <w:r>
        <w:tab/>
        <w:t>(a)</w:t>
      </w:r>
      <w:r>
        <w:tab/>
        <w:t>operate a vessel if the operation of a vessel of that kind is prohibited in that area under regulation </w:t>
      </w:r>
      <w:bookmarkStart w:id="866" w:name="_Hlt499614068"/>
      <w:r>
        <w:t>5</w:t>
      </w:r>
      <w:bookmarkEnd w:id="866"/>
      <w:r>
        <w:t>; or</w:t>
      </w:r>
    </w:p>
    <w:p>
      <w:pPr>
        <w:pStyle w:val="Indenta"/>
      </w:pPr>
      <w:r>
        <w:tab/>
        <w:t>(b)</w:t>
      </w:r>
      <w:r>
        <w:tab/>
        <w:t>contravene a restriction imposed on the operation of a vessel in that area under regulation </w:t>
      </w:r>
      <w:bookmarkStart w:id="867" w:name="_Hlt499614072"/>
      <w:r>
        <w:t>5</w:t>
      </w:r>
      <w:bookmarkEnd w:id="867"/>
      <w:r>
        <w:t>.</w:t>
      </w:r>
    </w:p>
    <w:p>
      <w:pPr>
        <w:pStyle w:val="Penstart"/>
        <w:rPr>
          <w:snapToGrid w:val="0"/>
        </w:rPr>
      </w:pPr>
      <w:r>
        <w:rPr>
          <w:snapToGrid w:val="0"/>
        </w:rPr>
        <w:tab/>
        <w:t>Penalty: $500.</w:t>
      </w:r>
    </w:p>
    <w:p>
      <w:pPr>
        <w:pStyle w:val="Heading5"/>
      </w:pPr>
      <w:bookmarkStart w:id="868" w:name="_Toc189456561"/>
      <w:bookmarkStart w:id="869" w:name="_Toc524422572"/>
      <w:bookmarkStart w:id="870" w:name="_Toc144874265"/>
      <w:bookmarkStart w:id="871" w:name="_Toc150315644"/>
      <w:bookmarkStart w:id="872" w:name="_Toc160332802"/>
      <w:bookmarkStart w:id="873" w:name="_Toc170207828"/>
      <w:bookmarkStart w:id="874" w:name="_Toc5508175"/>
      <w:bookmarkStart w:id="875" w:name="_Toc8119143"/>
      <w:bookmarkStart w:id="876" w:name="_Toc78685268"/>
      <w:r>
        <w:rPr>
          <w:rStyle w:val="CharSectno"/>
        </w:rPr>
        <w:t>61A</w:t>
      </w:r>
      <w:r>
        <w:t>.</w:t>
      </w:r>
      <w:r>
        <w:tab/>
        <w:t>Operation of vessels in nature reserves</w:t>
      </w:r>
      <w:bookmarkEnd w:id="868"/>
      <w:bookmarkEnd w:id="869"/>
      <w:bookmarkEnd w:id="870"/>
      <w:bookmarkEnd w:id="871"/>
      <w:bookmarkEnd w:id="872"/>
      <w:bookmarkEnd w:id="873"/>
    </w:p>
    <w:p>
      <w:pPr>
        <w:pStyle w:val="Subsection"/>
      </w:pPr>
      <w:r>
        <w:tab/>
      </w:r>
      <w:r>
        <w:tab/>
        <w:t>A person must not, without lawful authority, operate a vessel in a nature reserve, except in a designated area of the reserve.</w:t>
      </w:r>
    </w:p>
    <w:p>
      <w:pPr>
        <w:pStyle w:val="Penstart"/>
      </w:pPr>
      <w:r>
        <w:tab/>
        <w:t>Penalty: $1 000.</w:t>
      </w:r>
    </w:p>
    <w:p>
      <w:pPr>
        <w:pStyle w:val="Footnotesection"/>
      </w:pPr>
      <w:r>
        <w:tab/>
        <w:t>[Regulation 61A inserted in Gazette 29 Sep 2006 p. 4315.]</w:t>
      </w:r>
    </w:p>
    <w:p>
      <w:pPr>
        <w:pStyle w:val="Heading5"/>
        <w:spacing w:before="160"/>
        <w:rPr>
          <w:snapToGrid w:val="0"/>
        </w:rPr>
      </w:pPr>
      <w:bookmarkStart w:id="877" w:name="_Toc189456562"/>
      <w:bookmarkStart w:id="878" w:name="_Toc524422573"/>
      <w:bookmarkStart w:id="879" w:name="_Toc150315645"/>
      <w:bookmarkStart w:id="880" w:name="_Toc160332803"/>
      <w:bookmarkStart w:id="881" w:name="_Toc170207829"/>
      <w:r>
        <w:rPr>
          <w:rStyle w:val="CharSectno"/>
        </w:rPr>
        <w:t>62</w:t>
      </w:r>
      <w:r>
        <w:rPr>
          <w:snapToGrid w:val="0"/>
        </w:rPr>
        <w:t>.</w:t>
      </w:r>
      <w:r>
        <w:rPr>
          <w:snapToGrid w:val="0"/>
        </w:rPr>
        <w:tab/>
        <w:t>Safe navigation of vessels</w:t>
      </w:r>
      <w:bookmarkEnd w:id="877"/>
      <w:bookmarkEnd w:id="878"/>
      <w:bookmarkEnd w:id="874"/>
      <w:bookmarkEnd w:id="875"/>
      <w:bookmarkEnd w:id="876"/>
      <w:bookmarkEnd w:id="879"/>
      <w:bookmarkEnd w:id="880"/>
      <w:bookmarkEnd w:id="881"/>
      <w:r>
        <w:rPr>
          <w:snapToGrid w:val="0"/>
        </w:rPr>
        <w:t xml:space="preserve"> </w:t>
      </w:r>
    </w:p>
    <w:p>
      <w:pPr>
        <w:pStyle w:val="Subsection"/>
        <w:rPr>
          <w:snapToGrid w:val="0"/>
        </w:rPr>
      </w:pPr>
      <w:r>
        <w:rPr>
          <w:snapToGrid w:val="0"/>
        </w:rPr>
        <w:tab/>
        <w:t>(1)</w:t>
      </w:r>
      <w:r>
        <w:rPr>
          <w:snapToGrid w:val="0"/>
        </w:rPr>
        <w:tab/>
        <w:t>A person must not navigate a vessel on waters on CALM land in such a manner as to — </w:t>
      </w:r>
    </w:p>
    <w:p>
      <w:pPr>
        <w:pStyle w:val="Indenta"/>
        <w:rPr>
          <w:snapToGrid w:val="0"/>
        </w:rPr>
      </w:pPr>
      <w:r>
        <w:rPr>
          <w:snapToGrid w:val="0"/>
        </w:rPr>
        <w:tab/>
        <w:t>(a)</w:t>
      </w:r>
      <w:r>
        <w:rPr>
          <w:snapToGrid w:val="0"/>
        </w:rPr>
        <w:tab/>
        <w:t xml:space="preserve">endanger the safety of that or any other vessel or any person; </w:t>
      </w:r>
    </w:p>
    <w:p>
      <w:pPr>
        <w:pStyle w:val="Indenta"/>
        <w:rPr>
          <w:snapToGrid w:val="0"/>
        </w:rPr>
      </w:pPr>
      <w:r>
        <w:rPr>
          <w:snapToGrid w:val="0"/>
        </w:rPr>
        <w:tab/>
        <w:t>(b)</w:t>
      </w:r>
      <w:r>
        <w:rPr>
          <w:snapToGrid w:val="0"/>
        </w:rPr>
        <w:tab/>
        <w:t xml:space="preserve">cause damage to any person or to any other vessel; </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damage vegetation, coral, shoals, sandbanks, mudflats or the bed or banks of any body of water; or</w:t>
      </w:r>
    </w:p>
    <w:p>
      <w:pPr>
        <w:pStyle w:val="Indenta"/>
        <w:rPr>
          <w:snapToGrid w:val="0"/>
        </w:rPr>
      </w:pPr>
      <w:r>
        <w:rPr>
          <w:snapToGrid w:val="0"/>
        </w:rPr>
        <w:tab/>
        <w:t>(e)</w:t>
      </w:r>
      <w:r>
        <w:rPr>
          <w:snapToGrid w:val="0"/>
        </w:rPr>
        <w:tab/>
      </w:r>
      <w:r>
        <w:t>endanger or harm any fauna</w:t>
      </w:r>
      <w:r>
        <w:rPr>
          <w:snapToGrid w:val="0"/>
        </w:rPr>
        <w:t>.</w:t>
      </w:r>
    </w:p>
    <w:p>
      <w:pPr>
        <w:pStyle w:val="Penstart"/>
        <w:rPr>
          <w:snapToGrid w:val="0"/>
        </w:rPr>
      </w:pPr>
      <w:r>
        <w:rPr>
          <w:snapToGrid w:val="0"/>
        </w:rPr>
        <w:tab/>
        <w:t>Penalty: $500.</w:t>
      </w:r>
    </w:p>
    <w:p>
      <w:pPr>
        <w:pStyle w:val="Subsection"/>
        <w:rPr>
          <w:snapToGrid w:val="0"/>
        </w:rPr>
      </w:pPr>
      <w:r>
        <w:tab/>
        <w:t>(2)</w:t>
      </w:r>
      <w:r>
        <w:tab/>
      </w:r>
      <w:r>
        <w:rPr>
          <w:snapToGrid w:val="0"/>
        </w:rPr>
        <w:t xml:space="preserve">A person must not navigate a vessel on waters on CALM land in such a manner as to — </w:t>
      </w:r>
    </w:p>
    <w:p>
      <w:pPr>
        <w:pStyle w:val="Indenta"/>
        <w:rPr>
          <w:snapToGrid w:val="0"/>
        </w:rPr>
      </w:pPr>
      <w:r>
        <w:tab/>
        <w:t>(a)</w:t>
      </w:r>
      <w:r>
        <w:tab/>
      </w:r>
      <w:r>
        <w:rPr>
          <w:snapToGrid w:val="0"/>
        </w:rPr>
        <w:t>cause nuisance to any person or to any other vessel; or</w:t>
      </w:r>
    </w:p>
    <w:p>
      <w:pPr>
        <w:pStyle w:val="Indenta"/>
        <w:rPr>
          <w:snapToGrid w:val="0"/>
        </w:rPr>
      </w:pPr>
      <w:r>
        <w:rPr>
          <w:snapToGrid w:val="0"/>
        </w:rPr>
        <w:tab/>
        <w:t>(b)</w:t>
      </w:r>
      <w:r>
        <w:rPr>
          <w:snapToGrid w:val="0"/>
        </w:rPr>
        <w:tab/>
        <w:t>obstruct, impede or otherwise interfere with any other vessel; or</w:t>
      </w:r>
    </w:p>
    <w:p>
      <w:pPr>
        <w:pStyle w:val="Indenta"/>
        <w:rPr>
          <w:snapToGrid w:val="0"/>
        </w:rPr>
      </w:pPr>
      <w:r>
        <w:rPr>
          <w:snapToGrid w:val="0"/>
        </w:rPr>
        <w:tab/>
        <w:t>(c)</w:t>
      </w:r>
      <w:r>
        <w:rPr>
          <w:snapToGrid w:val="0"/>
        </w:rPr>
        <w:tab/>
      </w:r>
      <w:r>
        <w:t>disturb any fauna</w:t>
      </w:r>
      <w:r>
        <w:rPr>
          <w:snapToGrid w:val="0"/>
        </w:rPr>
        <w:t>.</w:t>
      </w:r>
    </w:p>
    <w:p>
      <w:pPr>
        <w:pStyle w:val="Penstart"/>
        <w:rPr>
          <w:snapToGrid w:val="0"/>
        </w:rPr>
      </w:pPr>
      <w:r>
        <w:rPr>
          <w:snapToGrid w:val="0"/>
        </w:rPr>
        <w:tab/>
        <w:t>Penalty: $500.</w:t>
      </w:r>
    </w:p>
    <w:p>
      <w:pPr>
        <w:pStyle w:val="Footnotesection"/>
      </w:pPr>
      <w:r>
        <w:tab/>
        <w:t>[Regulation 62 amended in Gazette 29 Sep 2006 p. 4315</w:t>
      </w:r>
      <w:r>
        <w:noBreakHyphen/>
        <w:t>16.]</w:t>
      </w:r>
    </w:p>
    <w:p>
      <w:pPr>
        <w:pStyle w:val="Heading5"/>
        <w:rPr>
          <w:snapToGrid w:val="0"/>
        </w:rPr>
      </w:pPr>
      <w:bookmarkStart w:id="882" w:name="_Toc189456563"/>
      <w:bookmarkStart w:id="883" w:name="_Toc524422574"/>
      <w:bookmarkStart w:id="884" w:name="_Toc5508176"/>
      <w:bookmarkStart w:id="885" w:name="_Toc8119144"/>
      <w:bookmarkStart w:id="886" w:name="_Toc78685269"/>
      <w:bookmarkStart w:id="887" w:name="_Toc150315646"/>
      <w:bookmarkStart w:id="888" w:name="_Toc160332804"/>
      <w:bookmarkStart w:id="889" w:name="_Toc170207830"/>
      <w:r>
        <w:rPr>
          <w:rStyle w:val="CharSectno"/>
        </w:rPr>
        <w:t>63</w:t>
      </w:r>
      <w:r>
        <w:rPr>
          <w:snapToGrid w:val="0"/>
        </w:rPr>
        <w:t>.</w:t>
      </w:r>
      <w:r>
        <w:rPr>
          <w:snapToGrid w:val="0"/>
        </w:rPr>
        <w:tab/>
        <w:t>Owner to obey reasonable direction</w:t>
      </w:r>
      <w:bookmarkEnd w:id="882"/>
      <w:bookmarkEnd w:id="883"/>
      <w:bookmarkEnd w:id="884"/>
      <w:bookmarkEnd w:id="885"/>
      <w:bookmarkEnd w:id="886"/>
      <w:bookmarkEnd w:id="887"/>
      <w:bookmarkEnd w:id="888"/>
      <w:bookmarkEnd w:id="889"/>
      <w:r>
        <w:rPr>
          <w:snapToGrid w:val="0"/>
        </w:rPr>
        <w:t xml:space="preserve"> </w:t>
      </w:r>
    </w:p>
    <w:p>
      <w:pPr>
        <w:pStyle w:val="Subsection"/>
        <w:rPr>
          <w:snapToGrid w:val="0"/>
        </w:rPr>
      </w:pPr>
      <w:r>
        <w:rPr>
          <w:snapToGrid w:val="0"/>
        </w:rPr>
        <w:tab/>
      </w:r>
      <w:r>
        <w:rPr>
          <w:snapToGrid w:val="0"/>
        </w:rPr>
        <w:tab/>
        <w:t>The owner or person in charge of a vessel must obey any reasonable direction given to him or her by an authorised officer in relation to the anchoring, mooring or movement of the vessel in waters on CALM land.</w:t>
      </w:r>
    </w:p>
    <w:p>
      <w:pPr>
        <w:pStyle w:val="Penstart"/>
        <w:rPr>
          <w:snapToGrid w:val="0"/>
        </w:rPr>
      </w:pPr>
      <w:r>
        <w:rPr>
          <w:snapToGrid w:val="0"/>
        </w:rPr>
        <w:tab/>
        <w:t>Penalty: $1 000.</w:t>
      </w:r>
    </w:p>
    <w:p>
      <w:pPr>
        <w:pStyle w:val="Heading5"/>
        <w:rPr>
          <w:snapToGrid w:val="0"/>
        </w:rPr>
      </w:pPr>
      <w:bookmarkStart w:id="890" w:name="_Hlt499613724"/>
      <w:bookmarkStart w:id="891" w:name="_Toc189456564"/>
      <w:bookmarkStart w:id="892" w:name="_Toc524422575"/>
      <w:bookmarkStart w:id="893" w:name="_Toc5508177"/>
      <w:bookmarkStart w:id="894" w:name="_Toc8119145"/>
      <w:bookmarkStart w:id="895" w:name="_Toc78685270"/>
      <w:bookmarkStart w:id="896" w:name="_Toc150315647"/>
      <w:bookmarkStart w:id="897" w:name="_Toc160332805"/>
      <w:bookmarkStart w:id="898" w:name="_Toc170207831"/>
      <w:bookmarkEnd w:id="890"/>
      <w:r>
        <w:rPr>
          <w:rStyle w:val="CharSectno"/>
        </w:rPr>
        <w:t>64</w:t>
      </w:r>
      <w:r>
        <w:rPr>
          <w:snapToGrid w:val="0"/>
        </w:rPr>
        <w:t>.</w:t>
      </w:r>
      <w:r>
        <w:rPr>
          <w:snapToGrid w:val="0"/>
        </w:rPr>
        <w:tab/>
        <w:t>Launching, beaching and retrieving</w:t>
      </w:r>
      <w:bookmarkEnd w:id="891"/>
      <w:bookmarkEnd w:id="892"/>
      <w:bookmarkEnd w:id="893"/>
      <w:bookmarkEnd w:id="894"/>
      <w:bookmarkEnd w:id="895"/>
      <w:bookmarkEnd w:id="896"/>
      <w:bookmarkEnd w:id="897"/>
      <w:bookmarkEnd w:id="898"/>
      <w:r>
        <w:rPr>
          <w:snapToGrid w:val="0"/>
        </w:rPr>
        <w:t xml:space="preserve"> </w:t>
      </w:r>
    </w:p>
    <w:p>
      <w:pPr>
        <w:pStyle w:val="Subsection"/>
        <w:rPr>
          <w:snapToGrid w:val="0"/>
        </w:rPr>
      </w:pPr>
      <w:r>
        <w:rPr>
          <w:snapToGrid w:val="0"/>
        </w:rPr>
        <w:tab/>
        <w:t>(1)</w:t>
      </w:r>
      <w:r>
        <w:rPr>
          <w:snapToGrid w:val="0"/>
        </w:rPr>
        <w:tab/>
        <w:t>A person must not, without lawful authority, in a restricted area — </w:t>
      </w:r>
    </w:p>
    <w:p>
      <w:pPr>
        <w:pStyle w:val="Indenta"/>
        <w:rPr>
          <w:snapToGrid w:val="0"/>
        </w:rPr>
      </w:pPr>
      <w:r>
        <w:rPr>
          <w:snapToGrid w:val="0"/>
        </w:rPr>
        <w:tab/>
        <w:t>(a)</w:t>
      </w:r>
      <w:r>
        <w:rPr>
          <w:snapToGrid w:val="0"/>
        </w:rPr>
        <w:tab/>
        <w:t>launch or beach a vessel;</w:t>
      </w:r>
    </w:p>
    <w:p>
      <w:pPr>
        <w:pStyle w:val="Indenta"/>
        <w:rPr>
          <w:snapToGrid w:val="0"/>
        </w:rPr>
      </w:pPr>
      <w:r>
        <w:rPr>
          <w:snapToGrid w:val="0"/>
        </w:rPr>
        <w:tab/>
        <w:t>(b)</w:t>
      </w:r>
      <w:r>
        <w:rPr>
          <w:snapToGrid w:val="0"/>
        </w:rPr>
        <w:tab/>
        <w:t>anchor a vessel by placing the anchor on a beach; or</w:t>
      </w:r>
    </w:p>
    <w:p>
      <w:pPr>
        <w:pStyle w:val="Indenta"/>
        <w:rPr>
          <w:snapToGrid w:val="0"/>
        </w:rPr>
      </w:pPr>
      <w:r>
        <w:rPr>
          <w:snapToGrid w:val="0"/>
        </w:rPr>
        <w:tab/>
        <w:t>(c)</w:t>
      </w:r>
      <w:r>
        <w:rPr>
          <w:snapToGrid w:val="0"/>
        </w:rPr>
        <w:tab/>
        <w:t>access, operate or retrieve a vessel,</w:t>
      </w:r>
    </w:p>
    <w:p>
      <w:pPr>
        <w:pStyle w:val="Subsection"/>
        <w:rPr>
          <w:snapToGrid w:val="0"/>
        </w:rPr>
      </w:pPr>
      <w:r>
        <w:rPr>
          <w:snapToGrid w:val="0"/>
        </w:rPr>
        <w:tab/>
      </w:r>
      <w:r>
        <w:rPr>
          <w:snapToGrid w:val="0"/>
        </w:rPr>
        <w:tab/>
        <w:t>if that activity is prohibited under regulation </w:t>
      </w:r>
      <w:bookmarkStart w:id="899" w:name="_Hlt499614080"/>
      <w:r>
        <w:rPr>
          <w:snapToGrid w:val="0"/>
        </w:rPr>
        <w:t>5</w:t>
      </w:r>
      <w:bookmarkEnd w:id="899"/>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must not, without lawful authority, in a restricted area, contravene a restriction imposed under regulation </w:t>
      </w:r>
      <w:bookmarkStart w:id="900" w:name="_Hlt499614087"/>
      <w:r>
        <w:rPr>
          <w:snapToGrid w:val="0"/>
        </w:rPr>
        <w:t>5</w:t>
      </w:r>
      <w:bookmarkEnd w:id="900"/>
      <w:r>
        <w:rPr>
          <w:snapToGrid w:val="0"/>
        </w:rPr>
        <w:t xml:space="preserve"> in respect of — </w:t>
      </w:r>
    </w:p>
    <w:p>
      <w:pPr>
        <w:pStyle w:val="Indenta"/>
        <w:rPr>
          <w:snapToGrid w:val="0"/>
        </w:rPr>
      </w:pPr>
      <w:r>
        <w:rPr>
          <w:snapToGrid w:val="0"/>
        </w:rPr>
        <w:tab/>
        <w:t>(a)</w:t>
      </w:r>
      <w:r>
        <w:rPr>
          <w:snapToGrid w:val="0"/>
        </w:rPr>
        <w:tab/>
        <w:t>launching or beaching a vessel;</w:t>
      </w:r>
    </w:p>
    <w:p>
      <w:pPr>
        <w:pStyle w:val="Indenta"/>
        <w:rPr>
          <w:snapToGrid w:val="0"/>
        </w:rPr>
      </w:pPr>
      <w:r>
        <w:rPr>
          <w:snapToGrid w:val="0"/>
        </w:rPr>
        <w:tab/>
        <w:t>(b)</w:t>
      </w:r>
      <w:r>
        <w:rPr>
          <w:snapToGrid w:val="0"/>
        </w:rPr>
        <w:tab/>
        <w:t>anchoring a vessel by placing the anchor on a beach; or</w:t>
      </w:r>
    </w:p>
    <w:p>
      <w:pPr>
        <w:pStyle w:val="Indenta"/>
        <w:rPr>
          <w:snapToGrid w:val="0"/>
        </w:rPr>
      </w:pPr>
      <w:r>
        <w:rPr>
          <w:snapToGrid w:val="0"/>
        </w:rPr>
        <w:tab/>
        <w:t>(c)</w:t>
      </w:r>
      <w:r>
        <w:rPr>
          <w:snapToGrid w:val="0"/>
        </w:rPr>
        <w:tab/>
        <w:t>accessing, operating or retrieving a vessel.</w:t>
      </w:r>
    </w:p>
    <w:p>
      <w:pPr>
        <w:pStyle w:val="Penstart"/>
        <w:rPr>
          <w:snapToGrid w:val="0"/>
        </w:rPr>
      </w:pPr>
      <w:r>
        <w:tab/>
        <w:t>Penalty: $1 000.</w:t>
      </w:r>
    </w:p>
    <w:p>
      <w:pPr>
        <w:pStyle w:val="Subsection"/>
        <w:spacing w:before="120"/>
        <w:rPr>
          <w:snapToGrid w:val="0"/>
        </w:rPr>
      </w:pPr>
      <w:r>
        <w:rPr>
          <w:snapToGrid w:val="0"/>
        </w:rPr>
        <w:tab/>
        <w:t>(3)</w:t>
      </w:r>
      <w:r>
        <w:rPr>
          <w:snapToGrid w:val="0"/>
        </w:rPr>
        <w:tab/>
        <w:t>An authorised officer may direct a person in charge of a vessel in a restricted area to remove the vessel from the restricted area.</w:t>
      </w:r>
    </w:p>
    <w:p>
      <w:pPr>
        <w:pStyle w:val="Subsection"/>
        <w:spacing w:before="120"/>
        <w:rPr>
          <w:snapToGrid w:val="0"/>
        </w:rPr>
      </w:pPr>
      <w:r>
        <w:rPr>
          <w:snapToGrid w:val="0"/>
        </w:rPr>
        <w:tab/>
        <w:t>(4)</w:t>
      </w:r>
      <w:r>
        <w:rPr>
          <w:snapToGrid w:val="0"/>
        </w:rPr>
        <w:tab/>
        <w:t>A person must comply with a direction under subregulation (3).</w:t>
      </w:r>
    </w:p>
    <w:p>
      <w:pPr>
        <w:pStyle w:val="Penstart"/>
        <w:rPr>
          <w:snapToGrid w:val="0"/>
        </w:rPr>
      </w:pPr>
      <w:r>
        <w:rPr>
          <w:snapToGrid w:val="0"/>
        </w:rPr>
        <w:tab/>
        <w:t>Penalty: $1 000.</w:t>
      </w:r>
    </w:p>
    <w:p>
      <w:pPr>
        <w:pStyle w:val="Subsection"/>
        <w:rPr>
          <w:snapToGrid w:val="0"/>
        </w:rPr>
      </w:pPr>
      <w:r>
        <w:rPr>
          <w:snapToGrid w:val="0"/>
        </w:rPr>
        <w:tab/>
        <w:t>(5)</w:t>
      </w:r>
      <w:r>
        <w:rPr>
          <w:snapToGrid w:val="0"/>
        </w:rPr>
        <w:tab/>
        <w:t xml:space="preserve">If — </w:t>
      </w:r>
    </w:p>
    <w:p>
      <w:pPr>
        <w:pStyle w:val="Indenta"/>
        <w:rPr>
          <w:snapToGrid w:val="0"/>
        </w:rPr>
      </w:pPr>
      <w:r>
        <w:rPr>
          <w:snapToGrid w:val="0"/>
        </w:rPr>
        <w:tab/>
        <w:t>(a)</w:t>
      </w:r>
      <w:r>
        <w:rPr>
          <w:snapToGrid w:val="0"/>
        </w:rPr>
        <w:tab/>
        <w:t>the person in charge of a vessel does not comply with a direction under subregulation (3) within a period that the authorised officer considers reasonable; or</w:t>
      </w:r>
    </w:p>
    <w:p>
      <w:pPr>
        <w:pStyle w:val="Indenta"/>
      </w:pPr>
      <w:r>
        <w:rPr>
          <w:snapToGrid w:val="0"/>
        </w:rPr>
        <w:tab/>
        <w:t>(b)</w:t>
      </w:r>
      <w:r>
        <w:rPr>
          <w:snapToGrid w:val="0"/>
        </w:rPr>
        <w:tab/>
      </w:r>
      <w:r>
        <w:t>the authorised officer is unable to find a person who has, or appears to the authorised officer to have, possession or control of the vessel,</w:t>
      </w:r>
    </w:p>
    <w:p>
      <w:pPr>
        <w:pStyle w:val="Subsection"/>
        <w:rPr>
          <w:snapToGrid w:val="0"/>
        </w:rPr>
      </w:pPr>
      <w:r>
        <w:rPr>
          <w:snapToGrid w:val="0"/>
        </w:rPr>
        <w:tab/>
      </w:r>
      <w:r>
        <w:rPr>
          <w:snapToGrid w:val="0"/>
        </w:rPr>
        <w:tab/>
        <w:t>the authorised officer may move the vessel or cause the vessel to be moved.</w:t>
      </w:r>
    </w:p>
    <w:p>
      <w:pPr>
        <w:pStyle w:val="Subsection"/>
        <w:rPr>
          <w:snapToGrid w:val="0"/>
        </w:rPr>
      </w:pPr>
      <w:r>
        <w:rPr>
          <w:snapToGrid w:val="0"/>
        </w:rPr>
        <w:tab/>
        <w:t>(6)</w:t>
      </w:r>
      <w:r>
        <w:rPr>
          <w:snapToGrid w:val="0"/>
        </w:rPr>
        <w:tab/>
        <w:t>Nothing in subregulation (5) affects the liability of a person under subregulations (1) and (4).</w:t>
      </w:r>
    </w:p>
    <w:p>
      <w:pPr>
        <w:pStyle w:val="Subsection"/>
        <w:rPr>
          <w:snapToGrid w:val="0"/>
        </w:rPr>
      </w:pPr>
      <w:r>
        <w:rPr>
          <w:snapToGrid w:val="0"/>
        </w:rPr>
        <w:tab/>
        <w:t>(7)</w:t>
      </w:r>
      <w:r>
        <w:rPr>
          <w:snapToGrid w:val="0"/>
        </w:rPr>
        <w:tab/>
        <w:t>In this regulation — </w:t>
      </w:r>
    </w:p>
    <w:p>
      <w:pPr>
        <w:pStyle w:val="Defstart"/>
      </w:pPr>
      <w:r>
        <w:tab/>
      </w:r>
      <w:del w:id="901" w:author="Master Repository Process" w:date="2021-07-31T17:33:00Z">
        <w:r>
          <w:rPr>
            <w:b/>
          </w:rPr>
          <w:delText>“</w:delText>
        </w:r>
      </w:del>
      <w:r>
        <w:rPr>
          <w:rStyle w:val="CharDefText"/>
        </w:rPr>
        <w:t>beach</w:t>
      </w:r>
      <w:del w:id="902" w:author="Master Repository Process" w:date="2021-07-31T17:33:00Z">
        <w:r>
          <w:rPr>
            <w:b/>
          </w:rPr>
          <w:delText>”</w:delText>
        </w:r>
      </w:del>
      <w:r>
        <w:rPr>
          <w:b/>
        </w:rPr>
        <w:t xml:space="preserve"> </w:t>
      </w:r>
      <w:r>
        <w:t>includes any part of the foreshore that is above the low water mark whether it is covered by water or not.</w:t>
      </w:r>
    </w:p>
    <w:p>
      <w:pPr>
        <w:pStyle w:val="Footnotesection"/>
        <w:spacing w:before="80"/>
        <w:ind w:left="890" w:hanging="890"/>
      </w:pPr>
      <w:r>
        <w:tab/>
        <w:t>[Regulation 64 amended in Gazette 29 Sep 2006 p. 4316.]</w:t>
      </w:r>
    </w:p>
    <w:p>
      <w:pPr>
        <w:pStyle w:val="Heading3"/>
      </w:pPr>
      <w:bookmarkStart w:id="903" w:name="_Toc189456565"/>
      <w:bookmarkStart w:id="904" w:name="_Toc524422576"/>
      <w:bookmarkStart w:id="905" w:name="_Toc71354930"/>
      <w:bookmarkStart w:id="906" w:name="_Toc78623668"/>
      <w:bookmarkStart w:id="907" w:name="_Toc78685271"/>
      <w:bookmarkStart w:id="908" w:name="_Toc147312373"/>
      <w:bookmarkStart w:id="909" w:name="_Toc147631233"/>
      <w:bookmarkStart w:id="910" w:name="_Toc147633567"/>
      <w:bookmarkStart w:id="911" w:name="_Toc147907011"/>
      <w:bookmarkStart w:id="912" w:name="_Toc147907410"/>
      <w:bookmarkStart w:id="913" w:name="_Toc149009963"/>
      <w:bookmarkStart w:id="914" w:name="_Toc149010317"/>
      <w:bookmarkStart w:id="915" w:name="_Toc149010485"/>
      <w:bookmarkStart w:id="916" w:name="_Toc149016365"/>
      <w:bookmarkStart w:id="917" w:name="_Toc149039108"/>
      <w:bookmarkStart w:id="918" w:name="_Toc149039829"/>
      <w:bookmarkStart w:id="919" w:name="_Toc150315437"/>
      <w:bookmarkStart w:id="920" w:name="_Toc150315648"/>
      <w:bookmarkStart w:id="921" w:name="_Toc160272858"/>
      <w:bookmarkStart w:id="922" w:name="_Toc160332806"/>
      <w:bookmarkStart w:id="923" w:name="_Toc170207832"/>
      <w:r>
        <w:rPr>
          <w:rStyle w:val="CharDivNo"/>
        </w:rPr>
        <w:t>Division 4</w:t>
      </w:r>
      <w:r>
        <w:rPr>
          <w:snapToGrid w:val="0"/>
        </w:rPr>
        <w:t xml:space="preserve"> — </w:t>
      </w:r>
      <w:r>
        <w:rPr>
          <w:rStyle w:val="CharDivText"/>
        </w:rPr>
        <w:t>Aircraft</w:t>
      </w:r>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p>
    <w:p>
      <w:pPr>
        <w:pStyle w:val="Heading5"/>
        <w:rPr>
          <w:snapToGrid w:val="0"/>
        </w:rPr>
      </w:pPr>
      <w:bookmarkStart w:id="924" w:name="_Toc189456566"/>
      <w:bookmarkStart w:id="925" w:name="_Toc524422577"/>
      <w:bookmarkStart w:id="926" w:name="_Toc5508178"/>
      <w:bookmarkStart w:id="927" w:name="_Toc8119146"/>
      <w:bookmarkStart w:id="928" w:name="_Toc78685272"/>
      <w:bookmarkStart w:id="929" w:name="_Toc150315649"/>
      <w:bookmarkStart w:id="930" w:name="_Toc160332807"/>
      <w:bookmarkStart w:id="931" w:name="_Toc170207833"/>
      <w:r>
        <w:rPr>
          <w:rStyle w:val="CharSectno"/>
        </w:rPr>
        <w:t>65</w:t>
      </w:r>
      <w:r>
        <w:rPr>
          <w:snapToGrid w:val="0"/>
        </w:rPr>
        <w:t>.</w:t>
      </w:r>
      <w:r>
        <w:rPr>
          <w:snapToGrid w:val="0"/>
        </w:rPr>
        <w:tab/>
        <w:t>Launching or landing of aircraft</w:t>
      </w:r>
      <w:bookmarkEnd w:id="924"/>
      <w:bookmarkEnd w:id="925"/>
      <w:bookmarkEnd w:id="926"/>
      <w:bookmarkEnd w:id="927"/>
      <w:bookmarkEnd w:id="928"/>
      <w:bookmarkEnd w:id="929"/>
      <w:bookmarkEnd w:id="930"/>
      <w:bookmarkEnd w:id="931"/>
      <w:r>
        <w:rPr>
          <w:snapToGrid w:val="0"/>
        </w:rPr>
        <w:t xml:space="preserve"> </w:t>
      </w:r>
    </w:p>
    <w:p>
      <w:pPr>
        <w:pStyle w:val="Subsection"/>
        <w:rPr>
          <w:snapToGrid w:val="0"/>
        </w:rPr>
      </w:pPr>
      <w:r>
        <w:rPr>
          <w:snapToGrid w:val="0"/>
        </w:rPr>
        <w:tab/>
        <w:t>(1)</w:t>
      </w:r>
      <w:r>
        <w:rPr>
          <w:snapToGrid w:val="0"/>
        </w:rPr>
        <w:tab/>
      </w:r>
      <w:r>
        <w:t>A</w:t>
      </w:r>
      <w:r>
        <w:rPr>
          <w:snapToGrid w:val="0"/>
        </w:rPr>
        <w:t xml:space="preserve"> person must not, without lawful authority, launch, land or make a touch down in an aircraft, including an ultra</w:t>
      </w:r>
      <w:r>
        <w:rPr>
          <w:snapToGrid w:val="0"/>
        </w:rPr>
        <w:noBreakHyphen/>
        <w:t>light aircraft, or a helicopter on CALM 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Subregulation (1) does not apply to an aircraft or helicopter that is required to launch, land or touch down contrary to that subregulation to avoid or mitigate danger to human life or significant damage to property.</w:t>
      </w:r>
    </w:p>
    <w:p>
      <w:pPr>
        <w:pStyle w:val="Footnotesection"/>
      </w:pPr>
      <w:r>
        <w:tab/>
        <w:t>[Regulation 65 amended in Gazette 4 Oct 2002 p. 5065.]</w:t>
      </w:r>
    </w:p>
    <w:p>
      <w:pPr>
        <w:pStyle w:val="Heading2"/>
      </w:pPr>
      <w:bookmarkStart w:id="932" w:name="_Toc189456567"/>
      <w:bookmarkStart w:id="933" w:name="_Toc524422578"/>
      <w:bookmarkStart w:id="934" w:name="_Toc71354932"/>
      <w:bookmarkStart w:id="935" w:name="_Toc78623670"/>
      <w:bookmarkStart w:id="936" w:name="_Toc78685273"/>
      <w:bookmarkStart w:id="937" w:name="_Toc147312375"/>
      <w:bookmarkStart w:id="938" w:name="_Toc147631235"/>
      <w:bookmarkStart w:id="939" w:name="_Toc147633569"/>
      <w:bookmarkStart w:id="940" w:name="_Toc147907013"/>
      <w:bookmarkStart w:id="941" w:name="_Toc147907412"/>
      <w:bookmarkStart w:id="942" w:name="_Toc149009965"/>
      <w:bookmarkStart w:id="943" w:name="_Toc149010319"/>
      <w:bookmarkStart w:id="944" w:name="_Toc149010487"/>
      <w:bookmarkStart w:id="945" w:name="_Toc149016367"/>
      <w:bookmarkStart w:id="946" w:name="_Toc149039110"/>
      <w:bookmarkStart w:id="947" w:name="_Toc149039831"/>
      <w:bookmarkStart w:id="948" w:name="_Toc150315439"/>
      <w:bookmarkStart w:id="949" w:name="_Toc150315650"/>
      <w:bookmarkStart w:id="950" w:name="_Toc160272860"/>
      <w:bookmarkStart w:id="951" w:name="_Toc160332808"/>
      <w:bookmarkStart w:id="952" w:name="_Toc170207834"/>
      <w:r>
        <w:rPr>
          <w:rStyle w:val="CharPartNo"/>
        </w:rPr>
        <w:t>Part 4</w:t>
      </w:r>
      <w:r>
        <w:rPr>
          <w:rStyle w:val="CharDivNo"/>
        </w:rPr>
        <w:t xml:space="preserve"> </w:t>
      </w:r>
      <w:r>
        <w:t>—</w:t>
      </w:r>
      <w:r>
        <w:rPr>
          <w:rStyle w:val="CharDivText"/>
        </w:rPr>
        <w:t xml:space="preserve"> </w:t>
      </w:r>
      <w:r>
        <w:rPr>
          <w:rStyle w:val="CharPartText"/>
        </w:rPr>
        <w:t>Camping</w:t>
      </w:r>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r>
        <w:rPr>
          <w:rStyle w:val="CharPartText"/>
        </w:rPr>
        <w:t xml:space="preserve"> </w:t>
      </w:r>
    </w:p>
    <w:p>
      <w:pPr>
        <w:pStyle w:val="Heading5"/>
        <w:spacing w:before="240"/>
        <w:rPr>
          <w:snapToGrid w:val="0"/>
        </w:rPr>
      </w:pPr>
      <w:bookmarkStart w:id="953" w:name="_Hlt499613758"/>
      <w:bookmarkStart w:id="954" w:name="_Toc189456568"/>
      <w:bookmarkStart w:id="955" w:name="_Toc524422579"/>
      <w:bookmarkStart w:id="956" w:name="_Toc5508179"/>
      <w:bookmarkStart w:id="957" w:name="_Toc8119147"/>
      <w:bookmarkStart w:id="958" w:name="_Toc78685274"/>
      <w:bookmarkStart w:id="959" w:name="_Toc150315651"/>
      <w:bookmarkStart w:id="960" w:name="_Toc160332809"/>
      <w:bookmarkStart w:id="961" w:name="_Toc170207835"/>
      <w:bookmarkEnd w:id="953"/>
      <w:r>
        <w:rPr>
          <w:rStyle w:val="CharSectno"/>
        </w:rPr>
        <w:t>66</w:t>
      </w:r>
      <w:r>
        <w:rPr>
          <w:snapToGrid w:val="0"/>
        </w:rPr>
        <w:t>.</w:t>
      </w:r>
      <w:r>
        <w:rPr>
          <w:snapToGrid w:val="0"/>
        </w:rPr>
        <w:tab/>
        <w:t>Camping controlled</w:t>
      </w:r>
      <w:bookmarkEnd w:id="954"/>
      <w:bookmarkEnd w:id="955"/>
      <w:bookmarkEnd w:id="956"/>
      <w:bookmarkEnd w:id="957"/>
      <w:bookmarkEnd w:id="958"/>
      <w:bookmarkEnd w:id="959"/>
      <w:bookmarkEnd w:id="960"/>
      <w:bookmarkEnd w:id="961"/>
      <w:r>
        <w:rPr>
          <w:snapToGrid w:val="0"/>
        </w:rPr>
        <w:t xml:space="preserve"> </w:t>
      </w:r>
    </w:p>
    <w:p>
      <w:pPr>
        <w:pStyle w:val="Subsection"/>
        <w:spacing w:before="180"/>
        <w:rPr>
          <w:snapToGrid w:val="0"/>
        </w:rPr>
      </w:pPr>
      <w:r>
        <w:rPr>
          <w:snapToGrid w:val="0"/>
        </w:rPr>
        <w:tab/>
        <w:t>(1)</w:t>
      </w:r>
      <w:r>
        <w:rPr>
          <w:snapToGrid w:val="0"/>
        </w:rPr>
        <w:tab/>
        <w:t>A person must not, without lawful authority, camp on CALM land except in a camping area or on a vessel that is moored or anchored in accordance with these regulations.</w:t>
      </w:r>
    </w:p>
    <w:p>
      <w:pPr>
        <w:pStyle w:val="Penstart"/>
        <w:rPr>
          <w:snapToGrid w:val="0"/>
        </w:rPr>
      </w:pPr>
      <w:r>
        <w:rPr>
          <w:snapToGrid w:val="0"/>
        </w:rPr>
        <w:tab/>
        <w:t>Penalty: $500.</w:t>
      </w:r>
    </w:p>
    <w:p>
      <w:pPr>
        <w:pStyle w:val="Subsection"/>
        <w:spacing w:before="180"/>
        <w:rPr>
          <w:snapToGrid w:val="0"/>
        </w:rPr>
      </w:pPr>
      <w:r>
        <w:rPr>
          <w:snapToGrid w:val="0"/>
        </w:rPr>
        <w:tab/>
        <w:t>(2)</w:t>
      </w:r>
      <w:r>
        <w:rPr>
          <w:snapToGrid w:val="0"/>
        </w:rPr>
        <w:tab/>
        <w:t>A person camping in a camping area must comply with conditions specified on signs erected in or in the vicinity of that area for the purposes of regulation </w:t>
      </w:r>
      <w:bookmarkStart w:id="962" w:name="_Hlt499614101"/>
      <w:r>
        <w:rPr>
          <w:snapToGrid w:val="0"/>
        </w:rPr>
        <w:t>6(3)</w:t>
      </w:r>
      <w:bookmarkEnd w:id="962"/>
      <w:r>
        <w:rPr>
          <w:snapToGrid w:val="0"/>
        </w:rPr>
        <w:t xml:space="preserve"> or signs designating that area as a camping area.</w:t>
      </w:r>
    </w:p>
    <w:p>
      <w:pPr>
        <w:pStyle w:val="Penstart"/>
        <w:rPr>
          <w:snapToGrid w:val="0"/>
        </w:rPr>
      </w:pPr>
      <w:r>
        <w:rPr>
          <w:snapToGrid w:val="0"/>
        </w:rPr>
        <w:tab/>
        <w:t>Penalty: $500.</w:t>
      </w:r>
    </w:p>
    <w:p>
      <w:pPr>
        <w:pStyle w:val="Heading5"/>
        <w:spacing w:before="240"/>
        <w:rPr>
          <w:snapToGrid w:val="0"/>
        </w:rPr>
      </w:pPr>
      <w:bookmarkStart w:id="963" w:name="_Toc189456569"/>
      <w:bookmarkStart w:id="964" w:name="_Toc524422580"/>
      <w:bookmarkStart w:id="965" w:name="_Toc5508180"/>
      <w:bookmarkStart w:id="966" w:name="_Toc8119148"/>
      <w:bookmarkStart w:id="967" w:name="_Toc78685275"/>
      <w:bookmarkStart w:id="968" w:name="_Toc150315652"/>
      <w:bookmarkStart w:id="969" w:name="_Toc160332810"/>
      <w:bookmarkStart w:id="970" w:name="_Toc170207836"/>
      <w:r>
        <w:rPr>
          <w:rStyle w:val="CharSectno"/>
        </w:rPr>
        <w:t>67</w:t>
      </w:r>
      <w:r>
        <w:rPr>
          <w:snapToGrid w:val="0"/>
        </w:rPr>
        <w:t>.</w:t>
      </w:r>
      <w:r>
        <w:rPr>
          <w:snapToGrid w:val="0"/>
        </w:rPr>
        <w:tab/>
        <w:t>Direction to vacate camp</w:t>
      </w:r>
      <w:bookmarkEnd w:id="963"/>
      <w:bookmarkEnd w:id="964"/>
      <w:bookmarkEnd w:id="965"/>
      <w:bookmarkEnd w:id="966"/>
      <w:bookmarkEnd w:id="967"/>
      <w:bookmarkEnd w:id="968"/>
      <w:bookmarkEnd w:id="969"/>
      <w:bookmarkEnd w:id="970"/>
      <w:r>
        <w:rPr>
          <w:snapToGrid w:val="0"/>
        </w:rPr>
        <w:t xml:space="preserve"> </w:t>
      </w:r>
    </w:p>
    <w:p>
      <w:pPr>
        <w:pStyle w:val="Subsection"/>
        <w:spacing w:before="180"/>
        <w:rPr>
          <w:snapToGrid w:val="0"/>
        </w:rPr>
      </w:pPr>
      <w:r>
        <w:rPr>
          <w:snapToGrid w:val="0"/>
        </w:rPr>
        <w:tab/>
        <w:t>(1)</w:t>
      </w:r>
      <w:r>
        <w:rPr>
          <w:snapToGrid w:val="0"/>
        </w:rPr>
        <w:tab/>
        <w:t>An authorised officer may direct a person who — </w:t>
      </w:r>
    </w:p>
    <w:p>
      <w:pPr>
        <w:pStyle w:val="Indenta"/>
        <w:rPr>
          <w:snapToGrid w:val="0"/>
        </w:rPr>
      </w:pPr>
      <w:r>
        <w:rPr>
          <w:snapToGrid w:val="0"/>
        </w:rPr>
        <w:tab/>
        <w:t>(a)</w:t>
      </w:r>
      <w:r>
        <w:rPr>
          <w:snapToGrid w:val="0"/>
        </w:rPr>
        <w:tab/>
        <w:t>without lawful authority is camped on a site that is not in a camping area; or</w:t>
      </w:r>
    </w:p>
    <w:p>
      <w:pPr>
        <w:pStyle w:val="Indenta"/>
      </w:pPr>
      <w:r>
        <w:rPr>
          <w:snapToGrid w:val="0"/>
        </w:rPr>
        <w:tab/>
        <w:t>(b)</w:t>
      </w:r>
      <w:r>
        <w:rPr>
          <w:snapToGrid w:val="0"/>
        </w:rPr>
        <w:tab/>
        <w:t>has occupied a site in a camping area for more than 28 consecutive days</w:t>
      </w:r>
      <w:r>
        <w:t>; or</w:t>
      </w:r>
    </w:p>
    <w:p>
      <w:pPr>
        <w:pStyle w:val="Indenta"/>
      </w:pPr>
      <w:r>
        <w:tab/>
        <w:t>(c)</w:t>
      </w:r>
      <w:r>
        <w:tab/>
        <w:t>is occupying a site in a camping area during the school holidays and has occupied that site for more than 14 consecutive days (whether or not all of those days occur during the school holidays); or</w:t>
      </w:r>
    </w:p>
    <w:p>
      <w:pPr>
        <w:pStyle w:val="Indenta"/>
      </w:pPr>
      <w:r>
        <w:tab/>
        <w:t>(d)</w:t>
      </w:r>
      <w:r>
        <w:tab/>
        <w:t>is occupying a site in a camping area and, in the opinion of the authorised officer, has contravened a provision of the Act or these regulations; or</w:t>
      </w:r>
    </w:p>
    <w:p>
      <w:pPr>
        <w:pStyle w:val="Indenta"/>
        <w:rPr>
          <w:snapToGrid w:val="0"/>
        </w:rPr>
      </w:pPr>
      <w:r>
        <w:tab/>
        <w:t>(e)</w:t>
      </w:r>
      <w:r>
        <w:tab/>
        <w:t>is occupying a site in a camping area and, in the opinion of the authorised officer, is causing or has caused damage to the camping area,</w:t>
      </w:r>
    </w:p>
    <w:p>
      <w:pPr>
        <w:pStyle w:val="Subsection"/>
        <w:spacing w:before="180"/>
        <w:rPr>
          <w:snapToGrid w:val="0"/>
        </w:rPr>
      </w:pPr>
      <w:r>
        <w:rPr>
          <w:snapToGrid w:val="0"/>
        </w:rPr>
        <w:tab/>
      </w:r>
      <w:r>
        <w:rPr>
          <w:snapToGrid w:val="0"/>
        </w:rPr>
        <w:tab/>
        <w:t>to vacate that site.</w:t>
      </w:r>
    </w:p>
    <w:p>
      <w:pPr>
        <w:pStyle w:val="Subsection"/>
        <w:keepNext/>
        <w:keepLines/>
        <w:spacing w:before="180"/>
        <w:rPr>
          <w:snapToGrid w:val="0"/>
        </w:rPr>
      </w:pPr>
      <w:r>
        <w:rPr>
          <w:snapToGrid w:val="0"/>
        </w:rPr>
        <w:tab/>
        <w:t>(2)</w:t>
      </w:r>
      <w:r>
        <w:rPr>
          <w:snapToGrid w:val="0"/>
        </w:rPr>
        <w:tab/>
        <w:t>A person must comply with a direction under subregulation (1).</w:t>
      </w:r>
    </w:p>
    <w:p>
      <w:pPr>
        <w:pStyle w:val="Penstart"/>
        <w:rPr>
          <w:snapToGrid w:val="0"/>
        </w:rPr>
      </w:pPr>
      <w:r>
        <w:rPr>
          <w:snapToGrid w:val="0"/>
        </w:rPr>
        <w:tab/>
        <w:t>Penalty: $1 000.</w:t>
      </w:r>
    </w:p>
    <w:p>
      <w:pPr>
        <w:pStyle w:val="Footnotesection"/>
        <w:keepLines w:val="0"/>
        <w:spacing w:before="80"/>
        <w:ind w:left="890" w:hanging="890"/>
      </w:pPr>
      <w:r>
        <w:tab/>
        <w:t>[Regulation 67 amended in Gazette 29 Sep 2006 p. 4316</w:t>
      </w:r>
      <w:r>
        <w:noBreakHyphen/>
        <w:t>17.]</w:t>
      </w:r>
    </w:p>
    <w:p>
      <w:pPr>
        <w:pStyle w:val="Heading5"/>
        <w:rPr>
          <w:snapToGrid w:val="0"/>
        </w:rPr>
      </w:pPr>
      <w:bookmarkStart w:id="971" w:name="_Toc189456570"/>
      <w:bookmarkStart w:id="972" w:name="_Toc524422581"/>
      <w:bookmarkStart w:id="973" w:name="_Toc5508181"/>
      <w:bookmarkStart w:id="974" w:name="_Toc8119149"/>
      <w:bookmarkStart w:id="975" w:name="_Toc78685276"/>
      <w:bookmarkStart w:id="976" w:name="_Toc150315653"/>
      <w:bookmarkStart w:id="977" w:name="_Toc160332811"/>
      <w:bookmarkStart w:id="978" w:name="_Toc170207837"/>
      <w:r>
        <w:rPr>
          <w:rStyle w:val="CharSectno"/>
        </w:rPr>
        <w:t>68</w:t>
      </w:r>
      <w:r>
        <w:rPr>
          <w:snapToGrid w:val="0"/>
        </w:rPr>
        <w:t>.</w:t>
      </w:r>
      <w:r>
        <w:rPr>
          <w:snapToGrid w:val="0"/>
        </w:rPr>
        <w:tab/>
        <w:t>Unauthorised persons not to enter camping unit</w:t>
      </w:r>
      <w:bookmarkEnd w:id="971"/>
      <w:bookmarkEnd w:id="972"/>
      <w:bookmarkEnd w:id="973"/>
      <w:bookmarkEnd w:id="974"/>
      <w:bookmarkEnd w:id="975"/>
      <w:bookmarkEnd w:id="976"/>
      <w:bookmarkEnd w:id="977"/>
      <w:bookmarkEnd w:id="978"/>
      <w:r>
        <w:rPr>
          <w:snapToGrid w:val="0"/>
        </w:rPr>
        <w:t xml:space="preserve"> </w:t>
      </w:r>
    </w:p>
    <w:p>
      <w:pPr>
        <w:pStyle w:val="Subsection"/>
        <w:rPr>
          <w:snapToGrid w:val="0"/>
        </w:rPr>
      </w:pPr>
      <w:r>
        <w:rPr>
          <w:snapToGrid w:val="0"/>
        </w:rPr>
        <w:tab/>
      </w:r>
      <w:r>
        <w:rPr>
          <w:snapToGrid w:val="0"/>
        </w:rPr>
        <w:tab/>
        <w:t>A person, other than a ranger</w:t>
      </w:r>
      <w:r>
        <w:t xml:space="preserve"> or wildlife officer</w:t>
      </w:r>
      <w:r>
        <w:rPr>
          <w:snapToGrid w:val="0"/>
        </w:rPr>
        <w:t>, must not enter or remain on a camping unit without the consent of the person occupying that camping unit.</w:t>
      </w:r>
    </w:p>
    <w:p>
      <w:pPr>
        <w:pStyle w:val="Penstart"/>
        <w:rPr>
          <w:snapToGrid w:val="0"/>
        </w:rPr>
      </w:pPr>
      <w:r>
        <w:rPr>
          <w:snapToGrid w:val="0"/>
        </w:rPr>
        <w:tab/>
        <w:t>Penalty: $500.</w:t>
      </w:r>
    </w:p>
    <w:p>
      <w:pPr>
        <w:pStyle w:val="Footnotesection"/>
      </w:pPr>
      <w:r>
        <w:tab/>
        <w:t>[Regulation 68 amended in Gazette 29 Sep 2006 p. 4317.]</w:t>
      </w:r>
    </w:p>
    <w:p>
      <w:pPr>
        <w:pStyle w:val="Heading5"/>
        <w:rPr>
          <w:snapToGrid w:val="0"/>
        </w:rPr>
      </w:pPr>
      <w:bookmarkStart w:id="979" w:name="_Toc189456571"/>
      <w:bookmarkStart w:id="980" w:name="_Toc524422582"/>
      <w:bookmarkStart w:id="981" w:name="_Toc5508182"/>
      <w:bookmarkStart w:id="982" w:name="_Toc8119150"/>
      <w:bookmarkStart w:id="983" w:name="_Toc78685277"/>
      <w:bookmarkStart w:id="984" w:name="_Toc150315654"/>
      <w:bookmarkStart w:id="985" w:name="_Toc160332812"/>
      <w:bookmarkStart w:id="986" w:name="_Toc170207838"/>
      <w:r>
        <w:rPr>
          <w:rStyle w:val="CharSectno"/>
        </w:rPr>
        <w:t>69</w:t>
      </w:r>
      <w:r>
        <w:rPr>
          <w:snapToGrid w:val="0"/>
        </w:rPr>
        <w:t>.</w:t>
      </w:r>
      <w:r>
        <w:rPr>
          <w:snapToGrid w:val="0"/>
        </w:rPr>
        <w:tab/>
        <w:t>Construction and positioning of camping units</w:t>
      </w:r>
      <w:bookmarkEnd w:id="979"/>
      <w:bookmarkEnd w:id="980"/>
      <w:bookmarkEnd w:id="981"/>
      <w:bookmarkEnd w:id="982"/>
      <w:bookmarkEnd w:id="983"/>
      <w:bookmarkEnd w:id="984"/>
      <w:bookmarkEnd w:id="985"/>
      <w:bookmarkEnd w:id="986"/>
      <w:r>
        <w:rPr>
          <w:snapToGrid w:val="0"/>
        </w:rPr>
        <w:t xml:space="preserve"> </w:t>
      </w:r>
    </w:p>
    <w:p>
      <w:pPr>
        <w:pStyle w:val="Subsection"/>
        <w:rPr>
          <w:snapToGrid w:val="0"/>
        </w:rPr>
      </w:pPr>
      <w:r>
        <w:rPr>
          <w:snapToGrid w:val="0"/>
        </w:rPr>
        <w:tab/>
        <w:t>(1)</w:t>
      </w:r>
      <w:r>
        <w:rPr>
          <w:snapToGrid w:val="0"/>
        </w:rPr>
        <w:tab/>
        <w:t>A person must not construct a camping unit — </w:t>
      </w:r>
    </w:p>
    <w:p>
      <w:pPr>
        <w:pStyle w:val="Indenta"/>
        <w:rPr>
          <w:snapToGrid w:val="0"/>
        </w:rPr>
      </w:pPr>
      <w:r>
        <w:rPr>
          <w:snapToGrid w:val="0"/>
        </w:rPr>
        <w:tab/>
        <w:t>(a)</w:t>
      </w:r>
      <w:r>
        <w:rPr>
          <w:snapToGrid w:val="0"/>
        </w:rPr>
        <w:tab/>
        <w:t>in a manner likely to be offensive or dangerous to other persons; or</w:t>
      </w:r>
    </w:p>
    <w:p>
      <w:pPr>
        <w:pStyle w:val="Indenta"/>
        <w:rPr>
          <w:snapToGrid w:val="0"/>
        </w:rPr>
      </w:pPr>
      <w:r>
        <w:rPr>
          <w:snapToGrid w:val="0"/>
        </w:rPr>
        <w:tab/>
        <w:t>(b)</w:t>
      </w:r>
      <w:r>
        <w:rPr>
          <w:snapToGrid w:val="0"/>
        </w:rPr>
        <w:tab/>
        <w:t>of a permanent or semi</w:t>
      </w:r>
      <w:r>
        <w:rPr>
          <w:snapToGrid w:val="0"/>
        </w:rPr>
        <w:noBreakHyphen/>
        <w:t>permanent nature.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must not position a camping unit so as to — </w:t>
      </w:r>
    </w:p>
    <w:p>
      <w:pPr>
        <w:pStyle w:val="Indenta"/>
        <w:rPr>
          <w:snapToGrid w:val="0"/>
        </w:rPr>
      </w:pPr>
      <w:r>
        <w:rPr>
          <w:snapToGrid w:val="0"/>
        </w:rPr>
        <w:tab/>
        <w:t>(a)</w:t>
      </w:r>
      <w:r>
        <w:rPr>
          <w:snapToGrid w:val="0"/>
        </w:rPr>
        <w:tab/>
        <w:t>cause inconvenience, discomfort or danger to other vehicles or to users of CALM land; or</w:t>
      </w:r>
    </w:p>
    <w:p>
      <w:pPr>
        <w:pStyle w:val="Indenta"/>
        <w:rPr>
          <w:snapToGrid w:val="0"/>
        </w:rPr>
      </w:pPr>
      <w:r>
        <w:rPr>
          <w:snapToGrid w:val="0"/>
        </w:rPr>
        <w:tab/>
        <w:t>(b)</w:t>
      </w:r>
      <w:r>
        <w:rPr>
          <w:snapToGrid w:val="0"/>
        </w:rPr>
        <w:tab/>
        <w:t>damage flora or interfere with the movement of fauna.</w:t>
      </w:r>
    </w:p>
    <w:p>
      <w:pPr>
        <w:pStyle w:val="Penstart"/>
        <w:rPr>
          <w:snapToGrid w:val="0"/>
        </w:rPr>
      </w:pPr>
      <w:r>
        <w:rPr>
          <w:snapToGrid w:val="0"/>
        </w:rPr>
        <w:tab/>
        <w:t>Penalty: $500.</w:t>
      </w:r>
    </w:p>
    <w:p>
      <w:pPr>
        <w:pStyle w:val="Subsection"/>
        <w:rPr>
          <w:snapToGrid w:val="0"/>
        </w:rPr>
      </w:pPr>
      <w:r>
        <w:rPr>
          <w:snapToGrid w:val="0"/>
        </w:rPr>
        <w:tab/>
        <w:t>(3)</w:t>
      </w:r>
      <w:r>
        <w:rPr>
          <w:snapToGrid w:val="0"/>
        </w:rPr>
        <w:tab/>
        <w:t>A person must maintain the site on which that person camps in a clean and sanitary condition at all times.</w:t>
      </w:r>
    </w:p>
    <w:p>
      <w:pPr>
        <w:pStyle w:val="Penstart"/>
        <w:rPr>
          <w:snapToGrid w:val="0"/>
        </w:rPr>
      </w:pPr>
      <w:r>
        <w:rPr>
          <w:snapToGrid w:val="0"/>
        </w:rPr>
        <w:tab/>
        <w:t>Penalty: $500.</w:t>
      </w:r>
    </w:p>
    <w:p>
      <w:pPr>
        <w:pStyle w:val="Subsection"/>
        <w:rPr>
          <w:snapToGrid w:val="0"/>
        </w:rPr>
      </w:pPr>
      <w:r>
        <w:rPr>
          <w:snapToGrid w:val="0"/>
        </w:rPr>
        <w:tab/>
        <w:t>(4)</w:t>
      </w:r>
      <w:r>
        <w:rPr>
          <w:snapToGrid w:val="0"/>
        </w:rPr>
        <w:tab/>
        <w:t>An authorised officer may allot or define the site to be used by a person in a camping area and the person must confine the camp to that site.</w:t>
      </w:r>
    </w:p>
    <w:p>
      <w:pPr>
        <w:pStyle w:val="Penstart"/>
        <w:rPr>
          <w:snapToGrid w:val="0"/>
        </w:rPr>
      </w:pPr>
      <w:r>
        <w:rPr>
          <w:snapToGrid w:val="0"/>
        </w:rPr>
        <w:tab/>
        <w:t>Penalty: $500.</w:t>
      </w:r>
    </w:p>
    <w:p>
      <w:pPr>
        <w:pStyle w:val="Subsection"/>
        <w:rPr>
          <w:snapToGrid w:val="0"/>
        </w:rPr>
      </w:pPr>
      <w:r>
        <w:rPr>
          <w:snapToGrid w:val="0"/>
        </w:rPr>
        <w:tab/>
        <w:t>(5)</w:t>
      </w:r>
      <w:r>
        <w:rPr>
          <w:snapToGrid w:val="0"/>
        </w:rPr>
        <w:tab/>
        <w:t>An authorised officer may direct a person to vacate a site and move to another site in a camping area.</w:t>
      </w:r>
    </w:p>
    <w:p>
      <w:pPr>
        <w:pStyle w:val="Subsection"/>
        <w:rPr>
          <w:snapToGrid w:val="0"/>
        </w:rPr>
      </w:pPr>
      <w:r>
        <w:rPr>
          <w:snapToGrid w:val="0"/>
        </w:rPr>
        <w:tab/>
        <w:t>(6)</w:t>
      </w:r>
      <w:r>
        <w:rPr>
          <w:snapToGrid w:val="0"/>
        </w:rPr>
        <w:tab/>
        <w:t>A person must comply with a direction of an authorised officer under subregulation (5).</w:t>
      </w:r>
    </w:p>
    <w:p>
      <w:pPr>
        <w:pStyle w:val="Penstart"/>
        <w:rPr>
          <w:snapToGrid w:val="0"/>
        </w:rPr>
      </w:pPr>
      <w:r>
        <w:rPr>
          <w:snapToGrid w:val="0"/>
        </w:rPr>
        <w:tab/>
        <w:t>Penalty: $1 000.</w:t>
      </w:r>
    </w:p>
    <w:p>
      <w:pPr>
        <w:pStyle w:val="Footnotesection"/>
      </w:pPr>
      <w:r>
        <w:tab/>
        <w:t>[Regulation 69 amended in Gazette 29 Sep 2006 p. 4317.]</w:t>
      </w:r>
    </w:p>
    <w:p>
      <w:pPr>
        <w:pStyle w:val="Heading5"/>
        <w:rPr>
          <w:snapToGrid w:val="0"/>
        </w:rPr>
      </w:pPr>
      <w:bookmarkStart w:id="987" w:name="_Toc189456572"/>
      <w:bookmarkStart w:id="988" w:name="_Toc524422583"/>
      <w:bookmarkStart w:id="989" w:name="_Toc5508183"/>
      <w:bookmarkStart w:id="990" w:name="_Toc8119151"/>
      <w:bookmarkStart w:id="991" w:name="_Toc78685278"/>
      <w:bookmarkStart w:id="992" w:name="_Toc150315655"/>
      <w:bookmarkStart w:id="993" w:name="_Toc160332813"/>
      <w:bookmarkStart w:id="994" w:name="_Toc170207839"/>
      <w:r>
        <w:rPr>
          <w:rStyle w:val="CharSectno"/>
        </w:rPr>
        <w:t>70</w:t>
      </w:r>
      <w:r>
        <w:rPr>
          <w:snapToGrid w:val="0"/>
        </w:rPr>
        <w:t>.</w:t>
      </w:r>
      <w:r>
        <w:rPr>
          <w:snapToGrid w:val="0"/>
        </w:rPr>
        <w:tab/>
        <w:t>Power generating devices</w:t>
      </w:r>
      <w:bookmarkEnd w:id="987"/>
      <w:bookmarkEnd w:id="988"/>
      <w:bookmarkEnd w:id="989"/>
      <w:bookmarkEnd w:id="990"/>
      <w:bookmarkEnd w:id="991"/>
      <w:bookmarkEnd w:id="992"/>
      <w:bookmarkEnd w:id="993"/>
      <w:bookmarkEnd w:id="994"/>
      <w:r>
        <w:rPr>
          <w:snapToGrid w:val="0"/>
        </w:rPr>
        <w:t xml:space="preserve"> </w:t>
      </w:r>
    </w:p>
    <w:p>
      <w:pPr>
        <w:pStyle w:val="Subsection"/>
        <w:rPr>
          <w:snapToGrid w:val="0"/>
        </w:rPr>
      </w:pPr>
      <w:r>
        <w:rPr>
          <w:snapToGrid w:val="0"/>
        </w:rPr>
        <w:tab/>
        <w:t>(1)</w:t>
      </w:r>
      <w:r>
        <w:rPr>
          <w:snapToGrid w:val="0"/>
        </w:rPr>
        <w:tab/>
        <w:t>An authorised officer may direct a person — </w:t>
      </w:r>
    </w:p>
    <w:p>
      <w:pPr>
        <w:pStyle w:val="Indenta"/>
        <w:rPr>
          <w:snapToGrid w:val="0"/>
        </w:rPr>
      </w:pPr>
      <w:r>
        <w:rPr>
          <w:snapToGrid w:val="0"/>
        </w:rPr>
        <w:tab/>
        <w:t>(a)</w:t>
      </w:r>
      <w:r>
        <w:rPr>
          <w:snapToGrid w:val="0"/>
        </w:rPr>
        <w:tab/>
        <w:t>not to use a power generating device other than in an area directed by the authorised officer;</w:t>
      </w:r>
    </w:p>
    <w:p>
      <w:pPr>
        <w:pStyle w:val="Indenta"/>
        <w:rPr>
          <w:snapToGrid w:val="0"/>
        </w:rPr>
      </w:pPr>
      <w:r>
        <w:rPr>
          <w:snapToGrid w:val="0"/>
        </w:rPr>
        <w:tab/>
        <w:t>(b)</w:t>
      </w:r>
      <w:r>
        <w:rPr>
          <w:snapToGrid w:val="0"/>
        </w:rPr>
        <w:tab/>
        <w:t>to stop using a power generating device in a camping area; or</w:t>
      </w:r>
    </w:p>
    <w:p>
      <w:pPr>
        <w:pStyle w:val="Indenta"/>
        <w:rPr>
          <w:snapToGrid w:val="0"/>
        </w:rPr>
      </w:pPr>
      <w:r>
        <w:rPr>
          <w:snapToGrid w:val="0"/>
        </w:rPr>
        <w:tab/>
        <w:t>(c)</w:t>
      </w:r>
      <w:r>
        <w:rPr>
          <w:snapToGrid w:val="0"/>
        </w:rPr>
        <w:tab/>
        <w:t>to use a power generating device in accordance with the directions of the authorised officer.</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Penalty: $1 000.</w:t>
      </w:r>
    </w:p>
    <w:p>
      <w:pPr>
        <w:pStyle w:val="Heading5"/>
        <w:rPr>
          <w:snapToGrid w:val="0"/>
        </w:rPr>
      </w:pPr>
      <w:bookmarkStart w:id="995" w:name="_Toc189456573"/>
      <w:bookmarkStart w:id="996" w:name="_Toc524422584"/>
      <w:bookmarkStart w:id="997" w:name="_Toc5508184"/>
      <w:bookmarkStart w:id="998" w:name="_Toc8119152"/>
      <w:bookmarkStart w:id="999" w:name="_Toc78685279"/>
      <w:bookmarkStart w:id="1000" w:name="_Toc150315656"/>
      <w:bookmarkStart w:id="1001" w:name="_Toc160332814"/>
      <w:bookmarkStart w:id="1002" w:name="_Toc170207840"/>
      <w:r>
        <w:rPr>
          <w:rStyle w:val="CharSectno"/>
        </w:rPr>
        <w:t>71</w:t>
      </w:r>
      <w:r>
        <w:rPr>
          <w:snapToGrid w:val="0"/>
        </w:rPr>
        <w:t>.</w:t>
      </w:r>
      <w:r>
        <w:rPr>
          <w:snapToGrid w:val="0"/>
        </w:rPr>
        <w:tab/>
        <w:t>Firewood</w:t>
      </w:r>
      <w:bookmarkEnd w:id="995"/>
      <w:bookmarkEnd w:id="996"/>
      <w:bookmarkEnd w:id="997"/>
      <w:bookmarkEnd w:id="998"/>
      <w:bookmarkEnd w:id="999"/>
      <w:bookmarkEnd w:id="1000"/>
      <w:bookmarkEnd w:id="1001"/>
      <w:bookmarkEnd w:id="1002"/>
      <w:r>
        <w:rPr>
          <w:snapToGrid w:val="0"/>
        </w:rPr>
        <w:t xml:space="preserve"> </w:t>
      </w:r>
    </w:p>
    <w:p>
      <w:pPr>
        <w:pStyle w:val="Subsection"/>
        <w:rPr>
          <w:snapToGrid w:val="0"/>
        </w:rPr>
      </w:pPr>
      <w:r>
        <w:rPr>
          <w:snapToGrid w:val="0"/>
        </w:rPr>
        <w:tab/>
        <w:t>(1)</w:t>
      </w:r>
      <w:r>
        <w:rPr>
          <w:snapToGrid w:val="0"/>
        </w:rPr>
        <w:tab/>
        <w:t>A person may collect firewood from the immediate vicinity of a camping area if — </w:t>
      </w:r>
    </w:p>
    <w:p>
      <w:pPr>
        <w:pStyle w:val="Indenta"/>
        <w:rPr>
          <w:snapToGrid w:val="0"/>
        </w:rPr>
      </w:pPr>
      <w:r>
        <w:rPr>
          <w:snapToGrid w:val="0"/>
        </w:rPr>
        <w:tab/>
        <w:t>(a)</w:t>
      </w:r>
      <w:r>
        <w:rPr>
          <w:snapToGrid w:val="0"/>
        </w:rPr>
        <w:tab/>
        <w:t>there is a sign erected authorising the collection of firewood; and</w:t>
      </w:r>
    </w:p>
    <w:p>
      <w:pPr>
        <w:pStyle w:val="Indenta"/>
        <w:rPr>
          <w:snapToGrid w:val="0"/>
        </w:rPr>
      </w:pPr>
      <w:r>
        <w:rPr>
          <w:snapToGrid w:val="0"/>
        </w:rPr>
        <w:tab/>
        <w:t>(b)</w:t>
      </w:r>
      <w:r>
        <w:rPr>
          <w:snapToGrid w:val="0"/>
        </w:rPr>
        <w:tab/>
        <w:t>the firewood is intended for use on a campfire or barbecue in the area.</w:t>
      </w:r>
    </w:p>
    <w:p>
      <w:pPr>
        <w:pStyle w:val="Subsection"/>
        <w:rPr>
          <w:snapToGrid w:val="0"/>
        </w:rPr>
      </w:pPr>
      <w:r>
        <w:rPr>
          <w:snapToGrid w:val="0"/>
        </w:rPr>
        <w:tab/>
        <w:t>(2)</w:t>
      </w:r>
      <w:r>
        <w:rPr>
          <w:snapToGrid w:val="0"/>
        </w:rPr>
        <w:tab/>
        <w:t>Nothing in subregulation (1) is to be taken as authorising any person to fell, cut, injure or destroy any tree, shrub or bush.</w:t>
      </w:r>
    </w:p>
    <w:p>
      <w:pPr>
        <w:pStyle w:val="Subsection"/>
      </w:pPr>
      <w:r>
        <w:tab/>
        <w:t>(2a)</w:t>
      </w:r>
      <w:r>
        <w:tab/>
        <w:t xml:space="preserve">If — </w:t>
      </w:r>
    </w:p>
    <w:p>
      <w:pPr>
        <w:pStyle w:val="Indenta"/>
      </w:pPr>
      <w:r>
        <w:tab/>
        <w:t>(a)</w:t>
      </w:r>
      <w:r>
        <w:tab/>
        <w:t>a person collects firewood from the immediate vicinity of a camping area on CALM land; and</w:t>
      </w:r>
    </w:p>
    <w:p>
      <w:pPr>
        <w:pStyle w:val="Indenta"/>
      </w:pPr>
      <w:r>
        <w:tab/>
        <w:t>(b)</w:t>
      </w:r>
      <w:r>
        <w:tab/>
        <w:t>the firewood is intended for use on a campfire or barbecue in the area; and</w:t>
      </w:r>
    </w:p>
    <w:p>
      <w:pPr>
        <w:pStyle w:val="Indenta"/>
      </w:pPr>
      <w:r>
        <w:tab/>
        <w:t>(c)</w:t>
      </w:r>
      <w:r>
        <w:tab/>
        <w:t>there are no signs authorising the collection of firewood; and</w:t>
      </w:r>
    </w:p>
    <w:p>
      <w:pPr>
        <w:pStyle w:val="Indenta"/>
      </w:pPr>
      <w:r>
        <w:tab/>
        <w:t>(d)</w:t>
      </w:r>
      <w:r>
        <w:tab/>
        <w:t>the person is not otherwise authorised to collect the firewood,</w:t>
      </w:r>
    </w:p>
    <w:p>
      <w:pPr>
        <w:pStyle w:val="Subsection"/>
      </w:pPr>
      <w:r>
        <w:tab/>
      </w:r>
      <w:r>
        <w:tab/>
        <w:t>the person commits an offence.</w:t>
      </w:r>
    </w:p>
    <w:p>
      <w:pPr>
        <w:pStyle w:val="Penstart"/>
      </w:pPr>
      <w:r>
        <w:tab/>
        <w:t>Penalty: $200.</w:t>
      </w:r>
    </w:p>
    <w:p>
      <w:pPr>
        <w:pStyle w:val="Subsection"/>
        <w:rPr>
          <w:snapToGrid w:val="0"/>
        </w:rPr>
      </w:pPr>
      <w:r>
        <w:rPr>
          <w:snapToGrid w:val="0"/>
        </w:rPr>
        <w:tab/>
        <w:t>(3)</w:t>
      </w:r>
      <w:r>
        <w:rPr>
          <w:snapToGrid w:val="0"/>
        </w:rPr>
        <w:tab/>
        <w:t xml:space="preserve">Part 15 of the </w:t>
      </w:r>
      <w:r>
        <w:rPr>
          <w:i/>
          <w:snapToGrid w:val="0"/>
        </w:rPr>
        <w:t>Forest Management Regulations 1993</w:t>
      </w:r>
      <w:r>
        <w:rPr>
          <w:snapToGrid w:val="0"/>
        </w:rPr>
        <w:t xml:space="preserve"> applies to the collection of firewood in public firewood areas.</w:t>
      </w:r>
    </w:p>
    <w:p>
      <w:pPr>
        <w:pStyle w:val="Subsection"/>
        <w:rPr>
          <w:snapToGrid w:val="0"/>
        </w:rPr>
      </w:pPr>
      <w:r>
        <w:rPr>
          <w:snapToGrid w:val="0"/>
        </w:rPr>
        <w:tab/>
        <w:t>(4)</w:t>
      </w:r>
      <w:r>
        <w:rPr>
          <w:snapToGrid w:val="0"/>
        </w:rPr>
        <w:tab/>
        <w:t>In this regulation — </w:t>
      </w:r>
    </w:p>
    <w:p>
      <w:pPr>
        <w:pStyle w:val="Defstart"/>
      </w:pPr>
      <w:r>
        <w:tab/>
      </w:r>
      <w:del w:id="1003" w:author="Master Repository Process" w:date="2021-07-31T17:33:00Z">
        <w:r>
          <w:rPr>
            <w:b/>
          </w:rPr>
          <w:delText>“</w:delText>
        </w:r>
      </w:del>
      <w:r>
        <w:rPr>
          <w:rStyle w:val="CharDefText"/>
        </w:rPr>
        <w:t>firewood</w:t>
      </w:r>
      <w:del w:id="1004" w:author="Master Repository Process" w:date="2021-07-31T17:33:00Z">
        <w:r>
          <w:rPr>
            <w:b/>
          </w:rPr>
          <w:delText>”</w:delText>
        </w:r>
      </w:del>
      <w:r>
        <w:rPr>
          <w:b/>
        </w:rPr>
        <w:t xml:space="preserve"> </w:t>
      </w:r>
      <w:r>
        <w:t>means dead wood lying on the ground.</w:t>
      </w:r>
    </w:p>
    <w:p>
      <w:pPr>
        <w:pStyle w:val="Footnotesection"/>
      </w:pPr>
      <w:r>
        <w:tab/>
        <w:t>[Regulation 71 amended in Gazette 29 Sep 2006 p. 4317</w:t>
      </w:r>
      <w:r>
        <w:noBreakHyphen/>
        <w:t>18.]</w:t>
      </w:r>
    </w:p>
    <w:p>
      <w:pPr>
        <w:pStyle w:val="Heading2"/>
      </w:pPr>
      <w:bookmarkStart w:id="1005" w:name="_Toc189456574"/>
      <w:bookmarkStart w:id="1006" w:name="_Toc524422585"/>
      <w:bookmarkStart w:id="1007" w:name="_Toc71354939"/>
      <w:bookmarkStart w:id="1008" w:name="_Toc78623677"/>
      <w:bookmarkStart w:id="1009" w:name="_Toc78685280"/>
      <w:bookmarkStart w:id="1010" w:name="_Toc147312382"/>
      <w:bookmarkStart w:id="1011" w:name="_Toc147631242"/>
      <w:bookmarkStart w:id="1012" w:name="_Toc147633576"/>
      <w:bookmarkStart w:id="1013" w:name="_Toc147907020"/>
      <w:bookmarkStart w:id="1014" w:name="_Toc147907419"/>
      <w:bookmarkStart w:id="1015" w:name="_Toc149009972"/>
      <w:bookmarkStart w:id="1016" w:name="_Toc149010326"/>
      <w:bookmarkStart w:id="1017" w:name="_Toc149010494"/>
      <w:bookmarkStart w:id="1018" w:name="_Toc149016374"/>
      <w:bookmarkStart w:id="1019" w:name="_Toc149039117"/>
      <w:bookmarkStart w:id="1020" w:name="_Toc149039838"/>
      <w:bookmarkStart w:id="1021" w:name="_Toc150315446"/>
      <w:bookmarkStart w:id="1022" w:name="_Toc150315657"/>
      <w:bookmarkStart w:id="1023" w:name="_Toc160272867"/>
      <w:bookmarkStart w:id="1024" w:name="_Toc160332815"/>
      <w:bookmarkStart w:id="1025" w:name="_Toc170207841"/>
      <w:r>
        <w:rPr>
          <w:rStyle w:val="CharPartNo"/>
        </w:rPr>
        <w:t>Part 5</w:t>
      </w:r>
      <w:r>
        <w:rPr>
          <w:rStyle w:val="CharDivNo"/>
        </w:rPr>
        <w:t xml:space="preserve"> </w:t>
      </w:r>
      <w:r>
        <w:t>—</w:t>
      </w:r>
      <w:r>
        <w:rPr>
          <w:rStyle w:val="CharDivText"/>
        </w:rPr>
        <w:t xml:space="preserve"> </w:t>
      </w:r>
      <w:r>
        <w:rPr>
          <w:rStyle w:val="CharPartText"/>
        </w:rPr>
        <w:t>Offensive and dangerous behaviour</w:t>
      </w:r>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r>
        <w:rPr>
          <w:rStyle w:val="CharPartText"/>
        </w:rPr>
        <w:t xml:space="preserve"> </w:t>
      </w:r>
    </w:p>
    <w:p>
      <w:pPr>
        <w:pStyle w:val="Heading5"/>
        <w:spacing w:before="240"/>
        <w:rPr>
          <w:snapToGrid w:val="0"/>
        </w:rPr>
      </w:pPr>
      <w:bookmarkStart w:id="1026" w:name="_Toc189456575"/>
      <w:bookmarkStart w:id="1027" w:name="_Toc524422586"/>
      <w:bookmarkStart w:id="1028" w:name="_Toc5508185"/>
      <w:bookmarkStart w:id="1029" w:name="_Toc8119153"/>
      <w:bookmarkStart w:id="1030" w:name="_Toc78685281"/>
      <w:bookmarkStart w:id="1031" w:name="_Toc150315658"/>
      <w:bookmarkStart w:id="1032" w:name="_Toc160332816"/>
      <w:bookmarkStart w:id="1033" w:name="_Toc170207842"/>
      <w:r>
        <w:rPr>
          <w:rStyle w:val="CharSectno"/>
        </w:rPr>
        <w:t>72</w:t>
      </w:r>
      <w:r>
        <w:rPr>
          <w:snapToGrid w:val="0"/>
        </w:rPr>
        <w:t>.</w:t>
      </w:r>
      <w:r>
        <w:rPr>
          <w:snapToGrid w:val="0"/>
        </w:rPr>
        <w:tab/>
        <w:t>Authorised officer may direct person to stop activity</w:t>
      </w:r>
      <w:bookmarkEnd w:id="1026"/>
      <w:bookmarkEnd w:id="1027"/>
      <w:bookmarkEnd w:id="1028"/>
      <w:bookmarkEnd w:id="1029"/>
      <w:bookmarkEnd w:id="1030"/>
      <w:bookmarkEnd w:id="1031"/>
      <w:bookmarkEnd w:id="1032"/>
      <w:bookmarkEnd w:id="1033"/>
      <w:r>
        <w:rPr>
          <w:snapToGrid w:val="0"/>
        </w:rPr>
        <w:t xml:space="preserve"> </w:t>
      </w:r>
    </w:p>
    <w:p>
      <w:pPr>
        <w:pStyle w:val="Subsection"/>
        <w:rPr>
          <w:snapToGrid w:val="0"/>
        </w:rPr>
      </w:pPr>
      <w:r>
        <w:rPr>
          <w:snapToGrid w:val="0"/>
        </w:rPr>
        <w:tab/>
        <w:t>(1)</w:t>
      </w:r>
      <w:r>
        <w:rPr>
          <w:snapToGrid w:val="0"/>
        </w:rPr>
        <w:tab/>
        <w:t>An authorised officer may direct a person on CALM land to cease any behaviour which is — </w:t>
      </w:r>
    </w:p>
    <w:p>
      <w:pPr>
        <w:pStyle w:val="Indenta"/>
        <w:rPr>
          <w:snapToGrid w:val="0"/>
        </w:rPr>
      </w:pPr>
      <w:r>
        <w:rPr>
          <w:snapToGrid w:val="0"/>
        </w:rPr>
        <w:tab/>
        <w:t>(a)</w:t>
      </w:r>
      <w:r>
        <w:rPr>
          <w:snapToGrid w:val="0"/>
        </w:rPr>
        <w:tab/>
        <w:t>contrary to the lawful use of the land;</w:t>
      </w:r>
    </w:p>
    <w:p>
      <w:pPr>
        <w:pStyle w:val="Indenta"/>
        <w:rPr>
          <w:snapToGrid w:val="0"/>
        </w:rPr>
      </w:pPr>
      <w:r>
        <w:rPr>
          <w:snapToGrid w:val="0"/>
        </w:rPr>
        <w:tab/>
        <w:t>(b)</w:t>
      </w:r>
      <w:r>
        <w:rPr>
          <w:snapToGrid w:val="0"/>
        </w:rPr>
        <w:tab/>
        <w:t>causing a disturbance or annoyance to other persons or, in the opinion of the authorised officer, disorderly or offensive; or</w:t>
      </w:r>
    </w:p>
    <w:p>
      <w:pPr>
        <w:pStyle w:val="Indenta"/>
        <w:rPr>
          <w:snapToGrid w:val="0"/>
        </w:rPr>
      </w:pPr>
      <w:r>
        <w:rPr>
          <w:snapToGrid w:val="0"/>
        </w:rPr>
        <w:tab/>
        <w:t>(c)</w:t>
      </w:r>
      <w:r>
        <w:rPr>
          <w:snapToGrid w:val="0"/>
        </w:rPr>
        <w:tab/>
        <w:t>in the opinion of the authorised officer, dangerous.</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Penalty: $500.</w:t>
      </w:r>
    </w:p>
    <w:p>
      <w:pPr>
        <w:pStyle w:val="Heading5"/>
        <w:spacing w:before="240"/>
        <w:rPr>
          <w:snapToGrid w:val="0"/>
        </w:rPr>
      </w:pPr>
      <w:bookmarkStart w:id="1034" w:name="_Toc189456576"/>
      <w:bookmarkStart w:id="1035" w:name="_Toc524422587"/>
      <w:bookmarkStart w:id="1036" w:name="_Toc5508186"/>
      <w:bookmarkStart w:id="1037" w:name="_Toc8119154"/>
      <w:bookmarkStart w:id="1038" w:name="_Toc78685282"/>
      <w:bookmarkStart w:id="1039" w:name="_Toc150315659"/>
      <w:bookmarkStart w:id="1040" w:name="_Toc160332817"/>
      <w:bookmarkStart w:id="1041" w:name="_Toc170207843"/>
      <w:r>
        <w:rPr>
          <w:rStyle w:val="CharSectno"/>
        </w:rPr>
        <w:t>73</w:t>
      </w:r>
      <w:r>
        <w:rPr>
          <w:snapToGrid w:val="0"/>
        </w:rPr>
        <w:t>.</w:t>
      </w:r>
      <w:r>
        <w:rPr>
          <w:snapToGrid w:val="0"/>
        </w:rPr>
        <w:tab/>
        <w:t>Conduct generally</w:t>
      </w:r>
      <w:bookmarkEnd w:id="1034"/>
      <w:bookmarkEnd w:id="1035"/>
      <w:bookmarkEnd w:id="1036"/>
      <w:bookmarkEnd w:id="1037"/>
      <w:bookmarkEnd w:id="1038"/>
      <w:bookmarkEnd w:id="1039"/>
      <w:bookmarkEnd w:id="1040"/>
      <w:bookmarkEnd w:id="1041"/>
      <w:r>
        <w:rPr>
          <w:snapToGrid w:val="0"/>
        </w:rPr>
        <w:t xml:space="preserve"> </w:t>
      </w:r>
    </w:p>
    <w:p>
      <w:pPr>
        <w:pStyle w:val="Subsection"/>
        <w:rPr>
          <w:snapToGrid w:val="0"/>
        </w:rPr>
      </w:pPr>
      <w:r>
        <w:rPr>
          <w:snapToGrid w:val="0"/>
        </w:rPr>
        <w:tab/>
        <w:t>(1)</w:t>
      </w:r>
      <w:r>
        <w:rPr>
          <w:snapToGrid w:val="0"/>
        </w:rPr>
        <w:tab/>
        <w:t>A person must not, on CALM land — </w:t>
      </w:r>
    </w:p>
    <w:p>
      <w:pPr>
        <w:pStyle w:val="Indenta"/>
        <w:rPr>
          <w:snapToGrid w:val="0"/>
        </w:rPr>
      </w:pPr>
      <w:r>
        <w:rPr>
          <w:snapToGrid w:val="0"/>
        </w:rPr>
        <w:tab/>
        <w:t>(a)</w:t>
      </w:r>
      <w:r>
        <w:rPr>
          <w:snapToGrid w:val="0"/>
        </w:rPr>
        <w:tab/>
        <w:t>create or commit any nuisance;</w:t>
      </w:r>
    </w:p>
    <w:p>
      <w:pPr>
        <w:pStyle w:val="Indenta"/>
        <w:rPr>
          <w:snapToGrid w:val="0"/>
        </w:rPr>
      </w:pPr>
      <w:r>
        <w:rPr>
          <w:snapToGrid w:val="0"/>
        </w:rPr>
        <w:tab/>
        <w:t>(b)</w:t>
      </w:r>
      <w:r>
        <w:rPr>
          <w:snapToGrid w:val="0"/>
        </w:rPr>
        <w:tab/>
        <w:t>behave in a disorderly or offensive manner;</w:t>
      </w:r>
    </w:p>
    <w:p>
      <w:pPr>
        <w:pStyle w:val="Indenta"/>
        <w:rPr>
          <w:snapToGrid w:val="0"/>
        </w:rPr>
      </w:pPr>
      <w:r>
        <w:rPr>
          <w:snapToGrid w:val="0"/>
        </w:rPr>
        <w:tab/>
        <w:t>(c)</w:t>
      </w:r>
      <w:r>
        <w:rPr>
          <w:snapToGrid w:val="0"/>
        </w:rPr>
        <w:tab/>
        <w:t>use abusive, offensive or insulting language; or</w:t>
      </w:r>
    </w:p>
    <w:p>
      <w:pPr>
        <w:pStyle w:val="Indenta"/>
        <w:rPr>
          <w:snapToGrid w:val="0"/>
        </w:rPr>
      </w:pPr>
      <w:r>
        <w:rPr>
          <w:snapToGrid w:val="0"/>
        </w:rPr>
        <w:tab/>
        <w:t>(d)</w:t>
      </w:r>
      <w:r>
        <w:rPr>
          <w:snapToGrid w:val="0"/>
        </w:rPr>
        <w:tab/>
        <w:t>otherwise act in such a way as to cause or be likely to cause a nuisance or annoyance to other persons on the land.</w:t>
      </w:r>
    </w:p>
    <w:p>
      <w:pPr>
        <w:pStyle w:val="Penstart"/>
        <w:rPr>
          <w:snapToGrid w:val="0"/>
        </w:rPr>
      </w:pPr>
      <w:r>
        <w:rPr>
          <w:snapToGrid w:val="0"/>
        </w:rPr>
        <w:tab/>
        <w:t>Penalty: $500.</w:t>
      </w:r>
    </w:p>
    <w:p>
      <w:pPr>
        <w:pStyle w:val="Subsection"/>
        <w:spacing w:before="180"/>
        <w:rPr>
          <w:snapToGrid w:val="0"/>
        </w:rPr>
      </w:pPr>
      <w:r>
        <w:rPr>
          <w:snapToGrid w:val="0"/>
        </w:rPr>
        <w:tab/>
        <w:t>(2)</w:t>
      </w:r>
      <w:r>
        <w:rPr>
          <w:snapToGrid w:val="0"/>
        </w:rPr>
        <w:tab/>
        <w:t>A person must, on CALM land, comply with any direction on a sign on that land regarding behaviour on CALM land.</w:t>
      </w:r>
    </w:p>
    <w:p>
      <w:pPr>
        <w:pStyle w:val="Penstart"/>
        <w:rPr>
          <w:snapToGrid w:val="0"/>
        </w:rPr>
      </w:pPr>
      <w:r>
        <w:rPr>
          <w:snapToGrid w:val="0"/>
        </w:rPr>
        <w:tab/>
        <w:t>Penalty: $500.</w:t>
      </w:r>
    </w:p>
    <w:p>
      <w:pPr>
        <w:pStyle w:val="Heading5"/>
        <w:spacing w:before="240"/>
        <w:rPr>
          <w:snapToGrid w:val="0"/>
        </w:rPr>
      </w:pPr>
      <w:bookmarkStart w:id="1042" w:name="_Toc189456577"/>
      <w:bookmarkStart w:id="1043" w:name="_Toc524422588"/>
      <w:bookmarkStart w:id="1044" w:name="_Toc5508187"/>
      <w:bookmarkStart w:id="1045" w:name="_Toc8119155"/>
      <w:bookmarkStart w:id="1046" w:name="_Toc78685283"/>
      <w:bookmarkStart w:id="1047" w:name="_Toc150315660"/>
      <w:bookmarkStart w:id="1048" w:name="_Toc160332818"/>
      <w:bookmarkStart w:id="1049" w:name="_Toc170207844"/>
      <w:r>
        <w:rPr>
          <w:rStyle w:val="CharSectno"/>
        </w:rPr>
        <w:t>74</w:t>
      </w:r>
      <w:r>
        <w:rPr>
          <w:snapToGrid w:val="0"/>
        </w:rPr>
        <w:t>.</w:t>
      </w:r>
      <w:r>
        <w:rPr>
          <w:snapToGrid w:val="0"/>
        </w:rPr>
        <w:tab/>
        <w:t>Offensive noise</w:t>
      </w:r>
      <w:bookmarkEnd w:id="1042"/>
      <w:bookmarkEnd w:id="1043"/>
      <w:bookmarkEnd w:id="1044"/>
      <w:bookmarkEnd w:id="1045"/>
      <w:bookmarkEnd w:id="1046"/>
      <w:bookmarkEnd w:id="1047"/>
      <w:bookmarkEnd w:id="1048"/>
      <w:bookmarkEnd w:id="1049"/>
      <w:r>
        <w:rPr>
          <w:snapToGrid w:val="0"/>
        </w:rPr>
        <w:t xml:space="preserve"> </w:t>
      </w:r>
    </w:p>
    <w:p>
      <w:pPr>
        <w:pStyle w:val="Subsection"/>
        <w:spacing w:before="180"/>
        <w:rPr>
          <w:snapToGrid w:val="0"/>
        </w:rPr>
      </w:pPr>
      <w:r>
        <w:rPr>
          <w:snapToGrid w:val="0"/>
        </w:rPr>
        <w:tab/>
      </w:r>
      <w:r>
        <w:rPr>
          <w:snapToGrid w:val="0"/>
        </w:rPr>
        <w:tab/>
        <w:t>A person must not, while on CALM land, by the use of any electronic, mechanical or other instrument or thing or by natural means cause or produce a noise that unreasonably interferes with the convenience, comfort or amenity of any other person.</w:t>
      </w:r>
    </w:p>
    <w:p>
      <w:pPr>
        <w:pStyle w:val="Penstart"/>
        <w:rPr>
          <w:snapToGrid w:val="0"/>
        </w:rPr>
      </w:pPr>
      <w:r>
        <w:rPr>
          <w:snapToGrid w:val="0"/>
        </w:rPr>
        <w:tab/>
        <w:t>Penalty: $500.</w:t>
      </w:r>
    </w:p>
    <w:p>
      <w:pPr>
        <w:pStyle w:val="Heading5"/>
        <w:rPr>
          <w:snapToGrid w:val="0"/>
        </w:rPr>
      </w:pPr>
      <w:bookmarkStart w:id="1050" w:name="_Toc189456578"/>
      <w:bookmarkStart w:id="1051" w:name="_Toc524422589"/>
      <w:bookmarkStart w:id="1052" w:name="_Toc5508188"/>
      <w:bookmarkStart w:id="1053" w:name="_Toc8119156"/>
      <w:bookmarkStart w:id="1054" w:name="_Toc78685284"/>
      <w:bookmarkStart w:id="1055" w:name="_Toc150315661"/>
      <w:bookmarkStart w:id="1056" w:name="_Toc160332819"/>
      <w:bookmarkStart w:id="1057" w:name="_Toc170207845"/>
      <w:r>
        <w:rPr>
          <w:rStyle w:val="CharSectno"/>
        </w:rPr>
        <w:t>75</w:t>
      </w:r>
      <w:r>
        <w:rPr>
          <w:snapToGrid w:val="0"/>
        </w:rPr>
        <w:t>.</w:t>
      </w:r>
      <w:r>
        <w:rPr>
          <w:snapToGrid w:val="0"/>
        </w:rPr>
        <w:tab/>
        <w:t>Alcohol and drugs</w:t>
      </w:r>
      <w:bookmarkEnd w:id="1050"/>
      <w:bookmarkEnd w:id="1051"/>
      <w:bookmarkEnd w:id="1052"/>
      <w:bookmarkEnd w:id="1053"/>
      <w:bookmarkEnd w:id="1054"/>
      <w:bookmarkEnd w:id="1055"/>
      <w:bookmarkEnd w:id="1056"/>
      <w:bookmarkEnd w:id="1057"/>
      <w:r>
        <w:rPr>
          <w:snapToGrid w:val="0"/>
        </w:rPr>
        <w:t xml:space="preserve"> </w:t>
      </w:r>
    </w:p>
    <w:p>
      <w:pPr>
        <w:pStyle w:val="Subsection"/>
        <w:rPr>
          <w:snapToGrid w:val="0"/>
        </w:rPr>
      </w:pPr>
      <w:r>
        <w:rPr>
          <w:snapToGrid w:val="0"/>
        </w:rPr>
        <w:tab/>
        <w:t>(1)</w:t>
      </w:r>
      <w:r>
        <w:rPr>
          <w:snapToGrid w:val="0"/>
        </w:rPr>
        <w:tab/>
        <w:t>A person must not enter or remain on CALM land when seriously affected apparently by alcohol, drugs or other intoxicating substance, or any combination of those things.</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must not without lawful authority take alcohol or any other intoxicating substance into a cave or part of a cave which is on or under CALM land.</w:t>
      </w:r>
    </w:p>
    <w:p>
      <w:pPr>
        <w:pStyle w:val="Penstart"/>
        <w:rPr>
          <w:snapToGrid w:val="0"/>
        </w:rPr>
      </w:pPr>
      <w:r>
        <w:rPr>
          <w:snapToGrid w:val="0"/>
        </w:rPr>
        <w:tab/>
        <w:t>Penalty: $500.</w:t>
      </w:r>
    </w:p>
    <w:p>
      <w:pPr>
        <w:pStyle w:val="Subsection"/>
        <w:rPr>
          <w:snapToGrid w:val="0"/>
        </w:rPr>
      </w:pPr>
      <w:r>
        <w:rPr>
          <w:snapToGrid w:val="0"/>
        </w:rPr>
        <w:tab/>
        <w:t>(3)</w:t>
      </w:r>
      <w:r>
        <w:rPr>
          <w:snapToGrid w:val="0"/>
        </w:rPr>
        <w:tab/>
        <w:t>Where an authorised officer is of the opinion that the consumption of alcohol or other intoxicating substance may give rise to offensive or dangerous behaviour, the authorised officer may direct a person not to bring the alcohol or intoxicating substance on to CALM land.</w:t>
      </w:r>
    </w:p>
    <w:p>
      <w:pPr>
        <w:pStyle w:val="Subsection"/>
        <w:rPr>
          <w:snapToGrid w:val="0"/>
        </w:rPr>
      </w:pPr>
      <w:r>
        <w:rPr>
          <w:snapToGrid w:val="0"/>
        </w:rPr>
        <w:tab/>
        <w:t>(4)</w:t>
      </w:r>
      <w:r>
        <w:rPr>
          <w:snapToGrid w:val="0"/>
        </w:rPr>
        <w:tab/>
        <w:t>A person must comply with a direction of an authorised officer under subregulation (3).</w:t>
      </w:r>
    </w:p>
    <w:p>
      <w:pPr>
        <w:pStyle w:val="Penstart"/>
        <w:rPr>
          <w:snapToGrid w:val="0"/>
        </w:rPr>
      </w:pPr>
      <w:r>
        <w:rPr>
          <w:snapToGrid w:val="0"/>
        </w:rPr>
        <w:tab/>
        <w:t>Penalty: $500.</w:t>
      </w:r>
    </w:p>
    <w:p>
      <w:pPr>
        <w:pStyle w:val="Heading5"/>
        <w:rPr>
          <w:snapToGrid w:val="0"/>
        </w:rPr>
      </w:pPr>
      <w:bookmarkStart w:id="1058" w:name="_Toc189456579"/>
      <w:bookmarkStart w:id="1059" w:name="_Toc524422590"/>
      <w:bookmarkStart w:id="1060" w:name="_Toc5508189"/>
      <w:bookmarkStart w:id="1061" w:name="_Toc8119157"/>
      <w:bookmarkStart w:id="1062" w:name="_Toc78685285"/>
      <w:bookmarkStart w:id="1063" w:name="_Toc150315662"/>
      <w:bookmarkStart w:id="1064" w:name="_Toc160332820"/>
      <w:bookmarkStart w:id="1065" w:name="_Toc170207846"/>
      <w:r>
        <w:rPr>
          <w:rStyle w:val="CharSectno"/>
        </w:rPr>
        <w:t>76</w:t>
      </w:r>
      <w:r>
        <w:rPr>
          <w:snapToGrid w:val="0"/>
        </w:rPr>
        <w:t>.</w:t>
      </w:r>
      <w:r>
        <w:rPr>
          <w:snapToGrid w:val="0"/>
        </w:rPr>
        <w:tab/>
        <w:t>Removal of CALM property</w:t>
      </w:r>
      <w:bookmarkEnd w:id="1058"/>
      <w:bookmarkEnd w:id="1059"/>
      <w:bookmarkEnd w:id="1060"/>
      <w:bookmarkEnd w:id="1061"/>
      <w:bookmarkEnd w:id="1062"/>
      <w:bookmarkEnd w:id="1063"/>
      <w:bookmarkEnd w:id="1064"/>
      <w:bookmarkEnd w:id="1065"/>
    </w:p>
    <w:p>
      <w:pPr>
        <w:pStyle w:val="Subsection"/>
        <w:rPr>
          <w:snapToGrid w:val="0"/>
        </w:rPr>
      </w:pPr>
      <w:r>
        <w:rPr>
          <w:snapToGrid w:val="0"/>
        </w:rPr>
        <w:tab/>
        <w:t>(1)</w:t>
      </w:r>
      <w:r>
        <w:rPr>
          <w:snapToGrid w:val="0"/>
        </w:rPr>
        <w:tab/>
        <w:t>A person must not, without lawful authority, remove any or any part of, a building, fence, facility, sign, notice, device, machinery or other object on CALM land.</w:t>
      </w:r>
    </w:p>
    <w:p>
      <w:pPr>
        <w:pStyle w:val="Penstart"/>
        <w:rPr>
          <w:snapToGrid w:val="0"/>
        </w:rPr>
      </w:pPr>
      <w:r>
        <w:rPr>
          <w:snapToGrid w:val="0"/>
        </w:rPr>
        <w:tab/>
        <w:t>Penalty: $2 000.</w:t>
      </w:r>
    </w:p>
    <w:p>
      <w:pPr>
        <w:pStyle w:val="Subsection"/>
        <w:rPr>
          <w:snapToGrid w:val="0"/>
        </w:rPr>
      </w:pPr>
      <w:r>
        <w:rPr>
          <w:snapToGrid w:val="0"/>
        </w:rPr>
        <w:tab/>
        <w:t>(2)</w:t>
      </w:r>
      <w:r>
        <w:rPr>
          <w:snapToGrid w:val="0"/>
        </w:rPr>
        <w:tab/>
        <w:t>If an authorised officer finds a person on CALM land in possession of an object removed in contravention of subregulation (1), the authorised officer may direct the person to leave the object</w:t>
      </w:r>
      <w:r>
        <w:t xml:space="preserve"> at a place on the CALM land specified by the officer</w:t>
      </w:r>
      <w:r>
        <w:rPr>
          <w:snapToGrid w:val="0"/>
        </w:rPr>
        <w:t>.</w:t>
      </w:r>
    </w:p>
    <w:p>
      <w:pPr>
        <w:pStyle w:val="Subsection"/>
        <w:rPr>
          <w:snapToGrid w:val="0"/>
        </w:rPr>
      </w:pPr>
      <w:r>
        <w:rPr>
          <w:snapToGrid w:val="0"/>
        </w:rPr>
        <w:tab/>
        <w:t>(3)</w:t>
      </w:r>
      <w:r>
        <w:rPr>
          <w:snapToGrid w:val="0"/>
        </w:rPr>
        <w:tab/>
        <w:t>A person must comply with a direction of an authorised officer under subregulation (2).</w:t>
      </w:r>
    </w:p>
    <w:p>
      <w:pPr>
        <w:pStyle w:val="Penstart"/>
        <w:rPr>
          <w:snapToGrid w:val="0"/>
        </w:rPr>
      </w:pPr>
      <w:r>
        <w:rPr>
          <w:snapToGrid w:val="0"/>
        </w:rPr>
        <w:tab/>
        <w:t>Penalty: $1 000.</w:t>
      </w:r>
    </w:p>
    <w:p>
      <w:pPr>
        <w:pStyle w:val="Footnotesection"/>
      </w:pPr>
      <w:r>
        <w:tab/>
        <w:t>[Regulation 76 amended in Gazette 29 Sep 2006 p. 4318.]</w:t>
      </w:r>
    </w:p>
    <w:p>
      <w:pPr>
        <w:pStyle w:val="Heading2"/>
      </w:pPr>
      <w:bookmarkStart w:id="1066" w:name="_Toc189456580"/>
      <w:bookmarkStart w:id="1067" w:name="_Toc524422591"/>
      <w:bookmarkStart w:id="1068" w:name="_Toc71354945"/>
      <w:bookmarkStart w:id="1069" w:name="_Toc78623683"/>
      <w:bookmarkStart w:id="1070" w:name="_Toc78685286"/>
      <w:bookmarkStart w:id="1071" w:name="_Toc147312388"/>
      <w:bookmarkStart w:id="1072" w:name="_Toc147631248"/>
      <w:bookmarkStart w:id="1073" w:name="_Toc147633582"/>
      <w:bookmarkStart w:id="1074" w:name="_Toc147907026"/>
      <w:bookmarkStart w:id="1075" w:name="_Toc147907425"/>
      <w:bookmarkStart w:id="1076" w:name="_Toc149009978"/>
      <w:bookmarkStart w:id="1077" w:name="_Toc149010332"/>
      <w:bookmarkStart w:id="1078" w:name="_Toc149010500"/>
      <w:bookmarkStart w:id="1079" w:name="_Toc149016380"/>
      <w:bookmarkStart w:id="1080" w:name="_Toc149039123"/>
      <w:bookmarkStart w:id="1081" w:name="_Toc149039844"/>
      <w:bookmarkStart w:id="1082" w:name="_Toc150315452"/>
      <w:bookmarkStart w:id="1083" w:name="_Toc150315663"/>
      <w:bookmarkStart w:id="1084" w:name="_Toc160272873"/>
      <w:bookmarkStart w:id="1085" w:name="_Toc160332821"/>
      <w:bookmarkStart w:id="1086" w:name="_Toc170207847"/>
      <w:r>
        <w:rPr>
          <w:rStyle w:val="CharPartNo"/>
        </w:rPr>
        <w:t>Part 6</w:t>
      </w:r>
      <w:r>
        <w:rPr>
          <w:rStyle w:val="CharDivNo"/>
        </w:rPr>
        <w:t xml:space="preserve"> </w:t>
      </w:r>
      <w:r>
        <w:t>—</w:t>
      </w:r>
      <w:r>
        <w:rPr>
          <w:rStyle w:val="CharDivText"/>
        </w:rPr>
        <w:t xml:space="preserve"> </w:t>
      </w:r>
      <w:r>
        <w:rPr>
          <w:rStyle w:val="CharPartText"/>
        </w:rPr>
        <w:t>Removal and forfeiture of unauthorised property on CALM land</w:t>
      </w:r>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p>
    <w:p>
      <w:pPr>
        <w:pStyle w:val="Heading5"/>
      </w:pPr>
      <w:bookmarkStart w:id="1087" w:name="_Toc189456581"/>
      <w:bookmarkStart w:id="1088" w:name="_Toc524422592"/>
      <w:bookmarkStart w:id="1089" w:name="_Toc5508190"/>
      <w:bookmarkStart w:id="1090" w:name="_Toc8119158"/>
      <w:bookmarkStart w:id="1091" w:name="_Toc78685287"/>
      <w:bookmarkStart w:id="1092" w:name="_Toc150315664"/>
      <w:bookmarkStart w:id="1093" w:name="_Toc160332822"/>
      <w:bookmarkStart w:id="1094" w:name="_Toc170207848"/>
      <w:r>
        <w:rPr>
          <w:rStyle w:val="CharSectno"/>
        </w:rPr>
        <w:t>77</w:t>
      </w:r>
      <w:r>
        <w:t>.</w:t>
      </w:r>
      <w:r>
        <w:tab/>
        <w:t>Meaning of “property” in this Part</w:t>
      </w:r>
      <w:bookmarkEnd w:id="1087"/>
      <w:bookmarkEnd w:id="1088"/>
      <w:bookmarkEnd w:id="1089"/>
      <w:bookmarkEnd w:id="1090"/>
      <w:bookmarkEnd w:id="1091"/>
      <w:bookmarkEnd w:id="1092"/>
      <w:bookmarkEnd w:id="1093"/>
      <w:bookmarkEnd w:id="1094"/>
    </w:p>
    <w:p>
      <w:pPr>
        <w:pStyle w:val="Subsection"/>
      </w:pPr>
      <w:r>
        <w:tab/>
        <w:t>(1)</w:t>
      </w:r>
      <w:r>
        <w:tab/>
        <w:t xml:space="preserve">In this Part — </w:t>
      </w:r>
    </w:p>
    <w:p>
      <w:pPr>
        <w:pStyle w:val="Defstart"/>
      </w:pPr>
      <w:r>
        <w:tab/>
      </w:r>
      <w:del w:id="1095" w:author="Master Repository Process" w:date="2021-07-31T17:33:00Z">
        <w:r>
          <w:rPr>
            <w:b/>
          </w:rPr>
          <w:delText>“</w:delText>
        </w:r>
      </w:del>
      <w:r>
        <w:rPr>
          <w:rStyle w:val="CharDefText"/>
        </w:rPr>
        <w:t>property</w:t>
      </w:r>
      <w:del w:id="1096" w:author="Master Repository Process" w:date="2021-07-31T17:33:00Z">
        <w:r>
          <w:rPr>
            <w:b/>
          </w:rPr>
          <w:delText>”</w:delText>
        </w:r>
      </w:del>
      <w:r>
        <w:t xml:space="preserve"> — </w:t>
      </w:r>
    </w:p>
    <w:p>
      <w:pPr>
        <w:pStyle w:val="Defpara"/>
      </w:pPr>
      <w:r>
        <w:tab/>
        <w:t>(a)</w:t>
      </w:r>
      <w:r>
        <w:tab/>
        <w:t>includes a vehicle, caravan, platform (including a platform on water), tent or other thing related to camping, tarpaulin, tripod, log, post, picket, spike, pipe, rope, cable, chain, wire and any kind of lock or locking device;</w:t>
      </w:r>
    </w:p>
    <w:p>
      <w:pPr>
        <w:pStyle w:val="Defpara"/>
      </w:pPr>
      <w:r>
        <w:tab/>
        <w:t>(b)</w:t>
      </w:r>
      <w:r>
        <w:tab/>
        <w:t>does not include anything to which section 108A(1) of the Act applies.</w:t>
      </w:r>
    </w:p>
    <w:p>
      <w:pPr>
        <w:pStyle w:val="Subsection"/>
      </w:pPr>
      <w:r>
        <w:tab/>
        <w:t>(2)</w:t>
      </w:r>
      <w:r>
        <w:tab/>
        <w:t>Subject to subregulation (1)(b), a thing may be property for the purposes of this Part whether or not it is attached to CALM land.</w:t>
      </w:r>
    </w:p>
    <w:p>
      <w:pPr>
        <w:pStyle w:val="Heading5"/>
      </w:pPr>
      <w:bookmarkStart w:id="1097" w:name="_Hlt499614134"/>
      <w:bookmarkStart w:id="1098" w:name="_Toc189456582"/>
      <w:bookmarkStart w:id="1099" w:name="_Toc524422593"/>
      <w:bookmarkStart w:id="1100" w:name="_Toc5508191"/>
      <w:bookmarkStart w:id="1101" w:name="_Toc8119159"/>
      <w:bookmarkStart w:id="1102" w:name="_Toc78685288"/>
      <w:bookmarkStart w:id="1103" w:name="_Toc150315665"/>
      <w:bookmarkStart w:id="1104" w:name="_Toc160332823"/>
      <w:bookmarkStart w:id="1105" w:name="_Toc170207849"/>
      <w:bookmarkEnd w:id="1097"/>
      <w:r>
        <w:rPr>
          <w:rStyle w:val="CharSectno"/>
        </w:rPr>
        <w:t>78</w:t>
      </w:r>
      <w:r>
        <w:t>.</w:t>
      </w:r>
      <w:r>
        <w:tab/>
        <w:t>Authorised officers may seize and remove unauthorised property</w:t>
      </w:r>
      <w:bookmarkEnd w:id="1098"/>
      <w:bookmarkEnd w:id="1099"/>
      <w:bookmarkEnd w:id="1100"/>
      <w:bookmarkEnd w:id="1101"/>
      <w:bookmarkEnd w:id="1102"/>
      <w:bookmarkEnd w:id="1103"/>
      <w:bookmarkEnd w:id="1104"/>
      <w:bookmarkEnd w:id="1105"/>
    </w:p>
    <w:p>
      <w:pPr>
        <w:pStyle w:val="Subsection"/>
      </w:pPr>
      <w:r>
        <w:tab/>
        <w:t>(1)</w:t>
      </w:r>
      <w:r>
        <w:tab/>
        <w:t>An authorised officer who finds on CALM land any property that the officer reasonably believes is not authorised under a written law to be on the land may order or request a person who has, or appears to the officer to have, possession or control of the property to remove it from the land.</w:t>
      </w:r>
    </w:p>
    <w:p>
      <w:pPr>
        <w:pStyle w:val="Subsection"/>
      </w:pPr>
      <w:r>
        <w:tab/>
        <w:t>(1a)</w:t>
      </w:r>
      <w:r>
        <w:tab/>
        <w:t>A person must comply with an order given to the person under subregulation (1).</w:t>
      </w:r>
    </w:p>
    <w:p>
      <w:pPr>
        <w:pStyle w:val="Penstart"/>
      </w:pPr>
      <w:r>
        <w:tab/>
        <w:t>Penalty: $500.</w:t>
      </w:r>
    </w:p>
    <w:p>
      <w:pPr>
        <w:pStyle w:val="Subsection"/>
      </w:pPr>
      <w:r>
        <w:tab/>
        <w:t>(2)</w:t>
      </w:r>
      <w:r>
        <w:tab/>
        <w:t xml:space="preserve">If — </w:t>
      </w:r>
    </w:p>
    <w:p>
      <w:pPr>
        <w:pStyle w:val="Indenta"/>
      </w:pPr>
      <w:r>
        <w:tab/>
        <w:t>(a)</w:t>
      </w:r>
      <w:r>
        <w:tab/>
        <w:t>a person does not comply with an order or request under subregulation (1) within a period that the authorised officer considers reasonable; or</w:t>
      </w:r>
    </w:p>
    <w:p>
      <w:pPr>
        <w:pStyle w:val="Indenta"/>
      </w:pPr>
      <w:r>
        <w:tab/>
        <w:t>(b)</w:t>
      </w:r>
      <w:r>
        <w:tab/>
        <w:t>the officer is unable to find a person who has, or appears to the officer to have, possession or control of the property,</w:t>
      </w:r>
    </w:p>
    <w:p>
      <w:pPr>
        <w:pStyle w:val="Subsection"/>
      </w:pPr>
      <w:r>
        <w:tab/>
      </w:r>
      <w:r>
        <w:tab/>
        <w:t>the officer may seize the property and remove it from CALM land.</w:t>
      </w:r>
    </w:p>
    <w:p>
      <w:pPr>
        <w:pStyle w:val="Subsection"/>
      </w:pPr>
      <w:r>
        <w:tab/>
        <w:t>(3)</w:t>
      </w:r>
      <w:r>
        <w:tab/>
        <w:t>Property seized and removed under subregulation (2) shall be held at an office of the Department until it is collected under regulation 79 or destroyed, sold or otherwise disposed of under regulation </w:t>
      </w:r>
      <w:bookmarkStart w:id="1106" w:name="_Hlt499614126"/>
      <w:r>
        <w:t>80</w:t>
      </w:r>
      <w:bookmarkEnd w:id="1106"/>
      <w:r>
        <w:t>.</w:t>
      </w:r>
    </w:p>
    <w:p>
      <w:pPr>
        <w:pStyle w:val="Footnotesection"/>
      </w:pPr>
      <w:r>
        <w:tab/>
        <w:t>[Regulation 78 amended in Gazette 29 Sep 2006 p. 4318</w:t>
      </w:r>
      <w:r>
        <w:noBreakHyphen/>
        <w:t>19.]</w:t>
      </w:r>
    </w:p>
    <w:p>
      <w:pPr>
        <w:pStyle w:val="Heading5"/>
      </w:pPr>
      <w:bookmarkStart w:id="1107" w:name="_Hlt499614124"/>
      <w:bookmarkStart w:id="1108" w:name="_Toc189456583"/>
      <w:bookmarkStart w:id="1109" w:name="_Toc524422594"/>
      <w:bookmarkStart w:id="1110" w:name="_Toc5508192"/>
      <w:bookmarkStart w:id="1111" w:name="_Toc8119160"/>
      <w:bookmarkStart w:id="1112" w:name="_Toc78685289"/>
      <w:bookmarkStart w:id="1113" w:name="_Toc150315666"/>
      <w:bookmarkStart w:id="1114" w:name="_Toc160332824"/>
      <w:bookmarkStart w:id="1115" w:name="_Toc170207850"/>
      <w:bookmarkEnd w:id="1107"/>
      <w:r>
        <w:rPr>
          <w:rStyle w:val="CharSectno"/>
        </w:rPr>
        <w:t>79</w:t>
      </w:r>
      <w:r>
        <w:t>.</w:t>
      </w:r>
      <w:r>
        <w:tab/>
        <w:t>Seized property may be claimed</w:t>
      </w:r>
      <w:bookmarkEnd w:id="1108"/>
      <w:bookmarkEnd w:id="1109"/>
      <w:bookmarkEnd w:id="1110"/>
      <w:bookmarkEnd w:id="1111"/>
      <w:bookmarkEnd w:id="1112"/>
      <w:bookmarkEnd w:id="1113"/>
      <w:bookmarkEnd w:id="1114"/>
      <w:bookmarkEnd w:id="1115"/>
    </w:p>
    <w:p>
      <w:pPr>
        <w:pStyle w:val="Subsection"/>
      </w:pPr>
      <w:r>
        <w:tab/>
        <w:t>(1)</w:t>
      </w:r>
      <w:r>
        <w:tab/>
        <w:t>A person may claim property that is seized and removed under regulation 78 if the claim is made to an authorised officer within 6 months after the property is seized and removed.</w:t>
      </w:r>
    </w:p>
    <w:p>
      <w:pPr>
        <w:pStyle w:val="Subsection"/>
      </w:pPr>
      <w:r>
        <w:tab/>
        <w:t>(2)</w:t>
      </w:r>
      <w:r>
        <w:tab/>
        <w:t>If an authorised officer is satisfied that a person who claims property under subregulation (1) is the owner of the property or is entitled to possession of the property, the officer is to make the property available to be collected by the person at a time and a place notified in writing to the person.</w:t>
      </w:r>
    </w:p>
    <w:p>
      <w:pPr>
        <w:pStyle w:val="Subsection"/>
      </w:pPr>
      <w:r>
        <w:tab/>
        <w:t>(3)</w:t>
      </w:r>
      <w:r>
        <w:tab/>
        <w:t>The time referred to in subregulation (2) is to be within 21 days after the authorised officer is satisfied in relation to the matters referred to in that subregulation.</w:t>
      </w:r>
    </w:p>
    <w:p>
      <w:pPr>
        <w:pStyle w:val="Footnotesection"/>
      </w:pPr>
      <w:r>
        <w:tab/>
        <w:t>[Regulation 79 amended in Gazette 29 Sep 2006 p. 4319.]</w:t>
      </w:r>
    </w:p>
    <w:p>
      <w:pPr>
        <w:pStyle w:val="Heading5"/>
      </w:pPr>
      <w:bookmarkStart w:id="1116" w:name="_Hlt499614127"/>
      <w:bookmarkStart w:id="1117" w:name="_Toc189456584"/>
      <w:bookmarkStart w:id="1118" w:name="_Toc524422595"/>
      <w:bookmarkStart w:id="1119" w:name="_Toc5508193"/>
      <w:bookmarkStart w:id="1120" w:name="_Toc8119161"/>
      <w:bookmarkStart w:id="1121" w:name="_Toc78685290"/>
      <w:bookmarkStart w:id="1122" w:name="_Toc150315667"/>
      <w:bookmarkStart w:id="1123" w:name="_Toc160332825"/>
      <w:bookmarkStart w:id="1124" w:name="_Toc170207851"/>
      <w:bookmarkEnd w:id="1116"/>
      <w:r>
        <w:rPr>
          <w:rStyle w:val="CharSectno"/>
        </w:rPr>
        <w:t>80</w:t>
      </w:r>
      <w:r>
        <w:t>.</w:t>
      </w:r>
      <w:r>
        <w:tab/>
        <w:t>Unclaimed property may be forfeited</w:t>
      </w:r>
      <w:bookmarkEnd w:id="1117"/>
      <w:bookmarkEnd w:id="1118"/>
      <w:bookmarkEnd w:id="1119"/>
      <w:bookmarkEnd w:id="1120"/>
      <w:bookmarkEnd w:id="1121"/>
      <w:bookmarkEnd w:id="1122"/>
      <w:bookmarkEnd w:id="1123"/>
      <w:bookmarkEnd w:id="1124"/>
    </w:p>
    <w:p>
      <w:pPr>
        <w:pStyle w:val="Subsection"/>
      </w:pPr>
      <w:r>
        <w:tab/>
        <w:t>(1)</w:t>
      </w:r>
      <w:r>
        <w:tab/>
        <w:t>If property is not claimed by a person who an authorised officer is satisfied is the owner of the property or is entitled to possession of the property within 6 months after the property is seized and removed under regulation 78, the property is, on the expiry of that period, forfeited to the Crown and may be destroyed, sold or otherwise disposed of as directed by the CEO.</w:t>
      </w:r>
    </w:p>
    <w:p>
      <w:pPr>
        <w:pStyle w:val="Subsection"/>
      </w:pPr>
      <w:r>
        <w:tab/>
        <w:t>(2)</w:t>
      </w:r>
      <w:r>
        <w:tab/>
        <w:t>The proceeds of a sale under subregulation (1) are to be dealt with under section 63 of the Act.</w:t>
      </w:r>
    </w:p>
    <w:p>
      <w:pPr>
        <w:pStyle w:val="Footnotesection"/>
      </w:pPr>
      <w:r>
        <w:tab/>
        <w:t>[Regulation 80 amended in Gazette 29 Sep 2006 p. 4319 and 4334.]</w:t>
      </w:r>
    </w:p>
    <w:p>
      <w:pPr>
        <w:pStyle w:val="Heading2"/>
      </w:pPr>
      <w:bookmarkStart w:id="1125" w:name="_Toc189456585"/>
      <w:bookmarkStart w:id="1126" w:name="_Toc524422596"/>
      <w:bookmarkStart w:id="1127" w:name="_Toc71354950"/>
      <w:bookmarkStart w:id="1128" w:name="_Toc78623688"/>
      <w:bookmarkStart w:id="1129" w:name="_Toc78685291"/>
      <w:bookmarkStart w:id="1130" w:name="_Toc147312393"/>
      <w:bookmarkStart w:id="1131" w:name="_Toc147631253"/>
      <w:bookmarkStart w:id="1132" w:name="_Toc147633587"/>
      <w:bookmarkStart w:id="1133" w:name="_Toc147907031"/>
      <w:bookmarkStart w:id="1134" w:name="_Toc147907430"/>
      <w:bookmarkStart w:id="1135" w:name="_Toc149009983"/>
      <w:bookmarkStart w:id="1136" w:name="_Toc149010337"/>
      <w:bookmarkStart w:id="1137" w:name="_Toc149010505"/>
      <w:bookmarkStart w:id="1138" w:name="_Toc149016385"/>
      <w:bookmarkStart w:id="1139" w:name="_Toc149039128"/>
      <w:bookmarkStart w:id="1140" w:name="_Toc149039849"/>
      <w:bookmarkStart w:id="1141" w:name="_Toc150315457"/>
      <w:bookmarkStart w:id="1142" w:name="_Toc150315668"/>
      <w:bookmarkStart w:id="1143" w:name="_Toc160272878"/>
      <w:bookmarkStart w:id="1144" w:name="_Toc160332826"/>
      <w:bookmarkStart w:id="1145" w:name="_Toc170207852"/>
      <w:r>
        <w:rPr>
          <w:rStyle w:val="CharPartNo"/>
        </w:rPr>
        <w:t>Part 6A</w:t>
      </w:r>
      <w:r>
        <w:rPr>
          <w:rStyle w:val="CharDivNo"/>
        </w:rPr>
        <w:t> </w:t>
      </w:r>
      <w:r>
        <w:t>—</w:t>
      </w:r>
      <w:r>
        <w:rPr>
          <w:rStyle w:val="CharDivText"/>
        </w:rPr>
        <w:t> </w:t>
      </w:r>
      <w:r>
        <w:rPr>
          <w:rStyle w:val="CharPartText"/>
        </w:rPr>
        <w:t>Management plans</w:t>
      </w:r>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p>
    <w:p>
      <w:pPr>
        <w:pStyle w:val="Footnoteheading"/>
        <w:tabs>
          <w:tab w:val="left" w:pos="851"/>
        </w:tabs>
      </w:pPr>
      <w:r>
        <w:tab/>
        <w:t>[Heading inserted in Gazette 4 May 2004 p. 1383.]</w:t>
      </w:r>
    </w:p>
    <w:p>
      <w:pPr>
        <w:pStyle w:val="Heading5"/>
      </w:pPr>
      <w:bookmarkStart w:id="1146" w:name="_Toc189456586"/>
      <w:bookmarkStart w:id="1147" w:name="_Toc524422597"/>
      <w:bookmarkStart w:id="1148" w:name="_Toc78685292"/>
      <w:bookmarkStart w:id="1149" w:name="_Toc150315669"/>
      <w:bookmarkStart w:id="1150" w:name="_Toc160332827"/>
      <w:bookmarkStart w:id="1151" w:name="_Toc170207853"/>
      <w:r>
        <w:rPr>
          <w:rStyle w:val="CharSectno"/>
        </w:rPr>
        <w:t>81</w:t>
      </w:r>
      <w:r>
        <w:t>.</w:t>
      </w:r>
      <w:r>
        <w:tab/>
        <w:t>Purposes of reserves</w:t>
      </w:r>
      <w:bookmarkEnd w:id="1146"/>
      <w:bookmarkEnd w:id="1147"/>
      <w:bookmarkEnd w:id="1148"/>
      <w:bookmarkEnd w:id="1149"/>
      <w:bookmarkEnd w:id="1150"/>
      <w:bookmarkEnd w:id="1151"/>
    </w:p>
    <w:p>
      <w:pPr>
        <w:pStyle w:val="Subsection"/>
      </w:pPr>
      <w:r>
        <w:tab/>
      </w:r>
      <w:r>
        <w:tab/>
        <w:t>For the purposes of section 55(1a) of the Act, the other purposes for which an indigenous State forest or timber reserve may be reserved include</w:t>
      </w:r>
      <w:del w:id="1152" w:author="Master Repository Process" w:date="2021-07-31T17:33:00Z">
        <w:r>
          <w:delText> —</w:delText>
        </w:r>
      </w:del>
      <w:ins w:id="1153" w:author="Master Repository Process" w:date="2021-07-31T17:33:00Z">
        <w:r>
          <w:t xml:space="preserve"> any of the following —</w:t>
        </w:r>
      </w:ins>
      <w:r>
        <w:t xml:space="preserve"> </w:t>
      </w:r>
    </w:p>
    <w:p>
      <w:pPr>
        <w:pStyle w:val="Indenta"/>
      </w:pPr>
      <w:r>
        <w:tab/>
        <w:t>(a)</w:t>
      </w:r>
      <w:r>
        <w:tab/>
        <w:t>the removal of water from the reserved land;</w:t>
      </w:r>
    </w:p>
    <w:p>
      <w:pPr>
        <w:pStyle w:val="Indenta"/>
      </w:pPr>
      <w:r>
        <w:tab/>
        <w:t>(b)</w:t>
      </w:r>
      <w:r>
        <w:tab/>
        <w:t>the storage of water on the reserve;</w:t>
      </w:r>
    </w:p>
    <w:p>
      <w:pPr>
        <w:pStyle w:val="Indenta"/>
      </w:pPr>
      <w:r>
        <w:tab/>
        <w:t>(c)</w:t>
      </w:r>
      <w:r>
        <w:tab/>
        <w:t>the removal of water from the reserve</w:t>
      </w:r>
      <w:del w:id="1154" w:author="Master Repository Process" w:date="2021-07-31T17:33:00Z">
        <w:r>
          <w:delText>.</w:delText>
        </w:r>
      </w:del>
      <w:ins w:id="1155" w:author="Master Repository Process" w:date="2021-07-31T17:33:00Z">
        <w:r>
          <w:t>;</w:t>
        </w:r>
      </w:ins>
    </w:p>
    <w:p>
      <w:pPr>
        <w:pStyle w:val="Indenta"/>
        <w:rPr>
          <w:ins w:id="1156" w:author="Master Repository Process" w:date="2021-07-31T17:33:00Z"/>
        </w:rPr>
      </w:pPr>
      <w:ins w:id="1157" w:author="Master Repository Process" w:date="2021-07-31T17:33:00Z">
        <w:r>
          <w:tab/>
          <w:t>(d)</w:t>
        </w:r>
        <w:r>
          <w:tab/>
          <w:t>the location of infrastructure, and other similar facilities, that serve the public interest, to the extent to which locating such infrastructure and facilities is not inconsistent with achieving the other purposes for which the forest or reserve is reserved.</w:t>
        </w:r>
      </w:ins>
    </w:p>
    <w:p>
      <w:pPr>
        <w:pStyle w:val="Footnotesection"/>
      </w:pPr>
      <w:r>
        <w:tab/>
        <w:t>[Regulation 81 inserted in Gazette 4 May 2004 p. 1383</w:t>
      </w:r>
      <w:ins w:id="1158" w:author="Master Repository Process" w:date="2021-07-31T17:33:00Z">
        <w:r>
          <w:t>; amended in Gazette 29 Jan 2008 p. 241-2</w:t>
        </w:r>
      </w:ins>
      <w:r>
        <w:t>.]</w:t>
      </w:r>
    </w:p>
    <w:p>
      <w:pPr>
        <w:pStyle w:val="Heading2"/>
      </w:pPr>
      <w:bookmarkStart w:id="1159" w:name="_Toc189456587"/>
      <w:bookmarkStart w:id="1160" w:name="_Toc524422598"/>
      <w:bookmarkStart w:id="1161" w:name="_Toc71354952"/>
      <w:bookmarkStart w:id="1162" w:name="_Toc78623690"/>
      <w:bookmarkStart w:id="1163" w:name="_Toc78685293"/>
      <w:bookmarkStart w:id="1164" w:name="_Toc147312395"/>
      <w:bookmarkStart w:id="1165" w:name="_Toc147631255"/>
      <w:bookmarkStart w:id="1166" w:name="_Toc147633589"/>
      <w:bookmarkStart w:id="1167" w:name="_Toc147907033"/>
      <w:bookmarkStart w:id="1168" w:name="_Toc147907432"/>
      <w:bookmarkStart w:id="1169" w:name="_Toc149009985"/>
      <w:bookmarkStart w:id="1170" w:name="_Toc149010339"/>
      <w:bookmarkStart w:id="1171" w:name="_Toc149010507"/>
      <w:bookmarkStart w:id="1172" w:name="_Toc149016387"/>
      <w:bookmarkStart w:id="1173" w:name="_Toc149039130"/>
      <w:bookmarkStart w:id="1174" w:name="_Toc149039851"/>
      <w:bookmarkStart w:id="1175" w:name="_Toc150315459"/>
      <w:bookmarkStart w:id="1176" w:name="_Toc150315670"/>
      <w:bookmarkStart w:id="1177" w:name="_Toc160272880"/>
      <w:bookmarkStart w:id="1178" w:name="_Toc160332828"/>
      <w:bookmarkStart w:id="1179" w:name="_Toc170207854"/>
      <w:r>
        <w:rPr>
          <w:rStyle w:val="CharPartNo"/>
        </w:rPr>
        <w:t>Part 7</w:t>
      </w:r>
      <w:r>
        <w:t xml:space="preserve"> — </w:t>
      </w:r>
      <w:r>
        <w:rPr>
          <w:rStyle w:val="CharPartText"/>
        </w:rPr>
        <w:t>Licences</w:t>
      </w:r>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p>
    <w:p>
      <w:pPr>
        <w:pStyle w:val="Heading3"/>
      </w:pPr>
      <w:bookmarkStart w:id="1180" w:name="_Toc189456588"/>
      <w:bookmarkStart w:id="1181" w:name="_Toc524422599"/>
      <w:bookmarkStart w:id="1182" w:name="_Toc71354953"/>
      <w:bookmarkStart w:id="1183" w:name="_Toc78623691"/>
      <w:bookmarkStart w:id="1184" w:name="_Toc78685294"/>
      <w:bookmarkStart w:id="1185" w:name="_Toc147312396"/>
      <w:bookmarkStart w:id="1186" w:name="_Toc147631256"/>
      <w:bookmarkStart w:id="1187" w:name="_Toc147633590"/>
      <w:bookmarkStart w:id="1188" w:name="_Toc147907034"/>
      <w:bookmarkStart w:id="1189" w:name="_Toc147907433"/>
      <w:bookmarkStart w:id="1190" w:name="_Toc149009986"/>
      <w:bookmarkStart w:id="1191" w:name="_Toc149010340"/>
      <w:bookmarkStart w:id="1192" w:name="_Toc149010508"/>
      <w:bookmarkStart w:id="1193" w:name="_Toc149016388"/>
      <w:bookmarkStart w:id="1194" w:name="_Toc149039131"/>
      <w:bookmarkStart w:id="1195" w:name="_Toc149039852"/>
      <w:bookmarkStart w:id="1196" w:name="_Toc150315460"/>
      <w:bookmarkStart w:id="1197" w:name="_Toc150315671"/>
      <w:bookmarkStart w:id="1198" w:name="_Toc160272881"/>
      <w:bookmarkStart w:id="1199" w:name="_Toc160332829"/>
      <w:bookmarkStart w:id="1200" w:name="_Toc170207855"/>
      <w:r>
        <w:rPr>
          <w:rStyle w:val="CharDivNo"/>
        </w:rPr>
        <w:t>Division 1</w:t>
      </w:r>
      <w:r>
        <w:rPr>
          <w:snapToGrid w:val="0"/>
        </w:rPr>
        <w:t xml:space="preserve"> — </w:t>
      </w:r>
      <w:r>
        <w:rPr>
          <w:rStyle w:val="CharDivText"/>
        </w:rPr>
        <w:t>General</w:t>
      </w:r>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p>
    <w:p>
      <w:pPr>
        <w:pStyle w:val="Heading5"/>
        <w:rPr>
          <w:snapToGrid w:val="0"/>
        </w:rPr>
      </w:pPr>
      <w:bookmarkStart w:id="1201" w:name="_Toc189456589"/>
      <w:bookmarkStart w:id="1202" w:name="_Toc524422600"/>
      <w:bookmarkStart w:id="1203" w:name="_Toc5508195"/>
      <w:bookmarkStart w:id="1204" w:name="_Toc8119163"/>
      <w:bookmarkStart w:id="1205" w:name="_Toc78685295"/>
      <w:bookmarkStart w:id="1206" w:name="_Toc150315672"/>
      <w:bookmarkStart w:id="1207" w:name="_Toc160332830"/>
      <w:bookmarkStart w:id="1208" w:name="_Toc170207856"/>
      <w:r>
        <w:rPr>
          <w:rStyle w:val="CharSectno"/>
        </w:rPr>
        <w:t>82</w:t>
      </w:r>
      <w:r>
        <w:rPr>
          <w:snapToGrid w:val="0"/>
        </w:rPr>
        <w:t>.</w:t>
      </w:r>
      <w:r>
        <w:rPr>
          <w:snapToGrid w:val="0"/>
        </w:rPr>
        <w:tab/>
        <w:t>Interpretation</w:t>
      </w:r>
      <w:bookmarkEnd w:id="1201"/>
      <w:bookmarkEnd w:id="1202"/>
      <w:bookmarkEnd w:id="1203"/>
      <w:bookmarkEnd w:id="1204"/>
      <w:bookmarkEnd w:id="1205"/>
      <w:bookmarkEnd w:id="1206"/>
      <w:bookmarkEnd w:id="1207"/>
      <w:bookmarkEnd w:id="1208"/>
      <w:r>
        <w:rPr>
          <w:snapToGrid w:val="0"/>
        </w:rPr>
        <w:t xml:space="preserve"> </w:t>
      </w:r>
    </w:p>
    <w:p>
      <w:pPr>
        <w:pStyle w:val="Subsection"/>
        <w:rPr>
          <w:snapToGrid w:val="0"/>
        </w:rPr>
      </w:pPr>
      <w:r>
        <w:rPr>
          <w:snapToGrid w:val="0"/>
        </w:rPr>
        <w:tab/>
      </w:r>
      <w:r>
        <w:rPr>
          <w:snapToGrid w:val="0"/>
        </w:rPr>
        <w:tab/>
        <w:t>In this Part — </w:t>
      </w:r>
    </w:p>
    <w:p>
      <w:pPr>
        <w:pStyle w:val="Defstart"/>
      </w:pPr>
      <w:r>
        <w:tab/>
      </w:r>
      <w:del w:id="1209" w:author="Master Repository Process" w:date="2021-07-31T17:33:00Z">
        <w:r>
          <w:rPr>
            <w:b/>
          </w:rPr>
          <w:delText>“</w:delText>
        </w:r>
      </w:del>
      <w:r>
        <w:rPr>
          <w:rStyle w:val="CharDefText"/>
        </w:rPr>
        <w:t>licence</w:t>
      </w:r>
      <w:del w:id="1210" w:author="Master Repository Process" w:date="2021-07-31T17:33:00Z">
        <w:r>
          <w:rPr>
            <w:b/>
          </w:rPr>
          <w:delText>”</w:delText>
        </w:r>
      </w:del>
      <w:r>
        <w:rPr>
          <w:b/>
        </w:rPr>
        <w:t xml:space="preserve"> </w:t>
      </w:r>
      <w:r>
        <w:t>means a licence granted under these regulations.</w:t>
      </w:r>
    </w:p>
    <w:p>
      <w:pPr>
        <w:pStyle w:val="Heading5"/>
        <w:rPr>
          <w:snapToGrid w:val="0"/>
        </w:rPr>
      </w:pPr>
      <w:bookmarkStart w:id="1211" w:name="_Hlt4904157"/>
      <w:bookmarkStart w:id="1212" w:name="_Toc189456590"/>
      <w:bookmarkStart w:id="1213" w:name="_Toc524422601"/>
      <w:bookmarkStart w:id="1214" w:name="_Toc5508196"/>
      <w:bookmarkStart w:id="1215" w:name="_Toc8119164"/>
      <w:bookmarkStart w:id="1216" w:name="_Toc78685296"/>
      <w:bookmarkStart w:id="1217" w:name="_Toc150315673"/>
      <w:bookmarkStart w:id="1218" w:name="_Toc160332831"/>
      <w:bookmarkStart w:id="1219" w:name="_Toc170207857"/>
      <w:bookmarkEnd w:id="1211"/>
      <w:r>
        <w:rPr>
          <w:rStyle w:val="CharSectno"/>
        </w:rPr>
        <w:t>83</w:t>
      </w:r>
      <w:r>
        <w:rPr>
          <w:snapToGrid w:val="0"/>
        </w:rPr>
        <w:t>.</w:t>
      </w:r>
      <w:r>
        <w:rPr>
          <w:snapToGrid w:val="0"/>
        </w:rPr>
        <w:tab/>
        <w:t>Application for licence</w:t>
      </w:r>
      <w:bookmarkEnd w:id="1212"/>
      <w:bookmarkEnd w:id="1213"/>
      <w:bookmarkEnd w:id="1214"/>
      <w:bookmarkEnd w:id="1215"/>
      <w:bookmarkEnd w:id="1216"/>
      <w:bookmarkEnd w:id="1217"/>
      <w:bookmarkEnd w:id="1218"/>
      <w:bookmarkEnd w:id="1219"/>
      <w:r>
        <w:rPr>
          <w:snapToGrid w:val="0"/>
        </w:rPr>
        <w:t xml:space="preserve"> </w:t>
      </w:r>
    </w:p>
    <w:p>
      <w:pPr>
        <w:pStyle w:val="Subsection"/>
        <w:rPr>
          <w:snapToGrid w:val="0"/>
        </w:rPr>
      </w:pPr>
      <w:r>
        <w:rPr>
          <w:snapToGrid w:val="0"/>
        </w:rPr>
        <w:tab/>
        <w:t>(1)</w:t>
      </w:r>
      <w:r>
        <w:rPr>
          <w:snapToGrid w:val="0"/>
        </w:rPr>
        <w:tab/>
        <w:t>An application for a licence is to be — </w:t>
      </w:r>
    </w:p>
    <w:p>
      <w:pPr>
        <w:pStyle w:val="Indenta"/>
        <w:rPr>
          <w:snapToGrid w:val="0"/>
        </w:rPr>
      </w:pPr>
      <w:r>
        <w:rPr>
          <w:snapToGrid w:val="0"/>
        </w:rPr>
        <w:tab/>
        <w:t>(a)</w:t>
      </w:r>
      <w:r>
        <w:rPr>
          <w:snapToGrid w:val="0"/>
        </w:rPr>
        <w:tab/>
        <w:t xml:space="preserve">made to the </w:t>
      </w:r>
      <w:r>
        <w:t xml:space="preserve">CEO </w:t>
      </w:r>
      <w:r>
        <w:rPr>
          <w:snapToGrid w:val="0"/>
        </w:rPr>
        <w:t>in a form approved by the</w:t>
      </w:r>
      <w:r>
        <w:t xml:space="preserve"> CEO</w:t>
      </w:r>
      <w:r>
        <w:rPr>
          <w:snapToGrid w:val="0"/>
        </w:rPr>
        <w:t>; and</w:t>
      </w:r>
    </w:p>
    <w:p>
      <w:pPr>
        <w:pStyle w:val="Indenta"/>
        <w:rPr>
          <w:snapToGrid w:val="0"/>
        </w:rPr>
      </w:pPr>
      <w:r>
        <w:rPr>
          <w:snapToGrid w:val="0"/>
        </w:rPr>
        <w:tab/>
        <w:t>(b)</w:t>
      </w:r>
      <w:r>
        <w:rPr>
          <w:snapToGrid w:val="0"/>
        </w:rPr>
        <w:tab/>
        <w:t>accompanied by the appropriate fee specified in Schedule 1</w:t>
      </w:r>
      <w:bookmarkStart w:id="1220" w:name="_Hlt499614328"/>
      <w:r>
        <w:rPr>
          <w:snapToGrid w:val="0"/>
        </w:rPr>
        <w:t xml:space="preserve"> </w:t>
      </w:r>
      <w:bookmarkEnd w:id="1220"/>
      <w:r>
        <w:rPr>
          <w:snapToGrid w:val="0"/>
        </w:rPr>
        <w:t>Division </w:t>
      </w:r>
      <w:bookmarkStart w:id="1221" w:name="_Hlt4897466"/>
      <w:r>
        <w:rPr>
          <w:snapToGrid w:val="0"/>
        </w:rPr>
        <w:t>8</w:t>
      </w:r>
      <w:bookmarkEnd w:id="1221"/>
      <w:r>
        <w:rPr>
          <w:snapToGrid w:val="0"/>
        </w:rPr>
        <w:t>.</w:t>
      </w:r>
    </w:p>
    <w:p>
      <w:pPr>
        <w:pStyle w:val="Subsection"/>
        <w:rPr>
          <w:snapToGrid w:val="0"/>
        </w:rPr>
      </w:pPr>
      <w:r>
        <w:rPr>
          <w:snapToGrid w:val="0"/>
        </w:rPr>
        <w:tab/>
        <w:t>(2)</w:t>
      </w:r>
      <w:r>
        <w:rPr>
          <w:snapToGrid w:val="0"/>
        </w:rPr>
        <w:tab/>
        <w:t xml:space="preserve">The applicant is to provide the </w:t>
      </w:r>
      <w:r>
        <w:t xml:space="preserve">CEO </w:t>
      </w:r>
      <w:r>
        <w:rPr>
          <w:snapToGrid w:val="0"/>
        </w:rPr>
        <w:t xml:space="preserve">with such further information as the </w:t>
      </w:r>
      <w:r>
        <w:t xml:space="preserve">CEO </w:t>
      </w:r>
      <w:r>
        <w:rPr>
          <w:snapToGrid w:val="0"/>
        </w:rPr>
        <w:t>may require in any particular case.</w:t>
      </w:r>
    </w:p>
    <w:p>
      <w:pPr>
        <w:pStyle w:val="Footnotesection"/>
      </w:pPr>
      <w:r>
        <w:tab/>
        <w:t>[Regulation 83 amended in Gazette 29 Sep 2006 p. 4334.]</w:t>
      </w:r>
    </w:p>
    <w:p>
      <w:pPr>
        <w:pStyle w:val="Heading5"/>
      </w:pPr>
      <w:bookmarkStart w:id="1222" w:name="_Toc189456591"/>
      <w:bookmarkStart w:id="1223" w:name="_Toc524422602"/>
      <w:bookmarkStart w:id="1224" w:name="_Toc5508197"/>
      <w:bookmarkStart w:id="1225" w:name="_Toc8119165"/>
      <w:bookmarkStart w:id="1226" w:name="_Toc78685297"/>
      <w:bookmarkStart w:id="1227" w:name="_Toc150315674"/>
      <w:bookmarkStart w:id="1228" w:name="_Toc160332832"/>
      <w:bookmarkStart w:id="1229" w:name="_Toc170207858"/>
      <w:r>
        <w:rPr>
          <w:rStyle w:val="CharSectno"/>
        </w:rPr>
        <w:t>84</w:t>
      </w:r>
      <w:r>
        <w:rPr>
          <w:snapToGrid w:val="0"/>
        </w:rPr>
        <w:t>.</w:t>
      </w:r>
      <w:r>
        <w:rPr>
          <w:snapToGrid w:val="0"/>
        </w:rPr>
        <w:tab/>
        <w:t>Restriction on exercise of powers</w:t>
      </w:r>
      <w:bookmarkEnd w:id="1222"/>
      <w:bookmarkEnd w:id="1223"/>
      <w:bookmarkEnd w:id="1224"/>
      <w:bookmarkEnd w:id="1225"/>
      <w:bookmarkEnd w:id="1226"/>
      <w:bookmarkEnd w:id="1227"/>
      <w:bookmarkEnd w:id="1228"/>
      <w:bookmarkEnd w:id="1229"/>
    </w:p>
    <w:p>
      <w:pPr>
        <w:pStyle w:val="Subsection"/>
      </w:pPr>
      <w:r>
        <w:tab/>
        <w:t>(1)</w:t>
      </w:r>
      <w:r>
        <w:tab/>
        <w:t xml:space="preserve">Subject to subregulation (2), the powers conferred on the CEO by this Part to grant or renew a licence are exercisable only — </w:t>
      </w:r>
    </w:p>
    <w:p>
      <w:pPr>
        <w:pStyle w:val="Indenta"/>
      </w:pPr>
      <w:r>
        <w:tab/>
        <w:t>(a)</w:t>
      </w:r>
      <w:r>
        <w:tab/>
        <w:t>with the approval of the Minister;</w:t>
      </w:r>
    </w:p>
    <w:p>
      <w:pPr>
        <w:pStyle w:val="Indenta"/>
      </w:pPr>
      <w:r>
        <w:tab/>
        <w:t>(b)</w:t>
      </w:r>
      <w:r>
        <w:tab/>
        <w:t>in the case of land vested in the Conservation Commission, after consultation with the Conservation Commission and, where applicable, an associated body;</w:t>
      </w:r>
    </w:p>
    <w:p>
      <w:pPr>
        <w:pStyle w:val="Indenta"/>
      </w:pPr>
      <w:r>
        <w:tab/>
        <w:t>(c)</w:t>
      </w:r>
      <w:r>
        <w:tab/>
        <w:t>in the case of land classified under Part V Division 2 of the Act as a forest conservation area, consistently with any management plan for the land concerned;</w:t>
      </w:r>
    </w:p>
    <w:p>
      <w:pPr>
        <w:pStyle w:val="Indenta"/>
      </w:pPr>
      <w:r>
        <w:tab/>
        <w:t>(d)</w:t>
      </w:r>
      <w:r>
        <w:tab/>
        <w:t>in the case of land vested in the Marine Authority, after consultation with the Marine Authority;</w:t>
      </w:r>
    </w:p>
    <w:p>
      <w:pPr>
        <w:pStyle w:val="Indenta"/>
      </w:pPr>
      <w:r>
        <w:tab/>
        <w:t>(e)</w:t>
      </w:r>
      <w:r>
        <w:tab/>
        <w:t xml:space="preserve">in the case of land that is in the management area of the Swan River Trust within the meaning of the </w:t>
      </w:r>
      <w:r>
        <w:rPr>
          <w:i/>
        </w:rPr>
        <w:t>Swan River Trust Act 1988</w:t>
      </w:r>
      <w:r>
        <w:t>, after consultation with the Swan River Trust;</w:t>
      </w:r>
    </w:p>
    <w:p>
      <w:pPr>
        <w:pStyle w:val="Indenta"/>
      </w:pPr>
      <w:r>
        <w:tab/>
        <w:t>(f)</w:t>
      </w:r>
      <w:r>
        <w:tab/>
        <w:t>in the case of land for the management of which an agreement is entered into under section 16 of the Act, consistently with the agreement;</w:t>
      </w:r>
    </w:p>
    <w:p>
      <w:pPr>
        <w:pStyle w:val="Indenta"/>
      </w:pPr>
      <w:r>
        <w:tab/>
        <w:t>(g)</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pPr>
      <w:r>
        <w:tab/>
        <w:t>(h)</w:t>
      </w:r>
      <w:r>
        <w:tab/>
        <w:t>in conformity with section 33(3) of the Act.</w:t>
      </w:r>
    </w:p>
    <w:p>
      <w:pPr>
        <w:pStyle w:val="Subsection"/>
      </w:pPr>
      <w:r>
        <w:tab/>
        <w:t>(2)</w:t>
      </w:r>
      <w:r>
        <w:tab/>
        <w:t xml:space="preserve">In the case of land other than land classified under Part V Division 2 of the Act as a forest conservation area, subregulation (1)(a), (b) and (d) do not apply to the grant or renewal of a licence under this Part where — </w:t>
      </w:r>
    </w:p>
    <w:p>
      <w:pPr>
        <w:pStyle w:val="Indenta"/>
      </w:pPr>
      <w:r>
        <w:tab/>
        <w:t>(a)</w:t>
      </w:r>
      <w:r>
        <w:tab/>
        <w:t xml:space="preserve">the appropriate approval has been given under subregulation (1)(a) and, if applicable, the appropriate consultation has taken place under subregulation (1)(b) or (1)(d) for — </w:t>
      </w:r>
    </w:p>
    <w:p>
      <w:pPr>
        <w:pStyle w:val="Indenti"/>
      </w:pPr>
      <w:r>
        <w:tab/>
        <w:t>(i)</w:t>
      </w:r>
      <w:r>
        <w:tab/>
        <w:t>the grant under this Part of certain kinds of licences or certain numbers of licences; or</w:t>
      </w:r>
    </w:p>
    <w:p>
      <w:pPr>
        <w:pStyle w:val="Indenti"/>
      </w:pPr>
      <w:r>
        <w:tab/>
        <w:t>(ii)</w:t>
      </w:r>
      <w:r>
        <w:tab/>
        <w:t>the renewal, cancellation or suspension of, or the imposition or variation of terms or conditions attached to, a licence granted under this Part,</w:t>
      </w:r>
    </w:p>
    <w:p>
      <w:pPr>
        <w:pStyle w:val="Indenta"/>
      </w:pPr>
      <w:r>
        <w:tab/>
      </w:r>
      <w:r>
        <w:tab/>
        <w:t>and the licence granted or renewed is covered by the terms of that approval and, if applicable, that consultation; or</w:t>
      </w:r>
    </w:p>
    <w:p>
      <w:pPr>
        <w:pStyle w:val="Indenta"/>
      </w:pPr>
      <w:r>
        <w:tab/>
        <w:t>(b)</w:t>
      </w:r>
      <w:r>
        <w:tab/>
        <w:t xml:space="preserve">in the case of the renewal of a licence, the licence was granted under Part 5 of the </w:t>
      </w:r>
      <w:r>
        <w:rPr>
          <w:i/>
        </w:rPr>
        <w:t>Conservation and Land Management Regulations 1992</w:t>
      </w:r>
      <w:r>
        <w:rPr>
          <w:i/>
          <w:vertAlign w:val="superscript"/>
        </w:rPr>
        <w:t> </w:t>
      </w:r>
      <w:r>
        <w:rPr>
          <w:iCs/>
          <w:vertAlign w:val="superscript"/>
        </w:rPr>
        <w:t>2</w:t>
      </w:r>
      <w:r>
        <w:t>.</w:t>
      </w:r>
    </w:p>
    <w:p>
      <w:pPr>
        <w:pStyle w:val="Footnotesection"/>
      </w:pPr>
      <w:r>
        <w:tab/>
        <w:t>[Regulation 84 amended in Gazette 29 Sep 2006 p. 4319 and 4334.]</w:t>
      </w:r>
    </w:p>
    <w:p>
      <w:pPr>
        <w:pStyle w:val="Heading5"/>
      </w:pPr>
      <w:bookmarkStart w:id="1230" w:name="_Toc189456592"/>
      <w:bookmarkStart w:id="1231" w:name="_Toc524422603"/>
      <w:bookmarkStart w:id="1232" w:name="_Toc5508198"/>
      <w:bookmarkStart w:id="1233" w:name="_Toc8119166"/>
      <w:bookmarkStart w:id="1234" w:name="_Toc78685298"/>
      <w:bookmarkStart w:id="1235" w:name="_Toc150315675"/>
      <w:bookmarkStart w:id="1236" w:name="_Toc160332833"/>
      <w:bookmarkStart w:id="1237" w:name="_Toc170207859"/>
      <w:r>
        <w:rPr>
          <w:rStyle w:val="CharSectno"/>
        </w:rPr>
        <w:t>85</w:t>
      </w:r>
      <w:r>
        <w:rPr>
          <w:snapToGrid w:val="0"/>
        </w:rPr>
        <w:t>.</w:t>
      </w:r>
      <w:r>
        <w:rPr>
          <w:snapToGrid w:val="0"/>
        </w:rPr>
        <w:tab/>
        <w:t>Refusal to renew licence</w:t>
      </w:r>
      <w:bookmarkEnd w:id="1230"/>
      <w:bookmarkEnd w:id="1231"/>
      <w:bookmarkEnd w:id="1232"/>
      <w:bookmarkEnd w:id="1233"/>
      <w:bookmarkEnd w:id="1234"/>
      <w:bookmarkEnd w:id="1235"/>
      <w:bookmarkEnd w:id="1236"/>
      <w:bookmarkEnd w:id="1237"/>
    </w:p>
    <w:p>
      <w:pPr>
        <w:pStyle w:val="Subsection"/>
      </w:pPr>
      <w:r>
        <w:tab/>
        <w:t>(1)</w:t>
      </w:r>
      <w:r>
        <w:tab/>
        <w:t>A licence is not renewable as of right.</w:t>
      </w:r>
    </w:p>
    <w:p>
      <w:pPr>
        <w:pStyle w:val="Subsection"/>
      </w:pPr>
      <w:r>
        <w:tab/>
        <w:t>(2)</w:t>
      </w:r>
      <w:r>
        <w:tab/>
        <w:t xml:space="preserve">The CEO may, by written notice given to the person who held the licence, refuse to renew a licence on the grounds that — </w:t>
      </w:r>
    </w:p>
    <w:p>
      <w:pPr>
        <w:pStyle w:val="Indenta"/>
      </w:pPr>
      <w:r>
        <w:tab/>
        <w:t>(a)</w:t>
      </w:r>
      <w:r>
        <w:tab/>
        <w:t xml:space="preserve">the holder of the licence has been convicted of an offence against the Act or these regulations or the </w:t>
      </w:r>
      <w:r>
        <w:rPr>
          <w:i/>
        </w:rPr>
        <w:t>Wildlife Conservation Act 1950</w:t>
      </w:r>
      <w:r>
        <w:t xml:space="preserve"> or regulations made under that Act;</w:t>
      </w:r>
    </w:p>
    <w:p>
      <w:pPr>
        <w:pStyle w:val="Indenta"/>
      </w:pPr>
      <w:r>
        <w:tab/>
        <w:t>(b)</w:t>
      </w:r>
      <w:r>
        <w:tab/>
        <w:t>a condition imposed upon the licence has been contravened;</w:t>
      </w:r>
    </w:p>
    <w:p>
      <w:pPr>
        <w:pStyle w:val="Indenta"/>
      </w:pPr>
      <w:r>
        <w:tab/>
        <w:t>(c)</w:t>
      </w:r>
      <w:r>
        <w:tab/>
        <w:t>the licence was obtained by fraud or misrepresentation; or</w:t>
      </w:r>
    </w:p>
    <w:p>
      <w:pPr>
        <w:pStyle w:val="Indenta"/>
      </w:pPr>
      <w:r>
        <w:tab/>
        <w:t>(d)</w:t>
      </w:r>
      <w:r>
        <w:tab/>
        <w:t xml:space="preserve">in the interests of — </w:t>
      </w:r>
    </w:p>
    <w:p>
      <w:pPr>
        <w:pStyle w:val="Indenti"/>
      </w:pPr>
      <w:r>
        <w:tab/>
        <w:t>(i)</w:t>
      </w:r>
      <w:r>
        <w:tab/>
        <w:t>the protection, management or control of CALM land or assets on CALM land;</w:t>
      </w:r>
    </w:p>
    <w:p>
      <w:pPr>
        <w:pStyle w:val="Indenti"/>
      </w:pPr>
      <w:r>
        <w:tab/>
        <w:t>(ii)</w:t>
      </w:r>
      <w:r>
        <w:tab/>
        <w:t>the protection of persons using CALM land; or</w:t>
      </w:r>
    </w:p>
    <w:p>
      <w:pPr>
        <w:pStyle w:val="Indenti"/>
      </w:pPr>
      <w:r>
        <w:tab/>
        <w:t>(iii)</w:t>
      </w:r>
      <w:r>
        <w:tab/>
        <w:t>the conservation, protection or proper management of fauna or flora,</w:t>
      </w:r>
    </w:p>
    <w:p>
      <w:pPr>
        <w:pStyle w:val="Indenta"/>
      </w:pPr>
      <w:r>
        <w:tab/>
      </w:r>
      <w:r>
        <w:tab/>
        <w:t>the operation of the licence should not be permitted to continue.</w:t>
      </w:r>
    </w:p>
    <w:p>
      <w:pPr>
        <w:pStyle w:val="Footnotesection"/>
      </w:pPr>
      <w:r>
        <w:tab/>
        <w:t>[Regulation 85 amended in Gazette 29 Sep 2006 p. 4334.]</w:t>
      </w:r>
    </w:p>
    <w:p>
      <w:pPr>
        <w:pStyle w:val="Heading5"/>
        <w:rPr>
          <w:snapToGrid w:val="0"/>
        </w:rPr>
      </w:pPr>
      <w:bookmarkStart w:id="1238" w:name="_Toc5508199"/>
      <w:bookmarkStart w:id="1239" w:name="_Toc8119167"/>
      <w:bookmarkStart w:id="1240" w:name="_Toc78685299"/>
      <w:bookmarkStart w:id="1241" w:name="_Toc189456593"/>
      <w:bookmarkStart w:id="1242" w:name="_Toc524422604"/>
      <w:bookmarkStart w:id="1243" w:name="_Toc150315676"/>
      <w:bookmarkStart w:id="1244" w:name="_Toc160332834"/>
      <w:bookmarkStart w:id="1245" w:name="_Toc170207860"/>
      <w:r>
        <w:rPr>
          <w:rStyle w:val="CharSectno"/>
        </w:rPr>
        <w:t>86</w:t>
      </w:r>
      <w:r>
        <w:rPr>
          <w:snapToGrid w:val="0"/>
        </w:rPr>
        <w:t>.</w:t>
      </w:r>
      <w:r>
        <w:rPr>
          <w:snapToGrid w:val="0"/>
        </w:rPr>
        <w:tab/>
        <w:t xml:space="preserve">Cancellation or suspension of licence by </w:t>
      </w:r>
      <w:bookmarkEnd w:id="1238"/>
      <w:bookmarkEnd w:id="1239"/>
      <w:bookmarkEnd w:id="1240"/>
      <w:r>
        <w:t>CEO</w:t>
      </w:r>
      <w:bookmarkEnd w:id="1241"/>
      <w:bookmarkEnd w:id="1242"/>
      <w:bookmarkEnd w:id="1243"/>
      <w:bookmarkEnd w:id="1244"/>
      <w:bookmarkEnd w:id="1245"/>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person who holds a licence — </w:t>
      </w:r>
    </w:p>
    <w:p>
      <w:pPr>
        <w:pStyle w:val="Indenti"/>
        <w:rPr>
          <w:snapToGrid w:val="0"/>
        </w:rPr>
      </w:pPr>
      <w:r>
        <w:rPr>
          <w:snapToGrid w:val="0"/>
        </w:rPr>
        <w:tab/>
        <w:t>(i)</w:t>
      </w:r>
      <w:r>
        <w:rPr>
          <w:snapToGrid w:val="0"/>
        </w:rPr>
        <w:tab/>
        <w:t>contravenes a provision of the Act or these regulations or a condition or restriction to which the licence was subject;</w:t>
      </w:r>
    </w:p>
    <w:p>
      <w:pPr>
        <w:pStyle w:val="Indenti"/>
        <w:rPr>
          <w:snapToGrid w:val="0"/>
        </w:rPr>
      </w:pPr>
      <w:r>
        <w:rPr>
          <w:snapToGrid w:val="0"/>
        </w:rPr>
        <w:tab/>
        <w:t>(ii)</w:t>
      </w:r>
      <w:r>
        <w:rPr>
          <w:snapToGrid w:val="0"/>
        </w:rPr>
        <w:tab/>
      </w:r>
      <w:r>
        <w:t xml:space="preserve">contravenes a provision of the </w:t>
      </w:r>
      <w:r>
        <w:rPr>
          <w:i/>
        </w:rPr>
        <w:t>Wildlife Conservation Act 1950</w:t>
      </w:r>
      <w:r>
        <w:t xml:space="preserve"> or regulations made under that Act;</w:t>
      </w:r>
      <w:r>
        <w:rPr>
          <w:snapToGrid w:val="0"/>
        </w:rPr>
        <w:t xml:space="preserve"> or</w:t>
      </w:r>
    </w:p>
    <w:p>
      <w:pPr>
        <w:pStyle w:val="Indenti"/>
        <w:rPr>
          <w:snapToGrid w:val="0"/>
        </w:rPr>
      </w:pPr>
      <w:r>
        <w:rPr>
          <w:snapToGrid w:val="0"/>
        </w:rPr>
        <w:tab/>
        <w:t>(iii)</w:t>
      </w:r>
      <w:r>
        <w:rPr>
          <w:snapToGrid w:val="0"/>
        </w:rPr>
        <w:tab/>
      </w:r>
      <w:r>
        <w:t xml:space="preserve">is otherwise in the opinion of the CEO </w:t>
      </w:r>
      <w:r>
        <w:rPr>
          <w:snapToGrid w:val="0"/>
        </w:rPr>
        <w:t xml:space="preserve">no longer a fit and proper person or otherwise suitable to hold the licence;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 </w:t>
      </w:r>
      <w:r>
        <w:t xml:space="preserve">CEO </w:t>
      </w:r>
      <w:r>
        <w:rPr>
          <w:snapToGrid w:val="0"/>
        </w:rPr>
        <w:t>considers that in the interests of — </w:t>
      </w:r>
    </w:p>
    <w:p>
      <w:pPr>
        <w:pStyle w:val="Indenti"/>
        <w:rPr>
          <w:snapToGrid w:val="0"/>
        </w:rPr>
      </w:pPr>
      <w:r>
        <w:rPr>
          <w:snapToGrid w:val="0"/>
        </w:rPr>
        <w:tab/>
        <w:t>(i)</w:t>
      </w:r>
      <w:r>
        <w:rPr>
          <w:snapToGrid w:val="0"/>
        </w:rPr>
        <w:tab/>
        <w:t>the protection, management or control of CALM land or assets on CALM land;</w:t>
      </w:r>
    </w:p>
    <w:p>
      <w:pPr>
        <w:pStyle w:val="Indenti"/>
        <w:rPr>
          <w:snapToGrid w:val="0"/>
        </w:rPr>
      </w:pPr>
      <w:r>
        <w:rPr>
          <w:snapToGrid w:val="0"/>
        </w:rPr>
        <w:tab/>
        <w:t>(ii)</w:t>
      </w:r>
      <w:r>
        <w:rPr>
          <w:snapToGrid w:val="0"/>
        </w:rPr>
        <w:tab/>
        <w:t>the protection or management of persons using CALM land; or</w:t>
      </w:r>
    </w:p>
    <w:p>
      <w:pPr>
        <w:pStyle w:val="Indenti"/>
        <w:rPr>
          <w:snapToGrid w:val="0"/>
        </w:rPr>
      </w:pPr>
      <w:r>
        <w:rPr>
          <w:snapToGrid w:val="0"/>
        </w:rPr>
        <w:tab/>
        <w:t>(iii)</w:t>
      </w:r>
      <w:r>
        <w:rPr>
          <w:snapToGrid w:val="0"/>
        </w:rPr>
        <w:tab/>
        <w:t xml:space="preserve">the conservation, protection or proper management of fauna or flora, </w:t>
      </w:r>
    </w:p>
    <w:p>
      <w:pPr>
        <w:pStyle w:val="Indenta"/>
        <w:rPr>
          <w:snapToGrid w:val="0"/>
        </w:rPr>
      </w:pPr>
      <w:r>
        <w:rPr>
          <w:snapToGrid w:val="0"/>
        </w:rPr>
        <w:tab/>
      </w:r>
      <w:r>
        <w:rPr>
          <w:snapToGrid w:val="0"/>
        </w:rPr>
        <w:tab/>
        <w:t>a licence should be suspended or cancelled,</w:t>
      </w:r>
    </w:p>
    <w:p>
      <w:pPr>
        <w:pStyle w:val="Subsection"/>
        <w:rPr>
          <w:snapToGrid w:val="0"/>
        </w:rPr>
      </w:pPr>
      <w:r>
        <w:rPr>
          <w:snapToGrid w:val="0"/>
        </w:rPr>
        <w:tab/>
      </w:r>
      <w:r>
        <w:rPr>
          <w:snapToGrid w:val="0"/>
        </w:rPr>
        <w:tab/>
        <w:t xml:space="preserve">the </w:t>
      </w:r>
      <w:r>
        <w:t xml:space="preserve">CEO </w:t>
      </w:r>
      <w:r>
        <w:rPr>
          <w:snapToGrid w:val="0"/>
        </w:rPr>
        <w:t xml:space="preserve">may, by written notice given to the person, cancel the licence or suspend it for such period as the </w:t>
      </w:r>
      <w:r>
        <w:t xml:space="preserve">CEO </w:t>
      </w:r>
      <w:r>
        <w:rPr>
          <w:snapToGrid w:val="0"/>
        </w:rPr>
        <w:t>thinks fit.</w:t>
      </w:r>
    </w:p>
    <w:p>
      <w:pPr>
        <w:pStyle w:val="Subsection"/>
        <w:rPr>
          <w:snapToGrid w:val="0"/>
        </w:rPr>
      </w:pPr>
      <w:r>
        <w:rPr>
          <w:snapToGrid w:val="0"/>
        </w:rPr>
        <w:tab/>
        <w:t>(2)</w:t>
      </w:r>
      <w:r>
        <w:rPr>
          <w:snapToGrid w:val="0"/>
        </w:rPr>
        <w:tab/>
        <w:t>A suspension of a licence may relate to the doing of some, but not all, of the things authorised by the licence.</w:t>
      </w:r>
    </w:p>
    <w:p>
      <w:pPr>
        <w:pStyle w:val="Footnotesection"/>
      </w:pPr>
      <w:r>
        <w:tab/>
        <w:t>[Regulation 86 amended in Gazette 29 Sep 2006 p. 4334.]</w:t>
      </w:r>
    </w:p>
    <w:p>
      <w:pPr>
        <w:pStyle w:val="Heading5"/>
        <w:rPr>
          <w:snapToGrid w:val="0"/>
        </w:rPr>
      </w:pPr>
      <w:bookmarkStart w:id="1246" w:name="_Toc189456594"/>
      <w:bookmarkStart w:id="1247" w:name="_Toc524422605"/>
      <w:bookmarkStart w:id="1248" w:name="_Toc5508200"/>
      <w:bookmarkStart w:id="1249" w:name="_Toc8119168"/>
      <w:bookmarkStart w:id="1250" w:name="_Toc78685300"/>
      <w:bookmarkStart w:id="1251" w:name="_Toc150315677"/>
      <w:bookmarkStart w:id="1252" w:name="_Toc160332835"/>
      <w:bookmarkStart w:id="1253" w:name="_Toc170207861"/>
      <w:r>
        <w:rPr>
          <w:rStyle w:val="CharSectno"/>
        </w:rPr>
        <w:t>87</w:t>
      </w:r>
      <w:r>
        <w:rPr>
          <w:snapToGrid w:val="0"/>
        </w:rPr>
        <w:t>.</w:t>
      </w:r>
      <w:r>
        <w:rPr>
          <w:snapToGrid w:val="0"/>
        </w:rPr>
        <w:tab/>
        <w:t>Notice of proposed cancellation or suspension</w:t>
      </w:r>
      <w:bookmarkEnd w:id="1246"/>
      <w:bookmarkEnd w:id="1247"/>
      <w:bookmarkEnd w:id="1248"/>
      <w:bookmarkEnd w:id="1249"/>
      <w:bookmarkEnd w:id="1250"/>
      <w:bookmarkEnd w:id="1251"/>
      <w:bookmarkEnd w:id="1252"/>
      <w:bookmarkEnd w:id="1253"/>
      <w:r>
        <w:rPr>
          <w:snapToGrid w:val="0"/>
        </w:rPr>
        <w:t xml:space="preserve"> </w:t>
      </w:r>
    </w:p>
    <w:p>
      <w:pPr>
        <w:pStyle w:val="Subsection"/>
        <w:rPr>
          <w:snapToGrid w:val="0"/>
        </w:rPr>
      </w:pPr>
      <w:r>
        <w:rPr>
          <w:snapToGrid w:val="0"/>
        </w:rPr>
        <w:tab/>
        <w:t>(1)</w:t>
      </w:r>
      <w:r>
        <w:rPr>
          <w:snapToGrid w:val="0"/>
        </w:rPr>
        <w:tab/>
        <w:t xml:space="preserve">If the </w:t>
      </w:r>
      <w:r>
        <w:t xml:space="preserve">CEO </w:t>
      </w:r>
      <w:r>
        <w:rPr>
          <w:snapToGrid w:val="0"/>
        </w:rPr>
        <w:t xml:space="preserve">proposes to cancel or suspend a licence, the </w:t>
      </w:r>
      <w:r>
        <w:t xml:space="preserve">CEO </w:t>
      </w:r>
      <w:r>
        <w:rPr>
          <w:snapToGrid w:val="0"/>
        </w:rPr>
        <w:t>is to give to the holder of the licence written notice of the proposal and the CEO’s reasons for the proposal.</w:t>
      </w:r>
    </w:p>
    <w:p>
      <w:pPr>
        <w:pStyle w:val="Subsection"/>
        <w:rPr>
          <w:snapToGrid w:val="0"/>
        </w:rPr>
      </w:pPr>
      <w:r>
        <w:rPr>
          <w:snapToGrid w:val="0"/>
        </w:rPr>
        <w:tab/>
        <w:t>(2)</w:t>
      </w:r>
      <w:r>
        <w:rPr>
          <w:snapToGrid w:val="0"/>
        </w:rPr>
        <w:tab/>
        <w:t xml:space="preserve">A notice given under subregulation (1) is to state that within a specified number of days after the notice is given, the person to whom it is given may make written representations to the </w:t>
      </w:r>
      <w:r>
        <w:t xml:space="preserve">CEO </w:t>
      </w:r>
      <w:r>
        <w:rPr>
          <w:snapToGrid w:val="0"/>
        </w:rPr>
        <w:t xml:space="preserve">concerning the proposal and the </w:t>
      </w:r>
      <w:r>
        <w:t xml:space="preserve">CEO </w:t>
      </w:r>
      <w:r>
        <w:rPr>
          <w:snapToGrid w:val="0"/>
        </w:rPr>
        <w:t>is not to give effect to the proposal without considering any representations received within that period.</w:t>
      </w:r>
    </w:p>
    <w:p>
      <w:pPr>
        <w:pStyle w:val="Subsection"/>
        <w:rPr>
          <w:snapToGrid w:val="0"/>
        </w:rPr>
      </w:pPr>
      <w:r>
        <w:rPr>
          <w:snapToGrid w:val="0"/>
        </w:rPr>
        <w:tab/>
        <w:t>(3)</w:t>
      </w:r>
      <w:r>
        <w:rPr>
          <w:snapToGrid w:val="0"/>
        </w:rPr>
        <w:tab/>
        <w:t>The number of days to be specified in a notice under subregulation (2) is to be not less than — </w:t>
      </w:r>
    </w:p>
    <w:p>
      <w:pPr>
        <w:pStyle w:val="Indenta"/>
        <w:rPr>
          <w:snapToGrid w:val="0"/>
        </w:rPr>
      </w:pPr>
      <w:r>
        <w:rPr>
          <w:snapToGrid w:val="0"/>
        </w:rPr>
        <w:tab/>
        <w:t>(a)</w:t>
      </w:r>
      <w:r>
        <w:rPr>
          <w:snapToGrid w:val="0"/>
        </w:rPr>
        <w:tab/>
        <w:t>21 days in the case of a proposal to cancel a licence; or</w:t>
      </w:r>
    </w:p>
    <w:p>
      <w:pPr>
        <w:pStyle w:val="Indenta"/>
        <w:rPr>
          <w:snapToGrid w:val="0"/>
        </w:rPr>
      </w:pPr>
      <w:r>
        <w:rPr>
          <w:snapToGrid w:val="0"/>
        </w:rPr>
        <w:tab/>
        <w:t>(b)</w:t>
      </w:r>
      <w:r>
        <w:rPr>
          <w:snapToGrid w:val="0"/>
        </w:rPr>
        <w:tab/>
        <w:t>7 days in the case of a proposal to suspend a licence.</w:t>
      </w:r>
    </w:p>
    <w:p>
      <w:pPr>
        <w:pStyle w:val="Subsection"/>
        <w:rPr>
          <w:snapToGrid w:val="0"/>
        </w:rPr>
      </w:pPr>
      <w:r>
        <w:rPr>
          <w:snapToGrid w:val="0"/>
        </w:rPr>
        <w:tab/>
        <w:t>(4)</w:t>
      </w:r>
      <w:r>
        <w:rPr>
          <w:snapToGrid w:val="0"/>
        </w:rPr>
        <w:tab/>
        <w:t xml:space="preserve">If for any reason a notice cannot be given to a person under subregulation (1), when read with section 76 of the </w:t>
      </w:r>
      <w:r>
        <w:rPr>
          <w:i/>
          <w:snapToGrid w:val="0"/>
        </w:rPr>
        <w:t>Interpretation Act 1984</w:t>
      </w:r>
      <w:r>
        <w:rPr>
          <w:snapToGrid w:val="0"/>
        </w:rPr>
        <w:t>,</w:t>
      </w:r>
      <w:r>
        <w:rPr>
          <w:i/>
          <w:snapToGrid w:val="0"/>
        </w:rPr>
        <w:t xml:space="preserve"> </w:t>
      </w:r>
      <w:r>
        <w:rPr>
          <w:snapToGrid w:val="0"/>
        </w:rPr>
        <w:t xml:space="preserve">the </w:t>
      </w:r>
      <w:r>
        <w:t xml:space="preserve">CEO </w:t>
      </w:r>
      <w:r>
        <w:rPr>
          <w:snapToGrid w:val="0"/>
        </w:rPr>
        <w:t>may give the notice to that person by publishing a copy of the notice addressed to that person in a newspaper circulating in the area in which the person was last known to be.</w:t>
      </w:r>
    </w:p>
    <w:p>
      <w:pPr>
        <w:pStyle w:val="Footnotesection"/>
      </w:pPr>
      <w:r>
        <w:tab/>
        <w:t>[Regulation 87 amended in Gazette 29 Sep 2006 p. 4319 and 4334.]</w:t>
      </w:r>
    </w:p>
    <w:p>
      <w:pPr>
        <w:pStyle w:val="Heading5"/>
        <w:spacing w:before="240"/>
        <w:rPr>
          <w:snapToGrid w:val="0"/>
        </w:rPr>
      </w:pPr>
      <w:bookmarkStart w:id="1254" w:name="_Toc189456595"/>
      <w:bookmarkStart w:id="1255" w:name="_Toc524422606"/>
      <w:bookmarkStart w:id="1256" w:name="_Toc5508201"/>
      <w:bookmarkStart w:id="1257" w:name="_Toc8119169"/>
      <w:bookmarkStart w:id="1258" w:name="_Toc78685301"/>
      <w:bookmarkStart w:id="1259" w:name="_Toc150315678"/>
      <w:bookmarkStart w:id="1260" w:name="_Toc160332836"/>
      <w:bookmarkStart w:id="1261" w:name="_Toc170207862"/>
      <w:r>
        <w:rPr>
          <w:rStyle w:val="CharSectno"/>
        </w:rPr>
        <w:t>88</w:t>
      </w:r>
      <w:r>
        <w:rPr>
          <w:snapToGrid w:val="0"/>
        </w:rPr>
        <w:t>.</w:t>
      </w:r>
      <w:r>
        <w:rPr>
          <w:snapToGrid w:val="0"/>
        </w:rPr>
        <w:tab/>
        <w:t>Return of licence</w:t>
      </w:r>
      <w:bookmarkEnd w:id="1254"/>
      <w:bookmarkEnd w:id="1255"/>
      <w:bookmarkEnd w:id="1256"/>
      <w:bookmarkEnd w:id="1257"/>
      <w:bookmarkEnd w:id="1258"/>
      <w:bookmarkEnd w:id="1259"/>
      <w:bookmarkEnd w:id="1260"/>
      <w:bookmarkEnd w:id="1261"/>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require the holder of a licence to return the licence to the </w:t>
      </w:r>
      <w:r>
        <w:t xml:space="preserve">CEO </w:t>
      </w:r>
      <w:r>
        <w:rPr>
          <w:snapToGrid w:val="0"/>
        </w:rPr>
        <w:t>where the licence has been cancelled, suspended or has not been renewed.</w:t>
      </w:r>
    </w:p>
    <w:p>
      <w:pPr>
        <w:pStyle w:val="Subsection"/>
        <w:rPr>
          <w:snapToGrid w:val="0"/>
        </w:rPr>
      </w:pPr>
      <w:r>
        <w:rPr>
          <w:snapToGrid w:val="0"/>
        </w:rPr>
        <w:tab/>
      </w:r>
      <w:bookmarkStart w:id="1262" w:name="_Hlt499688035"/>
      <w:bookmarkEnd w:id="1262"/>
      <w:r>
        <w:rPr>
          <w:snapToGrid w:val="0"/>
        </w:rPr>
        <w:t>(2)</w:t>
      </w:r>
      <w:r>
        <w:rPr>
          <w:snapToGrid w:val="0"/>
        </w:rPr>
        <w:tab/>
        <w:t xml:space="preserve">A person must comply with a requirement made of that person by the </w:t>
      </w:r>
      <w:r>
        <w:t xml:space="preserve">CEO </w:t>
      </w:r>
      <w:r>
        <w:rPr>
          <w:snapToGrid w:val="0"/>
        </w:rPr>
        <w:t>under subregulation (1).</w:t>
      </w:r>
    </w:p>
    <w:p>
      <w:pPr>
        <w:pStyle w:val="Penstart"/>
        <w:rPr>
          <w:snapToGrid w:val="0"/>
        </w:rPr>
      </w:pPr>
      <w:r>
        <w:rPr>
          <w:snapToGrid w:val="0"/>
        </w:rPr>
        <w:tab/>
        <w:t>Penalty: $500.</w:t>
      </w:r>
    </w:p>
    <w:p>
      <w:pPr>
        <w:pStyle w:val="Footnotesection"/>
      </w:pPr>
      <w:r>
        <w:tab/>
        <w:t>[Regulation 88 amended in Gazette 29 Sep 2006 p. 4334.]</w:t>
      </w:r>
    </w:p>
    <w:p>
      <w:pPr>
        <w:pStyle w:val="Heading3"/>
      </w:pPr>
      <w:bookmarkStart w:id="1263" w:name="_Toc189456596"/>
      <w:bookmarkStart w:id="1264" w:name="_Toc524422607"/>
      <w:bookmarkStart w:id="1265" w:name="_Toc71354961"/>
      <w:bookmarkStart w:id="1266" w:name="_Toc78623699"/>
      <w:bookmarkStart w:id="1267" w:name="_Toc78685302"/>
      <w:bookmarkStart w:id="1268" w:name="_Toc147312404"/>
      <w:bookmarkStart w:id="1269" w:name="_Toc147631264"/>
      <w:bookmarkStart w:id="1270" w:name="_Toc147633598"/>
      <w:bookmarkStart w:id="1271" w:name="_Toc147907042"/>
      <w:bookmarkStart w:id="1272" w:name="_Toc147907441"/>
      <w:bookmarkStart w:id="1273" w:name="_Toc149009994"/>
      <w:bookmarkStart w:id="1274" w:name="_Toc149010348"/>
      <w:bookmarkStart w:id="1275" w:name="_Toc149010516"/>
      <w:bookmarkStart w:id="1276" w:name="_Toc149016396"/>
      <w:bookmarkStart w:id="1277" w:name="_Toc149039139"/>
      <w:bookmarkStart w:id="1278" w:name="_Toc149039860"/>
      <w:bookmarkStart w:id="1279" w:name="_Toc150315468"/>
      <w:bookmarkStart w:id="1280" w:name="_Toc150315679"/>
      <w:bookmarkStart w:id="1281" w:name="_Toc160272889"/>
      <w:bookmarkStart w:id="1282" w:name="_Toc160332837"/>
      <w:bookmarkStart w:id="1283" w:name="_Toc170207863"/>
      <w:r>
        <w:rPr>
          <w:rStyle w:val="CharDivNo"/>
        </w:rPr>
        <w:t>Division 2</w:t>
      </w:r>
      <w:r>
        <w:rPr>
          <w:snapToGrid w:val="0"/>
        </w:rPr>
        <w:t xml:space="preserve"> — </w:t>
      </w:r>
      <w:r>
        <w:rPr>
          <w:rStyle w:val="CharDivText"/>
        </w:rPr>
        <w:t>Scientific purposes licences</w:t>
      </w:r>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r>
        <w:rPr>
          <w:rStyle w:val="CharDivText"/>
        </w:rPr>
        <w:t xml:space="preserve"> </w:t>
      </w:r>
    </w:p>
    <w:p>
      <w:pPr>
        <w:pStyle w:val="Heading5"/>
        <w:spacing w:before="240"/>
        <w:rPr>
          <w:snapToGrid w:val="0"/>
        </w:rPr>
      </w:pPr>
      <w:bookmarkStart w:id="1284" w:name="_Hlt499613684"/>
      <w:bookmarkStart w:id="1285" w:name="_Toc189456597"/>
      <w:bookmarkStart w:id="1286" w:name="_Toc524422608"/>
      <w:bookmarkStart w:id="1287" w:name="_Toc5508202"/>
      <w:bookmarkStart w:id="1288" w:name="_Toc8119170"/>
      <w:bookmarkStart w:id="1289" w:name="_Toc78685303"/>
      <w:bookmarkStart w:id="1290" w:name="_Toc150315680"/>
      <w:bookmarkStart w:id="1291" w:name="_Toc160332838"/>
      <w:bookmarkStart w:id="1292" w:name="_Toc170207864"/>
      <w:bookmarkEnd w:id="1284"/>
      <w:r>
        <w:rPr>
          <w:rStyle w:val="CharSectno"/>
        </w:rPr>
        <w:t>89</w:t>
      </w:r>
      <w:r>
        <w:rPr>
          <w:snapToGrid w:val="0"/>
        </w:rPr>
        <w:t>.</w:t>
      </w:r>
      <w:r>
        <w:rPr>
          <w:snapToGrid w:val="0"/>
        </w:rPr>
        <w:tab/>
        <w:t>Scientific purposes licence</w:t>
      </w:r>
      <w:bookmarkEnd w:id="1285"/>
      <w:bookmarkEnd w:id="1286"/>
      <w:bookmarkEnd w:id="1287"/>
      <w:bookmarkEnd w:id="1288"/>
      <w:bookmarkEnd w:id="1289"/>
      <w:bookmarkEnd w:id="1290"/>
      <w:bookmarkEnd w:id="1291"/>
      <w:bookmarkEnd w:id="1292"/>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may grant a licence to take flora and fauna (including fish and pearl oyster) in a marine nature reserve, marine park or marine management area for scientific purposes.</w:t>
      </w:r>
    </w:p>
    <w:p>
      <w:pPr>
        <w:pStyle w:val="Footnotesection"/>
      </w:pPr>
      <w:r>
        <w:tab/>
        <w:t>[Regulation 89 amended in Gazette 29 Sep 2006 p. 4334.]</w:t>
      </w:r>
    </w:p>
    <w:p>
      <w:pPr>
        <w:pStyle w:val="Heading5"/>
        <w:spacing w:before="240"/>
        <w:rPr>
          <w:snapToGrid w:val="0"/>
        </w:rPr>
      </w:pPr>
      <w:bookmarkStart w:id="1293" w:name="_Toc189456598"/>
      <w:bookmarkStart w:id="1294" w:name="_Toc524422609"/>
      <w:bookmarkStart w:id="1295" w:name="_Toc5508203"/>
      <w:bookmarkStart w:id="1296" w:name="_Toc8119171"/>
      <w:bookmarkStart w:id="1297" w:name="_Toc78685304"/>
      <w:bookmarkStart w:id="1298" w:name="_Toc150315681"/>
      <w:bookmarkStart w:id="1299" w:name="_Toc160332839"/>
      <w:bookmarkStart w:id="1300" w:name="_Toc170207865"/>
      <w:r>
        <w:rPr>
          <w:rStyle w:val="CharSectno"/>
        </w:rPr>
        <w:t>90</w:t>
      </w:r>
      <w:r>
        <w:rPr>
          <w:snapToGrid w:val="0"/>
        </w:rPr>
        <w:t>.</w:t>
      </w:r>
      <w:r>
        <w:rPr>
          <w:snapToGrid w:val="0"/>
        </w:rPr>
        <w:tab/>
        <w:t>Application for scientific purposes licence</w:t>
      </w:r>
      <w:bookmarkEnd w:id="1293"/>
      <w:bookmarkEnd w:id="1294"/>
      <w:bookmarkEnd w:id="1295"/>
      <w:bookmarkEnd w:id="1296"/>
      <w:bookmarkEnd w:id="1297"/>
      <w:bookmarkEnd w:id="1298"/>
      <w:bookmarkEnd w:id="1299"/>
      <w:bookmarkEnd w:id="1300"/>
      <w:r>
        <w:rPr>
          <w:snapToGrid w:val="0"/>
        </w:rPr>
        <w:t xml:space="preserve"> </w:t>
      </w:r>
    </w:p>
    <w:p>
      <w:pPr>
        <w:pStyle w:val="Subsection"/>
        <w:rPr>
          <w:snapToGrid w:val="0"/>
        </w:rPr>
      </w:pPr>
      <w:r>
        <w:rPr>
          <w:snapToGrid w:val="0"/>
        </w:rPr>
        <w:tab/>
      </w:r>
      <w:r>
        <w:rPr>
          <w:snapToGrid w:val="0"/>
        </w:rPr>
        <w:tab/>
        <w:t xml:space="preserve">An application for a scientific purposes licence is to specify the flora and fauna the applicant proposes to take. </w:t>
      </w:r>
    </w:p>
    <w:p>
      <w:pPr>
        <w:pStyle w:val="Heading5"/>
        <w:spacing w:before="240"/>
        <w:rPr>
          <w:snapToGrid w:val="0"/>
        </w:rPr>
      </w:pPr>
      <w:bookmarkStart w:id="1301" w:name="_Toc189456599"/>
      <w:bookmarkStart w:id="1302" w:name="_Toc524422610"/>
      <w:bookmarkStart w:id="1303" w:name="_Toc5508204"/>
      <w:bookmarkStart w:id="1304" w:name="_Toc8119172"/>
      <w:bookmarkStart w:id="1305" w:name="_Toc78685305"/>
      <w:bookmarkStart w:id="1306" w:name="_Toc150315682"/>
      <w:bookmarkStart w:id="1307" w:name="_Toc160332840"/>
      <w:bookmarkStart w:id="1308" w:name="_Toc170207866"/>
      <w:r>
        <w:rPr>
          <w:rStyle w:val="CharSectno"/>
        </w:rPr>
        <w:t>91</w:t>
      </w:r>
      <w:r>
        <w:rPr>
          <w:snapToGrid w:val="0"/>
        </w:rPr>
        <w:t>.</w:t>
      </w:r>
      <w:r>
        <w:rPr>
          <w:snapToGrid w:val="0"/>
        </w:rPr>
        <w:tab/>
        <w:t>Duration of scientific purposes licence</w:t>
      </w:r>
      <w:bookmarkEnd w:id="1301"/>
      <w:bookmarkEnd w:id="1302"/>
      <w:bookmarkEnd w:id="1303"/>
      <w:bookmarkEnd w:id="1304"/>
      <w:bookmarkEnd w:id="1305"/>
      <w:bookmarkEnd w:id="1306"/>
      <w:bookmarkEnd w:id="1307"/>
      <w:bookmarkEnd w:id="1308"/>
      <w:r>
        <w:rPr>
          <w:snapToGrid w:val="0"/>
        </w:rPr>
        <w:t xml:space="preserve"> </w:t>
      </w:r>
    </w:p>
    <w:p>
      <w:pPr>
        <w:pStyle w:val="Subsection"/>
        <w:rPr>
          <w:snapToGrid w:val="0"/>
        </w:rPr>
      </w:pPr>
      <w:r>
        <w:rPr>
          <w:snapToGrid w:val="0"/>
        </w:rPr>
        <w:tab/>
      </w:r>
      <w:r>
        <w:rPr>
          <w:snapToGrid w:val="0"/>
        </w:rPr>
        <w:tab/>
        <w:t>Subject to this Part, a scientific purposes licence remains current for the period specified in the licence.</w:t>
      </w:r>
    </w:p>
    <w:p>
      <w:pPr>
        <w:pStyle w:val="Heading5"/>
        <w:rPr>
          <w:snapToGrid w:val="0"/>
        </w:rPr>
      </w:pPr>
      <w:bookmarkStart w:id="1309" w:name="_Hlt4904213"/>
      <w:bookmarkStart w:id="1310" w:name="_Toc189456600"/>
      <w:bookmarkStart w:id="1311" w:name="_Toc524422611"/>
      <w:bookmarkStart w:id="1312" w:name="_Toc5508205"/>
      <w:bookmarkStart w:id="1313" w:name="_Toc8119173"/>
      <w:bookmarkStart w:id="1314" w:name="_Toc78685306"/>
      <w:bookmarkStart w:id="1315" w:name="_Toc150315683"/>
      <w:bookmarkStart w:id="1316" w:name="_Toc160332841"/>
      <w:bookmarkStart w:id="1317" w:name="_Toc170207867"/>
      <w:bookmarkEnd w:id="1309"/>
      <w:r>
        <w:rPr>
          <w:rStyle w:val="CharSectno"/>
        </w:rPr>
        <w:t>92</w:t>
      </w:r>
      <w:r>
        <w:rPr>
          <w:snapToGrid w:val="0"/>
        </w:rPr>
        <w:t>.</w:t>
      </w:r>
      <w:r>
        <w:rPr>
          <w:snapToGrid w:val="0"/>
        </w:rPr>
        <w:tab/>
        <w:t>Renewal of scientific purposes licence</w:t>
      </w:r>
      <w:bookmarkEnd w:id="1310"/>
      <w:bookmarkEnd w:id="1311"/>
      <w:bookmarkEnd w:id="1312"/>
      <w:bookmarkEnd w:id="1313"/>
      <w:bookmarkEnd w:id="1314"/>
      <w:bookmarkEnd w:id="1315"/>
      <w:bookmarkEnd w:id="1316"/>
      <w:bookmarkEnd w:id="1317"/>
    </w:p>
    <w:p>
      <w:pPr>
        <w:pStyle w:val="Subsection"/>
        <w:spacing w:before="180"/>
      </w:pPr>
      <w:r>
        <w:tab/>
      </w:r>
      <w:r>
        <w:tab/>
        <w:t>The CEO may, on payment of the appropriate fee specified in Schedule 1</w:t>
      </w:r>
      <w:bookmarkStart w:id="1318" w:name="_Hlt499614363"/>
      <w:r>
        <w:t xml:space="preserve"> </w:t>
      </w:r>
      <w:bookmarkEnd w:id="1318"/>
      <w:r>
        <w:t>Division </w:t>
      </w:r>
      <w:bookmarkStart w:id="1319" w:name="_Hlt4904200"/>
      <w:bookmarkEnd w:id="1319"/>
      <w:r>
        <w:t>8, renew the scientific purposes licence of any person for a further period determined by the CEO.</w:t>
      </w:r>
    </w:p>
    <w:p>
      <w:pPr>
        <w:pStyle w:val="Footnotesection"/>
      </w:pPr>
      <w:r>
        <w:tab/>
        <w:t>[Regulation 92 amended in Gazette 29 Sep 2006 p. 4334.]</w:t>
      </w:r>
    </w:p>
    <w:p>
      <w:pPr>
        <w:pStyle w:val="Heading5"/>
        <w:spacing w:before="240"/>
        <w:rPr>
          <w:snapToGrid w:val="0"/>
        </w:rPr>
      </w:pPr>
      <w:bookmarkStart w:id="1320" w:name="_Toc189456601"/>
      <w:bookmarkStart w:id="1321" w:name="_Toc524422612"/>
      <w:bookmarkStart w:id="1322" w:name="_Toc5508206"/>
      <w:bookmarkStart w:id="1323" w:name="_Toc8119174"/>
      <w:bookmarkStart w:id="1324" w:name="_Toc78685307"/>
      <w:bookmarkStart w:id="1325" w:name="_Toc150315684"/>
      <w:bookmarkStart w:id="1326" w:name="_Toc160332842"/>
      <w:bookmarkStart w:id="1327" w:name="_Toc170207868"/>
      <w:r>
        <w:rPr>
          <w:rStyle w:val="CharSectno"/>
        </w:rPr>
        <w:t>93</w:t>
      </w:r>
      <w:r>
        <w:rPr>
          <w:snapToGrid w:val="0"/>
        </w:rPr>
        <w:t>.</w:t>
      </w:r>
      <w:r>
        <w:rPr>
          <w:snapToGrid w:val="0"/>
        </w:rPr>
        <w:tab/>
        <w:t>Conditions and restrictions</w:t>
      </w:r>
      <w:bookmarkEnd w:id="1320"/>
      <w:bookmarkEnd w:id="1321"/>
      <w:bookmarkEnd w:id="1322"/>
      <w:bookmarkEnd w:id="1323"/>
      <w:bookmarkEnd w:id="1324"/>
      <w:bookmarkEnd w:id="1325"/>
      <w:bookmarkEnd w:id="1326"/>
      <w:bookmarkEnd w:id="1327"/>
      <w:r>
        <w:rPr>
          <w:snapToGrid w:val="0"/>
        </w:rPr>
        <w:t xml:space="preserve"> </w:t>
      </w:r>
    </w:p>
    <w:p>
      <w:pPr>
        <w:pStyle w:val="Subsection"/>
        <w:spacing w:before="180"/>
        <w:rPr>
          <w:snapToGrid w:val="0"/>
        </w:rPr>
      </w:pPr>
      <w:r>
        <w:rPr>
          <w:snapToGrid w:val="0"/>
        </w:rPr>
        <w:tab/>
        <w:t>(1)</w:t>
      </w:r>
      <w:r>
        <w:rPr>
          <w:snapToGrid w:val="0"/>
        </w:rPr>
        <w:tab/>
        <w:t xml:space="preserve">A scientific purposes licence may be granted subject to such conditions and restrictions as the </w:t>
      </w:r>
      <w:r>
        <w:t xml:space="preserve">CEO </w:t>
      </w:r>
      <w:r>
        <w:rPr>
          <w:snapToGrid w:val="0"/>
        </w:rPr>
        <w:t>thinks fit, including conditions and restrictions as to — </w:t>
      </w:r>
    </w:p>
    <w:p>
      <w:pPr>
        <w:pStyle w:val="Indenta"/>
        <w:rPr>
          <w:snapToGrid w:val="0"/>
        </w:rPr>
      </w:pPr>
      <w:r>
        <w:rPr>
          <w:snapToGrid w:val="0"/>
        </w:rPr>
        <w:tab/>
        <w:t>(a)</w:t>
      </w:r>
      <w:r>
        <w:rPr>
          <w:snapToGrid w:val="0"/>
        </w:rPr>
        <w:tab/>
        <w:t>the marine nature reserves, marine parks and marine management areas in which the holder of the licence may take flora and fauna for scientific purposes;</w:t>
      </w:r>
    </w:p>
    <w:p>
      <w:pPr>
        <w:pStyle w:val="Indenta"/>
        <w:rPr>
          <w:snapToGrid w:val="0"/>
        </w:rPr>
      </w:pPr>
      <w:r>
        <w:rPr>
          <w:snapToGrid w:val="0"/>
        </w:rPr>
        <w:tab/>
        <w:t>(b)</w:t>
      </w:r>
      <w:r>
        <w:rPr>
          <w:snapToGrid w:val="0"/>
        </w:rPr>
        <w:tab/>
        <w:t>the scientific purposes for which the flora and fauna may be used;</w:t>
      </w:r>
    </w:p>
    <w:p>
      <w:pPr>
        <w:pStyle w:val="Indenta"/>
        <w:rPr>
          <w:snapToGrid w:val="0"/>
        </w:rPr>
      </w:pPr>
      <w:r>
        <w:rPr>
          <w:snapToGrid w:val="0"/>
        </w:rPr>
        <w:tab/>
        <w:t>(c)</w:t>
      </w:r>
      <w:r>
        <w:rPr>
          <w:snapToGrid w:val="0"/>
        </w:rPr>
        <w:tab/>
        <w:t>the species, and the greatest number of each or any species, that may be taken, held or disposed of; and</w:t>
      </w:r>
    </w:p>
    <w:p>
      <w:pPr>
        <w:pStyle w:val="Indenta"/>
        <w:rPr>
          <w:snapToGrid w:val="0"/>
        </w:rPr>
      </w:pPr>
      <w:r>
        <w:rPr>
          <w:snapToGrid w:val="0"/>
        </w:rPr>
        <w:tab/>
        <w:t>(d)</w:t>
      </w:r>
      <w:r>
        <w:rPr>
          <w:snapToGrid w:val="0"/>
        </w:rPr>
        <w:tab/>
        <w:t>the part or parts of the State in which the flora or fauna may be taken, held or released.</w:t>
      </w:r>
    </w:p>
    <w:p>
      <w:pPr>
        <w:pStyle w:val="Subsection"/>
        <w:spacing w:before="180"/>
        <w:rPr>
          <w:snapToGrid w:val="0"/>
        </w:rPr>
      </w:pPr>
      <w:r>
        <w:rPr>
          <w:snapToGrid w:val="0"/>
        </w:rPr>
        <w:tab/>
        <w:t>(2)</w:t>
      </w:r>
      <w:r>
        <w:rPr>
          <w:snapToGrid w:val="0"/>
        </w:rPr>
        <w:tab/>
        <w:t xml:space="preserve">The </w:t>
      </w:r>
      <w:r>
        <w:t xml:space="preserve">CEO </w:t>
      </w:r>
      <w:r>
        <w:rPr>
          <w:snapToGrid w:val="0"/>
        </w:rPr>
        <w:t xml:space="preserve">is not to impose any restrictions on the taking, in a marine park or marine management area — </w:t>
      </w:r>
    </w:p>
    <w:p>
      <w:pPr>
        <w:pStyle w:val="Indenta"/>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pPr>
      <w:r>
        <w:tab/>
        <w:t>(b)</w:t>
      </w:r>
      <w:r>
        <w:tab/>
        <w:t xml:space="preserve">of pearl oyster, within the meaning of the </w:t>
      </w:r>
      <w:r>
        <w:rPr>
          <w:i/>
        </w:rPr>
        <w:t>Pearling Act 1990</w:t>
      </w:r>
      <w:r>
        <w:t xml:space="preserve">, in accordance with that Act. </w:t>
      </w:r>
    </w:p>
    <w:p>
      <w:pPr>
        <w:pStyle w:val="Subsection"/>
      </w:pPr>
      <w:r>
        <w:tab/>
        <w:t>(3)</w:t>
      </w:r>
      <w:r>
        <w:tab/>
        <w:t>The prohibition in subregulation (2)(a) does not include a restriction that relates to conduct or activity other than the taking of fish but that incidentally affects the taking of fish.</w:t>
      </w:r>
    </w:p>
    <w:p>
      <w:pPr>
        <w:pStyle w:val="Subsection"/>
        <w:keepNext/>
        <w:rPr>
          <w:snapToGrid w:val="0"/>
        </w:rPr>
      </w:pPr>
      <w:r>
        <w:rPr>
          <w:snapToGrid w:val="0"/>
        </w:rPr>
        <w:tab/>
        <w:t>(4)</w:t>
      </w:r>
      <w:r>
        <w:rPr>
          <w:snapToGrid w:val="0"/>
        </w:rPr>
        <w:tab/>
        <w:t>Where a scientific purposes licence is granted subject to conditions or restrictions, those conditions or restrictions — </w:t>
      </w:r>
    </w:p>
    <w:p>
      <w:pPr>
        <w:pStyle w:val="Indenta"/>
        <w:rPr>
          <w:snapToGrid w:val="0"/>
        </w:rPr>
      </w:pPr>
      <w:r>
        <w:rPr>
          <w:snapToGrid w:val="0"/>
        </w:rPr>
        <w:tab/>
        <w:t>(a)</w:t>
      </w:r>
      <w:r>
        <w:rPr>
          <w:snapToGrid w:val="0"/>
        </w:rPr>
        <w:tab/>
        <w:t>are to be endorsed upon or attached to the licence when granted;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(5)</w:t>
      </w:r>
      <w:r>
        <w:rPr>
          <w:snapToGrid w:val="0"/>
        </w:rPr>
        <w:tab/>
        <w:t>The holder of a scientific purposes licence must not contravene a condition or restriction endorsed upon or attached to the licence.</w:t>
      </w:r>
    </w:p>
    <w:p>
      <w:pPr>
        <w:pStyle w:val="Penstart"/>
        <w:rPr>
          <w:snapToGrid w:val="0"/>
        </w:rPr>
      </w:pPr>
      <w:r>
        <w:rPr>
          <w:snapToGrid w:val="0"/>
        </w:rPr>
        <w:tab/>
        <w:t>Penalty: $500.</w:t>
      </w:r>
    </w:p>
    <w:p>
      <w:pPr>
        <w:pStyle w:val="Footnotesection"/>
      </w:pPr>
      <w:r>
        <w:tab/>
        <w:t>[Regulation 93 amended in Gazette 4 Oct 2002 p. 5065; 29 Sep 2006 p. 4334.]</w:t>
      </w:r>
    </w:p>
    <w:p>
      <w:pPr>
        <w:pStyle w:val="Heading3"/>
      </w:pPr>
      <w:bookmarkStart w:id="1328" w:name="_Toc189456602"/>
      <w:bookmarkStart w:id="1329" w:name="_Toc524422613"/>
      <w:bookmarkStart w:id="1330" w:name="_Toc71354967"/>
      <w:bookmarkStart w:id="1331" w:name="_Toc78623705"/>
      <w:bookmarkStart w:id="1332" w:name="_Toc78685308"/>
      <w:bookmarkStart w:id="1333" w:name="_Toc147312410"/>
      <w:bookmarkStart w:id="1334" w:name="_Toc147631270"/>
      <w:bookmarkStart w:id="1335" w:name="_Toc147633604"/>
      <w:bookmarkStart w:id="1336" w:name="_Toc147907048"/>
      <w:bookmarkStart w:id="1337" w:name="_Toc147907447"/>
      <w:bookmarkStart w:id="1338" w:name="_Toc149010000"/>
      <w:bookmarkStart w:id="1339" w:name="_Toc149010354"/>
      <w:bookmarkStart w:id="1340" w:name="_Toc149010522"/>
      <w:bookmarkStart w:id="1341" w:name="_Toc149016402"/>
      <w:bookmarkStart w:id="1342" w:name="_Toc149039145"/>
      <w:bookmarkStart w:id="1343" w:name="_Toc149039866"/>
      <w:bookmarkStart w:id="1344" w:name="_Toc150315474"/>
      <w:bookmarkStart w:id="1345" w:name="_Toc150315685"/>
      <w:bookmarkStart w:id="1346" w:name="_Toc160272895"/>
      <w:bookmarkStart w:id="1347" w:name="_Toc160332843"/>
      <w:bookmarkStart w:id="1348" w:name="_Toc170207869"/>
      <w:r>
        <w:rPr>
          <w:rStyle w:val="CharDivNo"/>
        </w:rPr>
        <w:t>Division 3</w:t>
      </w:r>
      <w:r>
        <w:rPr>
          <w:snapToGrid w:val="0"/>
        </w:rPr>
        <w:t xml:space="preserve"> — </w:t>
      </w:r>
      <w:r>
        <w:rPr>
          <w:rStyle w:val="CharDivText"/>
        </w:rPr>
        <w:t>Commercial operations licences</w:t>
      </w:r>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r>
        <w:rPr>
          <w:rStyle w:val="CharDivText"/>
        </w:rPr>
        <w:t xml:space="preserve"> </w:t>
      </w:r>
    </w:p>
    <w:p>
      <w:pPr>
        <w:pStyle w:val="Heading5"/>
        <w:rPr>
          <w:snapToGrid w:val="0"/>
        </w:rPr>
      </w:pPr>
      <w:bookmarkStart w:id="1349" w:name="_Toc189456603"/>
      <w:bookmarkStart w:id="1350" w:name="_Toc524422614"/>
      <w:bookmarkStart w:id="1351" w:name="_Toc5508207"/>
      <w:bookmarkStart w:id="1352" w:name="_Toc8119175"/>
      <w:bookmarkStart w:id="1353" w:name="_Toc78685309"/>
      <w:bookmarkStart w:id="1354" w:name="_Toc150315686"/>
      <w:bookmarkStart w:id="1355" w:name="_Toc160332844"/>
      <w:bookmarkStart w:id="1356" w:name="_Toc170207870"/>
      <w:r>
        <w:rPr>
          <w:rStyle w:val="CharSectno"/>
        </w:rPr>
        <w:t>94</w:t>
      </w:r>
      <w:r>
        <w:rPr>
          <w:snapToGrid w:val="0"/>
        </w:rPr>
        <w:t>.</w:t>
      </w:r>
      <w:r>
        <w:rPr>
          <w:snapToGrid w:val="0"/>
        </w:rPr>
        <w:tab/>
        <w:t>Commercial operations licence</w:t>
      </w:r>
      <w:bookmarkEnd w:id="1349"/>
      <w:bookmarkEnd w:id="1350"/>
      <w:bookmarkEnd w:id="1351"/>
      <w:bookmarkEnd w:id="1352"/>
      <w:bookmarkEnd w:id="1353"/>
      <w:bookmarkEnd w:id="1354"/>
      <w:bookmarkEnd w:id="1355"/>
      <w:bookmarkEnd w:id="1356"/>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grant a licence to any person to sell goods or services, or to undertake an activity for a commercial purpose, on an area of CALM land.</w:t>
      </w:r>
    </w:p>
    <w:p>
      <w:pPr>
        <w:pStyle w:val="Subsection"/>
      </w:pPr>
      <w:r>
        <w:rPr>
          <w:snapToGrid w:val="0"/>
        </w:rPr>
        <w:tab/>
        <w:t>(2)</w:t>
      </w:r>
      <w:r>
        <w:rPr>
          <w:snapToGrid w:val="0"/>
        </w:rPr>
        <w:tab/>
      </w:r>
      <w:r>
        <w:t xml:space="preserve">The CEO may not grant a licence under this regulation to take or remove forest produce or other flora from land to which Part VIII Division 2 of the Act applies and which </w:t>
      </w:r>
      <w:bookmarkStart w:id="1357" w:name="_Hlt4905112"/>
      <w:bookmarkEnd w:id="1357"/>
      <w:r>
        <w:t>is vested in the Conservation Commission.</w:t>
      </w:r>
    </w:p>
    <w:p>
      <w:pPr>
        <w:pStyle w:val="Footnotesection"/>
      </w:pPr>
      <w:r>
        <w:tab/>
        <w:t>[Regulation 94 amended in Gazette 29 Sep 2006 p. 4334.]</w:t>
      </w:r>
    </w:p>
    <w:p>
      <w:pPr>
        <w:pStyle w:val="Heading5"/>
        <w:rPr>
          <w:snapToGrid w:val="0"/>
        </w:rPr>
      </w:pPr>
      <w:bookmarkStart w:id="1358" w:name="_Toc189456604"/>
      <w:bookmarkStart w:id="1359" w:name="_Toc524422615"/>
      <w:bookmarkStart w:id="1360" w:name="_Toc5508208"/>
      <w:bookmarkStart w:id="1361" w:name="_Toc8119176"/>
      <w:bookmarkStart w:id="1362" w:name="_Toc78685310"/>
      <w:bookmarkStart w:id="1363" w:name="_Toc150315687"/>
      <w:bookmarkStart w:id="1364" w:name="_Toc160332845"/>
      <w:bookmarkStart w:id="1365" w:name="_Toc170207871"/>
      <w:r>
        <w:rPr>
          <w:rStyle w:val="CharSectno"/>
        </w:rPr>
        <w:t>95</w:t>
      </w:r>
      <w:r>
        <w:rPr>
          <w:snapToGrid w:val="0"/>
        </w:rPr>
        <w:t>.</w:t>
      </w:r>
      <w:r>
        <w:rPr>
          <w:snapToGrid w:val="0"/>
        </w:rPr>
        <w:tab/>
        <w:t>Application for commercial operations licence</w:t>
      </w:r>
      <w:bookmarkEnd w:id="1358"/>
      <w:bookmarkEnd w:id="1359"/>
      <w:bookmarkEnd w:id="1360"/>
      <w:bookmarkEnd w:id="1361"/>
      <w:bookmarkEnd w:id="1362"/>
      <w:bookmarkEnd w:id="1363"/>
      <w:bookmarkEnd w:id="1364"/>
      <w:bookmarkEnd w:id="1365"/>
      <w:r>
        <w:rPr>
          <w:snapToGrid w:val="0"/>
        </w:rPr>
        <w:t xml:space="preserve"> </w:t>
      </w:r>
    </w:p>
    <w:p>
      <w:pPr>
        <w:pStyle w:val="Subsection"/>
        <w:rPr>
          <w:snapToGrid w:val="0"/>
        </w:rPr>
      </w:pPr>
      <w:r>
        <w:rPr>
          <w:snapToGrid w:val="0"/>
        </w:rPr>
        <w:tab/>
      </w:r>
      <w:r>
        <w:rPr>
          <w:snapToGrid w:val="0"/>
        </w:rPr>
        <w:tab/>
        <w:t>An application for a commercial operations licence is to specify — </w:t>
      </w:r>
    </w:p>
    <w:p>
      <w:pPr>
        <w:pStyle w:val="Indenta"/>
        <w:rPr>
          <w:snapToGrid w:val="0"/>
        </w:rPr>
      </w:pPr>
      <w:r>
        <w:rPr>
          <w:snapToGrid w:val="0"/>
        </w:rPr>
        <w:tab/>
        <w:t>(a)</w:t>
      </w:r>
      <w:r>
        <w:rPr>
          <w:snapToGrid w:val="0"/>
        </w:rPr>
        <w:tab/>
        <w:t>the goods or services the applicant proposes to sell or the activity the applicant proposes to undertake; and</w:t>
      </w:r>
    </w:p>
    <w:p>
      <w:pPr>
        <w:pStyle w:val="Indenta"/>
        <w:keepNext/>
        <w:rPr>
          <w:snapToGrid w:val="0"/>
        </w:rPr>
      </w:pPr>
      <w:r>
        <w:rPr>
          <w:snapToGrid w:val="0"/>
        </w:rPr>
        <w:tab/>
        <w:t>(b)</w:t>
      </w:r>
      <w:r>
        <w:rPr>
          <w:snapToGrid w:val="0"/>
        </w:rPr>
        <w:tab/>
        <w:t>the places where it is proposed to sell the goods or services or undertake the activity.</w:t>
      </w:r>
    </w:p>
    <w:p>
      <w:pPr>
        <w:pStyle w:val="Heading5"/>
        <w:rPr>
          <w:snapToGrid w:val="0"/>
        </w:rPr>
      </w:pPr>
      <w:bookmarkStart w:id="1366" w:name="_Toc189456605"/>
      <w:bookmarkStart w:id="1367" w:name="_Toc524422616"/>
      <w:bookmarkStart w:id="1368" w:name="_Toc5508209"/>
      <w:bookmarkStart w:id="1369" w:name="_Toc8119177"/>
      <w:bookmarkStart w:id="1370" w:name="_Toc78685311"/>
      <w:bookmarkStart w:id="1371" w:name="_Toc150315688"/>
      <w:bookmarkStart w:id="1372" w:name="_Toc160332846"/>
      <w:bookmarkStart w:id="1373" w:name="_Toc170207872"/>
      <w:r>
        <w:rPr>
          <w:rStyle w:val="CharSectno"/>
        </w:rPr>
        <w:t>96</w:t>
      </w:r>
      <w:r>
        <w:rPr>
          <w:snapToGrid w:val="0"/>
        </w:rPr>
        <w:t>.</w:t>
      </w:r>
      <w:r>
        <w:rPr>
          <w:snapToGrid w:val="0"/>
        </w:rPr>
        <w:tab/>
        <w:t>Duration of commercial operations licence</w:t>
      </w:r>
      <w:bookmarkEnd w:id="1366"/>
      <w:bookmarkEnd w:id="1367"/>
      <w:bookmarkEnd w:id="1368"/>
      <w:bookmarkEnd w:id="1369"/>
      <w:bookmarkEnd w:id="1370"/>
      <w:bookmarkEnd w:id="1371"/>
      <w:bookmarkEnd w:id="1372"/>
      <w:bookmarkEnd w:id="1373"/>
      <w:r>
        <w:rPr>
          <w:snapToGrid w:val="0"/>
        </w:rPr>
        <w:t xml:space="preserve"> </w:t>
      </w:r>
    </w:p>
    <w:p>
      <w:pPr>
        <w:pStyle w:val="Subsection"/>
        <w:rPr>
          <w:snapToGrid w:val="0"/>
        </w:rPr>
      </w:pPr>
      <w:r>
        <w:rPr>
          <w:snapToGrid w:val="0"/>
        </w:rPr>
        <w:tab/>
      </w:r>
      <w:r>
        <w:rPr>
          <w:snapToGrid w:val="0"/>
        </w:rPr>
        <w:tab/>
        <w:t>Subject to this Part, a commercial operations licence is valid for such period, not exceeding 5 years, as is specified in the licence.</w:t>
      </w:r>
    </w:p>
    <w:p>
      <w:pPr>
        <w:pStyle w:val="Heading5"/>
        <w:rPr>
          <w:snapToGrid w:val="0"/>
        </w:rPr>
      </w:pPr>
      <w:bookmarkStart w:id="1374" w:name="_Toc189456606"/>
      <w:bookmarkStart w:id="1375" w:name="_Toc524422617"/>
      <w:bookmarkStart w:id="1376" w:name="_Toc5508210"/>
      <w:bookmarkStart w:id="1377" w:name="_Toc8119178"/>
      <w:bookmarkStart w:id="1378" w:name="_Toc78685312"/>
      <w:bookmarkStart w:id="1379" w:name="_Toc150315689"/>
      <w:bookmarkStart w:id="1380" w:name="_Toc160332847"/>
      <w:bookmarkStart w:id="1381" w:name="_Toc170207873"/>
      <w:r>
        <w:rPr>
          <w:rStyle w:val="CharSectno"/>
        </w:rPr>
        <w:t>97</w:t>
      </w:r>
      <w:r>
        <w:rPr>
          <w:snapToGrid w:val="0"/>
        </w:rPr>
        <w:t>.</w:t>
      </w:r>
      <w:r>
        <w:rPr>
          <w:snapToGrid w:val="0"/>
        </w:rPr>
        <w:tab/>
        <w:t>Renewal of commercial operations licence</w:t>
      </w:r>
      <w:bookmarkEnd w:id="1374"/>
      <w:bookmarkEnd w:id="1375"/>
      <w:bookmarkEnd w:id="1376"/>
      <w:bookmarkEnd w:id="1377"/>
      <w:bookmarkEnd w:id="1378"/>
      <w:bookmarkEnd w:id="1379"/>
      <w:bookmarkEnd w:id="1380"/>
      <w:bookmarkEnd w:id="1381"/>
    </w:p>
    <w:p>
      <w:pPr>
        <w:pStyle w:val="Subsection"/>
        <w:rPr>
          <w:snapToGrid w:val="0"/>
        </w:rPr>
      </w:pPr>
      <w:r>
        <w:rPr>
          <w:snapToGrid w:val="0"/>
        </w:rPr>
        <w:tab/>
      </w:r>
      <w:r>
        <w:rPr>
          <w:snapToGrid w:val="0"/>
        </w:rPr>
        <w:tab/>
        <w:t xml:space="preserve">The </w:t>
      </w:r>
      <w:r>
        <w:t xml:space="preserve">CEO </w:t>
      </w:r>
      <w:r>
        <w:rPr>
          <w:snapToGrid w:val="0"/>
        </w:rPr>
        <w:t>may, on payment of the appropriate fee specified in Schedule 1 Division </w:t>
      </w:r>
      <w:bookmarkStart w:id="1382" w:name="_Hlt4904249"/>
      <w:bookmarkEnd w:id="1382"/>
      <w:r>
        <w:rPr>
          <w:snapToGrid w:val="0"/>
        </w:rPr>
        <w:t>8, renew the commercial operations licence of any person for a further period not exceeding 5 years.</w:t>
      </w:r>
    </w:p>
    <w:p>
      <w:pPr>
        <w:pStyle w:val="Footnotesection"/>
      </w:pPr>
      <w:r>
        <w:tab/>
        <w:t>[Regulation 97 amended in Gazette 29 Sep 2006 p. 4334.]</w:t>
      </w:r>
    </w:p>
    <w:p>
      <w:pPr>
        <w:pStyle w:val="Heading5"/>
        <w:rPr>
          <w:snapToGrid w:val="0"/>
        </w:rPr>
      </w:pPr>
      <w:bookmarkStart w:id="1383" w:name="_Toc189456607"/>
      <w:bookmarkStart w:id="1384" w:name="_Toc524422618"/>
      <w:bookmarkStart w:id="1385" w:name="_Toc5508211"/>
      <w:bookmarkStart w:id="1386" w:name="_Toc8119179"/>
      <w:bookmarkStart w:id="1387" w:name="_Toc78685313"/>
      <w:bookmarkStart w:id="1388" w:name="_Toc150315690"/>
      <w:bookmarkStart w:id="1389" w:name="_Toc160332848"/>
      <w:bookmarkStart w:id="1390" w:name="_Toc170207874"/>
      <w:r>
        <w:rPr>
          <w:rStyle w:val="CharSectno"/>
        </w:rPr>
        <w:t>98</w:t>
      </w:r>
      <w:r>
        <w:rPr>
          <w:snapToGrid w:val="0"/>
        </w:rPr>
        <w:t>.</w:t>
      </w:r>
      <w:r>
        <w:rPr>
          <w:snapToGrid w:val="0"/>
        </w:rPr>
        <w:tab/>
        <w:t>Conditions</w:t>
      </w:r>
      <w:bookmarkEnd w:id="1383"/>
      <w:bookmarkEnd w:id="1384"/>
      <w:bookmarkEnd w:id="1385"/>
      <w:bookmarkEnd w:id="1386"/>
      <w:bookmarkEnd w:id="1387"/>
      <w:bookmarkEnd w:id="1388"/>
      <w:bookmarkEnd w:id="1389"/>
      <w:bookmarkEnd w:id="1390"/>
      <w:r>
        <w:rPr>
          <w:snapToGrid w:val="0"/>
        </w:rPr>
        <w:t xml:space="preserve"> </w:t>
      </w:r>
    </w:p>
    <w:p>
      <w:pPr>
        <w:pStyle w:val="Subsection"/>
        <w:rPr>
          <w:snapToGrid w:val="0"/>
        </w:rPr>
      </w:pPr>
      <w:r>
        <w:rPr>
          <w:snapToGrid w:val="0"/>
        </w:rPr>
        <w:tab/>
        <w:t>(1)</w:t>
      </w:r>
      <w:r>
        <w:rPr>
          <w:snapToGrid w:val="0"/>
        </w:rPr>
        <w:tab/>
        <w:t xml:space="preserve">A commercial operations licence may be granted or renewed subject to such conditions as the </w:t>
      </w:r>
      <w:r>
        <w:t xml:space="preserve">CEO </w:t>
      </w:r>
      <w:r>
        <w:rPr>
          <w:snapToGrid w:val="0"/>
        </w:rPr>
        <w:t>thinks fit, including conditions as to — </w:t>
      </w:r>
    </w:p>
    <w:p>
      <w:pPr>
        <w:pStyle w:val="Indenta"/>
        <w:rPr>
          <w:snapToGrid w:val="0"/>
        </w:rPr>
      </w:pPr>
      <w:r>
        <w:rPr>
          <w:snapToGrid w:val="0"/>
        </w:rPr>
        <w:tab/>
        <w:t>(a)</w:t>
      </w:r>
      <w:r>
        <w:rPr>
          <w:snapToGrid w:val="0"/>
        </w:rPr>
        <w:tab/>
        <w:t>the land to which the licence applies;</w:t>
      </w:r>
    </w:p>
    <w:p>
      <w:pPr>
        <w:pStyle w:val="Indenta"/>
        <w:rPr>
          <w:snapToGrid w:val="0"/>
        </w:rPr>
      </w:pPr>
      <w:r>
        <w:rPr>
          <w:snapToGrid w:val="0"/>
        </w:rPr>
        <w:tab/>
        <w:t>(b)</w:t>
      </w:r>
      <w:r>
        <w:rPr>
          <w:snapToGrid w:val="0"/>
        </w:rPr>
        <w:tab/>
        <w:t>the class or description of goods, services or activity to which the licence applies;</w:t>
      </w:r>
    </w:p>
    <w:p>
      <w:pPr>
        <w:pStyle w:val="Indenta"/>
        <w:rPr>
          <w:snapToGrid w:val="0"/>
        </w:rPr>
      </w:pPr>
      <w:r>
        <w:rPr>
          <w:snapToGrid w:val="0"/>
        </w:rPr>
        <w:tab/>
        <w:t>(c)</w:t>
      </w:r>
      <w:r>
        <w:rPr>
          <w:snapToGrid w:val="0"/>
        </w:rPr>
        <w:tab/>
        <w:t>the manner in which the goods or services are to be supplied (including conditions as to the viewing and feeding of fauna) or the activity is to be undertaken; and</w:t>
      </w:r>
    </w:p>
    <w:p>
      <w:pPr>
        <w:pStyle w:val="Indenta"/>
        <w:rPr>
          <w:snapToGrid w:val="0"/>
        </w:rPr>
      </w:pPr>
      <w:r>
        <w:rPr>
          <w:snapToGrid w:val="0"/>
        </w:rPr>
        <w:tab/>
        <w:t>(d)</w:t>
      </w:r>
      <w:r>
        <w:rPr>
          <w:snapToGrid w:val="0"/>
        </w:rPr>
        <w:tab/>
        <w:t>the payment of any charge in relation to the use of land to which these regulations apply and the equipment, services and facilities of the Department.</w:t>
      </w:r>
    </w:p>
    <w:p>
      <w:pPr>
        <w:pStyle w:val="Subsection"/>
        <w:rPr>
          <w:snapToGrid w:val="0"/>
        </w:rPr>
      </w:pPr>
      <w:r>
        <w:rPr>
          <w:snapToGrid w:val="0"/>
        </w:rPr>
        <w:tab/>
        <w:t>(2)</w:t>
      </w:r>
      <w:r>
        <w:rPr>
          <w:snapToGrid w:val="0"/>
        </w:rPr>
        <w:tab/>
        <w:t>Where a commercial operations licence is granted or renewed subject to conditions, those conditions — </w:t>
      </w:r>
    </w:p>
    <w:p>
      <w:pPr>
        <w:pStyle w:val="Indenta"/>
        <w:rPr>
          <w:snapToGrid w:val="0"/>
        </w:rPr>
      </w:pPr>
      <w:r>
        <w:rPr>
          <w:snapToGrid w:val="0"/>
        </w:rPr>
        <w:tab/>
        <w:t>(a)</w:t>
      </w:r>
      <w:r>
        <w:rPr>
          <w:snapToGrid w:val="0"/>
        </w:rPr>
        <w:tab/>
        <w:t>are to be endorsed upon or attached to the licence when granted or renewed, as the case may be;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(3)</w:t>
      </w:r>
      <w:r>
        <w:rPr>
          <w:snapToGrid w:val="0"/>
        </w:rPr>
        <w:tab/>
        <w:t>The holder of a commercial operations licence must not contravene a condition endorsed upon or attached to the licence.</w:t>
      </w:r>
    </w:p>
    <w:p>
      <w:pPr>
        <w:pStyle w:val="Penstart"/>
        <w:rPr>
          <w:snapToGrid w:val="0"/>
        </w:rPr>
      </w:pPr>
      <w:r>
        <w:rPr>
          <w:snapToGrid w:val="0"/>
        </w:rPr>
        <w:tab/>
        <w:t>Penalty: $1 000.</w:t>
      </w:r>
    </w:p>
    <w:p>
      <w:pPr>
        <w:pStyle w:val="Footnotesection"/>
      </w:pPr>
      <w:r>
        <w:tab/>
        <w:t>[Regulation 98 amended in Gazette 29 Sep 2006 p. 4334.]</w:t>
      </w:r>
    </w:p>
    <w:p>
      <w:pPr>
        <w:pStyle w:val="Heading2"/>
      </w:pPr>
      <w:bookmarkStart w:id="1391" w:name="_Toc189456608"/>
      <w:bookmarkStart w:id="1392" w:name="_Toc524422619"/>
      <w:bookmarkStart w:id="1393" w:name="_Toc78623711"/>
      <w:bookmarkStart w:id="1394" w:name="_Toc78685314"/>
      <w:bookmarkStart w:id="1395" w:name="_Toc147312416"/>
      <w:bookmarkStart w:id="1396" w:name="_Toc147631276"/>
      <w:bookmarkStart w:id="1397" w:name="_Toc147633610"/>
      <w:bookmarkStart w:id="1398" w:name="_Toc147907054"/>
      <w:bookmarkStart w:id="1399" w:name="_Toc147907453"/>
      <w:bookmarkStart w:id="1400" w:name="_Toc149010006"/>
      <w:bookmarkStart w:id="1401" w:name="_Toc149010360"/>
      <w:bookmarkStart w:id="1402" w:name="_Toc149010528"/>
      <w:bookmarkStart w:id="1403" w:name="_Toc149016408"/>
      <w:bookmarkStart w:id="1404" w:name="_Toc149039151"/>
      <w:bookmarkStart w:id="1405" w:name="_Toc149039872"/>
      <w:bookmarkStart w:id="1406" w:name="_Toc150315480"/>
      <w:bookmarkStart w:id="1407" w:name="_Toc150315691"/>
      <w:bookmarkStart w:id="1408" w:name="_Toc160272901"/>
      <w:bookmarkStart w:id="1409" w:name="_Toc160332849"/>
      <w:bookmarkStart w:id="1410" w:name="_Toc170207875"/>
      <w:bookmarkStart w:id="1411" w:name="_Toc71354973"/>
      <w:r>
        <w:rPr>
          <w:rStyle w:val="CharPartNo"/>
        </w:rPr>
        <w:t>Part 7A</w:t>
      </w:r>
      <w:r>
        <w:rPr>
          <w:rStyle w:val="CharDivNo"/>
        </w:rPr>
        <w:t> </w:t>
      </w:r>
      <w:r>
        <w:t>—</w:t>
      </w:r>
      <w:r>
        <w:rPr>
          <w:rStyle w:val="CharDivText"/>
        </w:rPr>
        <w:t> </w:t>
      </w:r>
      <w:r>
        <w:rPr>
          <w:rStyle w:val="CharPartText"/>
        </w:rPr>
        <w:t>Barrow Island Trust Account</w:t>
      </w:r>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p>
    <w:p>
      <w:pPr>
        <w:pStyle w:val="Footnoteheading"/>
        <w:tabs>
          <w:tab w:val="left" w:pos="851"/>
        </w:tabs>
      </w:pPr>
      <w:r>
        <w:tab/>
        <w:t>[Heading inserted in Gazette 27 Jul 2004 p. 3077.]</w:t>
      </w:r>
    </w:p>
    <w:p>
      <w:pPr>
        <w:pStyle w:val="Heading5"/>
      </w:pPr>
      <w:bookmarkStart w:id="1412" w:name="_Toc189456609"/>
      <w:bookmarkStart w:id="1413" w:name="_Toc524422620"/>
      <w:bookmarkStart w:id="1414" w:name="_Toc78685315"/>
      <w:bookmarkStart w:id="1415" w:name="_Toc150315692"/>
      <w:bookmarkStart w:id="1416" w:name="_Toc160332850"/>
      <w:bookmarkStart w:id="1417" w:name="_Toc170207876"/>
      <w:r>
        <w:rPr>
          <w:rStyle w:val="CharSectno"/>
        </w:rPr>
        <w:t>98A</w:t>
      </w:r>
      <w:r>
        <w:t>.</w:t>
      </w:r>
      <w:r>
        <w:tab/>
        <w:t>Definitions in this Part</w:t>
      </w:r>
      <w:bookmarkEnd w:id="1412"/>
      <w:bookmarkEnd w:id="1413"/>
      <w:bookmarkEnd w:id="1414"/>
      <w:bookmarkEnd w:id="1415"/>
      <w:bookmarkEnd w:id="1416"/>
      <w:bookmarkEnd w:id="1417"/>
    </w:p>
    <w:p>
      <w:pPr>
        <w:pStyle w:val="Subsection"/>
      </w:pPr>
      <w:r>
        <w:tab/>
      </w:r>
      <w:r>
        <w:tab/>
        <w:t xml:space="preserve">In this Part — </w:t>
      </w:r>
    </w:p>
    <w:p>
      <w:pPr>
        <w:pStyle w:val="Defstart"/>
      </w:pPr>
      <w:r>
        <w:rPr>
          <w:b/>
        </w:rPr>
        <w:tab/>
      </w:r>
      <w:del w:id="1418" w:author="Master Repository Process" w:date="2021-07-31T17:33:00Z">
        <w:r>
          <w:rPr>
            <w:b/>
          </w:rPr>
          <w:delText>“</w:delText>
        </w:r>
      </w:del>
      <w:r>
        <w:rPr>
          <w:rStyle w:val="CharDefText"/>
        </w:rPr>
        <w:t>trust account</w:t>
      </w:r>
      <w:del w:id="1419" w:author="Master Repository Process" w:date="2021-07-31T17:33:00Z">
        <w:r>
          <w:rPr>
            <w:b/>
          </w:rPr>
          <w:delText>”</w:delText>
        </w:r>
      </w:del>
      <w:r>
        <w:t xml:space="preserve"> means the Barrow Island Trust Account established under regulation 98B.</w:t>
      </w:r>
    </w:p>
    <w:p>
      <w:pPr>
        <w:pStyle w:val="Footnotesection"/>
      </w:pPr>
      <w:r>
        <w:tab/>
        <w:t>[Regulation 98A inserted in Gazette 27 Jul 2004 p. 3077.]</w:t>
      </w:r>
    </w:p>
    <w:p>
      <w:pPr>
        <w:pStyle w:val="Heading5"/>
      </w:pPr>
      <w:bookmarkStart w:id="1420" w:name="_Toc189456610"/>
      <w:bookmarkStart w:id="1421" w:name="_Toc524422621"/>
      <w:bookmarkStart w:id="1422" w:name="_Toc78685316"/>
      <w:bookmarkStart w:id="1423" w:name="_Toc150315693"/>
      <w:bookmarkStart w:id="1424" w:name="_Toc160332851"/>
      <w:bookmarkStart w:id="1425" w:name="_Toc170207877"/>
      <w:r>
        <w:rPr>
          <w:rStyle w:val="CharSectno"/>
        </w:rPr>
        <w:t>98B</w:t>
      </w:r>
      <w:r>
        <w:t>.</w:t>
      </w:r>
      <w:r>
        <w:tab/>
        <w:t>Establishment of Barrow Island Trust Account: section 69</w:t>
      </w:r>
      <w:bookmarkEnd w:id="1420"/>
      <w:bookmarkEnd w:id="1421"/>
      <w:bookmarkEnd w:id="1422"/>
      <w:bookmarkEnd w:id="1423"/>
      <w:bookmarkEnd w:id="1424"/>
      <w:bookmarkEnd w:id="1425"/>
    </w:p>
    <w:p>
      <w:pPr>
        <w:pStyle w:val="Subsection"/>
      </w:pPr>
      <w:r>
        <w:tab/>
      </w:r>
      <w:r>
        <w:tab/>
        <w:t>There is established in the Fund a trust account called the Barrow Island Trust Account.</w:t>
      </w:r>
    </w:p>
    <w:p>
      <w:pPr>
        <w:pStyle w:val="Footnotesection"/>
      </w:pPr>
      <w:r>
        <w:tab/>
        <w:t>[Regulation 98B inserted in Gazette 27 Jul 2004 p. 3078.]</w:t>
      </w:r>
    </w:p>
    <w:p>
      <w:pPr>
        <w:pStyle w:val="Heading5"/>
      </w:pPr>
      <w:bookmarkStart w:id="1426" w:name="_Toc189456611"/>
      <w:bookmarkStart w:id="1427" w:name="_Toc524422622"/>
      <w:bookmarkStart w:id="1428" w:name="_Toc78685317"/>
      <w:bookmarkStart w:id="1429" w:name="_Toc150315694"/>
      <w:bookmarkStart w:id="1430" w:name="_Toc160332852"/>
      <w:bookmarkStart w:id="1431" w:name="_Toc170207878"/>
      <w:r>
        <w:rPr>
          <w:rStyle w:val="CharSectno"/>
        </w:rPr>
        <w:t>98C</w:t>
      </w:r>
      <w:r>
        <w:t>.</w:t>
      </w:r>
      <w:r>
        <w:tab/>
        <w:t>Purpose of trust account</w:t>
      </w:r>
      <w:bookmarkEnd w:id="1426"/>
      <w:bookmarkEnd w:id="1427"/>
      <w:bookmarkEnd w:id="1428"/>
      <w:bookmarkEnd w:id="1429"/>
      <w:bookmarkEnd w:id="1430"/>
      <w:bookmarkEnd w:id="1431"/>
    </w:p>
    <w:p>
      <w:pPr>
        <w:pStyle w:val="Subsection"/>
      </w:pPr>
      <w:r>
        <w:tab/>
      </w:r>
      <w:r>
        <w:tab/>
        <w:t>The purpose of the trust account is for the funding of ongoing programs that will provide demonstrable and sustainable additions to or improvements in biodiversity conservation values of Western Australia targeting, where possible, the biodiversity conservation values affected or occurring in similar bioregions to Barrow Island.</w:t>
      </w:r>
    </w:p>
    <w:p>
      <w:pPr>
        <w:pStyle w:val="Footnotesection"/>
      </w:pPr>
      <w:r>
        <w:tab/>
        <w:t>[Regulation 98C inserted in Gazette 27 Jul 2004 p. 3078.]</w:t>
      </w:r>
    </w:p>
    <w:p>
      <w:pPr>
        <w:pStyle w:val="Heading5"/>
      </w:pPr>
      <w:bookmarkStart w:id="1432" w:name="_Toc189456612"/>
      <w:bookmarkStart w:id="1433" w:name="_Toc524422623"/>
      <w:bookmarkStart w:id="1434" w:name="_Toc78685318"/>
      <w:bookmarkStart w:id="1435" w:name="_Toc150315695"/>
      <w:bookmarkStart w:id="1436" w:name="_Toc160332853"/>
      <w:bookmarkStart w:id="1437" w:name="_Toc170207879"/>
      <w:r>
        <w:rPr>
          <w:rStyle w:val="CharSectno"/>
        </w:rPr>
        <w:t>98D</w:t>
      </w:r>
      <w:r>
        <w:t>.</w:t>
      </w:r>
      <w:r>
        <w:tab/>
        <w:t>Money comprising the trust account</w:t>
      </w:r>
      <w:bookmarkEnd w:id="1432"/>
      <w:bookmarkEnd w:id="1433"/>
      <w:bookmarkEnd w:id="1434"/>
      <w:bookmarkEnd w:id="1435"/>
      <w:bookmarkEnd w:id="1436"/>
      <w:bookmarkEnd w:id="1437"/>
    </w:p>
    <w:p>
      <w:pPr>
        <w:pStyle w:val="Subsection"/>
      </w:pPr>
      <w:r>
        <w:tab/>
      </w:r>
      <w:r>
        <w:tab/>
        <w:t xml:space="preserve">There shall be credited to the trust account — </w:t>
      </w:r>
    </w:p>
    <w:p>
      <w:pPr>
        <w:pStyle w:val="Indenta"/>
      </w:pPr>
      <w:r>
        <w:tab/>
        <w:t>(a)</w:t>
      </w:r>
      <w:r>
        <w:tab/>
        <w:t>payments under clause 11 of the Agreement as defined in the Barrow Island Act section 3; and</w:t>
      </w:r>
    </w:p>
    <w:p>
      <w:pPr>
        <w:pStyle w:val="Indenta"/>
      </w:pPr>
      <w:r>
        <w:tab/>
        <w:t>(b)</w:t>
      </w:r>
      <w:r>
        <w:tab/>
        <w:t>income derived from the investment under section 67 of the Act of money credited under paragraph (a).</w:t>
      </w:r>
    </w:p>
    <w:p>
      <w:pPr>
        <w:pStyle w:val="Footnotesection"/>
      </w:pPr>
      <w:r>
        <w:tab/>
        <w:t>[Regulation 98D inserted in Gazette 27 Jul 2004 p. 3078.]</w:t>
      </w:r>
    </w:p>
    <w:p>
      <w:pPr>
        <w:pStyle w:val="Heading2"/>
      </w:pPr>
      <w:bookmarkStart w:id="1438" w:name="_Toc78623716"/>
      <w:bookmarkStart w:id="1439" w:name="_Toc78685319"/>
      <w:bookmarkStart w:id="1440" w:name="_Toc189456613"/>
      <w:bookmarkStart w:id="1441" w:name="_Toc524422624"/>
      <w:bookmarkStart w:id="1442" w:name="_Toc147312421"/>
      <w:bookmarkStart w:id="1443" w:name="_Toc147631281"/>
      <w:bookmarkStart w:id="1444" w:name="_Toc147633615"/>
      <w:bookmarkStart w:id="1445" w:name="_Toc147907059"/>
      <w:bookmarkStart w:id="1446" w:name="_Toc147907458"/>
      <w:bookmarkStart w:id="1447" w:name="_Toc149010011"/>
      <w:bookmarkStart w:id="1448" w:name="_Toc149010365"/>
      <w:bookmarkStart w:id="1449" w:name="_Toc149010533"/>
      <w:bookmarkStart w:id="1450" w:name="_Toc149016413"/>
      <w:bookmarkStart w:id="1451" w:name="_Toc149039156"/>
      <w:bookmarkStart w:id="1452" w:name="_Toc149039877"/>
      <w:bookmarkStart w:id="1453" w:name="_Toc150315485"/>
      <w:bookmarkStart w:id="1454" w:name="_Toc150315696"/>
      <w:bookmarkStart w:id="1455" w:name="_Toc160272906"/>
      <w:bookmarkStart w:id="1456" w:name="_Toc160332854"/>
      <w:bookmarkStart w:id="1457" w:name="_Toc170207880"/>
      <w:r>
        <w:rPr>
          <w:rStyle w:val="CharPartNo"/>
        </w:rPr>
        <w:t>Part 8</w:t>
      </w:r>
      <w:r>
        <w:rPr>
          <w:rStyle w:val="CharDivNo"/>
        </w:rPr>
        <w:t xml:space="preserve"> </w:t>
      </w:r>
      <w:r>
        <w:t>—</w:t>
      </w:r>
      <w:r>
        <w:rPr>
          <w:rStyle w:val="CharDivText"/>
        </w:rPr>
        <w:t xml:space="preserve"> </w:t>
      </w:r>
      <w:bookmarkEnd w:id="1411"/>
      <w:bookmarkEnd w:id="1438"/>
      <w:bookmarkEnd w:id="1439"/>
      <w:r>
        <w:rPr>
          <w:rStyle w:val="CharPartText"/>
        </w:rPr>
        <w:t>Fees</w:t>
      </w:r>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p>
    <w:p>
      <w:pPr>
        <w:pStyle w:val="Footnoteheading"/>
      </w:pPr>
      <w:r>
        <w:tab/>
        <w:t>[Heading amended in Gazette 29 Sep 2006 p. 4319.]</w:t>
      </w:r>
    </w:p>
    <w:p>
      <w:pPr>
        <w:pStyle w:val="Heading5"/>
        <w:spacing w:before="240"/>
        <w:rPr>
          <w:snapToGrid w:val="0"/>
        </w:rPr>
      </w:pPr>
      <w:bookmarkStart w:id="1458" w:name="_Hlt4904265"/>
      <w:bookmarkStart w:id="1459" w:name="_Toc5508212"/>
      <w:bookmarkStart w:id="1460" w:name="_Toc8119180"/>
      <w:bookmarkStart w:id="1461" w:name="_Toc78685320"/>
      <w:bookmarkStart w:id="1462" w:name="_Toc189456614"/>
      <w:bookmarkStart w:id="1463" w:name="_Toc524422625"/>
      <w:bookmarkStart w:id="1464" w:name="_Toc150315697"/>
      <w:bookmarkStart w:id="1465" w:name="_Toc160332855"/>
      <w:bookmarkStart w:id="1466" w:name="_Toc170207881"/>
      <w:bookmarkEnd w:id="1458"/>
      <w:r>
        <w:rPr>
          <w:rStyle w:val="CharSectno"/>
        </w:rPr>
        <w:t>99</w:t>
      </w:r>
      <w:r>
        <w:rPr>
          <w:snapToGrid w:val="0"/>
        </w:rPr>
        <w:t>.</w:t>
      </w:r>
      <w:r>
        <w:rPr>
          <w:snapToGrid w:val="0"/>
        </w:rPr>
        <w:tab/>
        <w:t>Entrance fees</w:t>
      </w:r>
      <w:bookmarkEnd w:id="1459"/>
      <w:bookmarkEnd w:id="1460"/>
      <w:bookmarkEnd w:id="1461"/>
      <w:r>
        <w:rPr>
          <w:b w:val="0"/>
        </w:rPr>
        <w:t xml:space="preserve"> </w:t>
      </w:r>
      <w:r>
        <w:t>for motor vehicles</w:t>
      </w:r>
      <w:bookmarkEnd w:id="1462"/>
      <w:bookmarkEnd w:id="1463"/>
      <w:bookmarkEnd w:id="1464"/>
      <w:bookmarkEnd w:id="1465"/>
      <w:bookmarkEnd w:id="1466"/>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tab/>
      </w:r>
      <w:del w:id="1467" w:author="Master Repository Process" w:date="2021-07-31T17:33:00Z">
        <w:r>
          <w:rPr>
            <w:b/>
          </w:rPr>
          <w:delText>“</w:delText>
        </w:r>
      </w:del>
      <w:r>
        <w:rPr>
          <w:rStyle w:val="CharDefText"/>
        </w:rPr>
        <w:t>non</w:t>
      </w:r>
      <w:r>
        <w:rPr>
          <w:rStyle w:val="CharDefText"/>
        </w:rPr>
        <w:noBreakHyphen/>
        <w:t>tour motor vehicle</w:t>
      </w:r>
      <w:del w:id="1468" w:author="Master Repository Process" w:date="2021-07-31T17:33:00Z">
        <w:r>
          <w:rPr>
            <w:b/>
          </w:rPr>
          <w:delText>”</w:delText>
        </w:r>
      </w:del>
      <w:r>
        <w:rPr>
          <w:b/>
        </w:rPr>
        <w:t xml:space="preserve"> </w:t>
      </w:r>
      <w:r>
        <w:t>means a motor vehicle that is not a tour vehicle;</w:t>
      </w:r>
    </w:p>
    <w:p>
      <w:pPr>
        <w:pStyle w:val="Defstart"/>
      </w:pPr>
      <w:r>
        <w:tab/>
      </w:r>
      <w:del w:id="1469" w:author="Master Repository Process" w:date="2021-07-31T17:33:00Z">
        <w:r>
          <w:rPr>
            <w:b/>
          </w:rPr>
          <w:delText>“</w:delText>
        </w:r>
      </w:del>
      <w:r>
        <w:rPr>
          <w:rStyle w:val="CharDefText"/>
        </w:rPr>
        <w:t>tour vehicle</w:t>
      </w:r>
      <w:del w:id="1470" w:author="Master Repository Process" w:date="2021-07-31T17:33:00Z">
        <w:r>
          <w:rPr>
            <w:b/>
          </w:rPr>
          <w:delText>”</w:delText>
        </w:r>
      </w:del>
      <w:r>
        <w:t xml:space="preserve"> means — </w:t>
      </w:r>
    </w:p>
    <w:p>
      <w:pPr>
        <w:pStyle w:val="Defpara"/>
      </w:pPr>
      <w:r>
        <w:tab/>
        <w:t>(a)</w:t>
      </w:r>
      <w:r>
        <w:tab/>
        <w:t>a vehicle that is fitted with seats for 8 or more adult persons, including the driver, and is being used to carry passengers for separate fares;</w:t>
      </w:r>
    </w:p>
    <w:p>
      <w:pPr>
        <w:pStyle w:val="Defpara"/>
      </w:pPr>
      <w:r>
        <w:tab/>
        <w:t>(b)</w:t>
      </w:r>
      <w:r>
        <w:tab/>
        <w:t xml:space="preserve">a taxi within the meaning of the </w:t>
      </w:r>
      <w:r>
        <w:rPr>
          <w:i/>
        </w:rPr>
        <w:t>Taxi Act 1994</w:t>
      </w:r>
      <w:r>
        <w:t>;</w:t>
      </w:r>
    </w:p>
    <w:p>
      <w:pPr>
        <w:pStyle w:val="Defpara"/>
      </w:pPr>
      <w:r>
        <w:tab/>
        <w:t>(c)</w:t>
      </w:r>
      <w:r>
        <w:tab/>
        <w:t>a vehicle that is licensed to stand or ply for the carriage of passengers for reward; or</w:t>
      </w:r>
    </w:p>
    <w:p>
      <w:pPr>
        <w:pStyle w:val="Defpara"/>
      </w:pPr>
      <w:r>
        <w:tab/>
        <w:t>(d)</w:t>
      </w:r>
      <w:r>
        <w:tab/>
        <w:t>a vehicle that is fitted with seats for 13 or more persons, including the driver of the vehicle, and is being used to carry 13 or more persons, including the driver.</w:t>
      </w:r>
    </w:p>
    <w:p>
      <w:pPr>
        <w:pStyle w:val="Subsection"/>
        <w:spacing w:before="180"/>
        <w:rPr>
          <w:snapToGrid w:val="0"/>
        </w:rPr>
      </w:pPr>
      <w:r>
        <w:rPr>
          <w:snapToGrid w:val="0"/>
        </w:rPr>
        <w:tab/>
        <w:t>(2)</w:t>
      </w:r>
      <w:r>
        <w:rPr>
          <w:snapToGrid w:val="0"/>
        </w:rPr>
        <w:tab/>
        <w:t>Subject to subregulations (3) and (4) and Schedule 1</w:t>
      </w:r>
      <w:bookmarkStart w:id="1471" w:name="_Hlt499614458"/>
      <w:r>
        <w:rPr>
          <w:snapToGrid w:val="0"/>
        </w:rPr>
        <w:t xml:space="preserve"> Division 1</w:t>
      </w:r>
      <w:bookmarkEnd w:id="1471"/>
      <w:r>
        <w:rPr>
          <w:snapToGrid w:val="0"/>
        </w:rPr>
        <w:t> — </w:t>
      </w:r>
    </w:p>
    <w:p>
      <w:pPr>
        <w:pStyle w:val="Indenta"/>
        <w:rPr>
          <w:snapToGrid w:val="0"/>
        </w:rPr>
      </w:pPr>
      <w:r>
        <w:rPr>
          <w:snapToGrid w:val="0"/>
        </w:rPr>
        <w:tab/>
        <w:t>(a)</w:t>
      </w:r>
      <w:r>
        <w:rPr>
          <w:snapToGrid w:val="0"/>
        </w:rPr>
        <w:tab/>
        <w:t>the relevant fee specified in Schedule </w:t>
      </w:r>
      <w:bookmarkStart w:id="1472" w:name="_Hlt4899031"/>
      <w:r>
        <w:rPr>
          <w:snapToGrid w:val="0"/>
        </w:rPr>
        <w:t>1</w:t>
      </w:r>
      <w:bookmarkEnd w:id="1472"/>
      <w:r>
        <w:rPr>
          <w:snapToGrid w:val="0"/>
        </w:rPr>
        <w:t xml:space="preserve"> Division 1 item 1, 2 or 5 is payable daily per non</w:t>
      </w:r>
      <w:r>
        <w:rPr>
          <w:snapToGrid w:val="0"/>
        </w:rPr>
        <w:noBreakHyphen/>
        <w:t>tour motor vehicle entering an area of CALM land, and the person in charge of the vehicle is liable to pay the relevant fee; and</w:t>
      </w:r>
    </w:p>
    <w:p>
      <w:pPr>
        <w:pStyle w:val="Indenta"/>
        <w:rPr>
          <w:snapToGrid w:val="0"/>
        </w:rPr>
      </w:pPr>
      <w:r>
        <w:rPr>
          <w:snapToGrid w:val="0"/>
        </w:rPr>
        <w:tab/>
        <w:t>(b)</w:t>
      </w:r>
      <w:r>
        <w:rPr>
          <w:snapToGrid w:val="0"/>
        </w:rPr>
        <w:tab/>
        <w:t>the relevant fee specified in Schedule 1 Division 1 item 3, 4, or 6 is payable daily per occupant of a tour vehicle entering an area of CALM land, and the owner or operator of the tour vehicle is liable to pay the fee for every occupant of the tour vehicle.</w:t>
      </w:r>
    </w:p>
    <w:p>
      <w:pPr>
        <w:pStyle w:val="Subsection"/>
        <w:rPr>
          <w:snapToGrid w:val="0"/>
        </w:rPr>
      </w:pPr>
      <w:r>
        <w:rPr>
          <w:snapToGrid w:val="0"/>
        </w:rPr>
        <w:tab/>
        <w:t>(3)</w:t>
      </w:r>
      <w:r>
        <w:rPr>
          <w:snapToGrid w:val="0"/>
        </w:rPr>
        <w:tab/>
        <w:t xml:space="preserve">Fees are not payable under this regulation unless the </w:t>
      </w:r>
      <w:r>
        <w:t xml:space="preserve">CEO </w:t>
      </w:r>
      <w:r>
        <w:rPr>
          <w:snapToGrid w:val="0"/>
        </w:rPr>
        <w:t>has erected signs at or near the entrances to the area of CALM land — </w:t>
      </w:r>
    </w:p>
    <w:p>
      <w:pPr>
        <w:pStyle w:val="Indenta"/>
        <w:rPr>
          <w:snapToGrid w:val="0"/>
        </w:rPr>
      </w:pPr>
      <w:r>
        <w:rPr>
          <w:snapToGrid w:val="0"/>
        </w:rPr>
        <w:tab/>
        <w:t>(a)</w:t>
      </w:r>
      <w:r>
        <w:rPr>
          <w:snapToGrid w:val="0"/>
        </w:rPr>
        <w:tab/>
        <w:t>stating that fees are payable for entry to that area;</w:t>
      </w:r>
    </w:p>
    <w:p>
      <w:pPr>
        <w:pStyle w:val="Indenta"/>
        <w:rPr>
          <w:snapToGrid w:val="0"/>
        </w:rPr>
      </w:pPr>
      <w:r>
        <w:rPr>
          <w:snapToGrid w:val="0"/>
        </w:rPr>
        <w:tab/>
        <w:t>(b)</w:t>
      </w:r>
      <w:r>
        <w:rPr>
          <w:snapToGrid w:val="0"/>
        </w:rPr>
        <w:tab/>
        <w:t>specifying the fees that are payable; and</w:t>
      </w:r>
    </w:p>
    <w:p>
      <w:pPr>
        <w:pStyle w:val="Indenta"/>
        <w:rPr>
          <w:snapToGrid w:val="0"/>
        </w:rPr>
      </w:pPr>
      <w:r>
        <w:rPr>
          <w:snapToGrid w:val="0"/>
        </w:rPr>
        <w:tab/>
        <w:t>(c)</w:t>
      </w:r>
      <w:r>
        <w:rPr>
          <w:snapToGrid w:val="0"/>
        </w:rPr>
        <w:tab/>
        <w:t>specifying the manner in which the fees are to be paid.</w:t>
      </w:r>
    </w:p>
    <w:p>
      <w:pPr>
        <w:pStyle w:val="Subsection"/>
        <w:rPr>
          <w:snapToGrid w:val="0"/>
        </w:rPr>
      </w:pPr>
      <w:r>
        <w:tab/>
        <w:t>(4)</w:t>
      </w:r>
      <w:r>
        <w:tab/>
      </w:r>
      <w:r>
        <w:rPr>
          <w:snapToGrid w:val="0"/>
        </w:rPr>
        <w:t>A person is not liable to pay a fee under this regulation for entry in a non</w:t>
      </w:r>
      <w:r>
        <w:rPr>
          <w:snapToGrid w:val="0"/>
        </w:rPr>
        <w:noBreakHyphen/>
        <w:t xml:space="preserve">tour motor vehicle to an area of CALM land if that person has — </w:t>
      </w:r>
    </w:p>
    <w:p>
      <w:pPr>
        <w:pStyle w:val="Indenta"/>
        <w:rPr>
          <w:snapToGrid w:val="0"/>
        </w:rPr>
      </w:pPr>
      <w:r>
        <w:rPr>
          <w:snapToGrid w:val="0"/>
        </w:rPr>
        <w:tab/>
        <w:t>(a)</w:t>
      </w:r>
      <w:r>
        <w:rPr>
          <w:snapToGrid w:val="0"/>
        </w:rPr>
        <w:tab/>
        <w:t>paid the fee prescribed in Schedule 1 Division 2 for an extended pass for that person to enter that area at the relevant time and complied with any conditions on entry set out in that Division for that fee; or</w:t>
      </w:r>
    </w:p>
    <w:p>
      <w:pPr>
        <w:pStyle w:val="Indenta"/>
      </w:pPr>
      <w:r>
        <w:rPr>
          <w:snapToGrid w:val="0"/>
        </w:rPr>
        <w:tab/>
        <w:t>(b)</w:t>
      </w:r>
      <w:r>
        <w:rPr>
          <w:snapToGrid w:val="0"/>
        </w:rPr>
        <w:tab/>
        <w:t>been otherwise authorised by the CEO to enter that area.</w:t>
      </w:r>
    </w:p>
    <w:p>
      <w:pPr>
        <w:pStyle w:val="Subsection"/>
        <w:rPr>
          <w:snapToGrid w:val="0"/>
        </w:rPr>
      </w:pPr>
      <w:r>
        <w:rPr>
          <w:snapToGrid w:val="0"/>
        </w:rPr>
        <w:tab/>
        <w:t>(5)</w:t>
      </w:r>
      <w:r>
        <w:rPr>
          <w:snapToGrid w:val="0"/>
        </w:rPr>
        <w:tab/>
        <w:t>A person must pay, in the manner specified on a sign under subregulation (3)(c), a fee for which the person is liable under this regulation.</w:t>
      </w:r>
    </w:p>
    <w:p>
      <w:pPr>
        <w:pStyle w:val="Penstart"/>
        <w:rPr>
          <w:snapToGrid w:val="0"/>
        </w:rPr>
      </w:pPr>
      <w:r>
        <w:rPr>
          <w:snapToGrid w:val="0"/>
        </w:rPr>
        <w:tab/>
        <w:t>Penalty: $200.</w:t>
      </w:r>
    </w:p>
    <w:p>
      <w:pPr>
        <w:pStyle w:val="Subsection"/>
      </w:pPr>
      <w:r>
        <w:tab/>
        <w:t>(6)</w:t>
      </w:r>
      <w:r>
        <w:tab/>
        <w:t>This regulation does not apply to aircraft.</w:t>
      </w:r>
    </w:p>
    <w:p>
      <w:pPr>
        <w:pStyle w:val="Footnotesection"/>
      </w:pPr>
      <w:r>
        <w:tab/>
        <w:t>[Regulation 99 amended in Gazette 29 Sep 2006 p. 4320 and 4334.]</w:t>
      </w:r>
    </w:p>
    <w:p>
      <w:pPr>
        <w:pStyle w:val="Heading5"/>
      </w:pPr>
      <w:bookmarkStart w:id="1473" w:name="_Hlt4904270"/>
      <w:bookmarkStart w:id="1474" w:name="_Toc189456615"/>
      <w:bookmarkStart w:id="1475" w:name="_Toc524422626"/>
      <w:bookmarkStart w:id="1476" w:name="_Toc144874280"/>
      <w:bookmarkStart w:id="1477" w:name="_Toc150315698"/>
      <w:bookmarkStart w:id="1478" w:name="_Toc160332856"/>
      <w:bookmarkStart w:id="1479" w:name="_Toc170207882"/>
      <w:bookmarkStart w:id="1480" w:name="_Toc5508213"/>
      <w:bookmarkStart w:id="1481" w:name="_Toc8119181"/>
      <w:bookmarkStart w:id="1482" w:name="_Toc78685321"/>
      <w:bookmarkEnd w:id="1473"/>
      <w:r>
        <w:rPr>
          <w:rStyle w:val="CharSectno"/>
        </w:rPr>
        <w:t>99A</w:t>
      </w:r>
      <w:r>
        <w:t>.</w:t>
      </w:r>
      <w:r>
        <w:tab/>
        <w:t>Landing fees for tour aircraft — Ibis Aerial Highway</w:t>
      </w:r>
      <w:bookmarkEnd w:id="1474"/>
      <w:bookmarkEnd w:id="1475"/>
      <w:bookmarkEnd w:id="1476"/>
      <w:bookmarkEnd w:id="1477"/>
      <w:bookmarkEnd w:id="1478"/>
      <w:bookmarkEnd w:id="1479"/>
    </w:p>
    <w:p>
      <w:pPr>
        <w:pStyle w:val="Subsection"/>
      </w:pPr>
      <w:r>
        <w:tab/>
        <w:t>(1)</w:t>
      </w:r>
      <w:r>
        <w:tab/>
        <w:t xml:space="preserve">The fee specified in Schedule 1 Division 1 item 7 is payable daily per occupant of a tour aircraft, other than the pilot and crew of the tour aircraft, that lands on an aircraft landing area that is — </w:t>
      </w:r>
    </w:p>
    <w:p>
      <w:pPr>
        <w:pStyle w:val="Indenta"/>
      </w:pPr>
      <w:r>
        <w:tab/>
        <w:t>(a)</w:t>
      </w:r>
      <w:r>
        <w:tab/>
        <w:t>in Windjana Gorge National Park; or</w:t>
      </w:r>
    </w:p>
    <w:p>
      <w:pPr>
        <w:pStyle w:val="Indenta"/>
      </w:pPr>
      <w:r>
        <w:tab/>
        <w:t>(b)</w:t>
      </w:r>
      <w:r>
        <w:tab/>
        <w:t>at Bell Creek Homestead; or</w:t>
      </w:r>
    </w:p>
    <w:p>
      <w:pPr>
        <w:pStyle w:val="Indenta"/>
      </w:pPr>
      <w:r>
        <w:tab/>
        <w:t>(c)</w:t>
      </w:r>
      <w:r>
        <w:tab/>
        <w:t>at Mt. Hart Homestead.</w:t>
      </w:r>
    </w:p>
    <w:p>
      <w:pPr>
        <w:pStyle w:val="Subsection"/>
      </w:pPr>
      <w:r>
        <w:tab/>
        <w:t>(2)</w:t>
      </w:r>
      <w:r>
        <w:tab/>
        <w:t>The operator of the aircraft is liable to pay the fee for every occupant of the aircraft.</w:t>
      </w:r>
    </w:p>
    <w:p>
      <w:pPr>
        <w:pStyle w:val="Subsection"/>
      </w:pPr>
      <w:r>
        <w:tab/>
        <w:t>(3)</w:t>
      </w:r>
      <w:r>
        <w:tab/>
        <w:t>The operator must pay the fee for which the operator is liable.</w:t>
      </w:r>
    </w:p>
    <w:p>
      <w:pPr>
        <w:pStyle w:val="Penstart"/>
      </w:pPr>
      <w:r>
        <w:tab/>
        <w:t>Penalty: $1 000.</w:t>
      </w:r>
    </w:p>
    <w:p>
      <w:pPr>
        <w:pStyle w:val="Subsection"/>
      </w:pPr>
      <w:r>
        <w:tab/>
        <w:t>(4)</w:t>
      </w:r>
      <w:r>
        <w:tab/>
        <w:t xml:space="preserve">In this regulation and Schedule 1 — </w:t>
      </w:r>
    </w:p>
    <w:p>
      <w:pPr>
        <w:pStyle w:val="Defstart"/>
      </w:pPr>
      <w:r>
        <w:rPr>
          <w:b/>
        </w:rPr>
        <w:tab/>
      </w:r>
      <w:del w:id="1483" w:author="Master Repository Process" w:date="2021-07-31T17:33:00Z">
        <w:r>
          <w:rPr>
            <w:b/>
          </w:rPr>
          <w:delText>“</w:delText>
        </w:r>
      </w:del>
      <w:r>
        <w:rPr>
          <w:rStyle w:val="CharDefText"/>
        </w:rPr>
        <w:t>tour aircraft</w:t>
      </w:r>
      <w:del w:id="1484" w:author="Master Repository Process" w:date="2021-07-31T17:33:00Z">
        <w:r>
          <w:rPr>
            <w:b/>
          </w:rPr>
          <w:delText>”</w:delText>
        </w:r>
      </w:del>
      <w:r>
        <w:t xml:space="preserve"> means an aircraft operating under a commercial operations licence.</w:t>
      </w:r>
    </w:p>
    <w:p>
      <w:pPr>
        <w:pStyle w:val="Footnotesection"/>
      </w:pPr>
      <w:r>
        <w:tab/>
        <w:t>[Regulation 99A inserted in Gazette 29 Sep 2006 p. 4320</w:t>
      </w:r>
      <w:r>
        <w:noBreakHyphen/>
        <w:t>1.]</w:t>
      </w:r>
    </w:p>
    <w:p>
      <w:pPr>
        <w:pStyle w:val="Heading5"/>
        <w:rPr>
          <w:snapToGrid w:val="0"/>
        </w:rPr>
      </w:pPr>
      <w:bookmarkStart w:id="1485" w:name="_Toc189456616"/>
      <w:bookmarkStart w:id="1486" w:name="_Toc524422627"/>
      <w:bookmarkStart w:id="1487" w:name="_Toc150315699"/>
      <w:bookmarkStart w:id="1488" w:name="_Toc160332857"/>
      <w:bookmarkStart w:id="1489" w:name="_Toc170207883"/>
      <w:r>
        <w:rPr>
          <w:rStyle w:val="CharSectno"/>
        </w:rPr>
        <w:t>100</w:t>
      </w:r>
      <w:r>
        <w:rPr>
          <w:snapToGrid w:val="0"/>
        </w:rPr>
        <w:t>.</w:t>
      </w:r>
      <w:r>
        <w:rPr>
          <w:snapToGrid w:val="0"/>
        </w:rPr>
        <w:tab/>
        <w:t>Entrance fees for Tree Top Walk</w:t>
      </w:r>
      <w:bookmarkEnd w:id="1485"/>
      <w:bookmarkEnd w:id="1486"/>
      <w:bookmarkEnd w:id="1480"/>
      <w:bookmarkEnd w:id="1481"/>
      <w:bookmarkEnd w:id="1482"/>
      <w:bookmarkEnd w:id="1487"/>
      <w:bookmarkEnd w:id="1488"/>
      <w:bookmarkEnd w:id="1489"/>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del w:id="1490" w:author="Master Repository Process" w:date="2021-07-31T17:33:00Z">
        <w:r>
          <w:rPr>
            <w:b/>
          </w:rPr>
          <w:delText>“</w:delText>
        </w:r>
      </w:del>
      <w:r>
        <w:rPr>
          <w:rStyle w:val="CharDefText"/>
        </w:rPr>
        <w:t>Tree Top Walk</w:t>
      </w:r>
      <w:del w:id="1491" w:author="Master Repository Process" w:date="2021-07-31T17:33:00Z">
        <w:r>
          <w:rPr>
            <w:b/>
          </w:rPr>
          <w:delText>”</w:delText>
        </w:r>
      </w:del>
      <w:r>
        <w:rPr>
          <w:b/>
        </w:rPr>
        <w:t xml:space="preserve"> </w:t>
      </w:r>
      <w:r>
        <w:t>means the walkway known as the “Tree Top Walk” constructed within the area known as the “Valley of the Giants”, near Walpole.</w:t>
      </w:r>
    </w:p>
    <w:p>
      <w:pPr>
        <w:pStyle w:val="Subsection"/>
        <w:rPr>
          <w:snapToGrid w:val="0"/>
        </w:rPr>
      </w:pPr>
      <w:r>
        <w:rPr>
          <w:snapToGrid w:val="0"/>
        </w:rPr>
        <w:tab/>
        <w:t>(2)</w:t>
      </w:r>
      <w:r>
        <w:rPr>
          <w:snapToGrid w:val="0"/>
        </w:rPr>
        <w:tab/>
        <w:t>The relevant fee specified in Schedule 1 Division 3 is payable by a person entering the Tree Top Walk.</w:t>
      </w:r>
    </w:p>
    <w:p>
      <w:pPr>
        <w:pStyle w:val="Subsection"/>
        <w:rPr>
          <w:snapToGrid w:val="0"/>
        </w:rPr>
      </w:pPr>
      <w:r>
        <w:rPr>
          <w:snapToGrid w:val="0"/>
        </w:rPr>
        <w:tab/>
        <w:t>(3)</w:t>
      </w:r>
      <w:r>
        <w:rPr>
          <w:snapToGrid w:val="0"/>
        </w:rPr>
        <w:tab/>
        <w:t xml:space="preserve">The </w:t>
      </w:r>
      <w:r>
        <w:t xml:space="preserve">CEO </w:t>
      </w:r>
      <w:r>
        <w:rPr>
          <w:snapToGrid w:val="0"/>
        </w:rPr>
        <w:t>is to erect a sign at the entrance to the Tree Top Walk — </w:t>
      </w:r>
    </w:p>
    <w:p>
      <w:pPr>
        <w:pStyle w:val="Indenta"/>
        <w:rPr>
          <w:snapToGrid w:val="0"/>
        </w:rPr>
      </w:pPr>
      <w:r>
        <w:rPr>
          <w:snapToGrid w:val="0"/>
        </w:rPr>
        <w:tab/>
        <w:t>(a)</w:t>
      </w:r>
      <w:r>
        <w:rPr>
          <w:snapToGrid w:val="0"/>
        </w:rPr>
        <w:tab/>
        <w:t>specifying the fees payable under this regulation; and</w:t>
      </w:r>
    </w:p>
    <w:p>
      <w:pPr>
        <w:pStyle w:val="Indenta"/>
        <w:rPr>
          <w:snapToGrid w:val="0"/>
        </w:rPr>
      </w:pPr>
      <w:r>
        <w:rPr>
          <w:snapToGrid w:val="0"/>
        </w:rPr>
        <w:tab/>
        <w:t>(b)</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(3)(b), a fee for which the person is liable under this regulation.</w:t>
      </w:r>
    </w:p>
    <w:p>
      <w:pPr>
        <w:pStyle w:val="Penstart"/>
        <w:rPr>
          <w:snapToGrid w:val="0"/>
        </w:rPr>
      </w:pPr>
      <w:r>
        <w:rPr>
          <w:snapToGrid w:val="0"/>
        </w:rPr>
        <w:tab/>
        <w:t>Penalty: $200.</w:t>
      </w:r>
    </w:p>
    <w:p>
      <w:pPr>
        <w:pStyle w:val="Footnotesection"/>
      </w:pPr>
      <w:r>
        <w:tab/>
        <w:t>[Regulation 100 amended in Gazette 29 Sep 2006 p. 4334.]</w:t>
      </w:r>
    </w:p>
    <w:p>
      <w:pPr>
        <w:pStyle w:val="Heading5"/>
      </w:pPr>
      <w:bookmarkStart w:id="1492" w:name="_Hlt4904280"/>
      <w:bookmarkStart w:id="1493" w:name="_Toc189456617"/>
      <w:bookmarkStart w:id="1494" w:name="_Toc524422628"/>
      <w:bookmarkStart w:id="1495" w:name="_Toc144874282"/>
      <w:bookmarkStart w:id="1496" w:name="_Toc150315700"/>
      <w:bookmarkStart w:id="1497" w:name="_Toc160332858"/>
      <w:bookmarkStart w:id="1498" w:name="_Toc170207884"/>
      <w:bookmarkStart w:id="1499" w:name="_Toc5508214"/>
      <w:bookmarkStart w:id="1500" w:name="_Toc8119182"/>
      <w:bookmarkStart w:id="1501" w:name="_Toc78685322"/>
      <w:bookmarkEnd w:id="1492"/>
      <w:r>
        <w:rPr>
          <w:rStyle w:val="CharSectno"/>
        </w:rPr>
        <w:t>100A</w:t>
      </w:r>
      <w:r>
        <w:t>.</w:t>
      </w:r>
      <w:r>
        <w:tab/>
        <w:t>Entrance fees for Crystal Cave and Calgardup and Giants Caves</w:t>
      </w:r>
      <w:bookmarkEnd w:id="1493"/>
      <w:bookmarkEnd w:id="1494"/>
      <w:bookmarkEnd w:id="1495"/>
      <w:bookmarkEnd w:id="1496"/>
      <w:bookmarkEnd w:id="1497"/>
      <w:bookmarkEnd w:id="1498"/>
    </w:p>
    <w:p>
      <w:pPr>
        <w:pStyle w:val="Subsection"/>
        <w:rPr>
          <w:snapToGrid w:val="0"/>
        </w:rPr>
      </w:pPr>
      <w:r>
        <w:rPr>
          <w:snapToGrid w:val="0"/>
        </w:rPr>
        <w:tab/>
        <w:t>(1)</w:t>
      </w:r>
      <w:r>
        <w:rPr>
          <w:snapToGrid w:val="0"/>
        </w:rPr>
        <w:tab/>
        <w:t>The relevant fee specified in Schedule 1 Division 7 item 1 is payable by a person entering Crystal Cave, Yanchep National Park.</w:t>
      </w:r>
    </w:p>
    <w:p>
      <w:pPr>
        <w:pStyle w:val="Subsection"/>
        <w:rPr>
          <w:snapToGrid w:val="0"/>
        </w:rPr>
      </w:pPr>
      <w:r>
        <w:rPr>
          <w:snapToGrid w:val="0"/>
        </w:rPr>
        <w:tab/>
        <w:t>(2)</w:t>
      </w:r>
      <w:r>
        <w:rPr>
          <w:snapToGrid w:val="0"/>
        </w:rPr>
        <w:tab/>
        <w:t>The relevant fee specified in Schedule 1 Division 7 item 2 is payable by a person entering Calgardup or Giants Caves, Leeuwin</w:t>
      </w:r>
      <w:r>
        <w:rPr>
          <w:snapToGrid w:val="0"/>
        </w:rPr>
        <w:noBreakHyphen/>
        <w:t>Naturaliste National Park.</w:t>
      </w:r>
    </w:p>
    <w:p>
      <w:pPr>
        <w:pStyle w:val="Subsection"/>
        <w:rPr>
          <w:snapToGrid w:val="0"/>
        </w:rPr>
      </w:pPr>
      <w:r>
        <w:rPr>
          <w:snapToGrid w:val="0"/>
        </w:rPr>
        <w:tab/>
        <w:t>(3)</w:t>
      </w:r>
      <w:r>
        <w:rPr>
          <w:snapToGrid w:val="0"/>
        </w:rPr>
        <w:tab/>
        <w:t>The CEO is to erect signs at the entrance to each of the caves —</w:t>
      </w:r>
    </w:p>
    <w:p>
      <w:pPr>
        <w:pStyle w:val="Indenta"/>
        <w:rPr>
          <w:snapToGrid w:val="0"/>
        </w:rPr>
      </w:pPr>
      <w:r>
        <w:rPr>
          <w:snapToGrid w:val="0"/>
        </w:rPr>
        <w:tab/>
        <w:t>(a)</w:t>
      </w:r>
      <w:r>
        <w:rPr>
          <w:snapToGrid w:val="0"/>
        </w:rPr>
        <w:tab/>
        <w:t>specifying the fees payable under this regulation; and</w:t>
      </w:r>
    </w:p>
    <w:p>
      <w:pPr>
        <w:pStyle w:val="Indenta"/>
        <w:rPr>
          <w:snapToGrid w:val="0"/>
        </w:rPr>
      </w:pPr>
      <w:r>
        <w:rPr>
          <w:snapToGrid w:val="0"/>
        </w:rPr>
        <w:tab/>
        <w:t>(b)</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on a sign under subregulation (3)(b), a fee for which the person is liable under this regulation.</w:t>
      </w:r>
    </w:p>
    <w:p>
      <w:pPr>
        <w:pStyle w:val="Penstart"/>
        <w:rPr>
          <w:snapToGrid w:val="0"/>
        </w:rPr>
      </w:pPr>
      <w:r>
        <w:rPr>
          <w:snapToGrid w:val="0"/>
        </w:rPr>
        <w:tab/>
        <w:t>Penalty: $200.</w:t>
      </w:r>
    </w:p>
    <w:p>
      <w:pPr>
        <w:pStyle w:val="Footnotesection"/>
      </w:pPr>
      <w:r>
        <w:tab/>
        <w:t>[Regulation 100A inserted in Gazette 29 Sep 2006 p. 4321</w:t>
      </w:r>
      <w:r>
        <w:noBreakHyphen/>
        <w:t>2.]</w:t>
      </w:r>
    </w:p>
    <w:p>
      <w:pPr>
        <w:pStyle w:val="Heading5"/>
        <w:rPr>
          <w:snapToGrid w:val="0"/>
        </w:rPr>
      </w:pPr>
      <w:bookmarkStart w:id="1502" w:name="_Toc189456618"/>
      <w:bookmarkStart w:id="1503" w:name="_Toc524422629"/>
      <w:bookmarkStart w:id="1504" w:name="_Toc150315701"/>
      <w:bookmarkStart w:id="1505" w:name="_Toc160332859"/>
      <w:bookmarkStart w:id="1506" w:name="_Toc170207885"/>
      <w:r>
        <w:rPr>
          <w:rStyle w:val="CharSectno"/>
        </w:rPr>
        <w:t>101</w:t>
      </w:r>
      <w:r>
        <w:rPr>
          <w:snapToGrid w:val="0"/>
        </w:rPr>
        <w:t>.</w:t>
      </w:r>
      <w:r>
        <w:rPr>
          <w:snapToGrid w:val="0"/>
        </w:rPr>
        <w:tab/>
        <w:t>Fees for Geikie Gorge National Park Boat Trip</w:t>
      </w:r>
      <w:bookmarkEnd w:id="1502"/>
      <w:bookmarkEnd w:id="1503"/>
      <w:bookmarkEnd w:id="1499"/>
      <w:bookmarkEnd w:id="1500"/>
      <w:bookmarkEnd w:id="1501"/>
      <w:bookmarkEnd w:id="1504"/>
      <w:bookmarkEnd w:id="1505"/>
      <w:bookmarkEnd w:id="1506"/>
      <w:r>
        <w:rPr>
          <w:snapToGrid w:val="0"/>
        </w:rPr>
        <w:t xml:space="preserve"> </w:t>
      </w:r>
    </w:p>
    <w:p>
      <w:pPr>
        <w:pStyle w:val="Subsection"/>
        <w:rPr>
          <w:snapToGrid w:val="0"/>
        </w:rPr>
      </w:pPr>
      <w:r>
        <w:rPr>
          <w:snapToGrid w:val="0"/>
        </w:rPr>
        <w:tab/>
      </w:r>
      <w:r>
        <w:rPr>
          <w:snapToGrid w:val="0"/>
        </w:rPr>
        <w:tab/>
        <w:t>The fees for the Geikie Gorge National Park Boat Trip are as prescribed in Schedule 1 Division 4.</w:t>
      </w:r>
    </w:p>
    <w:p>
      <w:pPr>
        <w:pStyle w:val="Heading5"/>
        <w:rPr>
          <w:snapToGrid w:val="0"/>
        </w:rPr>
      </w:pPr>
      <w:bookmarkStart w:id="1507" w:name="_Hlt4904284"/>
      <w:bookmarkStart w:id="1508" w:name="_Toc189456619"/>
      <w:bookmarkStart w:id="1509" w:name="_Toc524422630"/>
      <w:bookmarkStart w:id="1510" w:name="_Toc5508215"/>
      <w:bookmarkStart w:id="1511" w:name="_Toc8119183"/>
      <w:bookmarkStart w:id="1512" w:name="_Toc78685323"/>
      <w:bookmarkStart w:id="1513" w:name="_Toc150315702"/>
      <w:bookmarkStart w:id="1514" w:name="_Toc160332860"/>
      <w:bookmarkStart w:id="1515" w:name="_Toc170207886"/>
      <w:bookmarkEnd w:id="1507"/>
      <w:r>
        <w:rPr>
          <w:rStyle w:val="CharSectno"/>
        </w:rPr>
        <w:t>102</w:t>
      </w:r>
      <w:r>
        <w:rPr>
          <w:snapToGrid w:val="0"/>
        </w:rPr>
        <w:t>.</w:t>
      </w:r>
      <w:r>
        <w:rPr>
          <w:snapToGrid w:val="0"/>
        </w:rPr>
        <w:tab/>
        <w:t>Fees for entry on horseback</w:t>
      </w:r>
      <w:bookmarkEnd w:id="1508"/>
      <w:bookmarkEnd w:id="1509"/>
      <w:bookmarkEnd w:id="1510"/>
      <w:bookmarkEnd w:id="1511"/>
      <w:bookmarkEnd w:id="1512"/>
      <w:bookmarkEnd w:id="1513"/>
      <w:bookmarkEnd w:id="1514"/>
      <w:bookmarkEnd w:id="1515"/>
    </w:p>
    <w:p>
      <w:pPr>
        <w:pStyle w:val="Subsection"/>
        <w:rPr>
          <w:snapToGrid w:val="0"/>
        </w:rPr>
      </w:pPr>
      <w:r>
        <w:rPr>
          <w:snapToGrid w:val="0"/>
        </w:rPr>
        <w:tab/>
      </w:r>
      <w:r>
        <w:rPr>
          <w:snapToGrid w:val="0"/>
        </w:rPr>
        <w:tab/>
        <w:t>A person must not enter an area of CALM land on horseback unless the relevant fee specified in Schedule 1 Division 5 has been paid — </w:t>
      </w:r>
    </w:p>
    <w:p>
      <w:pPr>
        <w:pStyle w:val="Indenta"/>
        <w:rPr>
          <w:snapToGrid w:val="0"/>
        </w:rPr>
      </w:pPr>
      <w:r>
        <w:rPr>
          <w:snapToGrid w:val="0"/>
        </w:rPr>
        <w:tab/>
        <w:t>(a)</w:t>
      </w:r>
      <w:r>
        <w:rPr>
          <w:snapToGrid w:val="0"/>
        </w:rPr>
        <w:tab/>
        <w:t>in the case of a daily entrance fee, to an authorised officer; and</w:t>
      </w:r>
    </w:p>
    <w:p>
      <w:pPr>
        <w:pStyle w:val="Indenta"/>
        <w:rPr>
          <w:snapToGrid w:val="0"/>
        </w:rPr>
      </w:pPr>
      <w:r>
        <w:rPr>
          <w:snapToGrid w:val="0"/>
        </w:rPr>
        <w:tab/>
        <w:t>(b)</w:t>
      </w:r>
      <w:r>
        <w:rPr>
          <w:snapToGrid w:val="0"/>
        </w:rPr>
        <w:tab/>
        <w:t>in the case of an annual pass, to the</w:t>
      </w:r>
      <w:r>
        <w:t xml:space="preserve"> CEO</w:t>
      </w:r>
      <w:r>
        <w:rPr>
          <w:snapToGrid w:val="0"/>
        </w:rPr>
        <w:t xml:space="preserve">, </w:t>
      </w:r>
    </w:p>
    <w:p>
      <w:pPr>
        <w:pStyle w:val="Subsection"/>
        <w:rPr>
          <w:snapToGrid w:val="0"/>
        </w:rPr>
      </w:pPr>
      <w:r>
        <w:rPr>
          <w:snapToGrid w:val="0"/>
        </w:rPr>
        <w:tab/>
      </w:r>
      <w:r>
        <w:rPr>
          <w:snapToGrid w:val="0"/>
        </w:rPr>
        <w:tab/>
        <w:t>before entering that area.</w:t>
      </w:r>
    </w:p>
    <w:p>
      <w:pPr>
        <w:pStyle w:val="Penstart"/>
        <w:rPr>
          <w:snapToGrid w:val="0"/>
        </w:rPr>
      </w:pPr>
      <w:r>
        <w:rPr>
          <w:snapToGrid w:val="0"/>
        </w:rPr>
        <w:tab/>
        <w:t>Penalty: $200.</w:t>
      </w:r>
    </w:p>
    <w:p>
      <w:pPr>
        <w:pStyle w:val="Footnotesection"/>
      </w:pPr>
      <w:r>
        <w:tab/>
        <w:t>[Regulation 102 amended in Gazette 29 Sep 2006 p. 4334.]</w:t>
      </w:r>
    </w:p>
    <w:p>
      <w:pPr>
        <w:pStyle w:val="Heading5"/>
      </w:pPr>
      <w:bookmarkStart w:id="1516" w:name="_Toc189456620"/>
      <w:bookmarkStart w:id="1517" w:name="_Toc524422631"/>
      <w:bookmarkStart w:id="1518" w:name="_Toc144874284"/>
      <w:bookmarkStart w:id="1519" w:name="_Toc150315703"/>
      <w:bookmarkStart w:id="1520" w:name="_Toc160332861"/>
      <w:bookmarkStart w:id="1521" w:name="_Toc170207887"/>
      <w:bookmarkStart w:id="1522" w:name="_Toc5508216"/>
      <w:bookmarkStart w:id="1523" w:name="_Toc8119184"/>
      <w:bookmarkStart w:id="1524" w:name="_Toc78685324"/>
      <w:r>
        <w:rPr>
          <w:rStyle w:val="CharSectno"/>
        </w:rPr>
        <w:t>102A</w:t>
      </w:r>
      <w:r>
        <w:t>.</w:t>
      </w:r>
      <w:r>
        <w:tab/>
        <w:t>Abseiling fee</w:t>
      </w:r>
      <w:bookmarkEnd w:id="1516"/>
      <w:bookmarkEnd w:id="1517"/>
      <w:bookmarkEnd w:id="1518"/>
      <w:bookmarkEnd w:id="1519"/>
      <w:bookmarkEnd w:id="1520"/>
      <w:bookmarkEnd w:id="1521"/>
    </w:p>
    <w:p>
      <w:pPr>
        <w:pStyle w:val="Subsection"/>
        <w:rPr>
          <w:snapToGrid w:val="0"/>
        </w:rPr>
      </w:pPr>
      <w:r>
        <w:rPr>
          <w:snapToGrid w:val="0"/>
        </w:rPr>
        <w:tab/>
        <w:t>(1)</w:t>
      </w:r>
      <w:r>
        <w:rPr>
          <w:snapToGrid w:val="0"/>
        </w:rPr>
        <w:tab/>
        <w:t>Subject to subregulation (2), a person who intends to abseil in a designated abseiling area during a particular half</w:t>
      </w:r>
      <w:r>
        <w:rPr>
          <w:snapToGrid w:val="0"/>
        </w:rPr>
        <w:noBreakHyphen/>
        <w:t>day, or day in the case of Willyabrup Cliffs, is liable to pay the relevant fee specified in Schedule 1 Division 9 in respect of the half</w:t>
      </w:r>
      <w:r>
        <w:rPr>
          <w:snapToGrid w:val="0"/>
        </w:rPr>
        <w:noBreakHyphen/>
        <w:t>day or day.</w:t>
      </w:r>
    </w:p>
    <w:p>
      <w:pPr>
        <w:pStyle w:val="Subsection"/>
        <w:rPr>
          <w:snapToGrid w:val="0"/>
        </w:rPr>
      </w:pPr>
      <w:r>
        <w:rPr>
          <w:snapToGrid w:val="0"/>
        </w:rPr>
        <w:tab/>
        <w:t>(2)</w:t>
      </w:r>
      <w:r>
        <w:rPr>
          <w:snapToGrid w:val="0"/>
        </w:rPr>
        <w:tab/>
        <w:t>Fees are not payable under this regulation unless the CEO has erected a sign at the abseiling area — </w:t>
      </w:r>
    </w:p>
    <w:p>
      <w:pPr>
        <w:pStyle w:val="Indenta"/>
        <w:rPr>
          <w:snapToGrid w:val="0"/>
        </w:rPr>
      </w:pPr>
      <w:r>
        <w:rPr>
          <w:snapToGrid w:val="0"/>
        </w:rPr>
        <w:tab/>
        <w:t>(a)</w:t>
      </w:r>
      <w:r>
        <w:rPr>
          <w:snapToGrid w:val="0"/>
        </w:rPr>
        <w:tab/>
        <w:t>stating that fees are payable for abseiling; and</w:t>
      </w:r>
    </w:p>
    <w:p>
      <w:pPr>
        <w:pStyle w:val="Indenta"/>
        <w:rPr>
          <w:snapToGrid w:val="0"/>
        </w:rPr>
      </w:pPr>
      <w:r>
        <w:rPr>
          <w:snapToGrid w:val="0"/>
        </w:rPr>
        <w:tab/>
        <w:t>(b)</w:t>
      </w:r>
      <w:r>
        <w:rPr>
          <w:snapToGrid w:val="0"/>
        </w:rPr>
        <w:tab/>
        <w:t>specifying the fees that are payable; and</w:t>
      </w:r>
    </w:p>
    <w:p>
      <w:pPr>
        <w:pStyle w:val="Indenta"/>
        <w:rPr>
          <w:snapToGrid w:val="0"/>
        </w:rPr>
      </w:pPr>
      <w:r>
        <w:rPr>
          <w:snapToGrid w:val="0"/>
        </w:rPr>
        <w:tab/>
        <w:t>(c)</w:t>
      </w:r>
      <w:r>
        <w:rPr>
          <w:snapToGrid w:val="0"/>
        </w:rPr>
        <w:tab/>
        <w:t>specifying the manner in which the fees are to be paid.</w:t>
      </w:r>
    </w:p>
    <w:p>
      <w:pPr>
        <w:pStyle w:val="Subsection"/>
        <w:rPr>
          <w:snapToGrid w:val="0"/>
        </w:rPr>
      </w:pPr>
      <w:r>
        <w:rPr>
          <w:snapToGrid w:val="0"/>
        </w:rPr>
        <w:tab/>
        <w:t>(3)</w:t>
      </w:r>
      <w:r>
        <w:rPr>
          <w:snapToGrid w:val="0"/>
        </w:rPr>
        <w:tab/>
        <w:t>A person must pay, in the manner specified in a sign under subregulation (2)(c), the fee for which the person is liable under this regulation.</w:t>
      </w:r>
    </w:p>
    <w:p>
      <w:pPr>
        <w:pStyle w:val="Penstart"/>
        <w:rPr>
          <w:snapToGrid w:val="0"/>
        </w:rPr>
      </w:pPr>
      <w:r>
        <w:rPr>
          <w:snapToGrid w:val="0"/>
        </w:rPr>
        <w:tab/>
        <w:t>Penalty: $200.</w:t>
      </w:r>
    </w:p>
    <w:p>
      <w:pPr>
        <w:pStyle w:val="Subsection"/>
      </w:pPr>
      <w:r>
        <w:tab/>
        <w:t>(4)</w:t>
      </w:r>
      <w:r>
        <w:tab/>
        <w:t xml:space="preserve">If a person, who has paid </w:t>
      </w:r>
      <w:r>
        <w:rPr>
          <w:snapToGrid w:val="0"/>
        </w:rPr>
        <w:t xml:space="preserve">the relevant fee in advance, </w:t>
      </w:r>
      <w:r>
        <w:t>notifies the CEO more than 2 weeks before the half</w:t>
      </w:r>
      <w:r>
        <w:noBreakHyphen/>
        <w:t>day, or day, in respect of which the fee was paid that the person is not going to abseil on that half</w:t>
      </w:r>
      <w:r>
        <w:noBreakHyphen/>
        <w:t>day, or day, in the area in respect of which the fee was paid, the CEO may refund the fee.</w:t>
      </w:r>
    </w:p>
    <w:p>
      <w:pPr>
        <w:pStyle w:val="Subsection"/>
      </w:pPr>
      <w:r>
        <w:tab/>
        <w:t>(5)</w:t>
      </w:r>
      <w:r>
        <w:tab/>
        <w:t xml:space="preserve">In this regulation — </w:t>
      </w:r>
    </w:p>
    <w:p>
      <w:pPr>
        <w:pStyle w:val="Defstart"/>
      </w:pPr>
      <w:r>
        <w:rPr>
          <w:b/>
        </w:rPr>
        <w:tab/>
      </w:r>
      <w:del w:id="1525" w:author="Master Repository Process" w:date="2021-07-31T17:33:00Z">
        <w:r>
          <w:rPr>
            <w:b/>
          </w:rPr>
          <w:delText>“</w:delText>
        </w:r>
      </w:del>
      <w:r>
        <w:rPr>
          <w:rStyle w:val="CharDefText"/>
        </w:rPr>
        <w:t>designated abseiling area</w:t>
      </w:r>
      <w:del w:id="1526" w:author="Master Repository Process" w:date="2021-07-31T17:33:00Z">
        <w:r>
          <w:rPr>
            <w:b/>
          </w:rPr>
          <w:delText>”</w:delText>
        </w:r>
      </w:del>
      <w:r>
        <w:t xml:space="preserve"> means an area designated under regulation 6 for the purposes of regulation 33.</w:t>
      </w:r>
    </w:p>
    <w:p>
      <w:pPr>
        <w:pStyle w:val="Footnotesection"/>
      </w:pPr>
      <w:r>
        <w:tab/>
        <w:t>[Regulation 102A inserted in Gazette 29 Sep 2006 p. 4322</w:t>
      </w:r>
      <w:r>
        <w:noBreakHyphen/>
        <w:t>3.]</w:t>
      </w:r>
    </w:p>
    <w:p>
      <w:pPr>
        <w:pStyle w:val="Heading5"/>
        <w:spacing w:before="180"/>
        <w:rPr>
          <w:snapToGrid w:val="0"/>
        </w:rPr>
      </w:pPr>
      <w:bookmarkStart w:id="1527" w:name="_Toc189456621"/>
      <w:bookmarkStart w:id="1528" w:name="_Toc524422632"/>
      <w:bookmarkStart w:id="1529" w:name="_Toc150315704"/>
      <w:bookmarkStart w:id="1530" w:name="_Toc160332862"/>
      <w:bookmarkStart w:id="1531" w:name="_Toc170207888"/>
      <w:r>
        <w:rPr>
          <w:rStyle w:val="CharSectno"/>
        </w:rPr>
        <w:t>103</w:t>
      </w:r>
      <w:r>
        <w:rPr>
          <w:snapToGrid w:val="0"/>
        </w:rPr>
        <w:t>.</w:t>
      </w:r>
      <w:r>
        <w:rPr>
          <w:snapToGrid w:val="0"/>
        </w:rPr>
        <w:tab/>
        <w:t>Camping fees</w:t>
      </w:r>
      <w:bookmarkEnd w:id="1527"/>
      <w:bookmarkEnd w:id="1528"/>
      <w:bookmarkEnd w:id="1522"/>
      <w:bookmarkEnd w:id="1523"/>
      <w:bookmarkEnd w:id="1524"/>
      <w:bookmarkEnd w:id="1529"/>
      <w:bookmarkEnd w:id="1530"/>
      <w:bookmarkEnd w:id="1531"/>
      <w:r>
        <w:rPr>
          <w:snapToGrid w:val="0"/>
        </w:rPr>
        <w:t xml:space="preserve"> </w:t>
      </w:r>
    </w:p>
    <w:p>
      <w:pPr>
        <w:pStyle w:val="Subsection"/>
        <w:spacing w:before="120"/>
        <w:rPr>
          <w:snapToGrid w:val="0"/>
        </w:rPr>
      </w:pPr>
      <w:r>
        <w:rPr>
          <w:snapToGrid w:val="0"/>
        </w:rPr>
        <w:tab/>
        <w:t>(1)</w:t>
      </w:r>
      <w:r>
        <w:rPr>
          <w:snapToGrid w:val="0"/>
        </w:rPr>
        <w:tab/>
        <w:t>Subject to subregulation (3) the fees specified in Schedule 1 Division 6</w:t>
      </w:r>
      <w:bookmarkStart w:id="1532" w:name="_Hlt4904321"/>
      <w:bookmarkEnd w:id="1532"/>
      <w:r>
        <w:rPr>
          <w:snapToGrid w:val="0"/>
        </w:rPr>
        <w:t xml:space="preserve"> are payable in respect of persons who camp in camping areas on CALM land.</w:t>
      </w:r>
    </w:p>
    <w:p>
      <w:pPr>
        <w:pStyle w:val="Subsection"/>
        <w:spacing w:before="120"/>
        <w:rPr>
          <w:snapToGrid w:val="0"/>
        </w:rPr>
      </w:pPr>
      <w:r>
        <w:rPr>
          <w:snapToGrid w:val="0"/>
        </w:rPr>
        <w:tab/>
        <w:t>(2)</w:t>
      </w:r>
      <w:r>
        <w:rPr>
          <w:snapToGrid w:val="0"/>
        </w:rPr>
        <w:tab/>
        <w:t>A person occupying a camping site is liable to pay the fee referred to in subregulation (1) or, if there is more than one person occupying the site, the persons occupying the site are jointly and severally liable to pay the fee.</w:t>
      </w:r>
    </w:p>
    <w:p>
      <w:pPr>
        <w:pStyle w:val="Subsection"/>
        <w:spacing w:before="120"/>
        <w:rPr>
          <w:snapToGrid w:val="0"/>
        </w:rPr>
      </w:pPr>
      <w:r>
        <w:rPr>
          <w:snapToGrid w:val="0"/>
        </w:rPr>
        <w:tab/>
        <w:t>(3)</w:t>
      </w:r>
      <w:r>
        <w:rPr>
          <w:snapToGrid w:val="0"/>
        </w:rPr>
        <w:tab/>
        <w:t xml:space="preserve">Fees are not payable under this regulation unless the </w:t>
      </w:r>
      <w:r>
        <w:t xml:space="preserve">CEO </w:t>
      </w:r>
      <w:r>
        <w:rPr>
          <w:snapToGrid w:val="0"/>
        </w:rPr>
        <w:t>has erected a sign at the camping area — </w:t>
      </w:r>
    </w:p>
    <w:p>
      <w:pPr>
        <w:pStyle w:val="Indenta"/>
        <w:rPr>
          <w:snapToGrid w:val="0"/>
        </w:rPr>
      </w:pPr>
      <w:r>
        <w:rPr>
          <w:snapToGrid w:val="0"/>
        </w:rPr>
        <w:tab/>
        <w:t>(a)</w:t>
      </w:r>
      <w:r>
        <w:rPr>
          <w:snapToGrid w:val="0"/>
        </w:rPr>
        <w:tab/>
        <w:t>stating that fees are payable for camping;</w:t>
      </w:r>
    </w:p>
    <w:p>
      <w:pPr>
        <w:pStyle w:val="Indenta"/>
        <w:rPr>
          <w:snapToGrid w:val="0"/>
        </w:rPr>
      </w:pPr>
      <w:r>
        <w:rPr>
          <w:snapToGrid w:val="0"/>
        </w:rPr>
        <w:tab/>
        <w:t>(b)</w:t>
      </w:r>
      <w:r>
        <w:rPr>
          <w:snapToGrid w:val="0"/>
        </w:rPr>
        <w:tab/>
        <w:t>specifying the fees that are payable; and</w:t>
      </w:r>
    </w:p>
    <w:p>
      <w:pPr>
        <w:pStyle w:val="Indenta"/>
        <w:rPr>
          <w:snapToGrid w:val="0"/>
        </w:rPr>
      </w:pPr>
      <w:r>
        <w:rPr>
          <w:snapToGrid w:val="0"/>
        </w:rPr>
        <w:tab/>
        <w:t>(c)</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(3)(c), a fee for which the person is liable under this regulation.</w:t>
      </w:r>
    </w:p>
    <w:p>
      <w:pPr>
        <w:pStyle w:val="Penstart"/>
        <w:rPr>
          <w:snapToGrid w:val="0"/>
        </w:rPr>
      </w:pPr>
      <w:r>
        <w:rPr>
          <w:snapToGrid w:val="0"/>
        </w:rPr>
        <w:tab/>
        <w:t>Penalty: $200.</w:t>
      </w:r>
    </w:p>
    <w:p>
      <w:pPr>
        <w:pStyle w:val="Footnotesection"/>
      </w:pPr>
      <w:r>
        <w:tab/>
        <w:t>[Regulation 103 amended in Gazette 29 Sep 2006 p. 4334.]</w:t>
      </w:r>
    </w:p>
    <w:p>
      <w:pPr>
        <w:pStyle w:val="Heading5"/>
      </w:pPr>
      <w:bookmarkStart w:id="1533" w:name="_Toc189456622"/>
      <w:bookmarkStart w:id="1534" w:name="_Toc524422633"/>
      <w:bookmarkStart w:id="1535" w:name="_Toc144874286"/>
      <w:bookmarkStart w:id="1536" w:name="_Toc150315705"/>
      <w:bookmarkStart w:id="1537" w:name="_Toc160332863"/>
      <w:bookmarkStart w:id="1538" w:name="_Toc170207889"/>
      <w:bookmarkStart w:id="1539" w:name="_Toc5508217"/>
      <w:bookmarkStart w:id="1540" w:name="_Toc8119185"/>
      <w:bookmarkStart w:id="1541" w:name="_Toc78685325"/>
      <w:r>
        <w:rPr>
          <w:rStyle w:val="CharSectno"/>
        </w:rPr>
        <w:t>103A</w:t>
      </w:r>
      <w:r>
        <w:t>.</w:t>
      </w:r>
      <w:r>
        <w:tab/>
        <w:t>Companion of Companion Card holder</w:t>
      </w:r>
      <w:bookmarkEnd w:id="1533"/>
      <w:bookmarkEnd w:id="1534"/>
      <w:bookmarkEnd w:id="1535"/>
      <w:bookmarkEnd w:id="1536"/>
      <w:bookmarkEnd w:id="1537"/>
      <w:bookmarkEnd w:id="1538"/>
    </w:p>
    <w:p>
      <w:pPr>
        <w:pStyle w:val="Subsection"/>
      </w:pPr>
      <w:r>
        <w:tab/>
      </w:r>
      <w:r>
        <w:tab/>
        <w:t xml:space="preserve">Despite anything in this Part, a person need not pay a fee under this Part to enter a place or do a thing if — </w:t>
      </w:r>
    </w:p>
    <w:p>
      <w:pPr>
        <w:pStyle w:val="Indenta"/>
      </w:pPr>
      <w:r>
        <w:tab/>
        <w:t>(a)</w:t>
      </w:r>
      <w:r>
        <w:tab/>
        <w:t>the person is, at the time of entering the place or doing the thing, the companion of a person who holds a Companion Card; and</w:t>
      </w:r>
    </w:p>
    <w:p>
      <w:pPr>
        <w:pStyle w:val="Indenta"/>
      </w:pPr>
      <w:r>
        <w:tab/>
        <w:t>(b)</w:t>
      </w:r>
      <w:r>
        <w:tab/>
        <w:t>the person who holds the Companion Card is entitled to pay a concession fee to enter the place or do the thing.</w:t>
      </w:r>
    </w:p>
    <w:p>
      <w:pPr>
        <w:pStyle w:val="Footnotesection"/>
      </w:pPr>
      <w:r>
        <w:tab/>
        <w:t>[Regulation 103A inserted in Gazette 29 Sep 2006 p. 4323.]</w:t>
      </w:r>
    </w:p>
    <w:p>
      <w:pPr>
        <w:pStyle w:val="Heading5"/>
      </w:pPr>
      <w:bookmarkStart w:id="1542" w:name="_Toc189456623"/>
      <w:bookmarkStart w:id="1543" w:name="_Toc524422634"/>
      <w:bookmarkStart w:id="1544" w:name="_Toc150315706"/>
      <w:bookmarkStart w:id="1545" w:name="_Toc160332864"/>
      <w:bookmarkStart w:id="1546" w:name="_Toc170207890"/>
      <w:r>
        <w:rPr>
          <w:rStyle w:val="CharSectno"/>
        </w:rPr>
        <w:t>104</w:t>
      </w:r>
      <w:r>
        <w:rPr>
          <w:snapToGrid w:val="0"/>
        </w:rPr>
        <w:t>.</w:t>
      </w:r>
      <w:r>
        <w:rPr>
          <w:snapToGrid w:val="0"/>
        </w:rPr>
        <w:tab/>
        <w:t>Fees may be waived or reduced</w:t>
      </w:r>
      <w:bookmarkEnd w:id="1542"/>
      <w:bookmarkEnd w:id="1543"/>
      <w:bookmarkEnd w:id="1539"/>
      <w:bookmarkEnd w:id="1540"/>
      <w:bookmarkEnd w:id="1541"/>
      <w:bookmarkEnd w:id="1544"/>
      <w:bookmarkEnd w:id="1545"/>
      <w:bookmarkEnd w:id="1546"/>
    </w:p>
    <w:p>
      <w:pPr>
        <w:pStyle w:val="Subsection"/>
      </w:pPr>
      <w:r>
        <w:tab/>
      </w:r>
      <w:r>
        <w:tab/>
        <w:t>The CEO may waive payment of a fee or part of a fee prescribed or provided for in these regulations.</w:t>
      </w:r>
    </w:p>
    <w:p>
      <w:pPr>
        <w:pStyle w:val="Footnotesection"/>
      </w:pPr>
      <w:r>
        <w:tab/>
        <w:t>[Regulation 104 amended in Gazette 29 Sep 2006 p. 4334.]</w:t>
      </w:r>
    </w:p>
    <w:p>
      <w:pPr>
        <w:pStyle w:val="Heading2"/>
      </w:pPr>
      <w:bookmarkStart w:id="1547" w:name="_Toc189456624"/>
      <w:bookmarkStart w:id="1548" w:name="_Toc524422635"/>
      <w:bookmarkStart w:id="1549" w:name="_Toc144712817"/>
      <w:bookmarkStart w:id="1550" w:name="_Toc144714307"/>
      <w:bookmarkStart w:id="1551" w:name="_Toc144717748"/>
      <w:bookmarkStart w:id="1552" w:name="_Toc144717822"/>
      <w:bookmarkStart w:id="1553" w:name="_Toc144719309"/>
      <w:bookmarkStart w:id="1554" w:name="_Toc144719621"/>
      <w:bookmarkStart w:id="1555" w:name="_Toc144777595"/>
      <w:bookmarkStart w:id="1556" w:name="_Toc144788089"/>
      <w:bookmarkStart w:id="1557" w:name="_Toc144788163"/>
      <w:bookmarkStart w:id="1558" w:name="_Toc144788885"/>
      <w:bookmarkStart w:id="1559" w:name="_Toc144795883"/>
      <w:bookmarkStart w:id="1560" w:name="_Toc144796015"/>
      <w:bookmarkStart w:id="1561" w:name="_Toc144796882"/>
      <w:bookmarkStart w:id="1562" w:name="_Toc144797073"/>
      <w:bookmarkStart w:id="1563" w:name="_Toc144797147"/>
      <w:bookmarkStart w:id="1564" w:name="_Toc144798340"/>
      <w:bookmarkStart w:id="1565" w:name="_Toc144799103"/>
      <w:bookmarkStart w:id="1566" w:name="_Toc144804043"/>
      <w:bookmarkStart w:id="1567" w:name="_Toc144804129"/>
      <w:bookmarkStart w:id="1568" w:name="_Toc144804585"/>
      <w:bookmarkStart w:id="1569" w:name="_Toc144873631"/>
      <w:bookmarkStart w:id="1570" w:name="_Toc144873797"/>
      <w:bookmarkStart w:id="1571" w:name="_Toc144873871"/>
      <w:bookmarkStart w:id="1572" w:name="_Toc144874288"/>
      <w:bookmarkStart w:id="1573" w:name="_Toc147312432"/>
      <w:bookmarkStart w:id="1574" w:name="_Toc147631292"/>
      <w:bookmarkStart w:id="1575" w:name="_Toc147633626"/>
      <w:bookmarkStart w:id="1576" w:name="_Toc147907070"/>
      <w:bookmarkStart w:id="1577" w:name="_Toc147907469"/>
      <w:bookmarkStart w:id="1578" w:name="_Toc149010022"/>
      <w:bookmarkStart w:id="1579" w:name="_Toc149010376"/>
      <w:bookmarkStart w:id="1580" w:name="_Toc149010544"/>
      <w:bookmarkStart w:id="1581" w:name="_Toc149016424"/>
      <w:bookmarkStart w:id="1582" w:name="_Toc149039167"/>
      <w:bookmarkStart w:id="1583" w:name="_Toc149039888"/>
      <w:bookmarkStart w:id="1584" w:name="_Toc150315496"/>
      <w:bookmarkStart w:id="1585" w:name="_Toc150315707"/>
      <w:bookmarkStart w:id="1586" w:name="_Toc160272917"/>
      <w:bookmarkStart w:id="1587" w:name="_Toc160332865"/>
      <w:bookmarkStart w:id="1588" w:name="_Toc170207891"/>
      <w:bookmarkStart w:id="1589" w:name="_Toc5508218"/>
      <w:bookmarkStart w:id="1590" w:name="_Toc8119186"/>
      <w:bookmarkStart w:id="1591" w:name="_Toc78685326"/>
      <w:r>
        <w:rPr>
          <w:rStyle w:val="CharPartNo"/>
        </w:rPr>
        <w:t>Part 9</w:t>
      </w:r>
      <w:r>
        <w:rPr>
          <w:b w:val="0"/>
        </w:rPr>
        <w:t> </w:t>
      </w:r>
      <w:r>
        <w:t>—</w:t>
      </w:r>
      <w:r>
        <w:rPr>
          <w:b w:val="0"/>
        </w:rPr>
        <w:t> </w:t>
      </w:r>
      <w:r>
        <w:rPr>
          <w:rStyle w:val="CharPartText"/>
        </w:rPr>
        <w:t>Miscellaneous</w:t>
      </w:r>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p>
    <w:p>
      <w:pPr>
        <w:pStyle w:val="Footnoteheading"/>
      </w:pPr>
      <w:r>
        <w:tab/>
        <w:t>[Heading inserted in Gazette 29 Sep 2006 p. 4323.]</w:t>
      </w:r>
    </w:p>
    <w:p>
      <w:pPr>
        <w:pStyle w:val="Heading5"/>
        <w:rPr>
          <w:snapToGrid w:val="0"/>
        </w:rPr>
      </w:pPr>
      <w:bookmarkStart w:id="1592" w:name="_Toc189456625"/>
      <w:bookmarkStart w:id="1593" w:name="_Toc524422636"/>
      <w:bookmarkStart w:id="1594" w:name="_Toc150315708"/>
      <w:bookmarkStart w:id="1595" w:name="_Toc160332866"/>
      <w:bookmarkStart w:id="1596" w:name="_Toc170207892"/>
      <w:r>
        <w:rPr>
          <w:rStyle w:val="CharSectno"/>
        </w:rPr>
        <w:t>105</w:t>
      </w:r>
      <w:r>
        <w:rPr>
          <w:snapToGrid w:val="0"/>
        </w:rPr>
        <w:t>.</w:t>
      </w:r>
      <w:r>
        <w:rPr>
          <w:snapToGrid w:val="0"/>
        </w:rPr>
        <w:tab/>
        <w:t>Organised events and meetings</w:t>
      </w:r>
      <w:bookmarkEnd w:id="1592"/>
      <w:bookmarkEnd w:id="1593"/>
      <w:bookmarkEnd w:id="1589"/>
      <w:bookmarkEnd w:id="1590"/>
      <w:bookmarkEnd w:id="1591"/>
      <w:bookmarkEnd w:id="1594"/>
      <w:bookmarkEnd w:id="1595"/>
      <w:bookmarkEnd w:id="1596"/>
      <w:r>
        <w:rPr>
          <w:snapToGrid w:val="0"/>
        </w:rPr>
        <w:t xml:space="preserve"> </w:t>
      </w:r>
    </w:p>
    <w:p>
      <w:pPr>
        <w:pStyle w:val="Subsection"/>
        <w:rPr>
          <w:snapToGrid w:val="0"/>
        </w:rPr>
      </w:pPr>
      <w:r>
        <w:rPr>
          <w:snapToGrid w:val="0"/>
        </w:rPr>
        <w:tab/>
        <w:t>(1)</w:t>
      </w:r>
      <w:r>
        <w:rPr>
          <w:snapToGrid w:val="0"/>
        </w:rPr>
        <w:tab/>
        <w:t xml:space="preserve">A person must not, without lawful authority, organise, advertise or hold a meeting, function or event on CALM land which is likely to involve or involves the attendance of more than 100 persons. </w:t>
      </w:r>
    </w:p>
    <w:p>
      <w:pPr>
        <w:pStyle w:val="Penstart"/>
        <w:rPr>
          <w:snapToGrid w:val="0"/>
        </w:rPr>
      </w:pPr>
      <w:r>
        <w:rPr>
          <w:snapToGrid w:val="0"/>
        </w:rPr>
        <w:tab/>
        <w:t>Penalty: $2 000.</w:t>
      </w:r>
    </w:p>
    <w:p>
      <w:pPr>
        <w:pStyle w:val="Subsection"/>
      </w:pPr>
      <w:r>
        <w:tab/>
        <w:t>(2)</w:t>
      </w:r>
      <w:r>
        <w:tab/>
        <w:t>The CEO cannot refuse to authorise a person for the purposes of subregulation (1) except on grounds relating to the adverse effects of the meeting, function or event on the environment or other users of the land.</w:t>
      </w:r>
    </w:p>
    <w:p>
      <w:pPr>
        <w:pStyle w:val="Footnotesection"/>
      </w:pPr>
      <w:r>
        <w:tab/>
        <w:t>[Regulation 105 amended in Gazette 29 Sep 2006 p. 4323</w:t>
      </w:r>
      <w:r>
        <w:noBreakHyphen/>
        <w:t>4.]</w:t>
      </w:r>
    </w:p>
    <w:p>
      <w:pPr>
        <w:pStyle w:val="Heading5"/>
        <w:rPr>
          <w:snapToGrid w:val="0"/>
        </w:rPr>
      </w:pPr>
      <w:bookmarkStart w:id="1597" w:name="_Toc189456626"/>
      <w:bookmarkStart w:id="1598" w:name="_Toc524422637"/>
      <w:bookmarkStart w:id="1599" w:name="_Toc5508219"/>
      <w:bookmarkStart w:id="1600" w:name="_Toc8119187"/>
      <w:bookmarkStart w:id="1601" w:name="_Toc78685327"/>
      <w:bookmarkStart w:id="1602" w:name="_Toc150315709"/>
      <w:bookmarkStart w:id="1603" w:name="_Toc160332867"/>
      <w:bookmarkStart w:id="1604" w:name="_Toc170207893"/>
      <w:r>
        <w:rPr>
          <w:rStyle w:val="CharSectno"/>
        </w:rPr>
        <w:t>106</w:t>
      </w:r>
      <w:r>
        <w:rPr>
          <w:snapToGrid w:val="0"/>
        </w:rPr>
        <w:t>.</w:t>
      </w:r>
      <w:r>
        <w:rPr>
          <w:snapToGrid w:val="0"/>
        </w:rPr>
        <w:tab/>
        <w:t>Unlawful commercial operations</w:t>
      </w:r>
      <w:bookmarkEnd w:id="1597"/>
      <w:bookmarkEnd w:id="1598"/>
      <w:bookmarkEnd w:id="1599"/>
      <w:bookmarkEnd w:id="1600"/>
      <w:bookmarkEnd w:id="1601"/>
      <w:bookmarkEnd w:id="1602"/>
      <w:bookmarkEnd w:id="1603"/>
      <w:bookmarkEnd w:id="1604"/>
      <w:r>
        <w:rPr>
          <w:snapToGrid w:val="0"/>
        </w:rPr>
        <w:t xml:space="preserve"> </w:t>
      </w:r>
    </w:p>
    <w:p>
      <w:pPr>
        <w:pStyle w:val="Subsection"/>
        <w:rPr>
          <w:snapToGrid w:val="0"/>
        </w:rPr>
      </w:pPr>
      <w:r>
        <w:rPr>
          <w:snapToGrid w:val="0"/>
        </w:rPr>
        <w:tab/>
        <w:t>(1)</w:t>
      </w:r>
      <w:r>
        <w:rPr>
          <w:snapToGrid w:val="0"/>
        </w:rPr>
        <w:tab/>
        <w:t>A person must not, without lawful authority, sell any goods or services, or carry on any business, on CALM land.</w:t>
      </w:r>
    </w:p>
    <w:p>
      <w:pPr>
        <w:pStyle w:val="Penstart"/>
        <w:rPr>
          <w:snapToGrid w:val="0"/>
        </w:rPr>
      </w:pPr>
      <w:r>
        <w:rPr>
          <w:snapToGrid w:val="0"/>
        </w:rPr>
        <w:tab/>
        <w:t>Penalty: $2 000.</w:t>
      </w:r>
    </w:p>
    <w:p>
      <w:pPr>
        <w:pStyle w:val="Subsection"/>
      </w:pPr>
      <w:r>
        <w:tab/>
        <w:t>(2)</w:t>
      </w:r>
      <w:r>
        <w:tab/>
        <w:t>A person must not advertise that the person is willing to sell any goods or services, or that the person carries on or will carry on a business, on CALM land unless the person has lawful authority to sell the goods or services, or carry on the business, on the CALM land.</w:t>
      </w:r>
    </w:p>
    <w:p>
      <w:pPr>
        <w:pStyle w:val="Penstart"/>
      </w:pPr>
      <w:r>
        <w:tab/>
        <w:t>Penalty: $2 000.</w:t>
      </w:r>
    </w:p>
    <w:p>
      <w:pPr>
        <w:pStyle w:val="Footnotesection"/>
      </w:pPr>
      <w:r>
        <w:tab/>
        <w:t>[Regulation 106 amended in Gazette 29 Sep 2006 p. 4324.]</w:t>
      </w:r>
    </w:p>
    <w:p>
      <w:pPr>
        <w:pStyle w:val="Heading5"/>
      </w:pPr>
      <w:bookmarkStart w:id="1605" w:name="_Toc189456627"/>
      <w:bookmarkStart w:id="1606" w:name="_Toc524422638"/>
      <w:bookmarkStart w:id="1607" w:name="_Toc144874292"/>
      <w:bookmarkStart w:id="1608" w:name="_Toc150315710"/>
      <w:bookmarkStart w:id="1609" w:name="_Toc160332868"/>
      <w:bookmarkStart w:id="1610" w:name="_Toc170207894"/>
      <w:bookmarkStart w:id="1611" w:name="_Toc5508221"/>
      <w:bookmarkStart w:id="1612" w:name="_Toc8119189"/>
      <w:bookmarkStart w:id="1613" w:name="_Toc78685329"/>
      <w:r>
        <w:rPr>
          <w:rStyle w:val="CharSectno"/>
        </w:rPr>
        <w:t>107</w:t>
      </w:r>
      <w:r>
        <w:t>.</w:t>
      </w:r>
      <w:r>
        <w:tab/>
        <w:t>Distribution of printed matter and advertising material</w:t>
      </w:r>
      <w:bookmarkEnd w:id="1605"/>
      <w:bookmarkEnd w:id="1606"/>
      <w:bookmarkEnd w:id="1607"/>
      <w:bookmarkEnd w:id="1608"/>
      <w:bookmarkEnd w:id="1609"/>
      <w:bookmarkEnd w:id="1610"/>
    </w:p>
    <w:p>
      <w:pPr>
        <w:pStyle w:val="Subsection"/>
      </w:pPr>
      <w:r>
        <w:tab/>
      </w:r>
      <w:r>
        <w:tab/>
        <w:t xml:space="preserve">A person must not, without lawful authority, on CALM land — </w:t>
      </w:r>
    </w:p>
    <w:p>
      <w:pPr>
        <w:pStyle w:val="Indenta"/>
      </w:pPr>
      <w:r>
        <w:tab/>
        <w:t>(a)</w:t>
      </w:r>
      <w:r>
        <w:tab/>
        <w:t>sell or distribute or carry or expose for sale any printed or written matter; or</w:t>
      </w:r>
    </w:p>
    <w:p>
      <w:pPr>
        <w:pStyle w:val="Indenta"/>
      </w:pPr>
      <w:r>
        <w:tab/>
        <w:t>(b)</w:t>
      </w:r>
      <w:r>
        <w:tab/>
        <w:t>distribute any printed or written matter for a commercial purpose; or</w:t>
      </w:r>
    </w:p>
    <w:p>
      <w:pPr>
        <w:pStyle w:val="Indenta"/>
      </w:pPr>
      <w:r>
        <w:tab/>
        <w:t>(c)</w:t>
      </w:r>
      <w:r>
        <w:tab/>
        <w:t>advertise or promote any product, service or event for a commercial purpose.</w:t>
      </w:r>
    </w:p>
    <w:p>
      <w:pPr>
        <w:pStyle w:val="Penstart"/>
      </w:pPr>
      <w:r>
        <w:tab/>
        <w:t>Penalty: $500.</w:t>
      </w:r>
    </w:p>
    <w:p>
      <w:pPr>
        <w:pStyle w:val="Footnotesection"/>
      </w:pPr>
      <w:r>
        <w:tab/>
        <w:t>[Regulation 107 inserted in Gazette 29 Sep 2006 p. 4324</w:t>
      </w:r>
      <w:r>
        <w:noBreakHyphen/>
        <w:t>5.]</w:t>
      </w:r>
    </w:p>
    <w:p>
      <w:pPr>
        <w:pStyle w:val="Heading5"/>
        <w:rPr>
          <w:snapToGrid w:val="0"/>
        </w:rPr>
      </w:pPr>
      <w:bookmarkStart w:id="1614" w:name="_Toc189456628"/>
      <w:bookmarkStart w:id="1615" w:name="_Toc524422639"/>
      <w:bookmarkStart w:id="1616" w:name="_Toc150315711"/>
      <w:bookmarkStart w:id="1617" w:name="_Toc160332869"/>
      <w:bookmarkStart w:id="1618" w:name="_Toc170207895"/>
      <w:r>
        <w:rPr>
          <w:rStyle w:val="CharSectno"/>
        </w:rPr>
        <w:t>108</w:t>
      </w:r>
      <w:r>
        <w:rPr>
          <w:snapToGrid w:val="0"/>
        </w:rPr>
        <w:t>.</w:t>
      </w:r>
      <w:r>
        <w:rPr>
          <w:snapToGrid w:val="0"/>
        </w:rPr>
        <w:tab/>
        <w:t>Photography for commercial purposes</w:t>
      </w:r>
      <w:bookmarkEnd w:id="1614"/>
      <w:bookmarkEnd w:id="1615"/>
      <w:bookmarkEnd w:id="1611"/>
      <w:bookmarkEnd w:id="1612"/>
      <w:bookmarkEnd w:id="1613"/>
      <w:bookmarkEnd w:id="1616"/>
      <w:bookmarkEnd w:id="1617"/>
      <w:bookmarkEnd w:id="1618"/>
      <w:r>
        <w:rPr>
          <w:snapToGrid w:val="0"/>
        </w:rPr>
        <w:t xml:space="preserve"> </w:t>
      </w:r>
    </w:p>
    <w:p>
      <w:pPr>
        <w:pStyle w:val="Subsection"/>
        <w:rPr>
          <w:snapToGrid w:val="0"/>
        </w:rPr>
      </w:pPr>
      <w:r>
        <w:rPr>
          <w:snapToGrid w:val="0"/>
        </w:rPr>
        <w:tab/>
      </w:r>
      <w:r>
        <w:rPr>
          <w:snapToGrid w:val="0"/>
        </w:rPr>
        <w:tab/>
        <w:t>A person must not, without lawful authority, take — </w:t>
      </w:r>
    </w:p>
    <w:p>
      <w:pPr>
        <w:pStyle w:val="Indenta"/>
        <w:rPr>
          <w:snapToGrid w:val="0"/>
        </w:rPr>
      </w:pPr>
      <w:r>
        <w:rPr>
          <w:snapToGrid w:val="0"/>
        </w:rPr>
        <w:tab/>
        <w:t>(a)</w:t>
      </w:r>
      <w:r>
        <w:rPr>
          <w:snapToGrid w:val="0"/>
        </w:rPr>
        <w:tab/>
        <w:t xml:space="preserve">still pictures on CALM land by photographic or electronic means if the pictures are to be used for </w:t>
      </w:r>
      <w:r>
        <w:t xml:space="preserve">commercial </w:t>
      </w:r>
      <w:r>
        <w:rPr>
          <w:snapToGrid w:val="0"/>
        </w:rPr>
        <w:t>purposes; or</w:t>
      </w:r>
    </w:p>
    <w:p>
      <w:pPr>
        <w:pStyle w:val="Indenta"/>
        <w:rPr>
          <w:snapToGrid w:val="0"/>
        </w:rPr>
      </w:pPr>
      <w:r>
        <w:rPr>
          <w:snapToGrid w:val="0"/>
        </w:rPr>
        <w:tab/>
        <w:t>(b)</w:t>
      </w:r>
      <w:r>
        <w:rPr>
          <w:snapToGrid w:val="0"/>
        </w:rPr>
        <w:tab/>
        <w:t>motion pictures on CALM land by photographic or electronic means if the pictures are to be used for commercial purposes.</w:t>
      </w:r>
    </w:p>
    <w:p>
      <w:pPr>
        <w:pStyle w:val="Penstart"/>
        <w:rPr>
          <w:snapToGrid w:val="0"/>
        </w:rPr>
      </w:pPr>
      <w:r>
        <w:rPr>
          <w:snapToGrid w:val="0"/>
        </w:rPr>
        <w:tab/>
        <w:t>Penalty: $500.</w:t>
      </w:r>
    </w:p>
    <w:p>
      <w:pPr>
        <w:pStyle w:val="Footnotesection"/>
      </w:pPr>
      <w:r>
        <w:tab/>
        <w:t>[Regulation 108 amended in Gazette 29 Sep 2006 p. 4325.]</w:t>
      </w:r>
    </w:p>
    <w:p>
      <w:pPr>
        <w:pStyle w:val="Heading5"/>
        <w:rPr>
          <w:snapToGrid w:val="0"/>
        </w:rPr>
      </w:pPr>
      <w:bookmarkStart w:id="1619" w:name="_Toc189456629"/>
      <w:bookmarkStart w:id="1620" w:name="_Toc524422640"/>
      <w:bookmarkStart w:id="1621" w:name="_Toc5508222"/>
      <w:bookmarkStart w:id="1622" w:name="_Toc8119190"/>
      <w:bookmarkStart w:id="1623" w:name="_Toc78685330"/>
      <w:bookmarkStart w:id="1624" w:name="_Toc150315712"/>
      <w:bookmarkStart w:id="1625" w:name="_Toc160332870"/>
      <w:bookmarkStart w:id="1626" w:name="_Toc170207896"/>
      <w:r>
        <w:rPr>
          <w:rStyle w:val="CharSectno"/>
        </w:rPr>
        <w:t>109</w:t>
      </w:r>
      <w:r>
        <w:rPr>
          <w:snapToGrid w:val="0"/>
        </w:rPr>
        <w:t>.</w:t>
      </w:r>
      <w:r>
        <w:rPr>
          <w:snapToGrid w:val="0"/>
        </w:rPr>
        <w:tab/>
        <w:t>Production of licences etc.</w:t>
      </w:r>
      <w:bookmarkEnd w:id="1619"/>
      <w:bookmarkEnd w:id="1620"/>
      <w:bookmarkEnd w:id="1621"/>
      <w:bookmarkEnd w:id="1622"/>
      <w:bookmarkEnd w:id="1623"/>
      <w:bookmarkEnd w:id="1624"/>
      <w:bookmarkEnd w:id="1625"/>
      <w:bookmarkEnd w:id="1626"/>
      <w:r>
        <w:rPr>
          <w:snapToGrid w:val="0"/>
        </w:rPr>
        <w:t xml:space="preserve"> </w:t>
      </w:r>
    </w:p>
    <w:p>
      <w:pPr>
        <w:pStyle w:val="Subsection"/>
      </w:pPr>
      <w:r>
        <w:rPr>
          <w:snapToGrid w:val="0"/>
        </w:rPr>
        <w:tab/>
      </w:r>
      <w:r>
        <w:rPr>
          <w:snapToGrid w:val="0"/>
        </w:rPr>
        <w:tab/>
        <w:t xml:space="preserve">The holder of a licence, permit, written authorisation or pass issued under the Act or these regulations must, if requested by an authorised officer, produce the licence, permit, authorisation or pass for </w:t>
      </w:r>
      <w:r>
        <w:t xml:space="preserve">inspection — </w:t>
      </w:r>
    </w:p>
    <w:p>
      <w:pPr>
        <w:pStyle w:val="Indenta"/>
      </w:pPr>
      <w:r>
        <w:tab/>
        <w:t>(a)</w:t>
      </w:r>
      <w:r>
        <w:tab/>
        <w:t>if it is a condition of the licence, permit, authorisation or pass that the holder produce the licence, permit, authorisation or pass upon demand of an authorised officer — at the time of the request; or</w:t>
      </w:r>
    </w:p>
    <w:p>
      <w:pPr>
        <w:pStyle w:val="Indenta"/>
        <w:rPr>
          <w:snapToGrid w:val="0"/>
        </w:rPr>
      </w:pPr>
      <w:r>
        <w:tab/>
        <w:t>(b)</w:t>
      </w:r>
      <w:r>
        <w:tab/>
        <w:t>if paragraph (a) does not apply — as soon as is practicable.</w:t>
      </w:r>
    </w:p>
    <w:p>
      <w:pPr>
        <w:pStyle w:val="Penstart"/>
        <w:rPr>
          <w:snapToGrid w:val="0"/>
        </w:rPr>
      </w:pPr>
      <w:r>
        <w:rPr>
          <w:snapToGrid w:val="0"/>
        </w:rPr>
        <w:tab/>
        <w:t>Penalty: $1 000.</w:t>
      </w:r>
    </w:p>
    <w:p>
      <w:pPr>
        <w:pStyle w:val="Footnotesection"/>
      </w:pPr>
      <w:r>
        <w:tab/>
        <w:t>[Regulation 109 amended in Gazette 29 Sep 2006 p. 4325.]</w:t>
      </w:r>
    </w:p>
    <w:p>
      <w:pPr>
        <w:pStyle w:val="Heading5"/>
        <w:rPr>
          <w:snapToGrid w:val="0"/>
        </w:rPr>
      </w:pPr>
      <w:bookmarkStart w:id="1627" w:name="_Toc189456630"/>
      <w:bookmarkStart w:id="1628" w:name="_Toc524422641"/>
      <w:bookmarkStart w:id="1629" w:name="_Toc5508223"/>
      <w:bookmarkStart w:id="1630" w:name="_Toc8119191"/>
      <w:bookmarkStart w:id="1631" w:name="_Toc78685331"/>
      <w:bookmarkStart w:id="1632" w:name="_Toc150315713"/>
      <w:bookmarkStart w:id="1633" w:name="_Toc160332871"/>
      <w:bookmarkStart w:id="1634" w:name="_Toc170207897"/>
      <w:r>
        <w:rPr>
          <w:rStyle w:val="CharSectno"/>
        </w:rPr>
        <w:t>110</w:t>
      </w:r>
      <w:r>
        <w:rPr>
          <w:snapToGrid w:val="0"/>
        </w:rPr>
        <w:t>.</w:t>
      </w:r>
      <w:r>
        <w:rPr>
          <w:snapToGrid w:val="0"/>
        </w:rPr>
        <w:tab/>
        <w:t>False or misleading information</w:t>
      </w:r>
      <w:bookmarkEnd w:id="1627"/>
      <w:bookmarkEnd w:id="1628"/>
      <w:bookmarkEnd w:id="1629"/>
      <w:bookmarkEnd w:id="1630"/>
      <w:bookmarkEnd w:id="1631"/>
      <w:bookmarkEnd w:id="1632"/>
      <w:bookmarkEnd w:id="1633"/>
      <w:bookmarkEnd w:id="1634"/>
      <w:r>
        <w:rPr>
          <w:snapToGrid w:val="0"/>
        </w:rPr>
        <w:t xml:space="preserve"> </w:t>
      </w:r>
    </w:p>
    <w:p>
      <w:pPr>
        <w:pStyle w:val="Subsection"/>
        <w:rPr>
          <w:snapToGrid w:val="0"/>
        </w:rPr>
      </w:pPr>
      <w:r>
        <w:rPr>
          <w:snapToGrid w:val="0"/>
        </w:rPr>
        <w:tab/>
      </w:r>
      <w:r>
        <w:rPr>
          <w:snapToGrid w:val="0"/>
        </w:rPr>
        <w:tab/>
        <w:t>A person must not, in relation to the holding of a lease, licence or permit or the payment of a fee, give information orally or in writing to an authorised officer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 $1 000.</w:t>
      </w:r>
    </w:p>
    <w:p>
      <w:pPr>
        <w:pStyle w:val="Heading5"/>
        <w:rPr>
          <w:snapToGrid w:val="0"/>
        </w:rPr>
      </w:pPr>
      <w:bookmarkStart w:id="1635" w:name="_Toc189456631"/>
      <w:bookmarkStart w:id="1636" w:name="_Toc524422642"/>
      <w:bookmarkStart w:id="1637" w:name="_Toc5508224"/>
      <w:bookmarkStart w:id="1638" w:name="_Toc8119192"/>
      <w:bookmarkStart w:id="1639" w:name="_Toc78685332"/>
      <w:bookmarkStart w:id="1640" w:name="_Toc150315714"/>
      <w:bookmarkStart w:id="1641" w:name="_Toc160332872"/>
      <w:bookmarkStart w:id="1642" w:name="_Toc170207898"/>
      <w:r>
        <w:rPr>
          <w:rStyle w:val="CharSectno"/>
        </w:rPr>
        <w:t>111</w:t>
      </w:r>
      <w:r>
        <w:rPr>
          <w:snapToGrid w:val="0"/>
        </w:rPr>
        <w:t>.</w:t>
      </w:r>
      <w:r>
        <w:rPr>
          <w:snapToGrid w:val="0"/>
        </w:rPr>
        <w:tab/>
        <w:t>Signs — presumption</w:t>
      </w:r>
      <w:bookmarkEnd w:id="1635"/>
      <w:bookmarkEnd w:id="1636"/>
      <w:bookmarkEnd w:id="1637"/>
      <w:bookmarkEnd w:id="1638"/>
      <w:bookmarkEnd w:id="1639"/>
      <w:bookmarkEnd w:id="1640"/>
      <w:bookmarkEnd w:id="1641"/>
      <w:bookmarkEnd w:id="1642"/>
      <w:r>
        <w:rPr>
          <w:snapToGrid w:val="0"/>
        </w:rPr>
        <w:t xml:space="preserve"> </w:t>
      </w:r>
    </w:p>
    <w:p>
      <w:pPr>
        <w:pStyle w:val="Subsection"/>
        <w:rPr>
          <w:snapToGrid w:val="0"/>
        </w:rPr>
      </w:pPr>
      <w:r>
        <w:rPr>
          <w:snapToGrid w:val="0"/>
        </w:rPr>
        <w:tab/>
      </w:r>
      <w:r>
        <w:rPr>
          <w:snapToGrid w:val="0"/>
        </w:rPr>
        <w:tab/>
        <w:t xml:space="preserve">A sign on CALM land is to be taken to have been erected or made by the authority of the </w:t>
      </w:r>
      <w:r>
        <w:t xml:space="preserve">CEO </w:t>
      </w:r>
      <w:r>
        <w:rPr>
          <w:snapToGrid w:val="0"/>
        </w:rPr>
        <w:t>unless the contrary is shown.</w:t>
      </w:r>
    </w:p>
    <w:p>
      <w:pPr>
        <w:pStyle w:val="Footnotesection"/>
      </w:pPr>
      <w:r>
        <w:tab/>
        <w:t>[Regulation 111 amended in Gazette 29 Sep 2006 p. 4334.]</w:t>
      </w:r>
    </w:p>
    <w:p>
      <w:pPr>
        <w:pStyle w:val="Heading5"/>
      </w:pPr>
      <w:bookmarkStart w:id="1643" w:name="_Hlt4905128"/>
      <w:bookmarkStart w:id="1644" w:name="_Toc189456632"/>
      <w:bookmarkStart w:id="1645" w:name="_Toc524422643"/>
      <w:bookmarkStart w:id="1646" w:name="_Toc144874296"/>
      <w:bookmarkStart w:id="1647" w:name="_Toc150315715"/>
      <w:bookmarkStart w:id="1648" w:name="_Toc160332873"/>
      <w:bookmarkStart w:id="1649" w:name="_Toc170207899"/>
      <w:bookmarkStart w:id="1650" w:name="_Toc5508225"/>
      <w:bookmarkStart w:id="1651" w:name="_Toc8119193"/>
      <w:bookmarkStart w:id="1652" w:name="_Toc78685333"/>
      <w:bookmarkEnd w:id="1643"/>
      <w:r>
        <w:rPr>
          <w:rStyle w:val="CharSectno"/>
        </w:rPr>
        <w:t>111A</w:t>
      </w:r>
      <w:r>
        <w:t>.</w:t>
      </w:r>
      <w:r>
        <w:tab/>
        <w:t>Reasons for decisions</w:t>
      </w:r>
      <w:bookmarkEnd w:id="1644"/>
      <w:bookmarkEnd w:id="1645"/>
      <w:bookmarkEnd w:id="1646"/>
      <w:bookmarkEnd w:id="1647"/>
      <w:bookmarkEnd w:id="1648"/>
      <w:bookmarkEnd w:id="1649"/>
    </w:p>
    <w:p>
      <w:pPr>
        <w:pStyle w:val="Subsection"/>
      </w:pPr>
      <w:r>
        <w:tab/>
        <w:t>(1)</w:t>
      </w:r>
      <w:r>
        <w:tab/>
        <w:t>A person aggrieved by a decision of the CEO under these regulations may apply to the CEO for reasons for the decision.</w:t>
      </w:r>
    </w:p>
    <w:p>
      <w:pPr>
        <w:pStyle w:val="Subsection"/>
      </w:pPr>
      <w:r>
        <w:tab/>
        <w:t>(2)</w:t>
      </w:r>
      <w:r>
        <w:tab/>
        <w:t>The CEO must give the reasons for the decision to the person.</w:t>
      </w:r>
    </w:p>
    <w:p>
      <w:pPr>
        <w:pStyle w:val="Footnotesection"/>
      </w:pPr>
      <w:r>
        <w:tab/>
        <w:t>[Regulation 111A inserted in Gazette 29 Sep 2006 p. 4326.]</w:t>
      </w:r>
    </w:p>
    <w:p>
      <w:pPr>
        <w:pStyle w:val="Heading5"/>
        <w:rPr>
          <w:snapToGrid w:val="0"/>
        </w:rPr>
      </w:pPr>
      <w:bookmarkStart w:id="1653" w:name="_Toc189456633"/>
      <w:bookmarkStart w:id="1654" w:name="_Toc524422644"/>
      <w:bookmarkStart w:id="1655" w:name="_Toc150315716"/>
      <w:bookmarkStart w:id="1656" w:name="_Toc160332874"/>
      <w:bookmarkStart w:id="1657" w:name="_Toc170207900"/>
      <w:r>
        <w:rPr>
          <w:rStyle w:val="CharSectno"/>
        </w:rPr>
        <w:t>112</w:t>
      </w:r>
      <w:r>
        <w:rPr>
          <w:snapToGrid w:val="0"/>
        </w:rPr>
        <w:t>.</w:t>
      </w:r>
      <w:r>
        <w:rPr>
          <w:snapToGrid w:val="0"/>
        </w:rPr>
        <w:tab/>
        <w:t>Infringement notices</w:t>
      </w:r>
      <w:bookmarkEnd w:id="1653"/>
      <w:bookmarkEnd w:id="1654"/>
      <w:bookmarkEnd w:id="1650"/>
      <w:bookmarkEnd w:id="1651"/>
      <w:bookmarkEnd w:id="1652"/>
      <w:bookmarkEnd w:id="1655"/>
      <w:bookmarkEnd w:id="1656"/>
      <w:bookmarkEnd w:id="1657"/>
      <w:r>
        <w:rPr>
          <w:snapToGrid w:val="0"/>
        </w:rPr>
        <w:t xml:space="preserve"> </w:t>
      </w:r>
    </w:p>
    <w:p>
      <w:pPr>
        <w:pStyle w:val="Subsection"/>
        <w:rPr>
          <w:snapToGrid w:val="0"/>
        </w:rPr>
      </w:pPr>
      <w:r>
        <w:rPr>
          <w:snapToGrid w:val="0"/>
        </w:rPr>
        <w:tab/>
        <w:t>(1)</w:t>
      </w:r>
      <w:r>
        <w:rPr>
          <w:snapToGrid w:val="0"/>
        </w:rPr>
        <w:tab/>
        <w:t>The offences described in Schedule 2 columns 1 and 2 are prescribed offences for the purposes of section 114A of the Act.</w:t>
      </w:r>
    </w:p>
    <w:p>
      <w:pPr>
        <w:pStyle w:val="Subsection"/>
        <w:rPr>
          <w:snapToGrid w:val="0"/>
        </w:rPr>
      </w:pPr>
      <w:r>
        <w:rPr>
          <w:snapToGrid w:val="0"/>
        </w:rPr>
        <w:tab/>
        <w:t>(2)</w:t>
      </w:r>
      <w:r>
        <w:rPr>
          <w:snapToGrid w:val="0"/>
        </w:rPr>
        <w:tab/>
        <w:t>The penalties set out in Schedule 2 column 3 are prescribed modified penalties for the offence in columns 1 and 2 to which the penalties correspond, for the purposes of section 114A of the Act.</w:t>
      </w:r>
    </w:p>
    <w:p>
      <w:pPr>
        <w:pStyle w:val="Subsection"/>
        <w:rPr>
          <w:snapToGrid w:val="0"/>
        </w:rPr>
      </w:pPr>
      <w:r>
        <w:rPr>
          <w:snapToGrid w:val="0"/>
        </w:rPr>
        <w:tab/>
        <w:t>(3)</w:t>
      </w:r>
      <w:r>
        <w:rPr>
          <w:snapToGrid w:val="0"/>
        </w:rPr>
        <w:tab/>
        <w:t>Schedule 3 Form 1 is prescribed for the purposes of section 114A(1) of the Act.</w:t>
      </w:r>
    </w:p>
    <w:p>
      <w:pPr>
        <w:pStyle w:val="Subsection"/>
        <w:rPr>
          <w:snapToGrid w:val="0"/>
        </w:rPr>
      </w:pPr>
      <w:r>
        <w:rPr>
          <w:snapToGrid w:val="0"/>
        </w:rPr>
        <w:tab/>
        <w:t>(4)</w:t>
      </w:r>
      <w:r>
        <w:rPr>
          <w:snapToGrid w:val="0"/>
        </w:rPr>
        <w:tab/>
        <w:t>Schedule 3 Form 2 is prescribed for the purposes of section 114A(6) of the Act.</w:t>
      </w:r>
    </w:p>
    <w:p>
      <w:pPr>
        <w:pStyle w:val="Heading5"/>
        <w:rPr>
          <w:snapToGrid w:val="0"/>
        </w:rPr>
      </w:pPr>
      <w:bookmarkStart w:id="1658" w:name="_Toc189456634"/>
      <w:bookmarkStart w:id="1659" w:name="_Toc524422645"/>
      <w:bookmarkStart w:id="1660" w:name="_Toc5508226"/>
      <w:bookmarkStart w:id="1661" w:name="_Toc8119194"/>
      <w:bookmarkStart w:id="1662" w:name="_Toc78685334"/>
      <w:bookmarkStart w:id="1663" w:name="_Toc150315717"/>
      <w:bookmarkStart w:id="1664" w:name="_Toc160332875"/>
      <w:bookmarkStart w:id="1665" w:name="_Toc170207901"/>
      <w:r>
        <w:rPr>
          <w:rStyle w:val="CharSectno"/>
        </w:rPr>
        <w:t>113</w:t>
      </w:r>
      <w:r>
        <w:rPr>
          <w:snapToGrid w:val="0"/>
        </w:rPr>
        <w:t>.</w:t>
      </w:r>
      <w:r>
        <w:rPr>
          <w:snapToGrid w:val="0"/>
        </w:rPr>
        <w:tab/>
        <w:t>Evidence</w:t>
      </w:r>
      <w:bookmarkEnd w:id="1658"/>
      <w:bookmarkEnd w:id="1659"/>
      <w:bookmarkEnd w:id="1660"/>
      <w:bookmarkEnd w:id="1661"/>
      <w:bookmarkEnd w:id="1662"/>
      <w:bookmarkEnd w:id="1663"/>
      <w:bookmarkEnd w:id="1664"/>
      <w:bookmarkEnd w:id="1665"/>
      <w:r>
        <w:rPr>
          <w:snapToGrid w:val="0"/>
        </w:rPr>
        <w:t xml:space="preserve"> </w:t>
      </w:r>
    </w:p>
    <w:p>
      <w:pPr>
        <w:pStyle w:val="Subsection"/>
        <w:rPr>
          <w:snapToGrid w:val="0"/>
        </w:rPr>
      </w:pPr>
      <w:r>
        <w:rPr>
          <w:snapToGrid w:val="0"/>
        </w:rPr>
        <w:tab/>
      </w:r>
      <w:r>
        <w:rPr>
          <w:snapToGrid w:val="0"/>
        </w:rPr>
        <w:tab/>
        <w:t>In any prosecution under these regulations an averment in the complaint — </w:t>
      </w:r>
    </w:p>
    <w:p>
      <w:pPr>
        <w:pStyle w:val="Indenta"/>
        <w:rPr>
          <w:snapToGrid w:val="0"/>
        </w:rPr>
      </w:pPr>
      <w:r>
        <w:rPr>
          <w:snapToGrid w:val="0"/>
        </w:rPr>
        <w:tab/>
        <w:t>(a)</w:t>
      </w:r>
      <w:r>
        <w:rPr>
          <w:snapToGrid w:val="0"/>
        </w:rPr>
        <w:tab/>
        <w:t xml:space="preserve">that the place at or in respect of which a contravention of a regulation is alleged to have occurred was, or was within, a restricted area declared for the purpose of that regulation; </w:t>
      </w:r>
    </w:p>
    <w:p>
      <w:pPr>
        <w:pStyle w:val="Indenta"/>
        <w:rPr>
          <w:snapToGrid w:val="0"/>
        </w:rPr>
      </w:pPr>
      <w:r>
        <w:rPr>
          <w:snapToGrid w:val="0"/>
        </w:rPr>
        <w:tab/>
        <w:t>(b)</w:t>
      </w:r>
      <w:r>
        <w:rPr>
          <w:snapToGrid w:val="0"/>
        </w:rPr>
        <w:tab/>
        <w:t>that the place at or in respect of which a contravention of a regulation is alleged to have occurred was, or was within, a designated area declared for the purpose of that regulation; or</w:t>
      </w:r>
    </w:p>
    <w:p>
      <w:pPr>
        <w:pStyle w:val="Indenta"/>
        <w:rPr>
          <w:snapToGrid w:val="0"/>
        </w:rPr>
      </w:pPr>
      <w:r>
        <w:rPr>
          <w:snapToGrid w:val="0"/>
        </w:rPr>
        <w:tab/>
        <w:t>(c)</w:t>
      </w:r>
      <w:r>
        <w:rPr>
          <w:snapToGrid w:val="0"/>
        </w:rPr>
        <w:tab/>
        <w:t>that an act or state of affairs occurred without lawful authority,</w:t>
      </w:r>
    </w:p>
    <w:p>
      <w:pPr>
        <w:pStyle w:val="Subsection"/>
        <w:rPr>
          <w:snapToGrid w:val="0"/>
        </w:rPr>
      </w:pPr>
      <w:r>
        <w:rPr>
          <w:snapToGrid w:val="0"/>
        </w:rPr>
        <w:tab/>
      </w:r>
      <w:r>
        <w:rPr>
          <w:snapToGrid w:val="0"/>
        </w:rPr>
        <w:tab/>
        <w:t>is taken to have been proved in the absence of evidence to the contrary.</w:t>
      </w:r>
    </w:p>
    <w:p>
      <w:pPr>
        <w:pStyle w:val="Heading5"/>
        <w:rPr>
          <w:snapToGrid w:val="0"/>
        </w:rPr>
      </w:pPr>
      <w:bookmarkStart w:id="1666" w:name="_Toc189456635"/>
      <w:bookmarkStart w:id="1667" w:name="_Toc524422646"/>
      <w:bookmarkStart w:id="1668" w:name="_Toc5508227"/>
      <w:bookmarkStart w:id="1669" w:name="_Toc8119195"/>
      <w:bookmarkStart w:id="1670" w:name="_Toc78685335"/>
      <w:bookmarkStart w:id="1671" w:name="_Toc147633637"/>
      <w:bookmarkStart w:id="1672" w:name="_Toc150315718"/>
      <w:bookmarkStart w:id="1673" w:name="_Toc160332876"/>
      <w:bookmarkStart w:id="1674" w:name="_Toc170207902"/>
      <w:bookmarkStart w:id="1675" w:name="_Toc8119198"/>
      <w:r>
        <w:rPr>
          <w:rStyle w:val="CharSectno"/>
        </w:rPr>
        <w:t>114</w:t>
      </w:r>
      <w:r>
        <w:rPr>
          <w:snapToGrid w:val="0"/>
        </w:rPr>
        <w:t>.</w:t>
      </w:r>
      <w:r>
        <w:rPr>
          <w:snapToGrid w:val="0"/>
        </w:rPr>
        <w:tab/>
      </w:r>
      <w:r>
        <w:rPr>
          <w:i/>
          <w:snapToGrid w:val="0"/>
        </w:rPr>
        <w:t xml:space="preserve">Forest Management Regulations 1993 </w:t>
      </w:r>
      <w:r>
        <w:rPr>
          <w:snapToGrid w:val="0"/>
        </w:rPr>
        <w:t>amended</w:t>
      </w:r>
      <w:bookmarkEnd w:id="1666"/>
      <w:bookmarkEnd w:id="1667"/>
      <w:bookmarkEnd w:id="1668"/>
      <w:bookmarkEnd w:id="1669"/>
      <w:bookmarkEnd w:id="1670"/>
      <w:bookmarkEnd w:id="1671"/>
      <w:bookmarkEnd w:id="1672"/>
      <w:bookmarkEnd w:id="1673"/>
      <w:bookmarkEnd w:id="1674"/>
    </w:p>
    <w:p>
      <w:pPr>
        <w:pStyle w:val="Subsection"/>
        <w:rPr>
          <w:i/>
          <w:snapToGrid w:val="0"/>
        </w:rPr>
      </w:pPr>
      <w:r>
        <w:rPr>
          <w:snapToGrid w:val="0"/>
        </w:rPr>
        <w:tab/>
        <w:t>(1)</w:t>
      </w:r>
      <w:r>
        <w:rPr>
          <w:snapToGrid w:val="0"/>
        </w:rPr>
        <w:tab/>
      </w:r>
      <w:r>
        <w:t xml:space="preserve">The amendments in this regulation are to the </w:t>
      </w:r>
      <w:r>
        <w:rPr>
          <w:i/>
          <w:snapToGrid w:val="0"/>
        </w:rPr>
        <w:t>Forest Management Regulations 1993*.</w:t>
      </w:r>
    </w:p>
    <w:p>
      <w:pPr>
        <w:pStyle w:val="Subsection"/>
        <w:tabs>
          <w:tab w:val="clear" w:pos="595"/>
          <w:tab w:val="left" w:pos="1134"/>
        </w:tabs>
        <w:ind w:left="1134" w:hanging="1134"/>
      </w:pPr>
      <w:r>
        <w:tab/>
        <w:t>[*</w:t>
      </w:r>
      <w:r>
        <w:tab/>
      </w:r>
      <w:r>
        <w:rPr>
          <w:i/>
          <w:iCs/>
        </w:rPr>
        <w:t xml:space="preserve">Reprinted 15 September 1999. </w:t>
      </w:r>
      <w:r>
        <w:rPr>
          <w:i/>
          <w:iCs/>
        </w:rPr>
        <w:br/>
        <w:t>For amendments to 28 March 2002 see 2000 Index to Legislation of Western Australia, Table 4, p. 50.]</w:t>
      </w:r>
    </w:p>
    <w:p>
      <w:pPr>
        <w:pStyle w:val="Subsection"/>
        <w:rPr>
          <w:snapToGrid w:val="0"/>
        </w:rPr>
      </w:pPr>
      <w:r>
        <w:rPr>
          <w:snapToGrid w:val="0"/>
        </w:rPr>
        <w:tab/>
        <w:t>(2)</w:t>
      </w:r>
      <w:r>
        <w:rPr>
          <w:snapToGrid w:val="0"/>
        </w:rPr>
        <w:tab/>
        <w:t>Regulation 2 is amended by deleting the definitions of “camp”, “camping area”, “camping unit”, “caravan”, “non</w:t>
      </w:r>
      <w:r>
        <w:rPr>
          <w:snapToGrid w:val="0"/>
        </w:rPr>
        <w:noBreakHyphen/>
        <w:t>tour motor vehicle”, “tour motor vehicle” and “Tree Top Walk”.</w:t>
      </w:r>
    </w:p>
    <w:p>
      <w:pPr>
        <w:pStyle w:val="Subsection"/>
        <w:rPr>
          <w:snapToGrid w:val="0"/>
        </w:rPr>
      </w:pPr>
      <w:r>
        <w:rPr>
          <w:snapToGrid w:val="0"/>
        </w:rPr>
        <w:tab/>
        <w:t>(3)</w:t>
      </w:r>
      <w:r>
        <w:rPr>
          <w:snapToGrid w:val="0"/>
        </w:rPr>
        <w:tab/>
        <w:t>The</w:t>
      </w:r>
      <w:r>
        <w:rPr>
          <w:i/>
          <w:snapToGrid w:val="0"/>
        </w:rPr>
        <w:t xml:space="preserve"> </w:t>
      </w:r>
      <w:r>
        <w:rPr>
          <w:snapToGrid w:val="0"/>
        </w:rPr>
        <w:t>regulations are amended by repealing — </w:t>
      </w:r>
    </w:p>
    <w:p>
      <w:pPr>
        <w:pStyle w:val="Indenta"/>
        <w:rPr>
          <w:snapToGrid w:val="0"/>
        </w:rPr>
      </w:pPr>
      <w:r>
        <w:rPr>
          <w:snapToGrid w:val="0"/>
        </w:rPr>
        <w:tab/>
        <w:t>(a)</w:t>
      </w:r>
      <w:r>
        <w:rPr>
          <w:snapToGrid w:val="0"/>
        </w:rPr>
        <w:tab/>
        <w:t>Part 12;</w:t>
      </w:r>
    </w:p>
    <w:p>
      <w:pPr>
        <w:pStyle w:val="Indenta"/>
        <w:rPr>
          <w:snapToGrid w:val="0"/>
        </w:rPr>
      </w:pPr>
      <w:r>
        <w:rPr>
          <w:snapToGrid w:val="0"/>
        </w:rPr>
        <w:tab/>
        <w:t>(b)</w:t>
      </w:r>
      <w:r>
        <w:rPr>
          <w:snapToGrid w:val="0"/>
        </w:rPr>
        <w:tab/>
        <w:t>regulation 90;</w:t>
      </w:r>
    </w:p>
    <w:p>
      <w:pPr>
        <w:pStyle w:val="Indenta"/>
        <w:rPr>
          <w:snapToGrid w:val="0"/>
        </w:rPr>
      </w:pPr>
      <w:r>
        <w:rPr>
          <w:snapToGrid w:val="0"/>
        </w:rPr>
        <w:tab/>
        <w:t>(c)</w:t>
      </w:r>
      <w:r>
        <w:rPr>
          <w:snapToGrid w:val="0"/>
        </w:rPr>
        <w:tab/>
        <w:t>regulation 103;</w:t>
      </w:r>
    </w:p>
    <w:p>
      <w:pPr>
        <w:pStyle w:val="Indenta"/>
        <w:rPr>
          <w:snapToGrid w:val="0"/>
        </w:rPr>
      </w:pPr>
      <w:r>
        <w:rPr>
          <w:snapToGrid w:val="0"/>
        </w:rPr>
        <w:tab/>
        <w:t>(d)</w:t>
      </w:r>
      <w:r>
        <w:rPr>
          <w:snapToGrid w:val="0"/>
        </w:rPr>
        <w:tab/>
        <w:t>Part 17A;</w:t>
      </w:r>
    </w:p>
    <w:p>
      <w:pPr>
        <w:pStyle w:val="Indenta"/>
        <w:rPr>
          <w:snapToGrid w:val="0"/>
        </w:rPr>
      </w:pPr>
      <w:r>
        <w:rPr>
          <w:snapToGrid w:val="0"/>
        </w:rPr>
        <w:tab/>
        <w:t>(e)</w:t>
      </w:r>
      <w:r>
        <w:rPr>
          <w:snapToGrid w:val="0"/>
        </w:rPr>
        <w:tab/>
        <w:t>regulations 131, 132, 133 and 134;</w:t>
      </w:r>
    </w:p>
    <w:p>
      <w:pPr>
        <w:pStyle w:val="Indenta"/>
        <w:rPr>
          <w:snapToGrid w:val="0"/>
        </w:rPr>
      </w:pPr>
      <w:r>
        <w:rPr>
          <w:snapToGrid w:val="0"/>
        </w:rPr>
        <w:tab/>
        <w:t>(f)</w:t>
      </w:r>
      <w:r>
        <w:rPr>
          <w:snapToGrid w:val="0"/>
        </w:rPr>
        <w:tab/>
        <w:t>Schedule 2 Forms 3 and 4; and</w:t>
      </w:r>
    </w:p>
    <w:p>
      <w:pPr>
        <w:pStyle w:val="Indenta"/>
        <w:rPr>
          <w:snapToGrid w:val="0"/>
        </w:rPr>
      </w:pPr>
      <w:r>
        <w:rPr>
          <w:snapToGrid w:val="0"/>
        </w:rPr>
        <w:tab/>
        <w:t>(g)</w:t>
      </w:r>
      <w:r>
        <w:rPr>
          <w:snapToGrid w:val="0"/>
        </w:rPr>
        <w:tab/>
        <w:t>Schedules 2A and 2B.</w:t>
      </w:r>
    </w:p>
    <w:p>
      <w:pPr>
        <w:pStyle w:val="Heading5"/>
        <w:rPr>
          <w:rStyle w:val="CharSectno"/>
        </w:rPr>
      </w:pPr>
      <w:bookmarkStart w:id="1676" w:name="_Toc189456636"/>
      <w:bookmarkStart w:id="1677" w:name="_Toc524422647"/>
      <w:bookmarkStart w:id="1678" w:name="_Toc5508228"/>
      <w:bookmarkStart w:id="1679" w:name="_Toc8119196"/>
      <w:bookmarkStart w:id="1680" w:name="_Toc78685336"/>
      <w:bookmarkStart w:id="1681" w:name="_Toc147633638"/>
      <w:bookmarkStart w:id="1682" w:name="_Toc150315719"/>
      <w:bookmarkStart w:id="1683" w:name="_Toc160332877"/>
      <w:bookmarkStart w:id="1684" w:name="_Toc170207903"/>
      <w:r>
        <w:rPr>
          <w:rStyle w:val="CharSectno"/>
        </w:rPr>
        <w:t>115</w:t>
      </w:r>
      <w:r>
        <w:t>.</w:t>
      </w:r>
      <w:r>
        <w:tab/>
        <w:t>Repeal</w:t>
      </w:r>
      <w:bookmarkEnd w:id="1676"/>
      <w:bookmarkEnd w:id="1677"/>
      <w:bookmarkEnd w:id="1678"/>
      <w:bookmarkEnd w:id="1679"/>
      <w:bookmarkEnd w:id="1680"/>
      <w:bookmarkEnd w:id="1681"/>
      <w:bookmarkEnd w:id="1682"/>
      <w:bookmarkEnd w:id="1683"/>
      <w:bookmarkEnd w:id="1684"/>
    </w:p>
    <w:p>
      <w:pPr>
        <w:pStyle w:val="Subsection"/>
        <w:rPr>
          <w:snapToGrid w:val="0"/>
        </w:rPr>
      </w:pPr>
      <w:r>
        <w:rPr>
          <w:snapToGrid w:val="0"/>
        </w:rPr>
        <w:tab/>
      </w:r>
      <w:r>
        <w:rPr>
          <w:snapToGrid w:val="0"/>
        </w:rPr>
        <w:tab/>
        <w:t xml:space="preserve">The following regulations are repealed — </w:t>
      </w:r>
    </w:p>
    <w:p>
      <w:pPr>
        <w:pStyle w:val="Indenta"/>
        <w:rPr>
          <w:snapToGrid w:val="0"/>
        </w:rPr>
      </w:pPr>
      <w:r>
        <w:rPr>
          <w:snapToGrid w:val="0"/>
        </w:rPr>
        <w:tab/>
        <w:t>(a)</w:t>
      </w:r>
      <w:r>
        <w:rPr>
          <w:snapToGrid w:val="0"/>
        </w:rPr>
        <w:tab/>
        <w:t xml:space="preserve">the </w:t>
      </w:r>
      <w:r>
        <w:rPr>
          <w:i/>
          <w:snapToGrid w:val="0"/>
        </w:rPr>
        <w:t>National Parks Authority Regulations</w:t>
      </w:r>
      <w:r>
        <w:rPr>
          <w:snapToGrid w:val="0"/>
        </w:rPr>
        <w:t>;</w:t>
      </w:r>
    </w:p>
    <w:p>
      <w:pPr>
        <w:pStyle w:val="Indenta"/>
        <w:rPr>
          <w:b/>
          <w:snapToGrid w:val="0"/>
        </w:rPr>
      </w:pPr>
      <w:r>
        <w:rPr>
          <w:snapToGrid w:val="0"/>
        </w:rPr>
        <w:tab/>
        <w:t>(b)</w:t>
      </w:r>
      <w:r>
        <w:rPr>
          <w:snapToGrid w:val="0"/>
        </w:rPr>
        <w:tab/>
        <w:t xml:space="preserve">the </w:t>
      </w:r>
      <w:r>
        <w:rPr>
          <w:i/>
          <w:snapToGrid w:val="0"/>
        </w:rPr>
        <w:t xml:space="preserve">Conservation and Land Management </w:t>
      </w:r>
      <w:r>
        <w:rPr>
          <w:bCs/>
          <w:i/>
          <w:iCs/>
          <w:snapToGrid w:val="0"/>
        </w:rPr>
        <w:t>Regulations 1992</w:t>
      </w:r>
      <w:r>
        <w:rPr>
          <w:b/>
          <w:snapToGrid w:val="0"/>
        </w:rPr>
        <w:t>;</w:t>
      </w:r>
    </w:p>
    <w:p>
      <w:pPr>
        <w:pStyle w:val="Indenta"/>
        <w:rPr>
          <w:snapToGrid w:val="0"/>
        </w:rPr>
      </w:pPr>
      <w:r>
        <w:rPr>
          <w:snapToGrid w:val="0"/>
        </w:rPr>
        <w:tab/>
        <w:t>(c)</w:t>
      </w:r>
      <w:r>
        <w:rPr>
          <w:snapToGrid w:val="0"/>
        </w:rPr>
        <w:tab/>
        <w:t xml:space="preserve">Part 6 of the </w:t>
      </w:r>
      <w:r>
        <w:rPr>
          <w:i/>
          <w:snapToGrid w:val="0"/>
        </w:rPr>
        <w:t>Wildlife Conservation Regulations 1970</w:t>
      </w:r>
      <w:r>
        <w:rPr>
          <w:snapToGrid w:val="0"/>
        </w:rPr>
        <w:t>.</w:t>
      </w:r>
    </w:p>
    <w:p>
      <w:pPr>
        <w:pStyle w:val="Heading5"/>
        <w:rPr>
          <w:snapToGrid w:val="0"/>
        </w:rPr>
      </w:pPr>
      <w:bookmarkStart w:id="1685" w:name="_Toc189456637"/>
      <w:bookmarkStart w:id="1686" w:name="_Toc524422648"/>
      <w:bookmarkStart w:id="1687" w:name="_Toc5508229"/>
      <w:bookmarkStart w:id="1688" w:name="_Toc8119197"/>
      <w:bookmarkStart w:id="1689" w:name="_Toc78685337"/>
      <w:bookmarkStart w:id="1690" w:name="_Toc147633639"/>
      <w:bookmarkStart w:id="1691" w:name="_Toc150315720"/>
      <w:bookmarkStart w:id="1692" w:name="_Toc160332878"/>
      <w:bookmarkStart w:id="1693" w:name="_Toc170207904"/>
      <w:r>
        <w:rPr>
          <w:rStyle w:val="CharSectno"/>
        </w:rPr>
        <w:t>116</w:t>
      </w:r>
      <w:r>
        <w:rPr>
          <w:snapToGrid w:val="0"/>
        </w:rPr>
        <w:t>.</w:t>
      </w:r>
      <w:r>
        <w:rPr>
          <w:snapToGrid w:val="0"/>
        </w:rPr>
        <w:tab/>
        <w:t>Saving</w:t>
      </w:r>
      <w:bookmarkEnd w:id="1685"/>
      <w:bookmarkEnd w:id="1686"/>
      <w:bookmarkEnd w:id="1687"/>
      <w:bookmarkEnd w:id="1688"/>
      <w:bookmarkEnd w:id="1689"/>
      <w:bookmarkEnd w:id="1690"/>
      <w:bookmarkEnd w:id="1691"/>
      <w:bookmarkEnd w:id="1692"/>
      <w:bookmarkEnd w:id="1693"/>
    </w:p>
    <w:p>
      <w:pPr>
        <w:pStyle w:val="Subsection"/>
        <w:rPr>
          <w:snapToGrid w:val="0"/>
        </w:rPr>
      </w:pPr>
      <w:r>
        <w:tab/>
        <w:t>(1)</w:t>
      </w:r>
      <w:r>
        <w:tab/>
        <w:t xml:space="preserve">Nothing in this regulation is to be construed so as to limit the </w:t>
      </w:r>
      <w:r>
        <w:rPr>
          <w:snapToGrid w:val="0"/>
        </w:rPr>
        <w:t xml:space="preserve">operation of the </w:t>
      </w:r>
      <w:r>
        <w:rPr>
          <w:i/>
          <w:iCs/>
          <w:snapToGrid w:val="0"/>
        </w:rPr>
        <w:t>Interpretation Act 1984</w:t>
      </w:r>
      <w:r>
        <w:rPr>
          <w:snapToGrid w:val="0"/>
        </w:rPr>
        <w:t>.</w:t>
      </w:r>
    </w:p>
    <w:p>
      <w:pPr>
        <w:pStyle w:val="Subsection"/>
      </w:pPr>
      <w:r>
        <w:tab/>
        <w:t>(2)</w:t>
      </w:r>
      <w:r>
        <w:tab/>
        <w:t>The repeal of a former provision does not affect any document or appointment made or anything done under any provision so repealed so far as it is subsisting or in force at the time of the repeal and could have been made or done under these regulations.</w:t>
      </w:r>
    </w:p>
    <w:p>
      <w:pPr>
        <w:pStyle w:val="Subsection"/>
      </w:pPr>
      <w:r>
        <w:tab/>
        <w:t>(3)</w:t>
      </w:r>
      <w:r>
        <w:tab/>
        <w:t>Each such document, appointment or thing has effect as if it had been made or done under the corresponding provision of these regulations and as if the provisions had been in force when the document or appointment was made or the thing was done.</w:t>
      </w:r>
    </w:p>
    <w:p>
      <w:pPr>
        <w:pStyle w:val="Subsection"/>
      </w:pPr>
      <w:r>
        <w:tab/>
        <w:t>(4)</w:t>
      </w:r>
      <w:r>
        <w:tab/>
        <w:t xml:space="preserve">In particular, and without limiting the generality of subregulations (2) and (3), those subregulations apply to — </w:t>
      </w:r>
    </w:p>
    <w:p>
      <w:pPr>
        <w:pStyle w:val="Indenta"/>
      </w:pPr>
      <w:r>
        <w:tab/>
        <w:t>(a)</w:t>
      </w:r>
      <w:r>
        <w:tab/>
        <w:t>any notice erected on any land; and</w:t>
      </w:r>
    </w:p>
    <w:p>
      <w:pPr>
        <w:pStyle w:val="Indenta"/>
      </w:pPr>
      <w:r>
        <w:tab/>
        <w:t>(b)</w:t>
      </w:r>
      <w:r>
        <w:tab/>
        <w:t xml:space="preserve">any licence granted under Part 5 of the </w:t>
      </w:r>
      <w:r>
        <w:rPr>
          <w:i/>
        </w:rPr>
        <w:t>Conservation and Land Management Regulations 1992</w:t>
      </w:r>
      <w:r>
        <w:t>.</w:t>
      </w:r>
    </w:p>
    <w:p>
      <w:pPr>
        <w:pStyle w:val="Subsection"/>
      </w:pPr>
      <w:r>
        <w:tab/>
        <w:t>(5)</w:t>
      </w:r>
      <w:r>
        <w:tab/>
        <w:t xml:space="preserve">In subregulation (2) — </w:t>
      </w:r>
    </w:p>
    <w:p>
      <w:pPr>
        <w:pStyle w:val="Defstart"/>
      </w:pPr>
      <w:r>
        <w:tab/>
      </w:r>
      <w:del w:id="1694" w:author="Master Repository Process" w:date="2021-07-31T17:33:00Z">
        <w:r>
          <w:rPr>
            <w:b/>
          </w:rPr>
          <w:delText>“</w:delText>
        </w:r>
      </w:del>
      <w:r>
        <w:rPr>
          <w:rStyle w:val="CharDefText"/>
          <w:bCs/>
        </w:rPr>
        <w:t>former provision</w:t>
      </w:r>
      <w:del w:id="1695" w:author="Master Repository Process" w:date="2021-07-31T17:33:00Z">
        <w:r>
          <w:rPr>
            <w:b/>
          </w:rPr>
          <w:delText>”</w:delText>
        </w:r>
      </w:del>
      <w:r>
        <w:t xml:space="preserve"> means a provision repealed by regulation 114 or 115.</w:t>
      </w:r>
    </w:p>
    <w:p>
      <w:pPr>
        <w:pStyle w:val="Footnotesection"/>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r>
        <w:tab/>
        <w:t>[Regulation 116 amended in Gazette 4 Oct 2002 p. 5066.]</w:t>
      </w:r>
    </w:p>
    <w:p>
      <w:pPr>
        <w:pStyle w:val="yScheduleHeading"/>
      </w:pPr>
      <w:bookmarkStart w:id="1696" w:name="_Toc189456638"/>
      <w:bookmarkStart w:id="1697" w:name="_Toc524422649"/>
      <w:bookmarkStart w:id="1698" w:name="_Toc78685338"/>
      <w:bookmarkStart w:id="1699" w:name="_Toc147312447"/>
      <w:bookmarkStart w:id="1700" w:name="_Toc147631306"/>
      <w:bookmarkStart w:id="1701" w:name="_Toc147633640"/>
      <w:bookmarkStart w:id="1702" w:name="_Toc147907084"/>
      <w:bookmarkStart w:id="1703" w:name="_Toc147907483"/>
      <w:bookmarkStart w:id="1704" w:name="_Toc149010036"/>
      <w:bookmarkStart w:id="1705" w:name="_Toc149010390"/>
      <w:bookmarkStart w:id="1706" w:name="_Toc149010558"/>
      <w:bookmarkStart w:id="1707" w:name="_Toc149016435"/>
      <w:bookmarkStart w:id="1708" w:name="_Toc149039178"/>
      <w:bookmarkStart w:id="1709" w:name="_Toc149039899"/>
      <w:bookmarkStart w:id="1710" w:name="_Toc150315510"/>
      <w:bookmarkStart w:id="1711" w:name="_Toc150315721"/>
      <w:bookmarkStart w:id="1712" w:name="_Toc160272931"/>
      <w:bookmarkStart w:id="1713" w:name="_Toc160332879"/>
      <w:bookmarkStart w:id="1714" w:name="_Toc170207905"/>
      <w:r>
        <w:rPr>
          <w:rStyle w:val="CharSchNo"/>
        </w:rPr>
        <w:t>Schedule 1</w:t>
      </w:r>
      <w:r>
        <w:t xml:space="preserve"> — </w:t>
      </w:r>
      <w:r>
        <w:rPr>
          <w:rStyle w:val="CharSchText"/>
        </w:rPr>
        <w:t>Fees</w:t>
      </w:r>
      <w:bookmarkEnd w:id="1696"/>
      <w:bookmarkEnd w:id="1697"/>
      <w:bookmarkEnd w:id="1675"/>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p>
    <w:p>
      <w:pPr>
        <w:pStyle w:val="yShoulderClause"/>
        <w:ind w:left="4200"/>
      </w:pPr>
      <w:r>
        <w:t xml:space="preserve">[r. 49, 83, 92, 97, 99, 99A, 100, 100A, 101, 102, 102A, 103] </w:t>
      </w:r>
    </w:p>
    <w:p>
      <w:pPr>
        <w:pStyle w:val="yFootnoteheading"/>
      </w:pPr>
      <w:r>
        <w:tab/>
        <w:t>[Heading amended in Gazette 29 Sep 2006 p. 4326.]</w:t>
      </w:r>
    </w:p>
    <w:p>
      <w:pPr>
        <w:pStyle w:val="yHeading3"/>
        <w:rPr>
          <w:snapToGrid w:val="0"/>
        </w:rPr>
      </w:pPr>
      <w:bookmarkStart w:id="1715" w:name="_Hlt499614460"/>
      <w:bookmarkStart w:id="1716" w:name="_Toc189456639"/>
      <w:bookmarkStart w:id="1717" w:name="_Toc524422650"/>
      <w:bookmarkStart w:id="1718" w:name="_Toc8119199"/>
      <w:bookmarkStart w:id="1719" w:name="_Toc78685339"/>
      <w:bookmarkStart w:id="1720" w:name="_Toc147312448"/>
      <w:bookmarkStart w:id="1721" w:name="_Toc147631307"/>
      <w:bookmarkStart w:id="1722" w:name="_Toc147633641"/>
      <w:bookmarkStart w:id="1723" w:name="_Toc147907085"/>
      <w:bookmarkStart w:id="1724" w:name="_Toc147907484"/>
      <w:bookmarkStart w:id="1725" w:name="_Toc149010037"/>
      <w:bookmarkStart w:id="1726" w:name="_Toc149010391"/>
      <w:bookmarkStart w:id="1727" w:name="_Toc149010559"/>
      <w:bookmarkStart w:id="1728" w:name="_Toc149016436"/>
      <w:bookmarkStart w:id="1729" w:name="_Toc149039179"/>
      <w:bookmarkStart w:id="1730" w:name="_Toc149039900"/>
      <w:bookmarkStart w:id="1731" w:name="_Toc150315511"/>
      <w:bookmarkStart w:id="1732" w:name="_Toc150315722"/>
      <w:bookmarkStart w:id="1733" w:name="_Toc160272932"/>
      <w:bookmarkStart w:id="1734" w:name="_Toc160332880"/>
      <w:bookmarkStart w:id="1735" w:name="_Toc170207906"/>
      <w:bookmarkEnd w:id="1715"/>
      <w:r>
        <w:rPr>
          <w:rStyle w:val="CharSDivNo"/>
        </w:rPr>
        <w:t>Division 1</w:t>
      </w:r>
      <w:r>
        <w:rPr>
          <w:rStyle w:val="CharDivNo"/>
        </w:rPr>
        <w:t xml:space="preserve"> </w:t>
      </w:r>
      <w:r>
        <w:t>—</w:t>
      </w:r>
      <w:r>
        <w:rPr>
          <w:rStyle w:val="CharDivText"/>
        </w:rPr>
        <w:t xml:space="preserve"> </w:t>
      </w:r>
      <w:r>
        <w:rPr>
          <w:rStyle w:val="CharSDivText"/>
        </w:rPr>
        <w:t>Daily entrance fees where an entrance fee is charged</w:t>
      </w:r>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p>
    <w:tbl>
      <w:tblPr>
        <w:tblW w:w="0" w:type="auto"/>
        <w:tblInd w:w="85" w:type="dxa"/>
        <w:tblLayout w:type="fixed"/>
        <w:tblCellMar>
          <w:left w:w="85" w:type="dxa"/>
          <w:right w:w="85" w:type="dxa"/>
        </w:tblCellMar>
        <w:tblLook w:val="0000" w:firstRow="0" w:lastRow="0" w:firstColumn="0" w:lastColumn="0" w:noHBand="0" w:noVBand="0"/>
      </w:tblPr>
      <w:tblGrid>
        <w:gridCol w:w="652"/>
        <w:gridCol w:w="5444"/>
        <w:gridCol w:w="708"/>
      </w:tblGrid>
      <w:tr>
        <w:trPr>
          <w:cantSplit/>
        </w:trPr>
        <w:tc>
          <w:tcPr>
            <w:tcW w:w="652" w:type="dxa"/>
          </w:tcPr>
          <w:p>
            <w:pPr>
              <w:pStyle w:val="yTable"/>
              <w:rPr>
                <w:lang w:val="en-GB"/>
              </w:rPr>
            </w:pPr>
          </w:p>
        </w:tc>
        <w:tc>
          <w:tcPr>
            <w:tcW w:w="5444" w:type="dxa"/>
          </w:tcPr>
          <w:p>
            <w:pPr>
              <w:pStyle w:val="yTable"/>
            </w:pPr>
          </w:p>
        </w:tc>
        <w:tc>
          <w:tcPr>
            <w:tcW w:w="708" w:type="dxa"/>
          </w:tcPr>
          <w:p>
            <w:pPr>
              <w:pStyle w:val="yTable"/>
              <w:jc w:val="center"/>
              <w:rPr>
                <w:b/>
              </w:rPr>
            </w:pPr>
            <w:r>
              <w:rPr>
                <w:b/>
              </w:rPr>
              <w:t>$</w:t>
            </w:r>
          </w:p>
        </w:tc>
      </w:tr>
      <w:tr>
        <w:trPr>
          <w:cantSplit/>
        </w:trPr>
        <w:tc>
          <w:tcPr>
            <w:tcW w:w="652" w:type="dxa"/>
          </w:tcPr>
          <w:p>
            <w:pPr>
              <w:pStyle w:val="yTable"/>
            </w:pPr>
            <w:r>
              <w:t>1.</w:t>
            </w:r>
          </w:p>
        </w:tc>
        <w:tc>
          <w:tcPr>
            <w:tcW w:w="5444" w:type="dxa"/>
          </w:tcPr>
          <w:p>
            <w:pPr>
              <w:pStyle w:val="yTable"/>
            </w:pPr>
            <w:r>
              <w:t>*Daily entrance fee for non</w:t>
            </w:r>
            <w:r>
              <w:noBreakHyphen/>
              <w:t>tour motor vehicle that is a motorcycle</w:t>
            </w:r>
          </w:p>
        </w:tc>
        <w:tc>
          <w:tcPr>
            <w:tcW w:w="708" w:type="dxa"/>
            <w:vAlign w:val="bottom"/>
          </w:tcPr>
          <w:p>
            <w:pPr>
              <w:pStyle w:val="yTable"/>
              <w:jc w:val="right"/>
            </w:pPr>
            <w:r>
              <w:t>5.00</w:t>
            </w:r>
          </w:p>
        </w:tc>
      </w:tr>
      <w:tr>
        <w:trPr>
          <w:cantSplit/>
        </w:trPr>
        <w:tc>
          <w:tcPr>
            <w:tcW w:w="652" w:type="dxa"/>
          </w:tcPr>
          <w:p>
            <w:pPr>
              <w:pStyle w:val="yTable"/>
            </w:pPr>
            <w:r>
              <w:t>2.</w:t>
            </w:r>
          </w:p>
        </w:tc>
        <w:tc>
          <w:tcPr>
            <w:tcW w:w="5444" w:type="dxa"/>
          </w:tcPr>
          <w:p>
            <w:pPr>
              <w:pStyle w:val="yTable"/>
            </w:pPr>
            <w:r>
              <w:t>*Daily entrance fee for non</w:t>
            </w:r>
            <w:r>
              <w:noBreakHyphen/>
              <w:t>tour motor vehicle that is not a motorcycle (unless item 5 applies)</w:t>
            </w:r>
          </w:p>
        </w:tc>
        <w:tc>
          <w:tcPr>
            <w:tcW w:w="708" w:type="dxa"/>
            <w:vAlign w:val="bottom"/>
          </w:tcPr>
          <w:p>
            <w:pPr>
              <w:pStyle w:val="yTable"/>
              <w:jc w:val="right"/>
            </w:pPr>
            <w:r>
              <w:t>10.00</w:t>
            </w:r>
          </w:p>
        </w:tc>
      </w:tr>
      <w:tr>
        <w:trPr>
          <w:cantSplit/>
        </w:trPr>
        <w:tc>
          <w:tcPr>
            <w:tcW w:w="652" w:type="dxa"/>
          </w:tcPr>
          <w:p>
            <w:pPr>
              <w:pStyle w:val="yTable"/>
            </w:pPr>
            <w:r>
              <w:t>3.</w:t>
            </w:r>
          </w:p>
        </w:tc>
        <w:tc>
          <w:tcPr>
            <w:tcW w:w="5444" w:type="dxa"/>
          </w:tcPr>
          <w:p>
            <w:pPr>
              <w:pStyle w:val="yTable"/>
            </w:pPr>
            <w:r>
              <w:t>*Daily entrance for each occupant (6 years of age or older) of tour vehicle (unless entry is to Yanchep National Park or Nambung National Park, or item 6 applies)</w:t>
            </w:r>
          </w:p>
        </w:tc>
        <w:tc>
          <w:tcPr>
            <w:tcW w:w="708" w:type="dxa"/>
            <w:vAlign w:val="bottom"/>
          </w:tcPr>
          <w:p>
            <w:pPr>
              <w:pStyle w:val="yTable"/>
              <w:jc w:val="right"/>
            </w:pPr>
            <w:r>
              <w:t>4.00</w:t>
            </w:r>
          </w:p>
        </w:tc>
      </w:tr>
      <w:tr>
        <w:trPr>
          <w:cantSplit/>
        </w:trPr>
        <w:tc>
          <w:tcPr>
            <w:tcW w:w="652" w:type="dxa"/>
          </w:tcPr>
          <w:p>
            <w:pPr>
              <w:pStyle w:val="yTable"/>
            </w:pPr>
            <w:r>
              <w:t>4.</w:t>
            </w:r>
          </w:p>
        </w:tc>
        <w:tc>
          <w:tcPr>
            <w:tcW w:w="5444" w:type="dxa"/>
          </w:tcPr>
          <w:p>
            <w:pPr>
              <w:pStyle w:val="yTable"/>
            </w:pPr>
            <w:r>
              <w:t>Daily entrance for each occupant (6 years of age or older) of tour vehicle — Yanchep National Park, Nambung National Park</w:t>
            </w:r>
          </w:p>
        </w:tc>
        <w:tc>
          <w:tcPr>
            <w:tcW w:w="708" w:type="dxa"/>
            <w:vAlign w:val="bottom"/>
          </w:tcPr>
          <w:p>
            <w:pPr>
              <w:pStyle w:val="yTable"/>
              <w:jc w:val="right"/>
            </w:pPr>
            <w:r>
              <w:t>4.00</w:t>
            </w:r>
          </w:p>
        </w:tc>
      </w:tr>
      <w:tr>
        <w:trPr>
          <w:cantSplit/>
        </w:trPr>
        <w:tc>
          <w:tcPr>
            <w:tcW w:w="652" w:type="dxa"/>
          </w:tcPr>
          <w:p>
            <w:pPr>
              <w:pStyle w:val="yTable"/>
            </w:pPr>
            <w:r>
              <w:t>5.</w:t>
            </w:r>
          </w:p>
        </w:tc>
        <w:tc>
          <w:tcPr>
            <w:tcW w:w="5444" w:type="dxa"/>
          </w:tcPr>
          <w:p>
            <w:pPr>
              <w:pStyle w:val="yTable"/>
              <w:tabs>
                <w:tab w:val="left" w:pos="340"/>
              </w:tabs>
            </w:pPr>
            <w:r>
              <w:t>*Daily entrance concession fee for non</w:t>
            </w:r>
            <w:r>
              <w:noBreakHyphen/>
              <w:t xml:space="preserve">tour motor vehicle if the driver holds a concession card </w:t>
            </w:r>
          </w:p>
        </w:tc>
        <w:tc>
          <w:tcPr>
            <w:tcW w:w="708" w:type="dxa"/>
            <w:vAlign w:val="bottom"/>
          </w:tcPr>
          <w:p>
            <w:pPr>
              <w:pStyle w:val="yTable"/>
              <w:jc w:val="right"/>
            </w:pPr>
            <w:r>
              <w:t>5.00</w:t>
            </w:r>
          </w:p>
        </w:tc>
      </w:tr>
      <w:tr>
        <w:trPr>
          <w:cantSplit/>
        </w:trPr>
        <w:tc>
          <w:tcPr>
            <w:tcW w:w="652" w:type="dxa"/>
          </w:tcPr>
          <w:p>
            <w:pPr>
              <w:pStyle w:val="yTable"/>
            </w:pPr>
            <w:r>
              <w:t>6.</w:t>
            </w:r>
          </w:p>
        </w:tc>
        <w:tc>
          <w:tcPr>
            <w:tcW w:w="5444" w:type="dxa"/>
          </w:tcPr>
          <w:p>
            <w:pPr>
              <w:pStyle w:val="yTable"/>
            </w:pPr>
            <w:r>
              <w:t>*Daily entrance concession fee for occupant of tour vehicle if the occupant holds a concession card (except where tour vehicle is operating for profit)</w:t>
            </w:r>
          </w:p>
        </w:tc>
        <w:tc>
          <w:tcPr>
            <w:tcW w:w="708" w:type="dxa"/>
            <w:vAlign w:val="bottom"/>
          </w:tcPr>
          <w:p>
            <w:pPr>
              <w:pStyle w:val="yTable"/>
              <w:jc w:val="right"/>
            </w:pPr>
            <w:r>
              <w:t>1.50</w:t>
            </w:r>
          </w:p>
        </w:tc>
      </w:tr>
      <w:tr>
        <w:trPr>
          <w:cantSplit/>
        </w:trPr>
        <w:tc>
          <w:tcPr>
            <w:tcW w:w="652" w:type="dxa"/>
          </w:tcPr>
          <w:p>
            <w:pPr>
              <w:pStyle w:val="yTable"/>
            </w:pPr>
            <w:r>
              <w:t>7.</w:t>
            </w:r>
          </w:p>
        </w:tc>
        <w:tc>
          <w:tcPr>
            <w:tcW w:w="5444" w:type="dxa"/>
          </w:tcPr>
          <w:p>
            <w:pPr>
              <w:pStyle w:val="yTable"/>
            </w:pPr>
            <w:r>
              <w:t>Daily landing fee for each occupant (6 years of age or older) of a tour aircraft</w:t>
            </w:r>
          </w:p>
        </w:tc>
        <w:tc>
          <w:tcPr>
            <w:tcW w:w="708" w:type="dxa"/>
            <w:vAlign w:val="bottom"/>
          </w:tcPr>
          <w:p>
            <w:pPr>
              <w:pStyle w:val="yTable"/>
              <w:jc w:val="right"/>
            </w:pPr>
            <w:r>
              <w:t>11.00</w:t>
            </w:r>
          </w:p>
        </w:tc>
      </w:tr>
    </w:tbl>
    <w:p>
      <w:pPr>
        <w:pStyle w:val="yMiscellaneousBody"/>
        <w:rPr>
          <w:sz w:val="16"/>
        </w:rPr>
      </w:pPr>
      <w:r>
        <w:rPr>
          <w:sz w:val="16"/>
        </w:rPr>
        <w:t xml:space="preserve">[* Payment of a daily entrance fee under this item entitles the visitor on that day to enter any other area of CALM land for which an entrance fee is charged under the same item.] </w:t>
      </w:r>
    </w:p>
    <w:p>
      <w:pPr>
        <w:pStyle w:val="yFootnotesection"/>
      </w:pPr>
      <w:r>
        <w:tab/>
        <w:t>[Division 1 amended in Gazette 29 Sep 2006 p. 4326</w:t>
      </w:r>
      <w:r>
        <w:noBreakHyphen/>
        <w:t>7.]</w:t>
      </w:r>
    </w:p>
    <w:p>
      <w:pPr>
        <w:pStyle w:val="yHeading3"/>
        <w:keepLines/>
      </w:pPr>
      <w:bookmarkStart w:id="1736" w:name="_Toc189456640"/>
      <w:bookmarkStart w:id="1737" w:name="_Toc524422651"/>
      <w:bookmarkStart w:id="1738" w:name="_Toc137374380"/>
      <w:bookmarkStart w:id="1739" w:name="_Toc137447672"/>
      <w:bookmarkStart w:id="1740" w:name="_Toc137521279"/>
      <w:bookmarkStart w:id="1741" w:name="_Toc137549281"/>
      <w:bookmarkStart w:id="1742" w:name="_Toc137633274"/>
      <w:bookmarkStart w:id="1743" w:name="_Toc138068175"/>
      <w:bookmarkStart w:id="1744" w:name="_Toc138068949"/>
      <w:bookmarkStart w:id="1745" w:name="_Toc138149110"/>
      <w:bookmarkStart w:id="1746" w:name="_Toc138153890"/>
      <w:bookmarkStart w:id="1747" w:name="_Toc138502540"/>
      <w:bookmarkStart w:id="1748" w:name="_Toc138566360"/>
      <w:bookmarkStart w:id="1749" w:name="_Toc138566560"/>
      <w:bookmarkStart w:id="1750" w:name="_Toc138585541"/>
      <w:bookmarkStart w:id="1751" w:name="_Toc138674980"/>
      <w:bookmarkStart w:id="1752" w:name="_Toc138734558"/>
      <w:bookmarkStart w:id="1753" w:name="_Toc138753726"/>
      <w:bookmarkStart w:id="1754" w:name="_Toc138754743"/>
      <w:bookmarkStart w:id="1755" w:name="_Toc138755369"/>
      <w:bookmarkStart w:id="1756" w:name="_Toc142123889"/>
      <w:bookmarkStart w:id="1757" w:name="_Toc142193735"/>
      <w:bookmarkStart w:id="1758" w:name="_Toc142199334"/>
      <w:bookmarkStart w:id="1759" w:name="_Toc142208823"/>
      <w:bookmarkStart w:id="1760" w:name="_Toc142217337"/>
      <w:bookmarkStart w:id="1761" w:name="_Toc142276452"/>
      <w:bookmarkStart w:id="1762" w:name="_Toc142284646"/>
      <w:bookmarkStart w:id="1763" w:name="_Toc142285590"/>
      <w:bookmarkStart w:id="1764" w:name="_Toc142294458"/>
      <w:bookmarkStart w:id="1765" w:name="_Toc142303501"/>
      <w:bookmarkStart w:id="1766" w:name="_Toc142446475"/>
      <w:bookmarkStart w:id="1767" w:name="_Toc143676390"/>
      <w:bookmarkStart w:id="1768" w:name="_Toc144087302"/>
      <w:bookmarkStart w:id="1769" w:name="_Toc144088055"/>
      <w:bookmarkStart w:id="1770" w:name="_Toc144089079"/>
      <w:bookmarkStart w:id="1771" w:name="_Toc144203504"/>
      <w:bookmarkStart w:id="1772" w:name="_Toc144280801"/>
      <w:bookmarkStart w:id="1773" w:name="_Toc144703733"/>
      <w:bookmarkStart w:id="1774" w:name="_Toc144703807"/>
      <w:bookmarkStart w:id="1775" w:name="_Toc144712827"/>
      <w:bookmarkStart w:id="1776" w:name="_Toc144714317"/>
      <w:bookmarkStart w:id="1777" w:name="_Toc144717758"/>
      <w:bookmarkStart w:id="1778" w:name="_Toc144717832"/>
      <w:bookmarkStart w:id="1779" w:name="_Toc144719319"/>
      <w:bookmarkStart w:id="1780" w:name="_Toc144719631"/>
      <w:bookmarkStart w:id="1781" w:name="_Toc144777605"/>
      <w:bookmarkStart w:id="1782" w:name="_Toc144788099"/>
      <w:bookmarkStart w:id="1783" w:name="_Toc144788173"/>
      <w:bookmarkStart w:id="1784" w:name="_Toc144788895"/>
      <w:bookmarkStart w:id="1785" w:name="_Toc144795893"/>
      <w:bookmarkStart w:id="1786" w:name="_Toc144796025"/>
      <w:bookmarkStart w:id="1787" w:name="_Toc144796892"/>
      <w:bookmarkStart w:id="1788" w:name="_Toc144797083"/>
      <w:bookmarkStart w:id="1789" w:name="_Toc144797157"/>
      <w:bookmarkStart w:id="1790" w:name="_Toc144798350"/>
      <w:bookmarkStart w:id="1791" w:name="_Toc144799113"/>
      <w:bookmarkStart w:id="1792" w:name="_Toc144804053"/>
      <w:bookmarkStart w:id="1793" w:name="_Toc144804139"/>
      <w:bookmarkStart w:id="1794" w:name="_Toc144804595"/>
      <w:bookmarkStart w:id="1795" w:name="_Toc144873641"/>
      <w:bookmarkStart w:id="1796" w:name="_Toc144873807"/>
      <w:bookmarkStart w:id="1797" w:name="_Toc144873881"/>
      <w:bookmarkStart w:id="1798" w:name="_Toc144874298"/>
      <w:bookmarkStart w:id="1799" w:name="_Toc147312450"/>
      <w:bookmarkStart w:id="1800" w:name="_Toc147631308"/>
      <w:bookmarkStart w:id="1801" w:name="_Toc147633642"/>
      <w:bookmarkStart w:id="1802" w:name="_Toc147907086"/>
      <w:bookmarkStart w:id="1803" w:name="_Toc147907485"/>
      <w:bookmarkStart w:id="1804" w:name="_Toc149010038"/>
      <w:bookmarkStart w:id="1805" w:name="_Toc149010392"/>
      <w:bookmarkStart w:id="1806" w:name="_Toc149010560"/>
      <w:bookmarkStart w:id="1807" w:name="_Toc149016437"/>
      <w:bookmarkStart w:id="1808" w:name="_Toc149039180"/>
      <w:bookmarkStart w:id="1809" w:name="_Toc149039901"/>
      <w:bookmarkStart w:id="1810" w:name="_Toc150315512"/>
      <w:bookmarkStart w:id="1811" w:name="_Toc150315723"/>
      <w:bookmarkStart w:id="1812" w:name="_Toc160272933"/>
      <w:bookmarkStart w:id="1813" w:name="_Toc160332881"/>
      <w:bookmarkStart w:id="1814" w:name="_Toc170207907"/>
      <w:bookmarkStart w:id="1815" w:name="_Toc137028699"/>
      <w:bookmarkStart w:id="1816" w:name="_Toc8119201"/>
      <w:bookmarkStart w:id="1817" w:name="_Toc78685341"/>
      <w:r>
        <w:rPr>
          <w:rStyle w:val="CharSDivNo"/>
        </w:rPr>
        <w:t>Division 2</w:t>
      </w:r>
      <w:r>
        <w:rPr>
          <w:b w:val="0"/>
        </w:rPr>
        <w:t> — </w:t>
      </w:r>
      <w:r>
        <w:rPr>
          <w:rStyle w:val="CharSDivText"/>
        </w:rPr>
        <w:t>Fees for passes providing extended entrance to CALM land</w:t>
      </w:r>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p>
    <w:p>
      <w:pPr>
        <w:pStyle w:val="yFootnoteheading"/>
        <w:keepNext/>
        <w:keepLines/>
      </w:pPr>
      <w:r>
        <w:tab/>
        <w:t>[Heading inserted in Gazette 29 Sep 2006 p. 4327.]</w:t>
      </w:r>
    </w:p>
    <w:bookmarkEnd w:id="1815"/>
    <w:tbl>
      <w:tblPr>
        <w:tblW w:w="0" w:type="auto"/>
        <w:tblInd w:w="8" w:type="dxa"/>
        <w:tblLayout w:type="fixed"/>
        <w:tblCellMar>
          <w:left w:w="8" w:type="dxa"/>
          <w:right w:w="8" w:type="dxa"/>
        </w:tblCellMar>
        <w:tblLook w:val="0000" w:firstRow="0" w:lastRow="0" w:firstColumn="0" w:lastColumn="0" w:noHBand="0" w:noVBand="0"/>
      </w:tblPr>
      <w:tblGrid>
        <w:gridCol w:w="720"/>
        <w:gridCol w:w="5376"/>
        <w:gridCol w:w="708"/>
      </w:tblGrid>
      <w:tr>
        <w:trPr>
          <w:cantSplit/>
          <w:tblHeader/>
        </w:trPr>
        <w:tc>
          <w:tcPr>
            <w:tcW w:w="720" w:type="dxa"/>
          </w:tcPr>
          <w:p>
            <w:pPr>
              <w:pStyle w:val="yTable"/>
              <w:keepNext/>
              <w:keepLines/>
              <w:rPr>
                <w:lang w:val="en-US"/>
              </w:rPr>
            </w:pPr>
          </w:p>
        </w:tc>
        <w:tc>
          <w:tcPr>
            <w:tcW w:w="5376" w:type="dxa"/>
          </w:tcPr>
          <w:p>
            <w:pPr>
              <w:pStyle w:val="yTable"/>
              <w:keepNext/>
              <w:keepLines/>
            </w:pPr>
          </w:p>
        </w:tc>
        <w:tc>
          <w:tcPr>
            <w:tcW w:w="708" w:type="dxa"/>
          </w:tcPr>
          <w:p>
            <w:pPr>
              <w:pStyle w:val="yTable"/>
              <w:jc w:val="center"/>
              <w:rPr>
                <w:b/>
              </w:rPr>
            </w:pPr>
            <w:r>
              <w:rPr>
                <w:b/>
              </w:rPr>
              <w:t>$</w:t>
            </w:r>
          </w:p>
        </w:tc>
      </w:tr>
      <w:tr>
        <w:tc>
          <w:tcPr>
            <w:tcW w:w="720" w:type="dxa"/>
          </w:tcPr>
          <w:p>
            <w:pPr>
              <w:pStyle w:val="yTable"/>
              <w:keepNext/>
              <w:keepLines/>
            </w:pPr>
            <w:r>
              <w:t>1.</w:t>
            </w:r>
          </w:p>
        </w:tc>
        <w:tc>
          <w:tcPr>
            <w:tcW w:w="5376" w:type="dxa"/>
          </w:tcPr>
          <w:p>
            <w:pPr>
              <w:pStyle w:val="yTable"/>
              <w:keepNext/>
              <w:keepLines/>
            </w:pPr>
            <w:r>
              <w:t>For an annual pass for a non</w:t>
            </w:r>
            <w:r>
              <w:noBreakHyphen/>
              <w:t>tour motor vehicle with up to 8 occupants to all CALM land where an entrance fee is charged</w:t>
            </w:r>
          </w:p>
        </w:tc>
        <w:tc>
          <w:tcPr>
            <w:tcW w:w="708" w:type="dxa"/>
            <w:vAlign w:val="bottom"/>
          </w:tcPr>
          <w:p>
            <w:pPr>
              <w:pStyle w:val="yTable"/>
              <w:jc w:val="right"/>
            </w:pPr>
            <w:r>
              <w:t>75.00</w:t>
            </w:r>
          </w:p>
        </w:tc>
      </w:tr>
      <w:tr>
        <w:trPr>
          <w:cantSplit/>
        </w:trPr>
        <w:tc>
          <w:tcPr>
            <w:tcW w:w="720" w:type="dxa"/>
          </w:tcPr>
          <w:p>
            <w:pPr>
              <w:pStyle w:val="yTable"/>
              <w:keepNext/>
              <w:keepLines/>
            </w:pPr>
            <w:r>
              <w:t>2.</w:t>
            </w:r>
          </w:p>
        </w:tc>
        <w:tc>
          <w:tcPr>
            <w:tcW w:w="5376" w:type="dxa"/>
          </w:tcPr>
          <w:p>
            <w:pPr>
              <w:pStyle w:val="yTable"/>
              <w:keepNext/>
              <w:keepLines/>
            </w:pPr>
            <w:r>
              <w:t>For an annual concession pass for a non</w:t>
            </w:r>
            <w:r>
              <w:noBreakHyphen/>
              <w:t>tour motor vehicle with up to 8 occupants to all CALM land where an entrance fee is charged</w:t>
            </w:r>
          </w:p>
        </w:tc>
        <w:tc>
          <w:tcPr>
            <w:tcW w:w="708" w:type="dxa"/>
            <w:vAlign w:val="bottom"/>
          </w:tcPr>
          <w:p>
            <w:pPr>
              <w:pStyle w:val="yTable"/>
              <w:jc w:val="right"/>
            </w:pPr>
            <w:r>
              <w:t>50.00</w:t>
            </w:r>
          </w:p>
        </w:tc>
      </w:tr>
      <w:tr>
        <w:tc>
          <w:tcPr>
            <w:tcW w:w="720" w:type="dxa"/>
          </w:tcPr>
          <w:p>
            <w:pPr>
              <w:pStyle w:val="yTable"/>
            </w:pPr>
          </w:p>
        </w:tc>
        <w:tc>
          <w:tcPr>
            <w:tcW w:w="5376" w:type="dxa"/>
          </w:tcPr>
          <w:p>
            <w:pPr>
              <w:pStyle w:val="yTable"/>
            </w:pPr>
            <w:r>
              <w:t>Conditions on entry: the driver holds a concession card</w:t>
            </w:r>
          </w:p>
        </w:tc>
        <w:tc>
          <w:tcPr>
            <w:tcW w:w="708" w:type="dxa"/>
            <w:vAlign w:val="bottom"/>
          </w:tcPr>
          <w:p>
            <w:pPr>
              <w:pStyle w:val="yTable"/>
              <w:jc w:val="right"/>
            </w:pPr>
          </w:p>
        </w:tc>
      </w:tr>
      <w:tr>
        <w:tc>
          <w:tcPr>
            <w:tcW w:w="720" w:type="dxa"/>
          </w:tcPr>
          <w:p>
            <w:pPr>
              <w:pStyle w:val="yTable"/>
            </w:pPr>
            <w:r>
              <w:t>3.</w:t>
            </w:r>
          </w:p>
        </w:tc>
        <w:tc>
          <w:tcPr>
            <w:tcW w:w="5376" w:type="dxa"/>
          </w:tcPr>
          <w:p>
            <w:pPr>
              <w:pStyle w:val="yTable"/>
            </w:pPr>
            <w:r>
              <w:t>For a 4 week pass for a non</w:t>
            </w:r>
            <w:r>
              <w:noBreakHyphen/>
              <w:t>tour motor vehicle with up to 8 occupants to all CALM land where an entrance fee is charged</w:t>
            </w:r>
          </w:p>
        </w:tc>
        <w:tc>
          <w:tcPr>
            <w:tcW w:w="708" w:type="dxa"/>
            <w:vAlign w:val="bottom"/>
          </w:tcPr>
          <w:p>
            <w:pPr>
              <w:pStyle w:val="yTable"/>
              <w:jc w:val="right"/>
            </w:pPr>
            <w:r>
              <w:t>35.00</w:t>
            </w:r>
          </w:p>
        </w:tc>
      </w:tr>
      <w:tr>
        <w:trPr>
          <w:trHeight w:val="4065"/>
        </w:trPr>
        <w:tc>
          <w:tcPr>
            <w:tcW w:w="720" w:type="dxa"/>
          </w:tcPr>
          <w:p>
            <w:pPr>
              <w:pStyle w:val="yTable"/>
            </w:pPr>
            <w:r>
              <w:rPr>
                <w:sz w:val="24"/>
              </w:rPr>
              <w:br w:type="page"/>
            </w:r>
            <w:r>
              <w:t>4.</w:t>
            </w:r>
          </w:p>
        </w:tc>
        <w:tc>
          <w:tcPr>
            <w:tcW w:w="5376" w:type="dxa"/>
          </w:tcPr>
          <w:p>
            <w:pPr>
              <w:pStyle w:val="yTable"/>
            </w:pPr>
            <w:r>
              <w:t>For an annual pass for a non</w:t>
            </w:r>
            <w:r>
              <w:noBreakHyphen/>
              <w:t xml:space="preserve">tour vehicle with up to 8 occupants for any one national park or reserve or for any one of the following groups of national parks, conservation parks and reserves — </w:t>
            </w:r>
            <w:r>
              <w:rPr>
                <w:rFonts w:ascii="WP TypographicSymbols" w:hAnsi="WP TypographicSymbols"/>
              </w:rPr>
              <w:t></w:t>
            </w:r>
          </w:p>
          <w:p>
            <w:pPr>
              <w:pStyle w:val="yTable"/>
              <w:tabs>
                <w:tab w:val="left" w:pos="340"/>
                <w:tab w:val="left" w:pos="765"/>
              </w:tabs>
              <w:ind w:left="765" w:hanging="765"/>
            </w:pPr>
            <w:r>
              <w:tab/>
              <w:t>(a)</w:t>
            </w:r>
            <w:r>
              <w:tab/>
              <w:t>Walyunga and Avon Valley</w:t>
            </w:r>
          </w:p>
          <w:p>
            <w:pPr>
              <w:pStyle w:val="yTable"/>
              <w:tabs>
                <w:tab w:val="left" w:pos="340"/>
                <w:tab w:val="left" w:pos="765"/>
              </w:tabs>
              <w:ind w:left="765" w:hanging="765"/>
            </w:pPr>
            <w:r>
              <w:tab/>
              <w:t>(b)</w:t>
            </w:r>
            <w:r>
              <w:tab/>
              <w:t>Gloucester, Warren, Beedelup, Shannon and D’Entrecasteaux</w:t>
            </w:r>
          </w:p>
          <w:p>
            <w:pPr>
              <w:pStyle w:val="yTable"/>
              <w:tabs>
                <w:tab w:val="left" w:pos="340"/>
                <w:tab w:val="left" w:pos="765"/>
              </w:tabs>
              <w:ind w:left="765" w:hanging="765"/>
            </w:pPr>
            <w:r>
              <w:tab/>
              <w:t>(c)</w:t>
            </w:r>
            <w:r>
              <w:tab/>
              <w:t>Stirling Range and Porongurup</w:t>
            </w:r>
          </w:p>
          <w:p>
            <w:pPr>
              <w:pStyle w:val="yTable"/>
              <w:tabs>
                <w:tab w:val="left" w:pos="340"/>
                <w:tab w:val="left" w:pos="765"/>
              </w:tabs>
              <w:ind w:left="765" w:hanging="765"/>
            </w:pPr>
            <w:r>
              <w:tab/>
              <w:t>(d)</w:t>
            </w:r>
            <w:r>
              <w:tab/>
              <w:t>Stokes, Cape Le Grand and Cape Arid</w:t>
            </w:r>
          </w:p>
          <w:p>
            <w:pPr>
              <w:pStyle w:val="yTable"/>
              <w:tabs>
                <w:tab w:val="left" w:pos="340"/>
                <w:tab w:val="left" w:pos="765"/>
              </w:tabs>
              <w:ind w:left="765" w:hanging="765"/>
            </w:pPr>
            <w:r>
              <w:tab/>
              <w:t>(e)</w:t>
            </w:r>
            <w:r>
              <w:tab/>
              <w:t>Karijini and Millstream</w:t>
            </w:r>
            <w:r>
              <w:noBreakHyphen/>
              <w:t>Chichester</w:t>
            </w:r>
          </w:p>
          <w:p>
            <w:pPr>
              <w:pStyle w:val="yTable"/>
              <w:tabs>
                <w:tab w:val="left" w:pos="340"/>
                <w:tab w:val="left" w:pos="765"/>
              </w:tabs>
              <w:ind w:left="765" w:hanging="765"/>
            </w:pPr>
            <w:r>
              <w:tab/>
              <w:t>(f)</w:t>
            </w:r>
            <w:r>
              <w:tab/>
              <w:t>Fitzgerald River and either Stirling Range/Porongorup or Stokes (purchaser to choose)</w:t>
            </w:r>
          </w:p>
          <w:p>
            <w:pPr>
              <w:pStyle w:val="yTable"/>
              <w:tabs>
                <w:tab w:val="left" w:pos="340"/>
                <w:tab w:val="left" w:pos="765"/>
              </w:tabs>
              <w:ind w:left="765" w:hanging="765"/>
            </w:pPr>
            <w:r>
              <w:tab/>
              <w:t>(g)</w:t>
            </w:r>
            <w:r>
              <w:tab/>
              <w:t>Mirima and Purnululu</w:t>
            </w:r>
          </w:p>
          <w:p>
            <w:pPr>
              <w:pStyle w:val="yTable"/>
              <w:tabs>
                <w:tab w:val="left" w:pos="340"/>
                <w:tab w:val="left" w:pos="765"/>
              </w:tabs>
              <w:ind w:left="765" w:hanging="765"/>
            </w:pPr>
            <w:r>
              <w:tab/>
              <w:t>(h)</w:t>
            </w:r>
            <w:r>
              <w:tab/>
              <w:t>Windjana, King Leopold Range and Tunnel Creek</w:t>
            </w:r>
          </w:p>
        </w:tc>
        <w:tc>
          <w:tcPr>
            <w:tcW w:w="708" w:type="dxa"/>
            <w:vAlign w:val="bottom"/>
          </w:tcPr>
          <w:p>
            <w:pPr>
              <w:pStyle w:val="yTable"/>
              <w:jc w:val="right"/>
            </w:pPr>
            <w:r>
              <w:br/>
            </w:r>
            <w:r>
              <w:br/>
            </w:r>
            <w:r>
              <w:br/>
            </w:r>
            <w:r>
              <w:br/>
            </w:r>
            <w:r>
              <w:br/>
            </w:r>
            <w:r>
              <w:br/>
            </w:r>
            <w:r>
              <w:br/>
            </w:r>
            <w:r>
              <w:br/>
            </w:r>
            <w:r>
              <w:br/>
            </w:r>
            <w:r>
              <w:br/>
            </w:r>
            <w:r>
              <w:br/>
            </w:r>
            <w:r>
              <w:br/>
            </w:r>
            <w:r>
              <w:br/>
            </w:r>
            <w:r>
              <w:br/>
            </w:r>
            <w:r>
              <w:br/>
              <w:t>20.00</w:t>
            </w:r>
          </w:p>
        </w:tc>
      </w:tr>
      <w:tr>
        <w:tc>
          <w:tcPr>
            <w:tcW w:w="720" w:type="dxa"/>
          </w:tcPr>
          <w:p>
            <w:pPr>
              <w:pStyle w:val="yTable"/>
            </w:pPr>
            <w:r>
              <w:t>5.</w:t>
            </w:r>
          </w:p>
        </w:tc>
        <w:tc>
          <w:tcPr>
            <w:tcW w:w="5376" w:type="dxa"/>
          </w:tcPr>
          <w:p>
            <w:pPr>
              <w:pStyle w:val="yTable"/>
            </w:pPr>
            <w:r>
              <w:t>For an annual pass for a non</w:t>
            </w:r>
            <w:r>
              <w:noBreakHyphen/>
              <w:t>tour motor vehicle with up to 8 occupants to all CALM land where an entrance fee is charged and an annual subscription to the magazine “Landscope”</w:t>
            </w:r>
          </w:p>
        </w:tc>
        <w:tc>
          <w:tcPr>
            <w:tcW w:w="708" w:type="dxa"/>
            <w:vAlign w:val="bottom"/>
          </w:tcPr>
          <w:p>
            <w:pPr>
              <w:pStyle w:val="yTable"/>
              <w:jc w:val="right"/>
            </w:pPr>
            <w:r>
              <w:t>100.00</w:t>
            </w:r>
          </w:p>
        </w:tc>
      </w:tr>
    </w:tbl>
    <w:p>
      <w:pPr>
        <w:pStyle w:val="yFootnotesection"/>
      </w:pPr>
      <w:r>
        <w:tab/>
        <w:t>[Division 2 inserted in Gazette 29 Sep 2006 p. 4327</w:t>
      </w:r>
      <w:r>
        <w:noBreakHyphen/>
        <w:t>8.]</w:t>
      </w:r>
    </w:p>
    <w:p>
      <w:pPr>
        <w:pStyle w:val="yHeading3"/>
        <w:rPr>
          <w:snapToGrid w:val="0"/>
        </w:rPr>
      </w:pPr>
      <w:bookmarkStart w:id="1818" w:name="_Toc189456641"/>
      <w:bookmarkStart w:id="1819" w:name="_Toc524422652"/>
      <w:bookmarkStart w:id="1820" w:name="_Toc147312451"/>
      <w:bookmarkStart w:id="1821" w:name="_Toc147631309"/>
      <w:bookmarkStart w:id="1822" w:name="_Toc147633643"/>
      <w:bookmarkStart w:id="1823" w:name="_Toc147907087"/>
      <w:bookmarkStart w:id="1824" w:name="_Toc147907486"/>
      <w:bookmarkStart w:id="1825" w:name="_Toc149010039"/>
      <w:bookmarkStart w:id="1826" w:name="_Toc149010393"/>
      <w:bookmarkStart w:id="1827" w:name="_Toc149010561"/>
      <w:bookmarkStart w:id="1828" w:name="_Toc149016438"/>
      <w:bookmarkStart w:id="1829" w:name="_Toc149039181"/>
      <w:bookmarkStart w:id="1830" w:name="_Toc149039902"/>
      <w:bookmarkStart w:id="1831" w:name="_Toc150315513"/>
      <w:bookmarkStart w:id="1832" w:name="_Toc150315724"/>
      <w:bookmarkStart w:id="1833" w:name="_Toc160272934"/>
      <w:bookmarkStart w:id="1834" w:name="_Toc160332882"/>
      <w:bookmarkStart w:id="1835" w:name="_Toc170207908"/>
      <w:r>
        <w:rPr>
          <w:rStyle w:val="CharSDivNo"/>
        </w:rPr>
        <w:t>Division 3</w:t>
      </w:r>
      <w:r>
        <w:rPr>
          <w:rStyle w:val="CharDivNo"/>
        </w:rPr>
        <w:t xml:space="preserve"> </w:t>
      </w:r>
      <w:r>
        <w:t>—</w:t>
      </w:r>
      <w:r>
        <w:rPr>
          <w:rStyle w:val="CharDivText"/>
        </w:rPr>
        <w:t xml:space="preserve"> </w:t>
      </w:r>
      <w:r>
        <w:rPr>
          <w:rStyle w:val="CharSDivText"/>
        </w:rPr>
        <w:t>Daily entrance fees for Tree Top Walk</w:t>
      </w:r>
      <w:bookmarkEnd w:id="1818"/>
      <w:bookmarkEnd w:id="1819"/>
      <w:bookmarkEnd w:id="1816"/>
      <w:bookmarkEnd w:id="1817"/>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p>
    <w:tbl>
      <w:tblPr>
        <w:tblW w:w="0" w:type="auto"/>
        <w:tblInd w:w="8" w:type="dxa"/>
        <w:tblLayout w:type="fixed"/>
        <w:tblCellMar>
          <w:left w:w="8" w:type="dxa"/>
          <w:right w:w="8" w:type="dxa"/>
        </w:tblCellMar>
        <w:tblLook w:val="0000" w:firstRow="0" w:lastRow="0" w:firstColumn="0" w:lastColumn="0" w:noHBand="0" w:noVBand="0"/>
      </w:tblPr>
      <w:tblGrid>
        <w:gridCol w:w="709"/>
        <w:gridCol w:w="5387"/>
        <w:gridCol w:w="708"/>
      </w:tblGrid>
      <w:tr>
        <w:tc>
          <w:tcPr>
            <w:tcW w:w="709" w:type="dxa"/>
          </w:tcPr>
          <w:p>
            <w:pPr>
              <w:pStyle w:val="yTable"/>
              <w:keepNext/>
              <w:keepLines/>
            </w:pPr>
          </w:p>
        </w:tc>
        <w:tc>
          <w:tcPr>
            <w:tcW w:w="5387" w:type="dxa"/>
          </w:tcPr>
          <w:p>
            <w:pPr>
              <w:pStyle w:val="yTable"/>
              <w:keepNext/>
              <w:keepLines/>
            </w:pPr>
          </w:p>
        </w:tc>
        <w:tc>
          <w:tcPr>
            <w:tcW w:w="708" w:type="dxa"/>
          </w:tcPr>
          <w:p>
            <w:pPr>
              <w:pStyle w:val="yTable"/>
              <w:keepNext/>
              <w:keepLines/>
              <w:jc w:val="center"/>
              <w:rPr>
                <w:b/>
              </w:rPr>
            </w:pPr>
            <w:r>
              <w:rPr>
                <w:b/>
              </w:rPr>
              <w:t>$</w:t>
            </w:r>
          </w:p>
        </w:tc>
      </w:tr>
      <w:tr>
        <w:tc>
          <w:tcPr>
            <w:tcW w:w="709" w:type="dxa"/>
          </w:tcPr>
          <w:p>
            <w:pPr>
              <w:pStyle w:val="yTable"/>
              <w:keepNext/>
              <w:keepLines/>
              <w:rPr>
                <w:lang w:val="en-GB"/>
              </w:rPr>
            </w:pPr>
            <w:r>
              <w:t>1.</w:t>
            </w:r>
          </w:p>
        </w:tc>
        <w:tc>
          <w:tcPr>
            <w:tcW w:w="5387" w:type="dxa"/>
          </w:tcPr>
          <w:p>
            <w:pPr>
              <w:pStyle w:val="yTable"/>
              <w:keepNext/>
              <w:keepLines/>
            </w:pPr>
            <w:r>
              <w:t>For person 16 years of age or over</w:t>
            </w:r>
          </w:p>
        </w:tc>
        <w:tc>
          <w:tcPr>
            <w:tcW w:w="708" w:type="dxa"/>
          </w:tcPr>
          <w:p>
            <w:pPr>
              <w:pStyle w:val="yTable"/>
              <w:keepNext/>
              <w:keepLines/>
              <w:tabs>
                <w:tab w:val="decimal" w:pos="275"/>
              </w:tabs>
            </w:pPr>
            <w:r>
              <w:t>8.00</w:t>
            </w:r>
          </w:p>
        </w:tc>
      </w:tr>
      <w:tr>
        <w:tc>
          <w:tcPr>
            <w:tcW w:w="709" w:type="dxa"/>
          </w:tcPr>
          <w:p>
            <w:pPr>
              <w:pStyle w:val="yTable"/>
              <w:keepNext/>
              <w:keepLines/>
            </w:pPr>
            <w:r>
              <w:t>2.</w:t>
            </w:r>
          </w:p>
        </w:tc>
        <w:tc>
          <w:tcPr>
            <w:tcW w:w="5387" w:type="dxa"/>
          </w:tcPr>
          <w:p>
            <w:pPr>
              <w:pStyle w:val="yTable"/>
              <w:keepNext/>
              <w:keepLines/>
            </w:pPr>
            <w:r>
              <w:t xml:space="preserve">For person of more than 5 and less than 16 years of age </w:t>
            </w:r>
          </w:p>
        </w:tc>
        <w:tc>
          <w:tcPr>
            <w:tcW w:w="708" w:type="dxa"/>
          </w:tcPr>
          <w:p>
            <w:pPr>
              <w:pStyle w:val="yTable"/>
              <w:keepNext/>
              <w:keepLines/>
              <w:tabs>
                <w:tab w:val="decimal" w:pos="275"/>
              </w:tabs>
            </w:pPr>
            <w:r>
              <w:t>4.00</w:t>
            </w:r>
          </w:p>
        </w:tc>
      </w:tr>
      <w:tr>
        <w:tc>
          <w:tcPr>
            <w:tcW w:w="709" w:type="dxa"/>
          </w:tcPr>
          <w:p>
            <w:pPr>
              <w:pStyle w:val="yTable"/>
              <w:keepNext/>
              <w:keepLines/>
            </w:pPr>
            <w:r>
              <w:t>3.</w:t>
            </w:r>
          </w:p>
        </w:tc>
        <w:tc>
          <w:tcPr>
            <w:tcW w:w="5387" w:type="dxa"/>
          </w:tcPr>
          <w:p>
            <w:pPr>
              <w:pStyle w:val="yTable"/>
              <w:keepNext/>
              <w:keepLines/>
              <w:ind w:left="227" w:hanging="227"/>
            </w:pPr>
            <w:r>
              <w:t>For family (2 adults and 2 children of more than 5 and less than 16 years of age)</w:t>
            </w:r>
          </w:p>
        </w:tc>
        <w:tc>
          <w:tcPr>
            <w:tcW w:w="708" w:type="dxa"/>
          </w:tcPr>
          <w:p>
            <w:pPr>
              <w:pStyle w:val="yTable"/>
              <w:keepNext/>
              <w:keepLines/>
              <w:tabs>
                <w:tab w:val="decimal" w:pos="275"/>
              </w:tabs>
            </w:pPr>
            <w:r>
              <w:br/>
              <w:t>22.00</w:t>
            </w:r>
          </w:p>
        </w:tc>
      </w:tr>
      <w:tr>
        <w:tc>
          <w:tcPr>
            <w:tcW w:w="709" w:type="dxa"/>
          </w:tcPr>
          <w:p>
            <w:pPr>
              <w:pStyle w:val="yTable"/>
              <w:keepNext/>
              <w:keepLines/>
            </w:pPr>
            <w:r>
              <w:t>4.</w:t>
            </w:r>
          </w:p>
        </w:tc>
        <w:tc>
          <w:tcPr>
            <w:tcW w:w="5387" w:type="dxa"/>
          </w:tcPr>
          <w:p>
            <w:pPr>
              <w:pStyle w:val="yTable"/>
              <w:keepNext/>
              <w:keepLines/>
            </w:pPr>
            <w:r>
              <w:t>For holder of a concession card</w:t>
            </w:r>
          </w:p>
        </w:tc>
        <w:tc>
          <w:tcPr>
            <w:tcW w:w="708" w:type="dxa"/>
          </w:tcPr>
          <w:p>
            <w:pPr>
              <w:pStyle w:val="yTable"/>
              <w:keepNext/>
              <w:keepLines/>
              <w:tabs>
                <w:tab w:val="decimal" w:pos="275"/>
              </w:tabs>
            </w:pPr>
            <w:r>
              <w:t>6.00</w:t>
            </w:r>
          </w:p>
        </w:tc>
      </w:tr>
    </w:tbl>
    <w:p>
      <w:pPr>
        <w:pStyle w:val="yFootnotesection"/>
        <w:keepNext/>
        <w:rPr>
          <w:rStyle w:val="CharPartNo"/>
        </w:rPr>
      </w:pPr>
      <w:bookmarkStart w:id="1836" w:name="_Toc8119202"/>
      <w:bookmarkStart w:id="1837" w:name="_Toc78685342"/>
      <w:r>
        <w:tab/>
        <w:t>[Division 3 amended in Gazette 29 Sep 2006 p. 4328.]</w:t>
      </w:r>
    </w:p>
    <w:p>
      <w:pPr>
        <w:pStyle w:val="yHeading3"/>
      </w:pPr>
      <w:bookmarkStart w:id="1838" w:name="_Toc189456642"/>
      <w:bookmarkStart w:id="1839" w:name="_Toc524422653"/>
      <w:bookmarkStart w:id="1840" w:name="_Toc147312452"/>
      <w:bookmarkStart w:id="1841" w:name="_Toc147631310"/>
      <w:bookmarkStart w:id="1842" w:name="_Toc147633644"/>
      <w:bookmarkStart w:id="1843" w:name="_Toc147907088"/>
      <w:bookmarkStart w:id="1844" w:name="_Toc147907487"/>
      <w:bookmarkStart w:id="1845" w:name="_Toc149010040"/>
      <w:bookmarkStart w:id="1846" w:name="_Toc149010394"/>
      <w:bookmarkStart w:id="1847" w:name="_Toc149010562"/>
      <w:bookmarkStart w:id="1848" w:name="_Toc149016439"/>
      <w:bookmarkStart w:id="1849" w:name="_Toc149039182"/>
      <w:bookmarkStart w:id="1850" w:name="_Toc149039903"/>
      <w:bookmarkStart w:id="1851" w:name="_Toc150315514"/>
      <w:bookmarkStart w:id="1852" w:name="_Toc150315725"/>
      <w:bookmarkStart w:id="1853" w:name="_Toc160272935"/>
      <w:bookmarkStart w:id="1854" w:name="_Toc160332883"/>
      <w:bookmarkStart w:id="1855" w:name="_Toc170207909"/>
      <w:r>
        <w:rPr>
          <w:rStyle w:val="CharSDivNo"/>
        </w:rPr>
        <w:t>Division 4</w:t>
      </w:r>
      <w:r>
        <w:rPr>
          <w:rStyle w:val="CharDivNo"/>
        </w:rPr>
        <w:t xml:space="preserve"> </w:t>
      </w:r>
      <w:r>
        <w:t>—</w:t>
      </w:r>
      <w:r>
        <w:rPr>
          <w:rStyle w:val="CharDivText"/>
        </w:rPr>
        <w:t xml:space="preserve"> </w:t>
      </w:r>
      <w:r>
        <w:rPr>
          <w:rStyle w:val="CharSDivText"/>
        </w:rPr>
        <w:t>Fees for Geikie Gorge National Park Boat Trip</w:t>
      </w:r>
      <w:bookmarkEnd w:id="1838"/>
      <w:bookmarkEnd w:id="1839"/>
      <w:bookmarkEnd w:id="1836"/>
      <w:bookmarkEnd w:id="1837"/>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p>
    <w:tbl>
      <w:tblPr>
        <w:tblW w:w="0" w:type="auto"/>
        <w:tblInd w:w="8" w:type="dxa"/>
        <w:tblLayout w:type="fixed"/>
        <w:tblCellMar>
          <w:left w:w="8" w:type="dxa"/>
          <w:right w:w="8" w:type="dxa"/>
        </w:tblCellMar>
        <w:tblLook w:val="0000" w:firstRow="0" w:lastRow="0" w:firstColumn="0" w:lastColumn="0" w:noHBand="0" w:noVBand="0"/>
      </w:tblPr>
      <w:tblGrid>
        <w:gridCol w:w="709"/>
        <w:gridCol w:w="5387"/>
        <w:gridCol w:w="708"/>
      </w:tblGrid>
      <w:tr>
        <w:tc>
          <w:tcPr>
            <w:tcW w:w="709" w:type="dxa"/>
          </w:tcPr>
          <w:p>
            <w:pPr>
              <w:pStyle w:val="yTable"/>
              <w:rPr>
                <w:lang w:val="en-US"/>
              </w:rPr>
            </w:pPr>
          </w:p>
        </w:tc>
        <w:tc>
          <w:tcPr>
            <w:tcW w:w="5387" w:type="dxa"/>
          </w:tcPr>
          <w:p>
            <w:pPr>
              <w:pStyle w:val="yTable"/>
            </w:pPr>
          </w:p>
        </w:tc>
        <w:tc>
          <w:tcPr>
            <w:tcW w:w="708" w:type="dxa"/>
          </w:tcPr>
          <w:p>
            <w:pPr>
              <w:pStyle w:val="yTable"/>
              <w:jc w:val="center"/>
              <w:rPr>
                <w:b/>
              </w:rPr>
            </w:pPr>
            <w:r>
              <w:rPr>
                <w:b/>
              </w:rPr>
              <w:t>$</w:t>
            </w:r>
          </w:p>
        </w:tc>
      </w:tr>
      <w:tr>
        <w:tc>
          <w:tcPr>
            <w:tcW w:w="709" w:type="dxa"/>
          </w:tcPr>
          <w:p>
            <w:pPr>
              <w:pStyle w:val="yTable"/>
            </w:pPr>
            <w:r>
              <w:t>1.</w:t>
            </w:r>
          </w:p>
        </w:tc>
        <w:tc>
          <w:tcPr>
            <w:tcW w:w="5387" w:type="dxa"/>
          </w:tcPr>
          <w:p>
            <w:pPr>
              <w:pStyle w:val="yTable"/>
            </w:pPr>
            <w:r>
              <w:t>For person 16 years and over</w:t>
            </w:r>
          </w:p>
        </w:tc>
        <w:tc>
          <w:tcPr>
            <w:tcW w:w="708" w:type="dxa"/>
          </w:tcPr>
          <w:p>
            <w:pPr>
              <w:pStyle w:val="yTable"/>
              <w:tabs>
                <w:tab w:val="decimal" w:pos="275"/>
              </w:tabs>
            </w:pPr>
            <w:r>
              <w:t>25.00</w:t>
            </w:r>
          </w:p>
        </w:tc>
      </w:tr>
      <w:tr>
        <w:tc>
          <w:tcPr>
            <w:tcW w:w="709" w:type="dxa"/>
          </w:tcPr>
          <w:p>
            <w:pPr>
              <w:pStyle w:val="yTable"/>
            </w:pPr>
            <w:r>
              <w:t>2.</w:t>
            </w:r>
          </w:p>
        </w:tc>
        <w:tc>
          <w:tcPr>
            <w:tcW w:w="5387" w:type="dxa"/>
          </w:tcPr>
          <w:p>
            <w:pPr>
              <w:pStyle w:val="yTable"/>
            </w:pPr>
            <w:r>
              <w:t>For person of more than 5 and less than 16 years of age</w:t>
            </w:r>
          </w:p>
        </w:tc>
        <w:tc>
          <w:tcPr>
            <w:tcW w:w="708" w:type="dxa"/>
          </w:tcPr>
          <w:p>
            <w:pPr>
              <w:pStyle w:val="yTable"/>
              <w:tabs>
                <w:tab w:val="decimal" w:pos="275"/>
              </w:tabs>
            </w:pPr>
            <w:r>
              <w:t>5.00</w:t>
            </w:r>
          </w:p>
        </w:tc>
      </w:tr>
      <w:tr>
        <w:tc>
          <w:tcPr>
            <w:tcW w:w="709" w:type="dxa"/>
          </w:tcPr>
          <w:p>
            <w:pPr>
              <w:pStyle w:val="yTable"/>
            </w:pPr>
            <w:bookmarkStart w:id="1856" w:name="_Toc8119203"/>
            <w:bookmarkStart w:id="1857" w:name="_Toc78685343"/>
            <w:r>
              <w:t>3.</w:t>
            </w:r>
          </w:p>
        </w:tc>
        <w:tc>
          <w:tcPr>
            <w:tcW w:w="5387" w:type="dxa"/>
          </w:tcPr>
          <w:p>
            <w:pPr>
              <w:pStyle w:val="yTable"/>
            </w:pPr>
            <w:r>
              <w:t>For holder of a concession card</w:t>
            </w:r>
          </w:p>
        </w:tc>
        <w:tc>
          <w:tcPr>
            <w:tcW w:w="708" w:type="dxa"/>
          </w:tcPr>
          <w:p>
            <w:pPr>
              <w:pStyle w:val="yTable"/>
              <w:tabs>
                <w:tab w:val="decimal" w:pos="275"/>
              </w:tabs>
            </w:pPr>
            <w:r>
              <w:t>20.00</w:t>
            </w:r>
          </w:p>
        </w:tc>
      </w:tr>
    </w:tbl>
    <w:p>
      <w:pPr>
        <w:pStyle w:val="yFootnotesection"/>
        <w:rPr>
          <w:rStyle w:val="CharPartNo"/>
        </w:rPr>
      </w:pPr>
      <w:r>
        <w:tab/>
        <w:t>[Division 4 amended in Gazette 29 Sep 2006 p. 4328.]</w:t>
      </w:r>
    </w:p>
    <w:p>
      <w:pPr>
        <w:pStyle w:val="yHeading3"/>
      </w:pPr>
      <w:bookmarkStart w:id="1858" w:name="_Toc189456643"/>
      <w:bookmarkStart w:id="1859" w:name="_Toc524422654"/>
      <w:bookmarkStart w:id="1860" w:name="_Toc147312453"/>
      <w:bookmarkStart w:id="1861" w:name="_Toc147631311"/>
      <w:bookmarkStart w:id="1862" w:name="_Toc147633645"/>
      <w:bookmarkStart w:id="1863" w:name="_Toc147907089"/>
      <w:bookmarkStart w:id="1864" w:name="_Toc147907488"/>
      <w:bookmarkStart w:id="1865" w:name="_Toc149010041"/>
      <w:bookmarkStart w:id="1866" w:name="_Toc149010395"/>
      <w:bookmarkStart w:id="1867" w:name="_Toc149010563"/>
      <w:bookmarkStart w:id="1868" w:name="_Toc149016440"/>
      <w:bookmarkStart w:id="1869" w:name="_Toc149039183"/>
      <w:bookmarkStart w:id="1870" w:name="_Toc149039904"/>
      <w:bookmarkStart w:id="1871" w:name="_Toc150315515"/>
      <w:bookmarkStart w:id="1872" w:name="_Toc150315726"/>
      <w:bookmarkStart w:id="1873" w:name="_Toc160272936"/>
      <w:bookmarkStart w:id="1874" w:name="_Toc160332884"/>
      <w:bookmarkStart w:id="1875" w:name="_Toc170207910"/>
      <w:r>
        <w:rPr>
          <w:rStyle w:val="CharSDivNo"/>
        </w:rPr>
        <w:t>Division 5</w:t>
      </w:r>
      <w:r>
        <w:rPr>
          <w:rStyle w:val="CharDivNo"/>
        </w:rPr>
        <w:t xml:space="preserve"> </w:t>
      </w:r>
      <w:r>
        <w:t>—</w:t>
      </w:r>
      <w:r>
        <w:rPr>
          <w:rStyle w:val="CharDivText"/>
        </w:rPr>
        <w:t xml:space="preserve"> </w:t>
      </w:r>
      <w:r>
        <w:rPr>
          <w:rStyle w:val="CharSDivText"/>
        </w:rPr>
        <w:t>Horse riding</w:t>
      </w:r>
      <w:bookmarkEnd w:id="1858"/>
      <w:bookmarkEnd w:id="1859"/>
      <w:bookmarkEnd w:id="1856"/>
      <w:bookmarkEnd w:id="1857"/>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p>
    <w:tbl>
      <w:tblPr>
        <w:tblW w:w="0" w:type="auto"/>
        <w:tblInd w:w="8" w:type="dxa"/>
        <w:tblLayout w:type="fixed"/>
        <w:tblCellMar>
          <w:left w:w="8" w:type="dxa"/>
          <w:right w:w="8" w:type="dxa"/>
        </w:tblCellMar>
        <w:tblLook w:val="0000" w:firstRow="0" w:lastRow="0" w:firstColumn="0" w:lastColumn="0" w:noHBand="0" w:noVBand="0"/>
      </w:tblPr>
      <w:tblGrid>
        <w:gridCol w:w="709"/>
        <w:gridCol w:w="5387"/>
        <w:gridCol w:w="708"/>
      </w:tblGrid>
      <w:tr>
        <w:tc>
          <w:tcPr>
            <w:tcW w:w="709" w:type="dxa"/>
          </w:tcPr>
          <w:p>
            <w:pPr>
              <w:pStyle w:val="yTable"/>
            </w:pPr>
          </w:p>
        </w:tc>
        <w:tc>
          <w:tcPr>
            <w:tcW w:w="5387" w:type="dxa"/>
          </w:tcPr>
          <w:p>
            <w:pPr>
              <w:pStyle w:val="yTable"/>
            </w:pPr>
          </w:p>
        </w:tc>
        <w:tc>
          <w:tcPr>
            <w:tcW w:w="708" w:type="dxa"/>
          </w:tcPr>
          <w:p>
            <w:pPr>
              <w:pStyle w:val="yTable"/>
              <w:jc w:val="center"/>
              <w:rPr>
                <w:b/>
              </w:rPr>
            </w:pPr>
            <w:r>
              <w:rPr>
                <w:b/>
              </w:rPr>
              <w:t>$</w:t>
            </w:r>
          </w:p>
        </w:tc>
      </w:tr>
      <w:tr>
        <w:tc>
          <w:tcPr>
            <w:tcW w:w="709" w:type="dxa"/>
          </w:tcPr>
          <w:p>
            <w:pPr>
              <w:pStyle w:val="yTable"/>
            </w:pPr>
            <w:r>
              <w:t>1.</w:t>
            </w:r>
          </w:p>
        </w:tc>
        <w:tc>
          <w:tcPr>
            <w:tcW w:w="5387" w:type="dxa"/>
          </w:tcPr>
          <w:p>
            <w:pPr>
              <w:pStyle w:val="yTable"/>
            </w:pPr>
            <w:r>
              <w:t xml:space="preserve">Daily fee for one person </w:t>
            </w:r>
          </w:p>
        </w:tc>
        <w:tc>
          <w:tcPr>
            <w:tcW w:w="708" w:type="dxa"/>
          </w:tcPr>
          <w:p>
            <w:pPr>
              <w:pStyle w:val="yTable"/>
              <w:tabs>
                <w:tab w:val="decimal" w:pos="275"/>
              </w:tabs>
            </w:pPr>
            <w:r>
              <w:t>5.50</w:t>
            </w:r>
          </w:p>
        </w:tc>
      </w:tr>
      <w:tr>
        <w:tc>
          <w:tcPr>
            <w:tcW w:w="709" w:type="dxa"/>
          </w:tcPr>
          <w:p>
            <w:pPr>
              <w:pStyle w:val="yTable"/>
            </w:pPr>
            <w:r>
              <w:t>2.</w:t>
            </w:r>
          </w:p>
        </w:tc>
        <w:tc>
          <w:tcPr>
            <w:tcW w:w="5387" w:type="dxa"/>
          </w:tcPr>
          <w:p>
            <w:pPr>
              <w:pStyle w:val="yTable"/>
            </w:pPr>
            <w:r>
              <w:t>Annual pass for family</w:t>
            </w:r>
          </w:p>
        </w:tc>
        <w:tc>
          <w:tcPr>
            <w:tcW w:w="708" w:type="dxa"/>
          </w:tcPr>
          <w:p>
            <w:pPr>
              <w:pStyle w:val="yTable"/>
              <w:tabs>
                <w:tab w:val="decimal" w:pos="275"/>
              </w:tabs>
            </w:pPr>
            <w:r>
              <w:t>40.00</w:t>
            </w:r>
          </w:p>
        </w:tc>
      </w:tr>
    </w:tbl>
    <w:p>
      <w:pPr>
        <w:pStyle w:val="yHeading3"/>
      </w:pPr>
      <w:bookmarkStart w:id="1876" w:name="_Toc189456644"/>
      <w:bookmarkStart w:id="1877" w:name="_Toc524422655"/>
      <w:bookmarkStart w:id="1878" w:name="_Toc137374381"/>
      <w:bookmarkStart w:id="1879" w:name="_Toc137447673"/>
      <w:bookmarkStart w:id="1880" w:name="_Toc137521280"/>
      <w:bookmarkStart w:id="1881" w:name="_Toc137549282"/>
      <w:bookmarkStart w:id="1882" w:name="_Toc137633275"/>
      <w:bookmarkStart w:id="1883" w:name="_Toc138068176"/>
      <w:bookmarkStart w:id="1884" w:name="_Toc138068950"/>
      <w:bookmarkStart w:id="1885" w:name="_Toc138149111"/>
      <w:bookmarkStart w:id="1886" w:name="_Toc138153891"/>
      <w:bookmarkStart w:id="1887" w:name="_Toc138502541"/>
      <w:bookmarkStart w:id="1888" w:name="_Toc138566361"/>
      <w:bookmarkStart w:id="1889" w:name="_Toc138566561"/>
      <w:bookmarkStart w:id="1890" w:name="_Toc138585542"/>
      <w:bookmarkStart w:id="1891" w:name="_Toc138674981"/>
      <w:bookmarkStart w:id="1892" w:name="_Toc138734559"/>
      <w:bookmarkStart w:id="1893" w:name="_Toc138753727"/>
      <w:bookmarkStart w:id="1894" w:name="_Toc138754744"/>
      <w:bookmarkStart w:id="1895" w:name="_Toc138755370"/>
      <w:bookmarkStart w:id="1896" w:name="_Toc142123890"/>
      <w:bookmarkStart w:id="1897" w:name="_Toc142193736"/>
      <w:bookmarkStart w:id="1898" w:name="_Toc142199335"/>
      <w:bookmarkStart w:id="1899" w:name="_Toc142208824"/>
      <w:bookmarkStart w:id="1900" w:name="_Toc142217338"/>
      <w:bookmarkStart w:id="1901" w:name="_Toc142276453"/>
      <w:bookmarkStart w:id="1902" w:name="_Toc142284647"/>
      <w:bookmarkStart w:id="1903" w:name="_Toc142285591"/>
      <w:bookmarkStart w:id="1904" w:name="_Toc142294459"/>
      <w:bookmarkStart w:id="1905" w:name="_Toc142303502"/>
      <w:bookmarkStart w:id="1906" w:name="_Toc142446476"/>
      <w:bookmarkStart w:id="1907" w:name="_Toc143676391"/>
      <w:bookmarkStart w:id="1908" w:name="_Toc144087303"/>
      <w:bookmarkStart w:id="1909" w:name="_Toc144088056"/>
      <w:bookmarkStart w:id="1910" w:name="_Toc144089080"/>
      <w:bookmarkStart w:id="1911" w:name="_Toc144203505"/>
      <w:bookmarkStart w:id="1912" w:name="_Toc144280802"/>
      <w:bookmarkStart w:id="1913" w:name="_Toc144703734"/>
      <w:bookmarkStart w:id="1914" w:name="_Toc144703808"/>
      <w:bookmarkStart w:id="1915" w:name="_Toc144712828"/>
      <w:bookmarkStart w:id="1916" w:name="_Toc144714318"/>
      <w:bookmarkStart w:id="1917" w:name="_Toc144717759"/>
      <w:bookmarkStart w:id="1918" w:name="_Toc144717833"/>
      <w:bookmarkStart w:id="1919" w:name="_Toc144719320"/>
      <w:bookmarkStart w:id="1920" w:name="_Toc144719632"/>
      <w:bookmarkStart w:id="1921" w:name="_Toc144777606"/>
      <w:bookmarkStart w:id="1922" w:name="_Toc144788100"/>
      <w:bookmarkStart w:id="1923" w:name="_Toc144788174"/>
      <w:bookmarkStart w:id="1924" w:name="_Toc144788896"/>
      <w:bookmarkStart w:id="1925" w:name="_Toc144795894"/>
      <w:bookmarkStart w:id="1926" w:name="_Toc144796893"/>
      <w:bookmarkStart w:id="1927" w:name="_Toc144797084"/>
      <w:bookmarkStart w:id="1928" w:name="_Toc144797158"/>
      <w:bookmarkStart w:id="1929" w:name="_Toc144798351"/>
      <w:bookmarkStart w:id="1930" w:name="_Toc144799114"/>
      <w:bookmarkStart w:id="1931" w:name="_Toc144804054"/>
      <w:bookmarkStart w:id="1932" w:name="_Toc144804140"/>
      <w:bookmarkStart w:id="1933" w:name="_Toc144804596"/>
      <w:bookmarkStart w:id="1934" w:name="_Toc144873642"/>
      <w:bookmarkStart w:id="1935" w:name="_Toc144873808"/>
      <w:bookmarkStart w:id="1936" w:name="_Toc144873882"/>
      <w:bookmarkStart w:id="1937" w:name="_Toc144874299"/>
      <w:bookmarkStart w:id="1938" w:name="_Toc147312455"/>
      <w:bookmarkStart w:id="1939" w:name="_Toc147631312"/>
      <w:bookmarkStart w:id="1940" w:name="_Toc147633646"/>
      <w:bookmarkStart w:id="1941" w:name="_Toc147907090"/>
      <w:bookmarkStart w:id="1942" w:name="_Toc147907489"/>
      <w:bookmarkStart w:id="1943" w:name="_Toc149010042"/>
      <w:bookmarkStart w:id="1944" w:name="_Toc149010396"/>
      <w:bookmarkStart w:id="1945" w:name="_Toc149010564"/>
      <w:bookmarkStart w:id="1946" w:name="_Toc149016441"/>
      <w:bookmarkStart w:id="1947" w:name="_Toc149039184"/>
      <w:bookmarkStart w:id="1948" w:name="_Toc149039905"/>
      <w:bookmarkStart w:id="1949" w:name="_Toc150315516"/>
      <w:bookmarkStart w:id="1950" w:name="_Toc150315727"/>
      <w:bookmarkStart w:id="1951" w:name="_Toc160272937"/>
      <w:bookmarkStart w:id="1952" w:name="_Toc160332885"/>
      <w:bookmarkStart w:id="1953" w:name="_Toc170207911"/>
      <w:bookmarkStart w:id="1954" w:name="_Toc8119205"/>
      <w:bookmarkStart w:id="1955" w:name="_Toc78685345"/>
      <w:r>
        <w:rPr>
          <w:rStyle w:val="CharSDivNo"/>
        </w:rPr>
        <w:t>Division 6</w:t>
      </w:r>
      <w:r>
        <w:rPr>
          <w:b w:val="0"/>
        </w:rPr>
        <w:t> — </w:t>
      </w:r>
      <w:r>
        <w:rPr>
          <w:rStyle w:val="CharSDivText"/>
        </w:rPr>
        <w:t>Camping site fees</w:t>
      </w:r>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p>
    <w:p>
      <w:pPr>
        <w:pStyle w:val="yFootnoteheading"/>
      </w:pPr>
      <w:r>
        <w:tab/>
        <w:t>[Heading inserted in Gazette 29 Sep 2006 p. 4329.]</w:t>
      </w:r>
    </w:p>
    <w:tbl>
      <w:tblPr>
        <w:tblW w:w="0" w:type="auto"/>
        <w:tblInd w:w="8" w:type="dxa"/>
        <w:tblLayout w:type="fixed"/>
        <w:tblCellMar>
          <w:left w:w="8" w:type="dxa"/>
          <w:right w:w="8" w:type="dxa"/>
        </w:tblCellMar>
        <w:tblLook w:val="0000" w:firstRow="0" w:lastRow="0" w:firstColumn="0" w:lastColumn="0" w:noHBand="0" w:noVBand="0"/>
      </w:tblPr>
      <w:tblGrid>
        <w:gridCol w:w="720"/>
        <w:gridCol w:w="5280"/>
        <w:gridCol w:w="804"/>
      </w:tblGrid>
      <w:tr>
        <w:trPr>
          <w:cantSplit/>
          <w:tblHeader/>
        </w:trPr>
        <w:tc>
          <w:tcPr>
            <w:tcW w:w="720" w:type="dxa"/>
          </w:tcPr>
          <w:p>
            <w:pPr>
              <w:pStyle w:val="yTable"/>
            </w:pPr>
          </w:p>
        </w:tc>
        <w:tc>
          <w:tcPr>
            <w:tcW w:w="5280" w:type="dxa"/>
          </w:tcPr>
          <w:p>
            <w:pPr>
              <w:pStyle w:val="yTable"/>
              <w:tabs>
                <w:tab w:val="left" w:pos="134"/>
                <w:tab w:val="left" w:pos="276"/>
                <w:tab w:val="left" w:pos="2260"/>
              </w:tabs>
            </w:pPr>
          </w:p>
        </w:tc>
        <w:tc>
          <w:tcPr>
            <w:tcW w:w="804" w:type="dxa"/>
          </w:tcPr>
          <w:p>
            <w:pPr>
              <w:pStyle w:val="yTable"/>
              <w:jc w:val="center"/>
              <w:rPr>
                <w:b/>
              </w:rPr>
            </w:pPr>
            <w:r>
              <w:rPr>
                <w:b/>
              </w:rPr>
              <w:t>Fee per night</w:t>
            </w:r>
            <w:r>
              <w:rPr>
                <w:b/>
              </w:rPr>
              <w:br/>
              <w:t>$</w:t>
            </w:r>
          </w:p>
        </w:tc>
      </w:tr>
      <w:tr>
        <w:trPr>
          <w:cantSplit/>
        </w:trPr>
        <w:tc>
          <w:tcPr>
            <w:tcW w:w="720" w:type="dxa"/>
          </w:tcPr>
          <w:p>
            <w:pPr>
              <w:pStyle w:val="yTable"/>
            </w:pPr>
            <w:r>
              <w:t>1.</w:t>
            </w:r>
          </w:p>
        </w:tc>
        <w:tc>
          <w:tcPr>
            <w:tcW w:w="5280" w:type="dxa"/>
          </w:tcPr>
          <w:p>
            <w:pPr>
              <w:pStyle w:val="yTable"/>
              <w:tabs>
                <w:tab w:val="left" w:pos="276"/>
                <w:tab w:val="left" w:pos="418"/>
                <w:tab w:val="left" w:pos="2260"/>
              </w:tabs>
            </w:pPr>
            <w:r>
              <w:t xml:space="preserve">Fee for site with no ablutions or showers — </w:t>
            </w:r>
          </w:p>
          <w:p>
            <w:pPr>
              <w:pStyle w:val="yTable"/>
              <w:tabs>
                <w:tab w:val="left" w:pos="276"/>
                <w:tab w:val="left" w:pos="418"/>
                <w:tab w:val="left" w:pos="2260"/>
              </w:tabs>
              <w:spacing w:before="0"/>
            </w:pPr>
            <w:r>
              <w:tab/>
              <w:t>each person 16 years of age or over</w:t>
            </w:r>
          </w:p>
          <w:p>
            <w:pPr>
              <w:pStyle w:val="yTable"/>
              <w:tabs>
                <w:tab w:val="left" w:pos="276"/>
                <w:tab w:val="left" w:pos="418"/>
                <w:tab w:val="left" w:pos="2260"/>
              </w:tabs>
              <w:spacing w:before="0"/>
            </w:pPr>
            <w:r>
              <w:tab/>
              <w:t>each person 16 years of age or over who holds a</w:t>
            </w:r>
            <w:r>
              <w:br/>
            </w:r>
            <w:r>
              <w:tab/>
            </w:r>
            <w:r>
              <w:tab/>
              <w:t>concession card</w:t>
            </w:r>
          </w:p>
          <w:p>
            <w:pPr>
              <w:pStyle w:val="yTable"/>
              <w:tabs>
                <w:tab w:val="left" w:pos="276"/>
                <w:tab w:val="left" w:pos="418"/>
                <w:tab w:val="left" w:pos="2260"/>
              </w:tabs>
              <w:spacing w:before="0"/>
            </w:pPr>
            <w:r>
              <w:tab/>
              <w:t>each person of more than 5 and less than 16 years of age</w:t>
            </w:r>
          </w:p>
        </w:tc>
        <w:tc>
          <w:tcPr>
            <w:tcW w:w="804" w:type="dxa"/>
          </w:tcPr>
          <w:p>
            <w:pPr>
              <w:pStyle w:val="yTable"/>
              <w:jc w:val="right"/>
            </w:pPr>
            <w:r>
              <w:br/>
              <w:t>6.50</w:t>
            </w:r>
            <w:r>
              <w:br/>
            </w:r>
            <w:r>
              <w:br/>
              <w:t>4.50</w:t>
            </w:r>
            <w:r>
              <w:br/>
              <w:t>2.00</w:t>
            </w:r>
          </w:p>
        </w:tc>
      </w:tr>
      <w:tr>
        <w:trPr>
          <w:cantSplit/>
        </w:trPr>
        <w:tc>
          <w:tcPr>
            <w:tcW w:w="720" w:type="dxa"/>
          </w:tcPr>
          <w:p>
            <w:pPr>
              <w:pStyle w:val="yTable"/>
            </w:pPr>
            <w:r>
              <w:t>2.</w:t>
            </w:r>
          </w:p>
        </w:tc>
        <w:tc>
          <w:tcPr>
            <w:tcW w:w="5280" w:type="dxa"/>
          </w:tcPr>
          <w:p>
            <w:pPr>
              <w:pStyle w:val="yTable"/>
              <w:tabs>
                <w:tab w:val="left" w:pos="276"/>
                <w:tab w:val="left" w:pos="559"/>
              </w:tabs>
            </w:pPr>
            <w:r>
              <w:t xml:space="preserve">Fee for site with facilities including ablutions or showers — </w:t>
            </w:r>
          </w:p>
          <w:p>
            <w:pPr>
              <w:pStyle w:val="yTable"/>
              <w:tabs>
                <w:tab w:val="left" w:pos="276"/>
                <w:tab w:val="left" w:pos="559"/>
              </w:tabs>
              <w:spacing w:before="0"/>
            </w:pPr>
            <w:r>
              <w:tab/>
              <w:t>each person 16 years of age or over</w:t>
            </w:r>
          </w:p>
          <w:p>
            <w:pPr>
              <w:pStyle w:val="yTable"/>
              <w:tabs>
                <w:tab w:val="left" w:pos="276"/>
                <w:tab w:val="left" w:pos="418"/>
              </w:tabs>
              <w:spacing w:before="0"/>
            </w:pPr>
            <w:r>
              <w:tab/>
              <w:t xml:space="preserve">each person 16 years of age or over who holds a </w:t>
            </w:r>
            <w:r>
              <w:tab/>
            </w:r>
            <w:r>
              <w:tab/>
              <w:t>concession card</w:t>
            </w:r>
          </w:p>
          <w:p>
            <w:pPr>
              <w:pStyle w:val="yTable"/>
              <w:tabs>
                <w:tab w:val="left" w:pos="276"/>
                <w:tab w:val="left" w:pos="418"/>
              </w:tabs>
              <w:spacing w:before="0"/>
            </w:pPr>
            <w:r>
              <w:tab/>
              <w:t>each person of more than 5 and less than 16 years of age</w:t>
            </w:r>
          </w:p>
        </w:tc>
        <w:tc>
          <w:tcPr>
            <w:tcW w:w="804" w:type="dxa"/>
          </w:tcPr>
          <w:p>
            <w:pPr>
              <w:pStyle w:val="yTable"/>
              <w:jc w:val="right"/>
            </w:pPr>
            <w:r>
              <w:br/>
            </w:r>
            <w:r>
              <w:br/>
              <w:t>7.50</w:t>
            </w:r>
            <w:r>
              <w:br/>
            </w:r>
            <w:r>
              <w:br/>
              <w:t>5.50</w:t>
            </w:r>
            <w:r>
              <w:br/>
              <w:t>2.00</w:t>
            </w:r>
          </w:p>
        </w:tc>
      </w:tr>
      <w:tr>
        <w:tc>
          <w:tcPr>
            <w:tcW w:w="720" w:type="dxa"/>
          </w:tcPr>
          <w:p>
            <w:pPr>
              <w:pStyle w:val="yTable"/>
            </w:pPr>
            <w:r>
              <w:t>3.</w:t>
            </w:r>
          </w:p>
        </w:tc>
        <w:tc>
          <w:tcPr>
            <w:tcW w:w="5280" w:type="dxa"/>
          </w:tcPr>
          <w:p>
            <w:pPr>
              <w:pStyle w:val="yTable"/>
              <w:tabs>
                <w:tab w:val="left" w:pos="276"/>
                <w:tab w:val="left" w:pos="418"/>
              </w:tabs>
            </w:pPr>
            <w:r>
              <w:t xml:space="preserve">Fee for site in Windjana Gorge National Park, Purnululu National Park or King Leopold Range Conservation Park — </w:t>
            </w:r>
          </w:p>
          <w:p>
            <w:pPr>
              <w:pStyle w:val="yTable"/>
              <w:tabs>
                <w:tab w:val="left" w:pos="276"/>
                <w:tab w:val="left" w:pos="418"/>
              </w:tabs>
              <w:spacing w:before="0"/>
            </w:pPr>
            <w:r>
              <w:tab/>
              <w:t>each person 16 years of age or over</w:t>
            </w:r>
          </w:p>
          <w:p>
            <w:pPr>
              <w:pStyle w:val="yTable"/>
              <w:tabs>
                <w:tab w:val="left" w:pos="276"/>
                <w:tab w:val="left" w:pos="418"/>
              </w:tabs>
              <w:spacing w:before="0"/>
            </w:pPr>
            <w:r>
              <w:tab/>
              <w:t>each person of more than 5 and less than 16 years of age</w:t>
            </w:r>
          </w:p>
        </w:tc>
        <w:tc>
          <w:tcPr>
            <w:tcW w:w="804" w:type="dxa"/>
          </w:tcPr>
          <w:p>
            <w:pPr>
              <w:pStyle w:val="yTable"/>
              <w:spacing w:before="40"/>
              <w:jc w:val="right"/>
            </w:pPr>
            <w:r>
              <w:br/>
            </w:r>
            <w:r>
              <w:br/>
            </w:r>
            <w:r>
              <w:br/>
              <w:t>10.00</w:t>
            </w:r>
            <w:r>
              <w:br/>
              <w:t>2.00</w:t>
            </w:r>
          </w:p>
        </w:tc>
      </w:tr>
    </w:tbl>
    <w:p>
      <w:pPr>
        <w:pStyle w:val="yFootnotesection"/>
        <w:rPr>
          <w:rStyle w:val="CharPartNo"/>
        </w:rPr>
      </w:pPr>
      <w:r>
        <w:tab/>
        <w:t>[Division 6 inserted in Gazette 29 Sep 2006 p. 4329.]</w:t>
      </w:r>
    </w:p>
    <w:p>
      <w:pPr>
        <w:pStyle w:val="yHeading3"/>
      </w:pPr>
      <w:bookmarkStart w:id="1956" w:name="_Toc189456645"/>
      <w:bookmarkStart w:id="1957" w:name="_Toc524422656"/>
      <w:bookmarkStart w:id="1958" w:name="_Toc147312456"/>
      <w:bookmarkStart w:id="1959" w:name="_Toc147631313"/>
      <w:bookmarkStart w:id="1960" w:name="_Toc147633647"/>
      <w:bookmarkStart w:id="1961" w:name="_Toc147907091"/>
      <w:bookmarkStart w:id="1962" w:name="_Toc147907490"/>
      <w:bookmarkStart w:id="1963" w:name="_Toc149010043"/>
      <w:bookmarkStart w:id="1964" w:name="_Toc149010397"/>
      <w:bookmarkStart w:id="1965" w:name="_Toc149010565"/>
      <w:bookmarkStart w:id="1966" w:name="_Toc149016442"/>
      <w:bookmarkStart w:id="1967" w:name="_Toc149039185"/>
      <w:bookmarkStart w:id="1968" w:name="_Toc149039906"/>
      <w:bookmarkStart w:id="1969" w:name="_Toc150315517"/>
      <w:bookmarkStart w:id="1970" w:name="_Toc150315728"/>
      <w:bookmarkStart w:id="1971" w:name="_Toc160272938"/>
      <w:bookmarkStart w:id="1972" w:name="_Toc160332886"/>
      <w:bookmarkStart w:id="1973" w:name="_Toc170207912"/>
      <w:r>
        <w:rPr>
          <w:rStyle w:val="CharSDivNo"/>
        </w:rPr>
        <w:t>Division 7</w:t>
      </w:r>
      <w:r>
        <w:rPr>
          <w:rStyle w:val="CharDivNo"/>
        </w:rPr>
        <w:t xml:space="preserve"> </w:t>
      </w:r>
      <w:r>
        <w:t>—</w:t>
      </w:r>
      <w:r>
        <w:rPr>
          <w:rStyle w:val="CharDivText"/>
        </w:rPr>
        <w:t xml:space="preserve"> </w:t>
      </w:r>
      <w:r>
        <w:rPr>
          <w:rStyle w:val="CharSDivText"/>
        </w:rPr>
        <w:t>Cave entrance fees</w:t>
      </w:r>
      <w:bookmarkEnd w:id="1956"/>
      <w:bookmarkEnd w:id="1957"/>
      <w:bookmarkEnd w:id="1954"/>
      <w:bookmarkEnd w:id="1955"/>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p>
    <w:tbl>
      <w:tblPr>
        <w:tblW w:w="0" w:type="auto"/>
        <w:tblInd w:w="8" w:type="dxa"/>
        <w:tblLayout w:type="fixed"/>
        <w:tblCellMar>
          <w:left w:w="8" w:type="dxa"/>
          <w:right w:w="8" w:type="dxa"/>
        </w:tblCellMar>
        <w:tblLook w:val="0000" w:firstRow="0" w:lastRow="0" w:firstColumn="0" w:lastColumn="0" w:noHBand="0" w:noVBand="0"/>
      </w:tblPr>
      <w:tblGrid>
        <w:gridCol w:w="709"/>
        <w:gridCol w:w="5387"/>
        <w:gridCol w:w="708"/>
      </w:tblGrid>
      <w:tr>
        <w:tc>
          <w:tcPr>
            <w:tcW w:w="709" w:type="dxa"/>
          </w:tcPr>
          <w:p>
            <w:pPr>
              <w:pStyle w:val="yTable"/>
              <w:keepNext/>
              <w:keepLines/>
            </w:pPr>
          </w:p>
        </w:tc>
        <w:tc>
          <w:tcPr>
            <w:tcW w:w="5387" w:type="dxa"/>
          </w:tcPr>
          <w:p>
            <w:pPr>
              <w:pStyle w:val="yTable"/>
              <w:keepNext/>
              <w:keepLines/>
            </w:pPr>
          </w:p>
        </w:tc>
        <w:tc>
          <w:tcPr>
            <w:tcW w:w="708" w:type="dxa"/>
          </w:tcPr>
          <w:p>
            <w:pPr>
              <w:pStyle w:val="yTable"/>
              <w:keepNext/>
              <w:keepLines/>
              <w:jc w:val="center"/>
              <w:rPr>
                <w:b/>
              </w:rPr>
            </w:pPr>
            <w:r>
              <w:rPr>
                <w:b/>
              </w:rPr>
              <w:t>$</w:t>
            </w:r>
          </w:p>
        </w:tc>
      </w:tr>
      <w:tr>
        <w:tc>
          <w:tcPr>
            <w:tcW w:w="709" w:type="dxa"/>
          </w:tcPr>
          <w:p>
            <w:pPr>
              <w:pStyle w:val="yTable"/>
              <w:keepNext/>
              <w:keepLines/>
            </w:pPr>
            <w:r>
              <w:t>1.</w:t>
            </w:r>
          </w:p>
        </w:tc>
        <w:tc>
          <w:tcPr>
            <w:tcW w:w="5387" w:type="dxa"/>
          </w:tcPr>
          <w:p>
            <w:pPr>
              <w:pStyle w:val="yTable"/>
              <w:tabs>
                <w:tab w:val="left" w:pos="276"/>
                <w:tab w:val="left" w:pos="418"/>
              </w:tabs>
            </w:pPr>
            <w:r>
              <w:t xml:space="preserve">Crystal Cave, Yanchep National Park — </w:t>
            </w:r>
          </w:p>
          <w:p>
            <w:pPr>
              <w:pStyle w:val="yTable"/>
              <w:tabs>
                <w:tab w:val="left" w:pos="276"/>
                <w:tab w:val="left" w:pos="418"/>
              </w:tabs>
              <w:spacing w:before="0"/>
            </w:pPr>
            <w:r>
              <w:tab/>
              <w:t>each person 16 years of age or over</w:t>
            </w:r>
          </w:p>
          <w:p>
            <w:pPr>
              <w:pStyle w:val="yTable"/>
              <w:tabs>
                <w:tab w:val="left" w:pos="276"/>
                <w:tab w:val="left" w:pos="418"/>
              </w:tabs>
              <w:spacing w:before="0"/>
            </w:pPr>
            <w:r>
              <w:tab/>
              <w:t>each person of more than 5 and less than 16 years of age</w:t>
            </w:r>
          </w:p>
          <w:p>
            <w:pPr>
              <w:pStyle w:val="yTable"/>
              <w:tabs>
                <w:tab w:val="left" w:pos="276"/>
                <w:tab w:val="left" w:pos="418"/>
              </w:tabs>
              <w:spacing w:before="0"/>
            </w:pPr>
            <w:r>
              <w:tab/>
              <w:t>a family (2 adults and 2 children of more than 5 and less</w:t>
            </w:r>
            <w:r>
              <w:tab/>
            </w:r>
            <w:r>
              <w:tab/>
              <w:t>than 16 years of age)</w:t>
            </w:r>
            <w:r>
              <w:br/>
            </w:r>
            <w:r>
              <w:tab/>
              <w:t>each person who holds a concession card</w:t>
            </w:r>
          </w:p>
        </w:tc>
        <w:tc>
          <w:tcPr>
            <w:tcW w:w="708" w:type="dxa"/>
          </w:tcPr>
          <w:p>
            <w:pPr>
              <w:pStyle w:val="yTable"/>
              <w:keepNext/>
              <w:keepLines/>
              <w:tabs>
                <w:tab w:val="decimal" w:pos="275"/>
              </w:tabs>
              <w:spacing w:before="40"/>
            </w:pPr>
            <w:r>
              <w:br/>
              <w:t>6.50</w:t>
            </w:r>
            <w:r>
              <w:br/>
              <w:t>3.50</w:t>
            </w:r>
            <w:r>
              <w:br/>
            </w:r>
            <w:r>
              <w:br/>
              <w:t>15.50</w:t>
            </w:r>
          </w:p>
          <w:p>
            <w:pPr>
              <w:pStyle w:val="yTable"/>
              <w:keepNext/>
              <w:keepLines/>
              <w:tabs>
                <w:tab w:val="decimal" w:pos="275"/>
              </w:tabs>
              <w:spacing w:before="20"/>
            </w:pPr>
            <w:r>
              <w:t>5.00</w:t>
            </w:r>
          </w:p>
        </w:tc>
      </w:tr>
      <w:tr>
        <w:tc>
          <w:tcPr>
            <w:tcW w:w="709" w:type="dxa"/>
          </w:tcPr>
          <w:p>
            <w:pPr>
              <w:pStyle w:val="yTable"/>
            </w:pPr>
            <w:r>
              <w:t>2.</w:t>
            </w:r>
          </w:p>
        </w:tc>
        <w:tc>
          <w:tcPr>
            <w:tcW w:w="5387" w:type="dxa"/>
          </w:tcPr>
          <w:p>
            <w:pPr>
              <w:pStyle w:val="yTable"/>
              <w:tabs>
                <w:tab w:val="left" w:pos="276"/>
                <w:tab w:val="left" w:pos="418"/>
              </w:tabs>
            </w:pPr>
            <w:r>
              <w:t>Calgardup and Giants Caves, Leeuwin</w:t>
            </w:r>
            <w:r>
              <w:noBreakHyphen/>
              <w:t>Naturaliste National Park —</w:t>
            </w:r>
          </w:p>
          <w:p>
            <w:pPr>
              <w:pStyle w:val="yTable"/>
              <w:tabs>
                <w:tab w:val="left" w:pos="276"/>
                <w:tab w:val="left" w:pos="418"/>
              </w:tabs>
              <w:spacing w:before="0"/>
            </w:pPr>
            <w:r>
              <w:tab/>
              <w:t>each person 16 years of age or over</w:t>
            </w:r>
            <w:r>
              <w:br/>
            </w:r>
            <w:r>
              <w:tab/>
              <w:t>each person of more than 5 and less than 16 years of age</w:t>
            </w:r>
          </w:p>
          <w:p>
            <w:pPr>
              <w:pStyle w:val="yTable"/>
              <w:tabs>
                <w:tab w:val="left" w:pos="276"/>
                <w:tab w:val="left" w:pos="418"/>
              </w:tabs>
              <w:spacing w:before="0"/>
            </w:pPr>
            <w:r>
              <w:tab/>
              <w:t xml:space="preserve">a family (2 adults and 2 children of more than 5 and less </w:t>
            </w:r>
            <w:r>
              <w:tab/>
            </w:r>
            <w:r>
              <w:tab/>
              <w:t>than 16 years of age)</w:t>
            </w:r>
          </w:p>
          <w:p>
            <w:pPr>
              <w:pStyle w:val="yTable"/>
              <w:tabs>
                <w:tab w:val="left" w:pos="276"/>
                <w:tab w:val="left" w:pos="418"/>
              </w:tabs>
              <w:spacing w:before="0"/>
            </w:pPr>
            <w:r>
              <w:tab/>
              <w:t>each person who holds a concession card</w:t>
            </w:r>
          </w:p>
        </w:tc>
        <w:tc>
          <w:tcPr>
            <w:tcW w:w="708" w:type="dxa"/>
          </w:tcPr>
          <w:p>
            <w:pPr>
              <w:pStyle w:val="yTable"/>
              <w:tabs>
                <w:tab w:val="decimal" w:pos="275"/>
              </w:tabs>
              <w:spacing w:before="40"/>
            </w:pPr>
            <w:r>
              <w:br/>
            </w:r>
            <w:r>
              <w:br/>
              <w:t>12.00</w:t>
            </w:r>
            <w:r>
              <w:br/>
              <w:t>6.00</w:t>
            </w:r>
            <w:r>
              <w:br/>
            </w:r>
            <w:r>
              <w:br/>
              <w:t>35.00</w:t>
            </w:r>
            <w:r>
              <w:br/>
              <w:t>10.00</w:t>
            </w:r>
          </w:p>
        </w:tc>
      </w:tr>
    </w:tbl>
    <w:p>
      <w:pPr>
        <w:pStyle w:val="yFootnotesection"/>
        <w:rPr>
          <w:rStyle w:val="CharPartNo"/>
        </w:rPr>
      </w:pPr>
      <w:bookmarkStart w:id="1974" w:name="_Toc8119206"/>
      <w:bookmarkStart w:id="1975" w:name="_Toc78685346"/>
      <w:r>
        <w:tab/>
        <w:t>[Division 7 amended in Gazette 29 Sep 2006 p. 4329</w:t>
      </w:r>
      <w:r>
        <w:noBreakHyphen/>
        <w:t>30.]</w:t>
      </w:r>
    </w:p>
    <w:p>
      <w:pPr>
        <w:pStyle w:val="yHeading3"/>
      </w:pPr>
      <w:bookmarkStart w:id="1976" w:name="_Toc189456646"/>
      <w:bookmarkStart w:id="1977" w:name="_Toc524422657"/>
      <w:bookmarkStart w:id="1978" w:name="_Toc147312457"/>
      <w:bookmarkStart w:id="1979" w:name="_Toc147631314"/>
      <w:bookmarkStart w:id="1980" w:name="_Toc147633648"/>
      <w:bookmarkStart w:id="1981" w:name="_Toc147907092"/>
      <w:bookmarkStart w:id="1982" w:name="_Toc147907491"/>
      <w:bookmarkStart w:id="1983" w:name="_Toc149010044"/>
      <w:bookmarkStart w:id="1984" w:name="_Toc149010398"/>
      <w:bookmarkStart w:id="1985" w:name="_Toc149010566"/>
      <w:bookmarkStart w:id="1986" w:name="_Toc149016443"/>
      <w:bookmarkStart w:id="1987" w:name="_Toc149039186"/>
      <w:bookmarkStart w:id="1988" w:name="_Toc149039907"/>
      <w:bookmarkStart w:id="1989" w:name="_Toc150315518"/>
      <w:bookmarkStart w:id="1990" w:name="_Toc150315729"/>
      <w:bookmarkStart w:id="1991" w:name="_Toc160272939"/>
      <w:bookmarkStart w:id="1992" w:name="_Toc160332887"/>
      <w:bookmarkStart w:id="1993" w:name="_Toc170207913"/>
      <w:r>
        <w:rPr>
          <w:rStyle w:val="CharSDivNo"/>
        </w:rPr>
        <w:t>Division 8</w:t>
      </w:r>
      <w:r>
        <w:rPr>
          <w:rStyle w:val="CharDivNo"/>
        </w:rPr>
        <w:t xml:space="preserve"> </w:t>
      </w:r>
      <w:r>
        <w:t>—</w:t>
      </w:r>
      <w:r>
        <w:rPr>
          <w:rStyle w:val="CharDivText"/>
        </w:rPr>
        <w:t xml:space="preserve"> </w:t>
      </w:r>
      <w:r>
        <w:rPr>
          <w:rStyle w:val="CharSDivText"/>
        </w:rPr>
        <w:t>Licence and permit fees</w:t>
      </w:r>
      <w:bookmarkEnd w:id="1976"/>
      <w:bookmarkEnd w:id="1977"/>
      <w:bookmarkEnd w:id="1974"/>
      <w:bookmarkEnd w:id="1975"/>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p>
    <w:tbl>
      <w:tblPr>
        <w:tblW w:w="0" w:type="auto"/>
        <w:tblInd w:w="8" w:type="dxa"/>
        <w:tblLayout w:type="fixed"/>
        <w:tblCellMar>
          <w:left w:w="8" w:type="dxa"/>
          <w:right w:w="8" w:type="dxa"/>
        </w:tblCellMar>
        <w:tblLook w:val="0000" w:firstRow="0" w:lastRow="0" w:firstColumn="0" w:lastColumn="0" w:noHBand="0" w:noVBand="0"/>
      </w:tblPr>
      <w:tblGrid>
        <w:gridCol w:w="709"/>
        <w:gridCol w:w="5387"/>
        <w:gridCol w:w="708"/>
      </w:tblGrid>
      <w:tr>
        <w:tc>
          <w:tcPr>
            <w:tcW w:w="709" w:type="dxa"/>
          </w:tcPr>
          <w:p>
            <w:pPr>
              <w:pStyle w:val="yTable"/>
              <w:keepNext/>
              <w:keepLines/>
            </w:pPr>
          </w:p>
        </w:tc>
        <w:tc>
          <w:tcPr>
            <w:tcW w:w="5387" w:type="dxa"/>
          </w:tcPr>
          <w:p>
            <w:pPr>
              <w:pStyle w:val="yTable"/>
              <w:keepNext/>
              <w:keepLines/>
            </w:pPr>
          </w:p>
        </w:tc>
        <w:tc>
          <w:tcPr>
            <w:tcW w:w="708" w:type="dxa"/>
          </w:tcPr>
          <w:p>
            <w:pPr>
              <w:pStyle w:val="yTable"/>
              <w:keepNext/>
              <w:keepLines/>
              <w:jc w:val="center"/>
              <w:rPr>
                <w:b/>
              </w:rPr>
            </w:pPr>
            <w:r>
              <w:rPr>
                <w:b/>
              </w:rPr>
              <w:t>$</w:t>
            </w:r>
          </w:p>
        </w:tc>
      </w:tr>
      <w:tr>
        <w:tc>
          <w:tcPr>
            <w:tcW w:w="709" w:type="dxa"/>
          </w:tcPr>
          <w:p>
            <w:pPr>
              <w:pStyle w:val="yTable"/>
              <w:keepNext/>
              <w:keepLines/>
            </w:pPr>
            <w:r>
              <w:t>1.</w:t>
            </w:r>
          </w:p>
        </w:tc>
        <w:tc>
          <w:tcPr>
            <w:tcW w:w="5387" w:type="dxa"/>
          </w:tcPr>
          <w:p>
            <w:pPr>
              <w:pStyle w:val="yTable"/>
              <w:keepNext/>
              <w:keepLines/>
            </w:pPr>
            <w:r>
              <w:t>Application for cave permit per person per half</w:t>
            </w:r>
            <w:r>
              <w:noBreakHyphen/>
              <w:t>day (r. 49)</w:t>
            </w:r>
          </w:p>
        </w:tc>
        <w:tc>
          <w:tcPr>
            <w:tcW w:w="708" w:type="dxa"/>
          </w:tcPr>
          <w:p>
            <w:pPr>
              <w:pStyle w:val="yTable"/>
              <w:keepNext/>
              <w:keepLines/>
              <w:tabs>
                <w:tab w:val="decimal" w:pos="275"/>
              </w:tabs>
            </w:pPr>
            <w:r>
              <w:t>4.00</w:t>
            </w:r>
          </w:p>
        </w:tc>
      </w:tr>
      <w:tr>
        <w:tc>
          <w:tcPr>
            <w:tcW w:w="709" w:type="dxa"/>
          </w:tcPr>
          <w:p>
            <w:pPr>
              <w:pStyle w:val="yTable"/>
              <w:keepNext/>
              <w:keepLines/>
            </w:pPr>
            <w:r>
              <w:t>2.</w:t>
            </w:r>
          </w:p>
        </w:tc>
        <w:tc>
          <w:tcPr>
            <w:tcW w:w="5387" w:type="dxa"/>
          </w:tcPr>
          <w:p>
            <w:pPr>
              <w:pStyle w:val="yTable"/>
              <w:keepNext/>
              <w:keepLines/>
            </w:pPr>
            <w:r>
              <w:t xml:space="preserve">Application for scientific purposes licence (r. </w:t>
            </w:r>
            <w:bookmarkStart w:id="1994" w:name="_Hlt4904838"/>
            <w:r>
              <w:t>83</w:t>
            </w:r>
            <w:bookmarkEnd w:id="1994"/>
            <w:r>
              <w:t>)</w:t>
            </w:r>
          </w:p>
        </w:tc>
        <w:tc>
          <w:tcPr>
            <w:tcW w:w="708" w:type="dxa"/>
          </w:tcPr>
          <w:p>
            <w:pPr>
              <w:pStyle w:val="yTable"/>
              <w:keepNext/>
              <w:keepLines/>
              <w:tabs>
                <w:tab w:val="decimal" w:pos="275"/>
              </w:tabs>
            </w:pPr>
            <w:r>
              <w:t>25.00</w:t>
            </w:r>
          </w:p>
        </w:tc>
      </w:tr>
      <w:tr>
        <w:tc>
          <w:tcPr>
            <w:tcW w:w="709" w:type="dxa"/>
          </w:tcPr>
          <w:p>
            <w:pPr>
              <w:pStyle w:val="yTable"/>
              <w:keepNext/>
              <w:keepLines/>
            </w:pPr>
            <w:r>
              <w:t>3.</w:t>
            </w:r>
          </w:p>
        </w:tc>
        <w:tc>
          <w:tcPr>
            <w:tcW w:w="5387" w:type="dxa"/>
          </w:tcPr>
          <w:p>
            <w:pPr>
              <w:pStyle w:val="yTable"/>
              <w:keepNext/>
              <w:keepLines/>
            </w:pPr>
            <w:r>
              <w:t xml:space="preserve">Application for renewal of scientific purposes licence (r. </w:t>
            </w:r>
            <w:bookmarkStart w:id="1995" w:name="_Hlt4904863"/>
            <w:r>
              <w:t>92</w:t>
            </w:r>
            <w:bookmarkEnd w:id="1995"/>
            <w:r>
              <w:t>)</w:t>
            </w:r>
          </w:p>
        </w:tc>
        <w:tc>
          <w:tcPr>
            <w:tcW w:w="708" w:type="dxa"/>
            <w:vAlign w:val="bottom"/>
          </w:tcPr>
          <w:p>
            <w:pPr>
              <w:pStyle w:val="yTable"/>
              <w:keepNext/>
              <w:keepLines/>
              <w:tabs>
                <w:tab w:val="decimal" w:pos="275"/>
              </w:tabs>
            </w:pPr>
            <w:r>
              <w:t>25.00</w:t>
            </w:r>
          </w:p>
        </w:tc>
      </w:tr>
      <w:tr>
        <w:tc>
          <w:tcPr>
            <w:tcW w:w="709" w:type="dxa"/>
          </w:tcPr>
          <w:p>
            <w:pPr>
              <w:pStyle w:val="yTable"/>
              <w:keepNext/>
              <w:keepLines/>
            </w:pPr>
            <w:r>
              <w:t>4.</w:t>
            </w:r>
          </w:p>
        </w:tc>
        <w:tc>
          <w:tcPr>
            <w:tcW w:w="5387" w:type="dxa"/>
          </w:tcPr>
          <w:p>
            <w:pPr>
              <w:pStyle w:val="yTable"/>
              <w:keepNext/>
              <w:keepLines/>
            </w:pPr>
            <w:r>
              <w:t>Application for commercial operations licence (r. 83)</w:t>
            </w:r>
          </w:p>
        </w:tc>
        <w:tc>
          <w:tcPr>
            <w:tcW w:w="708" w:type="dxa"/>
          </w:tcPr>
          <w:p>
            <w:pPr>
              <w:pStyle w:val="yTable"/>
              <w:keepNext/>
              <w:keepLines/>
              <w:tabs>
                <w:tab w:val="decimal" w:pos="275"/>
              </w:tabs>
            </w:pPr>
            <w:r>
              <w:t>50.00</w:t>
            </w:r>
          </w:p>
        </w:tc>
      </w:tr>
      <w:tr>
        <w:tc>
          <w:tcPr>
            <w:tcW w:w="709" w:type="dxa"/>
          </w:tcPr>
          <w:p>
            <w:pPr>
              <w:pStyle w:val="yTable"/>
            </w:pPr>
            <w:r>
              <w:t>5.</w:t>
            </w:r>
          </w:p>
        </w:tc>
        <w:tc>
          <w:tcPr>
            <w:tcW w:w="5387" w:type="dxa"/>
          </w:tcPr>
          <w:p>
            <w:pPr>
              <w:pStyle w:val="yTable"/>
            </w:pPr>
            <w:r>
              <w:t>Application for renewal of commercial operations licence (r. 97)</w:t>
            </w:r>
          </w:p>
        </w:tc>
        <w:tc>
          <w:tcPr>
            <w:tcW w:w="708" w:type="dxa"/>
            <w:vAlign w:val="bottom"/>
          </w:tcPr>
          <w:p>
            <w:pPr>
              <w:pStyle w:val="yTable"/>
              <w:tabs>
                <w:tab w:val="decimal" w:pos="275"/>
              </w:tabs>
            </w:pPr>
            <w:r>
              <w:t>50.00</w:t>
            </w:r>
          </w:p>
        </w:tc>
      </w:tr>
    </w:tbl>
    <w:p>
      <w:pPr>
        <w:pStyle w:val="yFootnotesection"/>
        <w:rPr>
          <w:rStyle w:val="CharSDivNo"/>
        </w:rPr>
      </w:pPr>
      <w:bookmarkStart w:id="1996" w:name="_Toc144717760"/>
      <w:bookmarkStart w:id="1997" w:name="_Toc144717834"/>
      <w:bookmarkStart w:id="1998" w:name="_Toc144719321"/>
      <w:bookmarkStart w:id="1999" w:name="_Toc144719633"/>
      <w:bookmarkStart w:id="2000" w:name="_Toc144777607"/>
      <w:bookmarkStart w:id="2001" w:name="_Toc144788101"/>
      <w:bookmarkStart w:id="2002" w:name="_Toc144788175"/>
      <w:bookmarkStart w:id="2003" w:name="_Toc144788897"/>
      <w:bookmarkStart w:id="2004" w:name="_Toc144795895"/>
      <w:bookmarkStart w:id="2005" w:name="_Toc144796026"/>
      <w:bookmarkStart w:id="2006" w:name="_Toc144796894"/>
      <w:bookmarkStart w:id="2007" w:name="_Toc144797085"/>
      <w:bookmarkStart w:id="2008" w:name="_Toc144797159"/>
      <w:bookmarkStart w:id="2009" w:name="_Toc144798352"/>
      <w:bookmarkStart w:id="2010" w:name="_Toc144799115"/>
      <w:bookmarkStart w:id="2011" w:name="_Toc144804055"/>
      <w:bookmarkStart w:id="2012" w:name="_Toc144804141"/>
      <w:bookmarkStart w:id="2013" w:name="_Toc144804597"/>
      <w:bookmarkStart w:id="2014" w:name="_Toc144873643"/>
      <w:bookmarkStart w:id="2015" w:name="_Toc144873809"/>
      <w:bookmarkStart w:id="2016" w:name="_Toc144873883"/>
      <w:bookmarkStart w:id="2017" w:name="_Toc144874300"/>
      <w:bookmarkStart w:id="2018" w:name="_Toc8119207"/>
      <w:bookmarkStart w:id="2019" w:name="_Toc78685347"/>
      <w:r>
        <w:tab/>
        <w:t>[Division 8 amended in Gazette 29 Sep 2006 p. 4330.]</w:t>
      </w:r>
    </w:p>
    <w:p>
      <w:pPr>
        <w:pStyle w:val="yHeading3"/>
      </w:pPr>
      <w:bookmarkStart w:id="2020" w:name="_Toc189456647"/>
      <w:bookmarkStart w:id="2021" w:name="_Toc524422658"/>
      <w:bookmarkStart w:id="2022" w:name="_Toc147312458"/>
      <w:bookmarkStart w:id="2023" w:name="_Toc147631315"/>
      <w:bookmarkStart w:id="2024" w:name="_Toc147633649"/>
      <w:bookmarkStart w:id="2025" w:name="_Toc147907093"/>
      <w:bookmarkStart w:id="2026" w:name="_Toc147907492"/>
      <w:bookmarkStart w:id="2027" w:name="_Toc149010045"/>
      <w:bookmarkStart w:id="2028" w:name="_Toc149010399"/>
      <w:bookmarkStart w:id="2029" w:name="_Toc149010567"/>
      <w:bookmarkStart w:id="2030" w:name="_Toc149016444"/>
      <w:bookmarkStart w:id="2031" w:name="_Toc149039187"/>
      <w:bookmarkStart w:id="2032" w:name="_Toc149039908"/>
      <w:bookmarkStart w:id="2033" w:name="_Toc150315519"/>
      <w:bookmarkStart w:id="2034" w:name="_Toc150315730"/>
      <w:bookmarkStart w:id="2035" w:name="_Toc160272940"/>
      <w:bookmarkStart w:id="2036" w:name="_Toc160332888"/>
      <w:bookmarkStart w:id="2037" w:name="_Toc170207914"/>
      <w:r>
        <w:rPr>
          <w:rStyle w:val="CharSDivNo"/>
        </w:rPr>
        <w:t>Division 9</w:t>
      </w:r>
      <w:r>
        <w:t> — </w:t>
      </w:r>
      <w:r>
        <w:rPr>
          <w:rStyle w:val="CharSDivText"/>
        </w:rPr>
        <w:t>Fees for abseiling</w:t>
      </w:r>
      <w:bookmarkEnd w:id="2020"/>
      <w:bookmarkEnd w:id="2021"/>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p>
    <w:p>
      <w:pPr>
        <w:pStyle w:val="yFootnoteheading"/>
      </w:pPr>
      <w:r>
        <w:tab/>
        <w:t>[Heading inserted in Gazette 29 Sep 2006 p. 4330.]</w:t>
      </w:r>
    </w:p>
    <w:tbl>
      <w:tblPr>
        <w:tblW w:w="0" w:type="auto"/>
        <w:tblInd w:w="8" w:type="dxa"/>
        <w:tblLayout w:type="fixed"/>
        <w:tblCellMar>
          <w:left w:w="8" w:type="dxa"/>
          <w:right w:w="8" w:type="dxa"/>
        </w:tblCellMar>
        <w:tblLook w:val="0000" w:firstRow="0" w:lastRow="0" w:firstColumn="0" w:lastColumn="0" w:noHBand="0" w:noVBand="0"/>
      </w:tblPr>
      <w:tblGrid>
        <w:gridCol w:w="720"/>
        <w:gridCol w:w="5376"/>
        <w:gridCol w:w="708"/>
      </w:tblGrid>
      <w:tr>
        <w:trPr>
          <w:cantSplit/>
        </w:trPr>
        <w:tc>
          <w:tcPr>
            <w:tcW w:w="720" w:type="dxa"/>
          </w:tcPr>
          <w:p>
            <w:pPr>
              <w:pStyle w:val="yTable"/>
              <w:rPr>
                <w:lang w:val="en-US"/>
              </w:rPr>
            </w:pPr>
          </w:p>
        </w:tc>
        <w:tc>
          <w:tcPr>
            <w:tcW w:w="5376" w:type="dxa"/>
          </w:tcPr>
          <w:p>
            <w:pPr>
              <w:pStyle w:val="yTable"/>
            </w:pPr>
          </w:p>
        </w:tc>
        <w:tc>
          <w:tcPr>
            <w:tcW w:w="708" w:type="dxa"/>
          </w:tcPr>
          <w:p>
            <w:pPr>
              <w:pStyle w:val="yTable"/>
              <w:jc w:val="center"/>
              <w:rPr>
                <w:b/>
              </w:rPr>
            </w:pPr>
            <w:r>
              <w:rPr>
                <w:b/>
              </w:rPr>
              <w:t>$</w:t>
            </w:r>
          </w:p>
        </w:tc>
      </w:tr>
      <w:tr>
        <w:trPr>
          <w:cantSplit/>
        </w:trPr>
        <w:tc>
          <w:tcPr>
            <w:tcW w:w="720" w:type="dxa"/>
          </w:tcPr>
          <w:p>
            <w:pPr>
              <w:pStyle w:val="yTable"/>
            </w:pPr>
            <w:r>
              <w:t>1.</w:t>
            </w:r>
          </w:p>
        </w:tc>
        <w:tc>
          <w:tcPr>
            <w:tcW w:w="5376" w:type="dxa"/>
          </w:tcPr>
          <w:p>
            <w:pPr>
              <w:pStyle w:val="yTable"/>
              <w:tabs>
                <w:tab w:val="left" w:pos="134"/>
                <w:tab w:val="left" w:pos="276"/>
              </w:tabs>
              <w:spacing w:before="0"/>
            </w:pPr>
            <w:r>
              <w:t>Fee for abseiling other than at Willyabrup Cliffs (r. 102A)</w:t>
            </w:r>
          </w:p>
          <w:p>
            <w:pPr>
              <w:pStyle w:val="yTable"/>
              <w:tabs>
                <w:tab w:val="left" w:pos="134"/>
                <w:tab w:val="left" w:pos="276"/>
              </w:tabs>
              <w:spacing w:before="0"/>
            </w:pPr>
            <w:r>
              <w:tab/>
              <w:t>per person per half</w:t>
            </w:r>
            <w:r>
              <w:noBreakHyphen/>
              <w:t>day</w:t>
            </w:r>
          </w:p>
        </w:tc>
        <w:tc>
          <w:tcPr>
            <w:tcW w:w="708" w:type="dxa"/>
          </w:tcPr>
          <w:p>
            <w:pPr>
              <w:pStyle w:val="yTable"/>
              <w:tabs>
                <w:tab w:val="decimal" w:pos="275"/>
              </w:tabs>
            </w:pPr>
            <w:r>
              <w:br/>
              <w:t>6.00</w:t>
            </w:r>
          </w:p>
        </w:tc>
      </w:tr>
      <w:tr>
        <w:trPr>
          <w:cantSplit/>
        </w:trPr>
        <w:tc>
          <w:tcPr>
            <w:tcW w:w="720" w:type="dxa"/>
          </w:tcPr>
          <w:p>
            <w:pPr>
              <w:pStyle w:val="yTable"/>
            </w:pPr>
            <w:r>
              <w:t>2.</w:t>
            </w:r>
          </w:p>
        </w:tc>
        <w:tc>
          <w:tcPr>
            <w:tcW w:w="5376" w:type="dxa"/>
          </w:tcPr>
          <w:p>
            <w:pPr>
              <w:pStyle w:val="yTable"/>
              <w:tabs>
                <w:tab w:val="left" w:pos="134"/>
                <w:tab w:val="left" w:pos="276"/>
              </w:tabs>
            </w:pPr>
            <w:r>
              <w:t>Fee for abseiling at Willyabrup Cliffs (r. 102A)</w:t>
            </w:r>
          </w:p>
          <w:p>
            <w:pPr>
              <w:pStyle w:val="yTable"/>
              <w:tabs>
                <w:tab w:val="left" w:pos="134"/>
                <w:tab w:val="left" w:pos="276"/>
              </w:tabs>
              <w:spacing w:before="0"/>
            </w:pPr>
            <w:r>
              <w:tab/>
              <w:t>per person per day or part day</w:t>
            </w:r>
          </w:p>
        </w:tc>
        <w:tc>
          <w:tcPr>
            <w:tcW w:w="708" w:type="dxa"/>
          </w:tcPr>
          <w:p>
            <w:pPr>
              <w:pStyle w:val="yTable"/>
              <w:tabs>
                <w:tab w:val="decimal" w:pos="275"/>
              </w:tabs>
            </w:pPr>
            <w:r>
              <w:br/>
              <w:t>6.00</w:t>
            </w:r>
          </w:p>
        </w:tc>
      </w:tr>
    </w:tbl>
    <w:p>
      <w:pPr>
        <w:pStyle w:val="yFootnotesection"/>
      </w:pPr>
      <w:r>
        <w:tab/>
        <w:t>[Division 9 inserted in Gazette 29 Sep 2006 p. 4330.]</w:t>
      </w:r>
    </w:p>
    <w:p>
      <w:pPr>
        <w:pStyle w:val="yScheduleHeading"/>
      </w:pPr>
      <w:bookmarkStart w:id="2038" w:name="_Toc189456648"/>
      <w:bookmarkStart w:id="2039" w:name="_Toc524422659"/>
      <w:bookmarkStart w:id="2040" w:name="_Toc147312459"/>
      <w:bookmarkStart w:id="2041" w:name="_Toc147631316"/>
      <w:bookmarkStart w:id="2042" w:name="_Toc147633650"/>
      <w:bookmarkStart w:id="2043" w:name="_Toc147907094"/>
      <w:bookmarkStart w:id="2044" w:name="_Toc147907493"/>
      <w:bookmarkStart w:id="2045" w:name="_Toc149010046"/>
      <w:bookmarkStart w:id="2046" w:name="_Toc149010400"/>
      <w:bookmarkStart w:id="2047" w:name="_Toc149010568"/>
      <w:bookmarkStart w:id="2048" w:name="_Toc149016445"/>
      <w:bookmarkStart w:id="2049" w:name="_Toc149039188"/>
      <w:bookmarkStart w:id="2050" w:name="_Toc149039909"/>
      <w:bookmarkStart w:id="2051" w:name="_Toc150315520"/>
      <w:bookmarkStart w:id="2052" w:name="_Toc150315731"/>
      <w:bookmarkStart w:id="2053" w:name="_Toc160272941"/>
      <w:bookmarkStart w:id="2054" w:name="_Toc160332889"/>
      <w:bookmarkStart w:id="2055" w:name="_Toc170207915"/>
      <w:r>
        <w:rPr>
          <w:rStyle w:val="CharSchNo"/>
        </w:rPr>
        <w:t>Schedule 2</w:t>
      </w:r>
      <w:r>
        <w:t xml:space="preserve"> — </w:t>
      </w:r>
      <w:r>
        <w:rPr>
          <w:rStyle w:val="CharSchText"/>
        </w:rPr>
        <w:t>Offences to which modified penalties apply</w:t>
      </w:r>
      <w:bookmarkEnd w:id="2038"/>
      <w:bookmarkEnd w:id="2039"/>
      <w:bookmarkEnd w:id="2018"/>
      <w:bookmarkEnd w:id="201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p>
    <w:p>
      <w:pPr>
        <w:pStyle w:val="yShoulderClause"/>
      </w:pPr>
      <w:r>
        <w:t xml:space="preserve">[r. 112] </w:t>
      </w:r>
    </w:p>
    <w:p>
      <w:pPr>
        <w:pStyle w:val="yHeading3"/>
      </w:pPr>
      <w:bookmarkStart w:id="2056" w:name="_Toc189456649"/>
      <w:bookmarkStart w:id="2057" w:name="_Toc524422660"/>
      <w:bookmarkStart w:id="2058" w:name="_Toc8119208"/>
      <w:bookmarkStart w:id="2059" w:name="_Toc78685348"/>
      <w:bookmarkStart w:id="2060" w:name="_Toc147312460"/>
      <w:bookmarkStart w:id="2061" w:name="_Toc147631317"/>
      <w:bookmarkStart w:id="2062" w:name="_Toc147633651"/>
      <w:bookmarkStart w:id="2063" w:name="_Toc147907095"/>
      <w:bookmarkStart w:id="2064" w:name="_Toc147907494"/>
      <w:bookmarkStart w:id="2065" w:name="_Toc149010047"/>
      <w:bookmarkStart w:id="2066" w:name="_Toc149010401"/>
      <w:bookmarkStart w:id="2067" w:name="_Toc149010569"/>
      <w:bookmarkStart w:id="2068" w:name="_Toc149016446"/>
      <w:bookmarkStart w:id="2069" w:name="_Toc149039189"/>
      <w:bookmarkStart w:id="2070" w:name="_Toc149039910"/>
      <w:bookmarkStart w:id="2071" w:name="_Toc150315521"/>
      <w:bookmarkStart w:id="2072" w:name="_Toc150315732"/>
      <w:bookmarkStart w:id="2073" w:name="_Toc160272942"/>
      <w:bookmarkStart w:id="2074" w:name="_Toc160332890"/>
      <w:bookmarkStart w:id="2075" w:name="_Toc170207916"/>
      <w:r>
        <w:rPr>
          <w:rStyle w:val="CharSDivNo"/>
        </w:rPr>
        <w:t>Division 1</w:t>
      </w:r>
      <w:r>
        <w:rPr>
          <w:rStyle w:val="CharDivNo"/>
        </w:rPr>
        <w:t xml:space="preserve"> </w:t>
      </w:r>
      <w:r>
        <w:t xml:space="preserve">— </w:t>
      </w:r>
      <w:r>
        <w:rPr>
          <w:rStyle w:val="CharSDivText"/>
        </w:rPr>
        <w:t>Offences under the Act</w:t>
      </w:r>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p>
    <w:tbl>
      <w:tblPr>
        <w:tblW w:w="0" w:type="auto"/>
        <w:tblInd w:w="85" w:type="dxa"/>
        <w:tblLayout w:type="fixed"/>
        <w:tblCellMar>
          <w:left w:w="85" w:type="dxa"/>
          <w:right w:w="85" w:type="dxa"/>
        </w:tblCellMar>
        <w:tblLook w:val="0000" w:firstRow="0" w:lastRow="0" w:firstColumn="0" w:lastColumn="0" w:noHBand="0" w:noVBand="0"/>
      </w:tblPr>
      <w:tblGrid>
        <w:gridCol w:w="709"/>
        <w:gridCol w:w="1276"/>
        <w:gridCol w:w="3655"/>
        <w:gridCol w:w="1200"/>
      </w:tblGrid>
      <w:tr>
        <w:tc>
          <w:tcPr>
            <w:tcW w:w="709" w:type="dxa"/>
            <w:vAlign w:val="center"/>
          </w:tcPr>
          <w:p>
            <w:pPr>
              <w:pStyle w:val="yTable"/>
              <w:rPr>
                <w:b/>
              </w:rPr>
            </w:pPr>
          </w:p>
        </w:tc>
        <w:tc>
          <w:tcPr>
            <w:tcW w:w="1276" w:type="dxa"/>
          </w:tcPr>
          <w:p>
            <w:pPr>
              <w:pStyle w:val="yTable"/>
              <w:jc w:val="center"/>
              <w:rPr>
                <w:b/>
              </w:rPr>
            </w:pPr>
            <w:r>
              <w:rPr>
                <w:b/>
              </w:rPr>
              <w:t>Column 1</w:t>
            </w:r>
          </w:p>
        </w:tc>
        <w:tc>
          <w:tcPr>
            <w:tcW w:w="3655" w:type="dxa"/>
          </w:tcPr>
          <w:p>
            <w:pPr>
              <w:pStyle w:val="yTable"/>
              <w:jc w:val="center"/>
              <w:rPr>
                <w:b/>
              </w:rPr>
            </w:pPr>
            <w:r>
              <w:rPr>
                <w:b/>
              </w:rPr>
              <w:t>Column 2</w:t>
            </w:r>
          </w:p>
        </w:tc>
        <w:tc>
          <w:tcPr>
            <w:tcW w:w="1200" w:type="dxa"/>
          </w:tcPr>
          <w:p>
            <w:pPr>
              <w:pStyle w:val="yTable"/>
              <w:jc w:val="center"/>
              <w:rPr>
                <w:b/>
              </w:rPr>
            </w:pPr>
            <w:r>
              <w:rPr>
                <w:b/>
              </w:rPr>
              <w:t>Column 3</w:t>
            </w:r>
          </w:p>
        </w:tc>
      </w:tr>
      <w:tr>
        <w:tc>
          <w:tcPr>
            <w:tcW w:w="709" w:type="dxa"/>
            <w:vAlign w:val="center"/>
          </w:tcPr>
          <w:p>
            <w:pPr>
              <w:pStyle w:val="yTable"/>
              <w:rPr>
                <w:b/>
              </w:rPr>
            </w:pPr>
            <w:r>
              <w:rPr>
                <w:b/>
              </w:rPr>
              <w:t>Item No.</w:t>
            </w:r>
            <w:r>
              <w:rPr>
                <w:b/>
              </w:rPr>
              <w:br/>
            </w:r>
            <w:r>
              <w:rPr>
                <w:b/>
              </w:rPr>
              <w:br/>
            </w:r>
          </w:p>
        </w:tc>
        <w:tc>
          <w:tcPr>
            <w:tcW w:w="1276" w:type="dxa"/>
          </w:tcPr>
          <w:p>
            <w:pPr>
              <w:pStyle w:val="yTable"/>
              <w:jc w:val="center"/>
              <w:rPr>
                <w:b/>
              </w:rPr>
            </w:pPr>
            <w:r>
              <w:rPr>
                <w:b/>
              </w:rPr>
              <w:t>Section creating offence</w:t>
            </w:r>
          </w:p>
        </w:tc>
        <w:tc>
          <w:tcPr>
            <w:tcW w:w="3655"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c>
          <w:tcPr>
            <w:tcW w:w="709" w:type="dxa"/>
          </w:tcPr>
          <w:p>
            <w:pPr>
              <w:pStyle w:val="yTable"/>
            </w:pPr>
            <w:r>
              <w:t>1.</w:t>
            </w:r>
          </w:p>
        </w:tc>
        <w:tc>
          <w:tcPr>
            <w:tcW w:w="1276" w:type="dxa"/>
          </w:tcPr>
          <w:p>
            <w:pPr>
              <w:pStyle w:val="yTable"/>
            </w:pPr>
            <w:r>
              <w:t>101C</w:t>
            </w:r>
          </w:p>
        </w:tc>
        <w:tc>
          <w:tcPr>
            <w:tcW w:w="3655" w:type="dxa"/>
          </w:tcPr>
          <w:p>
            <w:pPr>
              <w:pStyle w:val="yTable"/>
            </w:pPr>
            <w:r>
              <w:t>Unlawfully taking flora or fauna in marine nature reserve, marine park or marine management area</w:t>
            </w:r>
          </w:p>
        </w:tc>
        <w:tc>
          <w:tcPr>
            <w:tcW w:w="1200" w:type="dxa"/>
            <w:vAlign w:val="bottom"/>
          </w:tcPr>
          <w:p>
            <w:pPr>
              <w:pStyle w:val="yTable"/>
              <w:jc w:val="center"/>
            </w:pPr>
            <w:r>
              <w:t>200</w:t>
            </w:r>
          </w:p>
        </w:tc>
      </w:tr>
      <w:tr>
        <w:trPr>
          <w:cantSplit/>
        </w:trPr>
        <w:tc>
          <w:tcPr>
            <w:tcW w:w="709" w:type="dxa"/>
          </w:tcPr>
          <w:p>
            <w:pPr>
              <w:pStyle w:val="yTable"/>
            </w:pPr>
            <w:bookmarkStart w:id="2076" w:name="_Toc8119209"/>
            <w:bookmarkStart w:id="2077" w:name="_Toc78685349"/>
            <w:r>
              <w:t>2.</w:t>
            </w:r>
          </w:p>
        </w:tc>
        <w:tc>
          <w:tcPr>
            <w:tcW w:w="1276" w:type="dxa"/>
          </w:tcPr>
          <w:p>
            <w:pPr>
              <w:pStyle w:val="yTable"/>
              <w:tabs>
                <w:tab w:val="decimal" w:pos="340"/>
              </w:tabs>
            </w:pPr>
            <w:r>
              <w:t>103(1)</w:t>
            </w:r>
          </w:p>
        </w:tc>
        <w:tc>
          <w:tcPr>
            <w:tcW w:w="3655" w:type="dxa"/>
          </w:tcPr>
          <w:p>
            <w:pPr>
              <w:pStyle w:val="yTable"/>
            </w:pPr>
            <w:r>
              <w:t>Unlawful taking of forest produce</w:t>
            </w:r>
          </w:p>
        </w:tc>
        <w:tc>
          <w:tcPr>
            <w:tcW w:w="1200" w:type="dxa"/>
            <w:vAlign w:val="bottom"/>
          </w:tcPr>
          <w:p>
            <w:pPr>
              <w:pStyle w:val="yTable"/>
              <w:jc w:val="center"/>
            </w:pPr>
            <w:r>
              <w:t>200</w:t>
            </w:r>
          </w:p>
        </w:tc>
      </w:tr>
      <w:tr>
        <w:trPr>
          <w:cantSplit/>
        </w:trPr>
        <w:tc>
          <w:tcPr>
            <w:tcW w:w="709" w:type="dxa"/>
          </w:tcPr>
          <w:p>
            <w:pPr>
              <w:pStyle w:val="yTable"/>
            </w:pPr>
            <w:r>
              <w:t>3.</w:t>
            </w:r>
          </w:p>
        </w:tc>
        <w:tc>
          <w:tcPr>
            <w:tcW w:w="1276" w:type="dxa"/>
          </w:tcPr>
          <w:p>
            <w:pPr>
              <w:pStyle w:val="yTable"/>
              <w:tabs>
                <w:tab w:val="decimal" w:pos="177"/>
              </w:tabs>
            </w:pPr>
            <w:r>
              <w:t>106</w:t>
            </w:r>
          </w:p>
        </w:tc>
        <w:tc>
          <w:tcPr>
            <w:tcW w:w="3655" w:type="dxa"/>
          </w:tcPr>
          <w:p>
            <w:pPr>
              <w:pStyle w:val="yTable"/>
            </w:pPr>
            <w:r>
              <w:t>Unlawful occupation of land</w:t>
            </w:r>
          </w:p>
        </w:tc>
        <w:tc>
          <w:tcPr>
            <w:tcW w:w="1200" w:type="dxa"/>
            <w:vAlign w:val="bottom"/>
          </w:tcPr>
          <w:p>
            <w:pPr>
              <w:pStyle w:val="yTable"/>
              <w:jc w:val="center"/>
            </w:pPr>
            <w:r>
              <w:t>200</w:t>
            </w:r>
          </w:p>
        </w:tc>
      </w:tr>
      <w:tr>
        <w:trPr>
          <w:cantSplit/>
        </w:trPr>
        <w:tc>
          <w:tcPr>
            <w:tcW w:w="709" w:type="dxa"/>
          </w:tcPr>
          <w:p>
            <w:pPr>
              <w:pStyle w:val="yTable"/>
            </w:pPr>
            <w:r>
              <w:t>4.</w:t>
            </w:r>
          </w:p>
        </w:tc>
        <w:tc>
          <w:tcPr>
            <w:tcW w:w="1276" w:type="dxa"/>
          </w:tcPr>
          <w:p>
            <w:pPr>
              <w:pStyle w:val="yTable"/>
              <w:tabs>
                <w:tab w:val="decimal" w:pos="340"/>
              </w:tabs>
            </w:pPr>
            <w:r>
              <w:t>107(b)</w:t>
            </w:r>
          </w:p>
        </w:tc>
        <w:tc>
          <w:tcPr>
            <w:tcW w:w="3655" w:type="dxa"/>
          </w:tcPr>
          <w:p>
            <w:pPr>
              <w:pStyle w:val="yTable"/>
            </w:pPr>
            <w:r>
              <w:t>Unlawfully altering signs etc.</w:t>
            </w:r>
          </w:p>
        </w:tc>
        <w:tc>
          <w:tcPr>
            <w:tcW w:w="1200" w:type="dxa"/>
            <w:vAlign w:val="bottom"/>
          </w:tcPr>
          <w:p>
            <w:pPr>
              <w:pStyle w:val="yTable"/>
              <w:jc w:val="center"/>
            </w:pPr>
            <w:r>
              <w:t>200</w:t>
            </w:r>
          </w:p>
        </w:tc>
      </w:tr>
      <w:tr>
        <w:trPr>
          <w:cantSplit/>
        </w:trPr>
        <w:tc>
          <w:tcPr>
            <w:tcW w:w="709" w:type="dxa"/>
          </w:tcPr>
          <w:p>
            <w:pPr>
              <w:pStyle w:val="yTable"/>
            </w:pPr>
            <w:r>
              <w:t>5.</w:t>
            </w:r>
          </w:p>
        </w:tc>
        <w:tc>
          <w:tcPr>
            <w:tcW w:w="1276" w:type="dxa"/>
          </w:tcPr>
          <w:p>
            <w:pPr>
              <w:pStyle w:val="yTable"/>
              <w:tabs>
                <w:tab w:val="decimal" w:pos="340"/>
              </w:tabs>
            </w:pPr>
            <w:r>
              <w:t>107(c)</w:t>
            </w:r>
          </w:p>
        </w:tc>
        <w:tc>
          <w:tcPr>
            <w:tcW w:w="3655" w:type="dxa"/>
          </w:tcPr>
          <w:p>
            <w:pPr>
              <w:pStyle w:val="yTable"/>
            </w:pPr>
            <w:r>
              <w:t>Damaging buildings etc.</w:t>
            </w:r>
          </w:p>
        </w:tc>
        <w:tc>
          <w:tcPr>
            <w:tcW w:w="1200" w:type="dxa"/>
            <w:vAlign w:val="bottom"/>
          </w:tcPr>
          <w:p>
            <w:pPr>
              <w:pStyle w:val="yTable"/>
              <w:jc w:val="center"/>
            </w:pPr>
            <w:r>
              <w:t>200</w:t>
            </w:r>
          </w:p>
        </w:tc>
      </w:tr>
      <w:tr>
        <w:trPr>
          <w:cantSplit/>
        </w:trPr>
        <w:tc>
          <w:tcPr>
            <w:tcW w:w="709" w:type="dxa"/>
          </w:tcPr>
          <w:p>
            <w:pPr>
              <w:pStyle w:val="yTable"/>
            </w:pPr>
            <w:r>
              <w:t>6.</w:t>
            </w:r>
          </w:p>
        </w:tc>
        <w:tc>
          <w:tcPr>
            <w:tcW w:w="1276" w:type="dxa"/>
          </w:tcPr>
          <w:p>
            <w:pPr>
              <w:pStyle w:val="yTable"/>
              <w:tabs>
                <w:tab w:val="decimal" w:pos="340"/>
              </w:tabs>
            </w:pPr>
            <w:r>
              <w:t>107(d)</w:t>
            </w:r>
          </w:p>
        </w:tc>
        <w:tc>
          <w:tcPr>
            <w:tcW w:w="3655" w:type="dxa"/>
          </w:tcPr>
          <w:p>
            <w:pPr>
              <w:pStyle w:val="yTable"/>
            </w:pPr>
            <w:r>
              <w:t>Destroying dams etc.</w:t>
            </w:r>
          </w:p>
        </w:tc>
        <w:tc>
          <w:tcPr>
            <w:tcW w:w="1200" w:type="dxa"/>
            <w:vAlign w:val="bottom"/>
          </w:tcPr>
          <w:p>
            <w:pPr>
              <w:pStyle w:val="yTable"/>
              <w:jc w:val="center"/>
            </w:pPr>
            <w:r>
              <w:t>200</w:t>
            </w:r>
          </w:p>
        </w:tc>
      </w:tr>
      <w:tr>
        <w:trPr>
          <w:cantSplit/>
        </w:trPr>
        <w:tc>
          <w:tcPr>
            <w:tcW w:w="709" w:type="dxa"/>
          </w:tcPr>
          <w:p>
            <w:pPr>
              <w:pStyle w:val="yTable"/>
            </w:pPr>
            <w:r>
              <w:t>7.</w:t>
            </w:r>
          </w:p>
        </w:tc>
        <w:tc>
          <w:tcPr>
            <w:tcW w:w="1276" w:type="dxa"/>
          </w:tcPr>
          <w:p>
            <w:pPr>
              <w:pStyle w:val="yTable"/>
              <w:tabs>
                <w:tab w:val="decimal" w:pos="340"/>
              </w:tabs>
            </w:pPr>
            <w:r>
              <w:t>107(i)</w:t>
            </w:r>
          </w:p>
        </w:tc>
        <w:tc>
          <w:tcPr>
            <w:tcW w:w="3655" w:type="dxa"/>
          </w:tcPr>
          <w:p>
            <w:pPr>
              <w:pStyle w:val="yTable"/>
            </w:pPr>
            <w:r>
              <w:t>Removing forest produce without paying</w:t>
            </w:r>
          </w:p>
        </w:tc>
        <w:tc>
          <w:tcPr>
            <w:tcW w:w="1200" w:type="dxa"/>
            <w:vAlign w:val="bottom"/>
          </w:tcPr>
          <w:p>
            <w:pPr>
              <w:pStyle w:val="yTable"/>
              <w:jc w:val="center"/>
            </w:pPr>
            <w:r>
              <w:t>200</w:t>
            </w:r>
          </w:p>
        </w:tc>
      </w:tr>
    </w:tbl>
    <w:p>
      <w:pPr>
        <w:pStyle w:val="yFootnotesection"/>
        <w:rPr>
          <w:rStyle w:val="CharPartNo"/>
        </w:rPr>
      </w:pPr>
      <w:r>
        <w:tab/>
        <w:t>[Division 1 amended in Gazette 29 Sep 2006 p. 4330</w:t>
      </w:r>
      <w:r>
        <w:noBreakHyphen/>
        <w:t>1.]</w:t>
      </w:r>
    </w:p>
    <w:p>
      <w:pPr>
        <w:pStyle w:val="yHeading3"/>
      </w:pPr>
      <w:bookmarkStart w:id="2078" w:name="_Toc189456650"/>
      <w:bookmarkStart w:id="2079" w:name="_Toc524422661"/>
      <w:bookmarkStart w:id="2080" w:name="_Toc147312461"/>
      <w:bookmarkStart w:id="2081" w:name="_Toc147631318"/>
      <w:bookmarkStart w:id="2082" w:name="_Toc147633652"/>
      <w:bookmarkStart w:id="2083" w:name="_Toc147907096"/>
      <w:bookmarkStart w:id="2084" w:name="_Toc147907495"/>
      <w:bookmarkStart w:id="2085" w:name="_Toc149010048"/>
      <w:bookmarkStart w:id="2086" w:name="_Toc149010402"/>
      <w:bookmarkStart w:id="2087" w:name="_Toc149010570"/>
      <w:bookmarkStart w:id="2088" w:name="_Toc149016447"/>
      <w:bookmarkStart w:id="2089" w:name="_Toc149039190"/>
      <w:bookmarkStart w:id="2090" w:name="_Toc149039911"/>
      <w:bookmarkStart w:id="2091" w:name="_Toc150315522"/>
      <w:bookmarkStart w:id="2092" w:name="_Toc150315733"/>
      <w:bookmarkStart w:id="2093" w:name="_Toc160272943"/>
      <w:bookmarkStart w:id="2094" w:name="_Toc160332891"/>
      <w:bookmarkStart w:id="2095" w:name="_Toc170207917"/>
      <w:r>
        <w:rPr>
          <w:rStyle w:val="CharSDivNo"/>
        </w:rPr>
        <w:t>Division 2</w:t>
      </w:r>
      <w:r>
        <w:rPr>
          <w:rStyle w:val="CharDivNo"/>
        </w:rPr>
        <w:t xml:space="preserve"> </w:t>
      </w:r>
      <w:r>
        <w:t>—</w:t>
      </w:r>
      <w:r>
        <w:rPr>
          <w:rStyle w:val="CharDivText"/>
        </w:rPr>
        <w:t xml:space="preserve"> </w:t>
      </w:r>
      <w:r>
        <w:rPr>
          <w:rStyle w:val="CharSDivText"/>
        </w:rPr>
        <w:t>Offences under these regulations</w:t>
      </w:r>
      <w:bookmarkEnd w:id="2078"/>
      <w:bookmarkEnd w:id="2079"/>
      <w:bookmarkEnd w:id="2076"/>
      <w:bookmarkEnd w:id="2077"/>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p>
    <w:tbl>
      <w:tblPr>
        <w:tblW w:w="0" w:type="auto"/>
        <w:tblInd w:w="85" w:type="dxa"/>
        <w:tblLayout w:type="fixed"/>
        <w:tblCellMar>
          <w:left w:w="85" w:type="dxa"/>
          <w:right w:w="85" w:type="dxa"/>
        </w:tblCellMar>
        <w:tblLook w:val="0000" w:firstRow="0" w:lastRow="0" w:firstColumn="0" w:lastColumn="0" w:noHBand="0" w:noVBand="0"/>
      </w:tblPr>
      <w:tblGrid>
        <w:gridCol w:w="710"/>
        <w:gridCol w:w="1211"/>
        <w:gridCol w:w="49"/>
        <w:gridCol w:w="3670"/>
        <w:gridCol w:w="1200"/>
      </w:tblGrid>
      <w:tr>
        <w:trPr>
          <w:cantSplit/>
          <w:trHeight w:val="240"/>
          <w:tblHeader/>
        </w:trPr>
        <w:tc>
          <w:tcPr>
            <w:tcW w:w="710" w:type="dxa"/>
            <w:vAlign w:val="center"/>
          </w:tcPr>
          <w:p>
            <w:pPr>
              <w:pStyle w:val="yTable"/>
              <w:jc w:val="center"/>
              <w:rPr>
                <w:b/>
              </w:rPr>
            </w:pPr>
          </w:p>
        </w:tc>
        <w:tc>
          <w:tcPr>
            <w:tcW w:w="1260" w:type="dxa"/>
            <w:gridSpan w:val="2"/>
            <w:vAlign w:val="center"/>
          </w:tcPr>
          <w:p>
            <w:pPr>
              <w:pStyle w:val="yTable"/>
              <w:rPr>
                <w:b/>
              </w:rPr>
            </w:pPr>
            <w:r>
              <w:rPr>
                <w:b/>
              </w:rPr>
              <w:t>Column 1</w:t>
            </w:r>
          </w:p>
        </w:tc>
        <w:tc>
          <w:tcPr>
            <w:tcW w:w="3670" w:type="dxa"/>
            <w:vAlign w:val="center"/>
          </w:tcPr>
          <w:p>
            <w:pPr>
              <w:pStyle w:val="yTable"/>
              <w:jc w:val="center"/>
              <w:rPr>
                <w:b/>
              </w:rPr>
            </w:pPr>
            <w:r>
              <w:rPr>
                <w:b/>
              </w:rPr>
              <w:t>Column 2</w:t>
            </w:r>
          </w:p>
        </w:tc>
        <w:tc>
          <w:tcPr>
            <w:tcW w:w="1200" w:type="dxa"/>
            <w:vAlign w:val="center"/>
          </w:tcPr>
          <w:p>
            <w:pPr>
              <w:pStyle w:val="yTable"/>
              <w:jc w:val="center"/>
              <w:rPr>
                <w:b/>
              </w:rPr>
            </w:pPr>
            <w:r>
              <w:rPr>
                <w:b/>
              </w:rPr>
              <w:t>Column 3</w:t>
            </w:r>
          </w:p>
        </w:tc>
      </w:tr>
      <w:tr>
        <w:trPr>
          <w:cantSplit/>
          <w:trHeight w:val="240"/>
          <w:tblHeader/>
        </w:trPr>
        <w:tc>
          <w:tcPr>
            <w:tcW w:w="710" w:type="dxa"/>
          </w:tcPr>
          <w:p>
            <w:pPr>
              <w:pStyle w:val="yTable"/>
              <w:rPr>
                <w:b/>
              </w:rPr>
            </w:pPr>
            <w:r>
              <w:rPr>
                <w:b/>
              </w:rPr>
              <w:t>Item No.</w:t>
            </w:r>
          </w:p>
          <w:p>
            <w:pPr>
              <w:pStyle w:val="yTable"/>
              <w:rPr>
                <w:b/>
              </w:rPr>
            </w:pPr>
          </w:p>
        </w:tc>
        <w:tc>
          <w:tcPr>
            <w:tcW w:w="1260" w:type="dxa"/>
            <w:gridSpan w:val="2"/>
          </w:tcPr>
          <w:p>
            <w:pPr>
              <w:pStyle w:val="yTable"/>
              <w:rPr>
                <w:b/>
              </w:rPr>
            </w:pPr>
            <w:r>
              <w:rPr>
                <w:b/>
              </w:rPr>
              <w:t>Regulation creating offence</w:t>
            </w:r>
          </w:p>
        </w:tc>
        <w:tc>
          <w:tcPr>
            <w:tcW w:w="367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rPr>
          <w:cantSplit/>
        </w:trPr>
        <w:tc>
          <w:tcPr>
            <w:tcW w:w="710" w:type="dxa"/>
          </w:tcPr>
          <w:p>
            <w:pPr>
              <w:pStyle w:val="yTable"/>
            </w:pPr>
            <w:r>
              <w:t>1.</w:t>
            </w:r>
          </w:p>
        </w:tc>
        <w:tc>
          <w:tcPr>
            <w:tcW w:w="1211" w:type="dxa"/>
          </w:tcPr>
          <w:p>
            <w:pPr>
              <w:pStyle w:val="yTable"/>
              <w:tabs>
                <w:tab w:val="decimal" w:pos="285"/>
              </w:tabs>
            </w:pPr>
            <w:r>
              <w:t>8(1)</w:t>
            </w:r>
          </w:p>
        </w:tc>
        <w:tc>
          <w:tcPr>
            <w:tcW w:w="3719" w:type="dxa"/>
            <w:gridSpan w:val="2"/>
          </w:tcPr>
          <w:p>
            <w:pPr>
              <w:pStyle w:val="yTable"/>
              <w:tabs>
                <w:tab w:val="left" w:pos="340"/>
              </w:tabs>
            </w:pPr>
            <w:r>
              <w:t>Taking flora or fauna</w:t>
            </w:r>
          </w:p>
        </w:tc>
        <w:tc>
          <w:tcPr>
            <w:tcW w:w="1200" w:type="dxa"/>
          </w:tcPr>
          <w:p>
            <w:pPr>
              <w:pStyle w:val="yTable"/>
              <w:tabs>
                <w:tab w:val="decimal" w:pos="766"/>
              </w:tabs>
              <w:rPr>
                <w:rFonts w:ascii="NewCenturySchlbk" w:hAnsi="NewCenturySchlbk"/>
                <w:b/>
                <w:i/>
                <w:sz w:val="19"/>
              </w:rPr>
            </w:pPr>
            <w:r>
              <w:t>200</w:t>
            </w:r>
          </w:p>
        </w:tc>
      </w:tr>
      <w:tr>
        <w:trPr>
          <w:cantSplit/>
          <w:trHeight w:val="360"/>
        </w:trPr>
        <w:tc>
          <w:tcPr>
            <w:tcW w:w="710" w:type="dxa"/>
          </w:tcPr>
          <w:p>
            <w:pPr>
              <w:pStyle w:val="yTable"/>
            </w:pPr>
            <w:r>
              <w:t>2.</w:t>
            </w:r>
          </w:p>
        </w:tc>
        <w:tc>
          <w:tcPr>
            <w:tcW w:w="1211" w:type="dxa"/>
          </w:tcPr>
          <w:p>
            <w:pPr>
              <w:pStyle w:val="yTable"/>
              <w:tabs>
                <w:tab w:val="decimal" w:pos="285"/>
              </w:tabs>
            </w:pPr>
            <w:r>
              <w:t>9(1)</w:t>
            </w:r>
          </w:p>
        </w:tc>
        <w:tc>
          <w:tcPr>
            <w:tcW w:w="3719" w:type="dxa"/>
            <w:gridSpan w:val="2"/>
          </w:tcPr>
          <w:p>
            <w:pPr>
              <w:pStyle w:val="yTable"/>
            </w:pPr>
            <w:r>
              <w:t>Fishing in restricted area</w:t>
            </w:r>
          </w:p>
        </w:tc>
        <w:tc>
          <w:tcPr>
            <w:tcW w:w="1200" w:type="dxa"/>
            <w:vAlign w:val="bottom"/>
          </w:tcPr>
          <w:p>
            <w:pPr>
              <w:pStyle w:val="yTable"/>
              <w:tabs>
                <w:tab w:val="decimal" w:pos="766"/>
              </w:tabs>
              <w:rPr>
                <w:rFonts w:ascii="NewCenturySchlbk" w:hAnsi="NewCenturySchlbk"/>
                <w:b/>
                <w:i/>
                <w:sz w:val="19"/>
              </w:rPr>
            </w:pPr>
            <w:r>
              <w:t>100</w:t>
            </w:r>
          </w:p>
        </w:tc>
      </w:tr>
      <w:tr>
        <w:trPr>
          <w:cantSplit/>
        </w:trPr>
        <w:tc>
          <w:tcPr>
            <w:tcW w:w="710" w:type="dxa"/>
          </w:tcPr>
          <w:p>
            <w:pPr>
              <w:pStyle w:val="yTable"/>
            </w:pPr>
            <w:r>
              <w:t>3.</w:t>
            </w:r>
          </w:p>
        </w:tc>
        <w:tc>
          <w:tcPr>
            <w:tcW w:w="1211" w:type="dxa"/>
          </w:tcPr>
          <w:p>
            <w:pPr>
              <w:pStyle w:val="yTable"/>
              <w:tabs>
                <w:tab w:val="decimal" w:pos="340"/>
              </w:tabs>
            </w:pPr>
            <w:r>
              <w:t>10</w:t>
            </w:r>
          </w:p>
        </w:tc>
        <w:tc>
          <w:tcPr>
            <w:tcW w:w="3719" w:type="dxa"/>
            <w:gridSpan w:val="2"/>
          </w:tcPr>
          <w:p>
            <w:pPr>
              <w:pStyle w:val="yTable"/>
            </w:pPr>
            <w:r>
              <w:t>Feeding fauna</w:t>
            </w:r>
          </w:p>
        </w:tc>
        <w:tc>
          <w:tcPr>
            <w:tcW w:w="1200" w:type="dxa"/>
          </w:tcPr>
          <w:p>
            <w:pPr>
              <w:pStyle w:val="yTable"/>
              <w:tabs>
                <w:tab w:val="decimal" w:pos="766"/>
              </w:tabs>
            </w:pPr>
            <w:r>
              <w:t>50</w:t>
            </w:r>
          </w:p>
        </w:tc>
      </w:tr>
      <w:tr>
        <w:trPr>
          <w:cantSplit/>
        </w:trPr>
        <w:tc>
          <w:tcPr>
            <w:tcW w:w="710" w:type="dxa"/>
          </w:tcPr>
          <w:p>
            <w:pPr>
              <w:pStyle w:val="yTable"/>
            </w:pPr>
            <w:r>
              <w:t>4.</w:t>
            </w:r>
          </w:p>
        </w:tc>
        <w:tc>
          <w:tcPr>
            <w:tcW w:w="1211" w:type="dxa"/>
          </w:tcPr>
          <w:p>
            <w:pPr>
              <w:pStyle w:val="yTable"/>
              <w:tabs>
                <w:tab w:val="decimal" w:pos="340"/>
              </w:tabs>
            </w:pPr>
            <w:bookmarkStart w:id="2096" w:name="_Hlt499689829"/>
            <w:r>
              <w:t>12(1)</w:t>
            </w:r>
            <w:bookmarkEnd w:id="2096"/>
          </w:p>
        </w:tc>
        <w:tc>
          <w:tcPr>
            <w:tcW w:w="3719" w:type="dxa"/>
            <w:gridSpan w:val="2"/>
          </w:tcPr>
          <w:p>
            <w:pPr>
              <w:pStyle w:val="yTable"/>
            </w:pPr>
            <w:r>
              <w:t>Failing to stow firearm or ammunition</w:t>
            </w:r>
          </w:p>
        </w:tc>
        <w:tc>
          <w:tcPr>
            <w:tcW w:w="1200" w:type="dxa"/>
            <w:vAlign w:val="bottom"/>
          </w:tcPr>
          <w:p>
            <w:pPr>
              <w:pStyle w:val="yTable"/>
              <w:tabs>
                <w:tab w:val="decimal" w:pos="766"/>
              </w:tabs>
            </w:pPr>
            <w:r>
              <w:t>100</w:t>
            </w:r>
          </w:p>
        </w:tc>
      </w:tr>
      <w:tr>
        <w:trPr>
          <w:cantSplit/>
        </w:trPr>
        <w:tc>
          <w:tcPr>
            <w:tcW w:w="710" w:type="dxa"/>
          </w:tcPr>
          <w:p>
            <w:pPr>
              <w:pStyle w:val="yTable"/>
            </w:pPr>
            <w:r>
              <w:t>5.</w:t>
            </w:r>
          </w:p>
        </w:tc>
        <w:tc>
          <w:tcPr>
            <w:tcW w:w="1211" w:type="dxa"/>
          </w:tcPr>
          <w:p>
            <w:pPr>
              <w:pStyle w:val="yTable"/>
              <w:tabs>
                <w:tab w:val="decimal" w:pos="340"/>
              </w:tabs>
            </w:pPr>
            <w:r>
              <w:t>12(2)</w:t>
            </w:r>
          </w:p>
        </w:tc>
        <w:tc>
          <w:tcPr>
            <w:tcW w:w="3719" w:type="dxa"/>
            <w:gridSpan w:val="2"/>
          </w:tcPr>
          <w:p>
            <w:pPr>
              <w:pStyle w:val="yTable"/>
            </w:pPr>
            <w:r>
              <w:t>Possession in restricted or classified area of unstowed spear, speargun or gidgie</w:t>
            </w:r>
          </w:p>
        </w:tc>
        <w:tc>
          <w:tcPr>
            <w:tcW w:w="1200" w:type="dxa"/>
            <w:vAlign w:val="bottom"/>
          </w:tcPr>
          <w:p>
            <w:pPr>
              <w:pStyle w:val="yTable"/>
              <w:tabs>
                <w:tab w:val="decimal" w:pos="766"/>
              </w:tabs>
            </w:pPr>
            <w:r>
              <w:t>100</w:t>
            </w:r>
          </w:p>
        </w:tc>
      </w:tr>
      <w:tr>
        <w:trPr>
          <w:cantSplit/>
        </w:trPr>
        <w:tc>
          <w:tcPr>
            <w:tcW w:w="710" w:type="dxa"/>
          </w:tcPr>
          <w:p>
            <w:pPr>
              <w:pStyle w:val="yTable"/>
            </w:pPr>
            <w:r>
              <w:t>6.</w:t>
            </w:r>
          </w:p>
        </w:tc>
        <w:tc>
          <w:tcPr>
            <w:tcW w:w="1211" w:type="dxa"/>
          </w:tcPr>
          <w:p>
            <w:pPr>
              <w:pStyle w:val="yTable"/>
              <w:tabs>
                <w:tab w:val="decimal" w:pos="340"/>
              </w:tabs>
            </w:pPr>
            <w:r>
              <w:t>12(3)</w:t>
            </w:r>
          </w:p>
        </w:tc>
        <w:tc>
          <w:tcPr>
            <w:tcW w:w="3719" w:type="dxa"/>
            <w:gridSpan w:val="2"/>
          </w:tcPr>
          <w:p>
            <w:pPr>
              <w:pStyle w:val="yTable"/>
            </w:pPr>
            <w:r>
              <w:t>Possession of restricted device</w:t>
            </w:r>
          </w:p>
        </w:tc>
        <w:tc>
          <w:tcPr>
            <w:tcW w:w="1200" w:type="dxa"/>
            <w:vAlign w:val="bottom"/>
          </w:tcPr>
          <w:p>
            <w:pPr>
              <w:pStyle w:val="yTable"/>
              <w:tabs>
                <w:tab w:val="decimal" w:pos="766"/>
              </w:tabs>
            </w:pPr>
            <w:r>
              <w:t>100</w:t>
            </w:r>
          </w:p>
        </w:tc>
      </w:tr>
      <w:tr>
        <w:trPr>
          <w:cantSplit/>
        </w:trPr>
        <w:tc>
          <w:tcPr>
            <w:tcW w:w="710" w:type="dxa"/>
          </w:tcPr>
          <w:p>
            <w:pPr>
              <w:pStyle w:val="yTable"/>
            </w:pPr>
            <w:r>
              <w:t>6a.</w:t>
            </w:r>
          </w:p>
        </w:tc>
        <w:tc>
          <w:tcPr>
            <w:tcW w:w="1211" w:type="dxa"/>
          </w:tcPr>
          <w:p>
            <w:pPr>
              <w:pStyle w:val="yTable"/>
              <w:tabs>
                <w:tab w:val="decimal" w:pos="340"/>
              </w:tabs>
            </w:pPr>
            <w:r>
              <w:t>12(3a)</w:t>
            </w:r>
          </w:p>
        </w:tc>
        <w:tc>
          <w:tcPr>
            <w:tcW w:w="3719" w:type="dxa"/>
            <w:gridSpan w:val="2"/>
          </w:tcPr>
          <w:p>
            <w:pPr>
              <w:pStyle w:val="yTable"/>
            </w:pPr>
            <w:r>
              <w:t>Unauthorised use of firearm, spear gun etc.</w:t>
            </w:r>
          </w:p>
        </w:tc>
        <w:tc>
          <w:tcPr>
            <w:tcW w:w="1200" w:type="dxa"/>
            <w:vAlign w:val="bottom"/>
          </w:tcPr>
          <w:p>
            <w:pPr>
              <w:pStyle w:val="yTable"/>
              <w:tabs>
                <w:tab w:val="decimal" w:pos="766"/>
              </w:tabs>
            </w:pPr>
            <w:r>
              <w:t>200</w:t>
            </w:r>
          </w:p>
        </w:tc>
      </w:tr>
      <w:tr>
        <w:trPr>
          <w:cantSplit/>
        </w:trPr>
        <w:tc>
          <w:tcPr>
            <w:tcW w:w="710" w:type="dxa"/>
          </w:tcPr>
          <w:p>
            <w:pPr>
              <w:pStyle w:val="yTable"/>
            </w:pPr>
            <w:r>
              <w:t>7.</w:t>
            </w:r>
          </w:p>
        </w:tc>
        <w:tc>
          <w:tcPr>
            <w:tcW w:w="1211" w:type="dxa"/>
          </w:tcPr>
          <w:p>
            <w:pPr>
              <w:pStyle w:val="yTable"/>
              <w:tabs>
                <w:tab w:val="decimal" w:pos="340"/>
              </w:tabs>
            </w:pPr>
            <w:r>
              <w:t>15</w:t>
            </w:r>
          </w:p>
        </w:tc>
        <w:tc>
          <w:tcPr>
            <w:tcW w:w="3719" w:type="dxa"/>
            <w:gridSpan w:val="2"/>
          </w:tcPr>
          <w:p>
            <w:pPr>
              <w:pStyle w:val="yTable"/>
            </w:pPr>
            <w:r>
              <w:t>Bringing animal on to, or allowing animal to enter or remain, on CALM land</w:t>
            </w:r>
          </w:p>
        </w:tc>
        <w:tc>
          <w:tcPr>
            <w:tcW w:w="1200" w:type="dxa"/>
            <w:vAlign w:val="bottom"/>
          </w:tcPr>
          <w:p>
            <w:pPr>
              <w:pStyle w:val="yTable"/>
              <w:tabs>
                <w:tab w:val="decimal" w:pos="766"/>
              </w:tabs>
            </w:pPr>
            <w:r>
              <w:t>50</w:t>
            </w:r>
          </w:p>
        </w:tc>
      </w:tr>
      <w:tr>
        <w:trPr>
          <w:cantSplit/>
        </w:trPr>
        <w:tc>
          <w:tcPr>
            <w:tcW w:w="710" w:type="dxa"/>
          </w:tcPr>
          <w:p>
            <w:pPr>
              <w:pStyle w:val="yTable"/>
            </w:pPr>
            <w:r>
              <w:t>8.</w:t>
            </w:r>
          </w:p>
        </w:tc>
        <w:tc>
          <w:tcPr>
            <w:tcW w:w="1211" w:type="dxa"/>
          </w:tcPr>
          <w:p>
            <w:pPr>
              <w:pStyle w:val="yTable"/>
              <w:tabs>
                <w:tab w:val="decimal" w:pos="340"/>
              </w:tabs>
              <w:rPr>
                <w:lang w:val="en-US"/>
              </w:rPr>
            </w:pPr>
            <w:r>
              <w:rPr>
                <w:lang w:val="en-US"/>
              </w:rPr>
              <w:t>16(2)</w:t>
            </w:r>
          </w:p>
        </w:tc>
        <w:tc>
          <w:tcPr>
            <w:tcW w:w="3719" w:type="dxa"/>
            <w:gridSpan w:val="2"/>
          </w:tcPr>
          <w:p>
            <w:pPr>
              <w:pStyle w:val="yTable"/>
            </w:pPr>
            <w:r>
              <w:t>Failing to control or manage dog in designated area</w:t>
            </w:r>
          </w:p>
        </w:tc>
        <w:tc>
          <w:tcPr>
            <w:tcW w:w="1200" w:type="dxa"/>
            <w:vAlign w:val="bottom"/>
          </w:tcPr>
          <w:p>
            <w:pPr>
              <w:pStyle w:val="yTable"/>
              <w:tabs>
                <w:tab w:val="decimal" w:pos="766"/>
              </w:tabs>
            </w:pPr>
            <w:r>
              <w:t>50</w:t>
            </w:r>
          </w:p>
        </w:tc>
      </w:tr>
      <w:tr>
        <w:trPr>
          <w:cantSplit/>
        </w:trPr>
        <w:tc>
          <w:tcPr>
            <w:tcW w:w="710" w:type="dxa"/>
          </w:tcPr>
          <w:p>
            <w:pPr>
              <w:pStyle w:val="yTable"/>
            </w:pPr>
            <w:r>
              <w:t>9.</w:t>
            </w:r>
          </w:p>
        </w:tc>
        <w:tc>
          <w:tcPr>
            <w:tcW w:w="1211" w:type="dxa"/>
          </w:tcPr>
          <w:p>
            <w:pPr>
              <w:pStyle w:val="yTable"/>
              <w:tabs>
                <w:tab w:val="decimal" w:pos="340"/>
              </w:tabs>
            </w:pPr>
            <w:r>
              <w:t>17(2)</w:t>
            </w:r>
          </w:p>
        </w:tc>
        <w:tc>
          <w:tcPr>
            <w:tcW w:w="3719" w:type="dxa"/>
            <w:gridSpan w:val="2"/>
          </w:tcPr>
          <w:p>
            <w:pPr>
              <w:pStyle w:val="yTable"/>
            </w:pPr>
            <w:r>
              <w:t>Failing to control or manage horse in designated area</w:t>
            </w:r>
          </w:p>
        </w:tc>
        <w:tc>
          <w:tcPr>
            <w:tcW w:w="1200" w:type="dxa"/>
            <w:vAlign w:val="bottom"/>
          </w:tcPr>
          <w:p>
            <w:pPr>
              <w:pStyle w:val="yTable"/>
              <w:tabs>
                <w:tab w:val="decimal" w:pos="766"/>
              </w:tabs>
            </w:pPr>
            <w:r>
              <w:t>50</w:t>
            </w:r>
          </w:p>
        </w:tc>
      </w:tr>
      <w:tr>
        <w:trPr>
          <w:cantSplit/>
        </w:trPr>
        <w:tc>
          <w:tcPr>
            <w:tcW w:w="710" w:type="dxa"/>
          </w:tcPr>
          <w:p>
            <w:pPr>
              <w:pStyle w:val="yTable"/>
            </w:pPr>
            <w:r>
              <w:t>10.</w:t>
            </w:r>
          </w:p>
        </w:tc>
        <w:tc>
          <w:tcPr>
            <w:tcW w:w="1211" w:type="dxa"/>
          </w:tcPr>
          <w:p>
            <w:pPr>
              <w:pStyle w:val="yTable"/>
              <w:tabs>
                <w:tab w:val="decimal" w:pos="340"/>
              </w:tabs>
            </w:pPr>
            <w:r>
              <w:t>18</w:t>
            </w:r>
          </w:p>
        </w:tc>
        <w:tc>
          <w:tcPr>
            <w:tcW w:w="3719" w:type="dxa"/>
            <w:gridSpan w:val="2"/>
          </w:tcPr>
          <w:p>
            <w:pPr>
              <w:pStyle w:val="yTable"/>
            </w:pPr>
            <w:r>
              <w:t>Hunting etc. non</w:t>
            </w:r>
            <w:r>
              <w:noBreakHyphen/>
              <w:t>indigenous animal</w:t>
            </w:r>
          </w:p>
        </w:tc>
        <w:tc>
          <w:tcPr>
            <w:tcW w:w="1200" w:type="dxa"/>
            <w:vAlign w:val="bottom"/>
          </w:tcPr>
          <w:p>
            <w:pPr>
              <w:pStyle w:val="yTable"/>
              <w:tabs>
                <w:tab w:val="decimal" w:pos="766"/>
              </w:tabs>
            </w:pPr>
            <w:r>
              <w:t>100</w:t>
            </w:r>
          </w:p>
        </w:tc>
      </w:tr>
      <w:tr>
        <w:trPr>
          <w:cantSplit/>
        </w:trPr>
        <w:tc>
          <w:tcPr>
            <w:tcW w:w="710" w:type="dxa"/>
          </w:tcPr>
          <w:p>
            <w:pPr>
              <w:pStyle w:val="yTable"/>
            </w:pPr>
            <w:r>
              <w:t>11.</w:t>
            </w:r>
          </w:p>
        </w:tc>
        <w:tc>
          <w:tcPr>
            <w:tcW w:w="1211" w:type="dxa"/>
          </w:tcPr>
          <w:p>
            <w:pPr>
              <w:pStyle w:val="yTable"/>
              <w:tabs>
                <w:tab w:val="decimal" w:pos="340"/>
              </w:tabs>
            </w:pPr>
            <w:r>
              <w:t>19</w:t>
            </w:r>
          </w:p>
        </w:tc>
        <w:tc>
          <w:tcPr>
            <w:tcW w:w="3719" w:type="dxa"/>
            <w:gridSpan w:val="2"/>
          </w:tcPr>
          <w:p>
            <w:pPr>
              <w:pStyle w:val="yTable"/>
            </w:pPr>
            <w:r>
              <w:t>Failing to remove animal</w:t>
            </w:r>
          </w:p>
        </w:tc>
        <w:tc>
          <w:tcPr>
            <w:tcW w:w="1200" w:type="dxa"/>
          </w:tcPr>
          <w:p>
            <w:pPr>
              <w:pStyle w:val="yTable"/>
              <w:tabs>
                <w:tab w:val="decimal" w:pos="766"/>
              </w:tabs>
            </w:pPr>
            <w:r>
              <w:t>50</w:t>
            </w:r>
          </w:p>
        </w:tc>
      </w:tr>
      <w:tr>
        <w:trPr>
          <w:cantSplit/>
        </w:trPr>
        <w:tc>
          <w:tcPr>
            <w:tcW w:w="710" w:type="dxa"/>
          </w:tcPr>
          <w:p>
            <w:pPr>
              <w:pStyle w:val="yTable"/>
            </w:pPr>
            <w:r>
              <w:t>12.</w:t>
            </w:r>
          </w:p>
        </w:tc>
        <w:tc>
          <w:tcPr>
            <w:tcW w:w="1211" w:type="dxa"/>
          </w:tcPr>
          <w:p>
            <w:pPr>
              <w:pStyle w:val="yTable"/>
              <w:tabs>
                <w:tab w:val="decimal" w:pos="340"/>
              </w:tabs>
            </w:pPr>
            <w:r>
              <w:t>21(1)</w:t>
            </w:r>
          </w:p>
        </w:tc>
        <w:tc>
          <w:tcPr>
            <w:tcW w:w="3719" w:type="dxa"/>
            <w:gridSpan w:val="2"/>
          </w:tcPr>
          <w:p>
            <w:pPr>
              <w:pStyle w:val="yTable"/>
            </w:pPr>
            <w:r>
              <w:t>Causing or allowing waste to be discharged or placed on CALM land</w:t>
            </w:r>
          </w:p>
        </w:tc>
        <w:tc>
          <w:tcPr>
            <w:tcW w:w="1200" w:type="dxa"/>
            <w:vAlign w:val="bottom"/>
          </w:tcPr>
          <w:p>
            <w:pPr>
              <w:pStyle w:val="yTable"/>
              <w:tabs>
                <w:tab w:val="decimal" w:pos="766"/>
              </w:tabs>
            </w:pPr>
            <w:r>
              <w:t>200</w:t>
            </w:r>
          </w:p>
        </w:tc>
      </w:tr>
      <w:tr>
        <w:trPr>
          <w:cantSplit/>
        </w:trPr>
        <w:tc>
          <w:tcPr>
            <w:tcW w:w="710" w:type="dxa"/>
          </w:tcPr>
          <w:p>
            <w:pPr>
              <w:pStyle w:val="yTable"/>
            </w:pPr>
            <w:r>
              <w:t>13.</w:t>
            </w:r>
          </w:p>
        </w:tc>
        <w:tc>
          <w:tcPr>
            <w:tcW w:w="1211" w:type="dxa"/>
          </w:tcPr>
          <w:p>
            <w:pPr>
              <w:pStyle w:val="yTable"/>
              <w:tabs>
                <w:tab w:val="decimal" w:pos="340"/>
              </w:tabs>
            </w:pPr>
            <w:r>
              <w:t>21(4)</w:t>
            </w:r>
          </w:p>
        </w:tc>
        <w:tc>
          <w:tcPr>
            <w:tcW w:w="3719" w:type="dxa"/>
            <w:gridSpan w:val="2"/>
          </w:tcPr>
          <w:p>
            <w:pPr>
              <w:pStyle w:val="yTable"/>
            </w:pPr>
            <w:r>
              <w:t>Failing to comply with conditions for discharging sewage in designated area</w:t>
            </w:r>
          </w:p>
        </w:tc>
        <w:tc>
          <w:tcPr>
            <w:tcW w:w="1200" w:type="dxa"/>
            <w:vAlign w:val="bottom"/>
          </w:tcPr>
          <w:p>
            <w:pPr>
              <w:pStyle w:val="yTable"/>
              <w:tabs>
                <w:tab w:val="decimal" w:pos="766"/>
              </w:tabs>
            </w:pPr>
            <w:r>
              <w:t>200</w:t>
            </w:r>
          </w:p>
        </w:tc>
      </w:tr>
      <w:tr>
        <w:trPr>
          <w:cantSplit/>
        </w:trPr>
        <w:tc>
          <w:tcPr>
            <w:tcW w:w="710" w:type="dxa"/>
          </w:tcPr>
          <w:p>
            <w:pPr>
              <w:pStyle w:val="yTable"/>
            </w:pPr>
            <w:r>
              <w:t>14.</w:t>
            </w:r>
          </w:p>
        </w:tc>
        <w:tc>
          <w:tcPr>
            <w:tcW w:w="1211" w:type="dxa"/>
          </w:tcPr>
          <w:p>
            <w:pPr>
              <w:pStyle w:val="yTable"/>
              <w:tabs>
                <w:tab w:val="decimal" w:pos="340"/>
              </w:tabs>
            </w:pPr>
            <w:r>
              <w:t>22</w:t>
            </w:r>
          </w:p>
        </w:tc>
        <w:tc>
          <w:tcPr>
            <w:tcW w:w="3719" w:type="dxa"/>
            <w:gridSpan w:val="2"/>
          </w:tcPr>
          <w:p>
            <w:pPr>
              <w:pStyle w:val="yTable"/>
            </w:pPr>
            <w:r>
              <w:t>Painting or treating vessels</w:t>
            </w:r>
          </w:p>
        </w:tc>
        <w:tc>
          <w:tcPr>
            <w:tcW w:w="1200" w:type="dxa"/>
            <w:vAlign w:val="bottom"/>
          </w:tcPr>
          <w:p>
            <w:pPr>
              <w:pStyle w:val="yTable"/>
              <w:tabs>
                <w:tab w:val="decimal" w:pos="766"/>
              </w:tabs>
            </w:pPr>
            <w:r>
              <w:t>200</w:t>
            </w:r>
          </w:p>
        </w:tc>
      </w:tr>
      <w:tr>
        <w:trPr>
          <w:cantSplit/>
        </w:trPr>
        <w:tc>
          <w:tcPr>
            <w:tcW w:w="710" w:type="dxa"/>
          </w:tcPr>
          <w:p>
            <w:pPr>
              <w:pStyle w:val="yTable"/>
            </w:pPr>
            <w:r>
              <w:t>15.</w:t>
            </w:r>
          </w:p>
        </w:tc>
        <w:tc>
          <w:tcPr>
            <w:tcW w:w="1211" w:type="dxa"/>
          </w:tcPr>
          <w:p>
            <w:pPr>
              <w:pStyle w:val="yTable"/>
              <w:tabs>
                <w:tab w:val="decimal" w:pos="340"/>
              </w:tabs>
            </w:pPr>
            <w:r>
              <w:t>23(1)</w:t>
            </w:r>
          </w:p>
        </w:tc>
        <w:tc>
          <w:tcPr>
            <w:tcW w:w="3719" w:type="dxa"/>
            <w:gridSpan w:val="2"/>
          </w:tcPr>
          <w:p>
            <w:pPr>
              <w:pStyle w:val="yTable"/>
            </w:pPr>
            <w:r>
              <w:t>Polluting water supply</w:t>
            </w:r>
          </w:p>
        </w:tc>
        <w:tc>
          <w:tcPr>
            <w:tcW w:w="1200" w:type="dxa"/>
            <w:vAlign w:val="bottom"/>
          </w:tcPr>
          <w:p>
            <w:pPr>
              <w:pStyle w:val="yTable"/>
              <w:tabs>
                <w:tab w:val="decimal" w:pos="766"/>
              </w:tabs>
            </w:pPr>
            <w:r>
              <w:t>200</w:t>
            </w:r>
          </w:p>
        </w:tc>
      </w:tr>
      <w:tr>
        <w:trPr>
          <w:cantSplit/>
        </w:trPr>
        <w:tc>
          <w:tcPr>
            <w:tcW w:w="710" w:type="dxa"/>
          </w:tcPr>
          <w:p>
            <w:pPr>
              <w:pStyle w:val="yTable"/>
            </w:pPr>
            <w:r>
              <w:t>16.</w:t>
            </w:r>
          </w:p>
        </w:tc>
        <w:tc>
          <w:tcPr>
            <w:tcW w:w="1211" w:type="dxa"/>
          </w:tcPr>
          <w:p>
            <w:pPr>
              <w:pStyle w:val="yTable"/>
              <w:tabs>
                <w:tab w:val="decimal" w:pos="340"/>
              </w:tabs>
            </w:pPr>
            <w:r>
              <w:t>23(2)</w:t>
            </w:r>
          </w:p>
        </w:tc>
        <w:tc>
          <w:tcPr>
            <w:tcW w:w="3719" w:type="dxa"/>
            <w:gridSpan w:val="2"/>
          </w:tcPr>
          <w:p>
            <w:pPr>
              <w:pStyle w:val="yTable"/>
            </w:pPr>
            <w:r>
              <w:t>Swimming etc. in reservoir or tank</w:t>
            </w:r>
          </w:p>
        </w:tc>
        <w:tc>
          <w:tcPr>
            <w:tcW w:w="1200" w:type="dxa"/>
            <w:vAlign w:val="bottom"/>
          </w:tcPr>
          <w:p>
            <w:pPr>
              <w:pStyle w:val="yTable"/>
              <w:tabs>
                <w:tab w:val="decimal" w:pos="766"/>
              </w:tabs>
            </w:pPr>
            <w:r>
              <w:t>50</w:t>
            </w:r>
          </w:p>
        </w:tc>
      </w:tr>
      <w:tr>
        <w:trPr>
          <w:cantSplit/>
        </w:trPr>
        <w:tc>
          <w:tcPr>
            <w:tcW w:w="710" w:type="dxa"/>
          </w:tcPr>
          <w:p>
            <w:pPr>
              <w:pStyle w:val="yTable"/>
            </w:pPr>
            <w:r>
              <w:t>17.</w:t>
            </w:r>
          </w:p>
        </w:tc>
        <w:tc>
          <w:tcPr>
            <w:tcW w:w="1211" w:type="dxa"/>
          </w:tcPr>
          <w:p>
            <w:pPr>
              <w:pStyle w:val="yTable"/>
              <w:tabs>
                <w:tab w:val="decimal" w:pos="340"/>
              </w:tabs>
            </w:pPr>
            <w:r>
              <w:t>24(1)</w:t>
            </w:r>
          </w:p>
        </w:tc>
        <w:tc>
          <w:tcPr>
            <w:tcW w:w="3719" w:type="dxa"/>
            <w:gridSpan w:val="2"/>
          </w:tcPr>
          <w:p>
            <w:pPr>
              <w:pStyle w:val="yTable"/>
            </w:pPr>
            <w:r>
              <w:t>Littering</w:t>
            </w:r>
          </w:p>
        </w:tc>
        <w:tc>
          <w:tcPr>
            <w:tcW w:w="1200" w:type="dxa"/>
            <w:vAlign w:val="bottom"/>
          </w:tcPr>
          <w:p>
            <w:pPr>
              <w:pStyle w:val="yTable"/>
              <w:tabs>
                <w:tab w:val="decimal" w:pos="766"/>
              </w:tabs>
            </w:pPr>
            <w:r>
              <w:t>100</w:t>
            </w:r>
          </w:p>
        </w:tc>
      </w:tr>
      <w:tr>
        <w:trPr>
          <w:cantSplit/>
        </w:trPr>
        <w:tc>
          <w:tcPr>
            <w:tcW w:w="710" w:type="dxa"/>
          </w:tcPr>
          <w:p>
            <w:pPr>
              <w:pStyle w:val="yTable"/>
            </w:pPr>
            <w:r>
              <w:t>18.</w:t>
            </w:r>
          </w:p>
        </w:tc>
        <w:tc>
          <w:tcPr>
            <w:tcW w:w="1211" w:type="dxa"/>
          </w:tcPr>
          <w:p>
            <w:pPr>
              <w:pStyle w:val="yTable"/>
              <w:tabs>
                <w:tab w:val="decimal" w:pos="340"/>
              </w:tabs>
            </w:pPr>
            <w:r>
              <w:t>26</w:t>
            </w:r>
          </w:p>
        </w:tc>
        <w:tc>
          <w:tcPr>
            <w:tcW w:w="3719" w:type="dxa"/>
            <w:gridSpan w:val="2"/>
          </w:tcPr>
          <w:p>
            <w:pPr>
              <w:pStyle w:val="yTable"/>
            </w:pPr>
            <w:r>
              <w:t>Taking glass into restricted area</w:t>
            </w:r>
          </w:p>
        </w:tc>
        <w:tc>
          <w:tcPr>
            <w:tcW w:w="1200" w:type="dxa"/>
            <w:vAlign w:val="bottom"/>
          </w:tcPr>
          <w:p>
            <w:pPr>
              <w:pStyle w:val="yTable"/>
              <w:tabs>
                <w:tab w:val="decimal" w:pos="766"/>
              </w:tabs>
            </w:pPr>
            <w:r>
              <w:t>50</w:t>
            </w:r>
          </w:p>
        </w:tc>
      </w:tr>
      <w:tr>
        <w:trPr>
          <w:cantSplit/>
        </w:trPr>
        <w:tc>
          <w:tcPr>
            <w:tcW w:w="710" w:type="dxa"/>
          </w:tcPr>
          <w:p>
            <w:pPr>
              <w:pStyle w:val="yTable"/>
            </w:pPr>
            <w:r>
              <w:t>19.</w:t>
            </w:r>
          </w:p>
        </w:tc>
        <w:tc>
          <w:tcPr>
            <w:tcW w:w="1211" w:type="dxa"/>
          </w:tcPr>
          <w:p>
            <w:pPr>
              <w:pStyle w:val="yTable"/>
              <w:tabs>
                <w:tab w:val="decimal" w:pos="340"/>
              </w:tabs>
            </w:pPr>
            <w:r>
              <w:t>27(2)</w:t>
            </w:r>
          </w:p>
        </w:tc>
        <w:tc>
          <w:tcPr>
            <w:tcW w:w="3719" w:type="dxa"/>
            <w:gridSpan w:val="2"/>
          </w:tcPr>
          <w:p>
            <w:pPr>
              <w:pStyle w:val="yTable"/>
            </w:pPr>
            <w:r>
              <w:t>Failing to comply with direction to remove litter</w:t>
            </w:r>
          </w:p>
        </w:tc>
        <w:tc>
          <w:tcPr>
            <w:tcW w:w="1200" w:type="dxa"/>
            <w:vAlign w:val="bottom"/>
          </w:tcPr>
          <w:p>
            <w:pPr>
              <w:pStyle w:val="yTable"/>
              <w:tabs>
                <w:tab w:val="decimal" w:pos="766"/>
              </w:tabs>
            </w:pPr>
            <w:r>
              <w:t>200</w:t>
            </w:r>
          </w:p>
        </w:tc>
      </w:tr>
      <w:tr>
        <w:trPr>
          <w:cantSplit/>
        </w:trPr>
        <w:tc>
          <w:tcPr>
            <w:tcW w:w="710" w:type="dxa"/>
          </w:tcPr>
          <w:p>
            <w:pPr>
              <w:pStyle w:val="yTable"/>
            </w:pPr>
            <w:r>
              <w:t>20.</w:t>
            </w:r>
          </w:p>
        </w:tc>
        <w:tc>
          <w:tcPr>
            <w:tcW w:w="1211" w:type="dxa"/>
          </w:tcPr>
          <w:p>
            <w:pPr>
              <w:pStyle w:val="yTable"/>
              <w:tabs>
                <w:tab w:val="decimal" w:pos="340"/>
              </w:tabs>
            </w:pPr>
            <w:bookmarkStart w:id="2097" w:name="_Hlt4467935"/>
            <w:r>
              <w:t>28</w:t>
            </w:r>
            <w:bookmarkEnd w:id="2097"/>
          </w:p>
        </w:tc>
        <w:tc>
          <w:tcPr>
            <w:tcW w:w="3719" w:type="dxa"/>
            <w:gridSpan w:val="2"/>
          </w:tcPr>
          <w:p>
            <w:pPr>
              <w:pStyle w:val="yTable"/>
            </w:pPr>
            <w:r>
              <w:t>Cleaning etc. fish in restricted area</w:t>
            </w:r>
          </w:p>
        </w:tc>
        <w:tc>
          <w:tcPr>
            <w:tcW w:w="1200" w:type="dxa"/>
            <w:vAlign w:val="bottom"/>
          </w:tcPr>
          <w:p>
            <w:pPr>
              <w:pStyle w:val="yTable"/>
              <w:tabs>
                <w:tab w:val="decimal" w:pos="766"/>
              </w:tabs>
            </w:pPr>
            <w:r>
              <w:t>35</w:t>
            </w:r>
          </w:p>
        </w:tc>
      </w:tr>
      <w:tr>
        <w:trPr>
          <w:cantSplit/>
        </w:trPr>
        <w:tc>
          <w:tcPr>
            <w:tcW w:w="710" w:type="dxa"/>
          </w:tcPr>
          <w:p>
            <w:pPr>
              <w:pStyle w:val="yTable"/>
            </w:pPr>
            <w:r>
              <w:t>21.</w:t>
            </w:r>
          </w:p>
        </w:tc>
        <w:tc>
          <w:tcPr>
            <w:tcW w:w="1211" w:type="dxa"/>
          </w:tcPr>
          <w:p>
            <w:pPr>
              <w:pStyle w:val="yTable"/>
              <w:tabs>
                <w:tab w:val="decimal" w:pos="340"/>
              </w:tabs>
            </w:pPr>
            <w:r>
              <w:t>29(1)</w:t>
            </w:r>
          </w:p>
        </w:tc>
        <w:tc>
          <w:tcPr>
            <w:tcW w:w="3719" w:type="dxa"/>
            <w:gridSpan w:val="2"/>
          </w:tcPr>
          <w:p>
            <w:pPr>
              <w:pStyle w:val="yTable"/>
            </w:pPr>
            <w:r>
              <w:t>Smoking in cave</w:t>
            </w:r>
          </w:p>
        </w:tc>
        <w:tc>
          <w:tcPr>
            <w:tcW w:w="1200" w:type="dxa"/>
            <w:vAlign w:val="bottom"/>
          </w:tcPr>
          <w:p>
            <w:pPr>
              <w:pStyle w:val="yTable"/>
              <w:tabs>
                <w:tab w:val="decimal" w:pos="766"/>
              </w:tabs>
            </w:pPr>
            <w:r>
              <w:t>50</w:t>
            </w:r>
          </w:p>
        </w:tc>
      </w:tr>
      <w:tr>
        <w:trPr>
          <w:cantSplit/>
        </w:trPr>
        <w:tc>
          <w:tcPr>
            <w:tcW w:w="710" w:type="dxa"/>
          </w:tcPr>
          <w:p>
            <w:pPr>
              <w:pStyle w:val="yTable"/>
            </w:pPr>
            <w:r>
              <w:t>22.</w:t>
            </w:r>
          </w:p>
        </w:tc>
        <w:tc>
          <w:tcPr>
            <w:tcW w:w="1211" w:type="dxa"/>
          </w:tcPr>
          <w:p>
            <w:pPr>
              <w:pStyle w:val="yTable"/>
              <w:tabs>
                <w:tab w:val="decimal" w:pos="340"/>
              </w:tabs>
            </w:pPr>
            <w:r>
              <w:t>29(2)</w:t>
            </w:r>
          </w:p>
        </w:tc>
        <w:tc>
          <w:tcPr>
            <w:tcW w:w="3719" w:type="dxa"/>
            <w:gridSpan w:val="2"/>
          </w:tcPr>
          <w:p>
            <w:pPr>
              <w:pStyle w:val="yTable"/>
            </w:pPr>
            <w:r>
              <w:t>Lighting a fire in a cave</w:t>
            </w:r>
          </w:p>
        </w:tc>
        <w:tc>
          <w:tcPr>
            <w:tcW w:w="1200" w:type="dxa"/>
            <w:vAlign w:val="bottom"/>
          </w:tcPr>
          <w:p>
            <w:pPr>
              <w:pStyle w:val="yTable"/>
              <w:tabs>
                <w:tab w:val="decimal" w:pos="766"/>
              </w:tabs>
            </w:pPr>
            <w:r>
              <w:t>200</w:t>
            </w:r>
          </w:p>
        </w:tc>
      </w:tr>
      <w:tr>
        <w:trPr>
          <w:cantSplit/>
        </w:trPr>
        <w:tc>
          <w:tcPr>
            <w:tcW w:w="710" w:type="dxa"/>
          </w:tcPr>
          <w:p>
            <w:pPr>
              <w:pStyle w:val="yTable"/>
            </w:pPr>
            <w:r>
              <w:t>23.</w:t>
            </w:r>
          </w:p>
        </w:tc>
        <w:tc>
          <w:tcPr>
            <w:tcW w:w="1211" w:type="dxa"/>
          </w:tcPr>
          <w:p>
            <w:pPr>
              <w:pStyle w:val="yTable"/>
              <w:tabs>
                <w:tab w:val="decimal" w:pos="340"/>
              </w:tabs>
            </w:pPr>
            <w:r>
              <w:t>31(1)</w:t>
            </w:r>
          </w:p>
        </w:tc>
        <w:tc>
          <w:tcPr>
            <w:tcW w:w="3719" w:type="dxa"/>
            <w:gridSpan w:val="2"/>
          </w:tcPr>
          <w:p>
            <w:pPr>
              <w:pStyle w:val="yTable"/>
            </w:pPr>
            <w:r>
              <w:t>Damaging, disturbing or removing naturally occurring feature</w:t>
            </w:r>
          </w:p>
        </w:tc>
        <w:tc>
          <w:tcPr>
            <w:tcW w:w="1200" w:type="dxa"/>
            <w:vAlign w:val="bottom"/>
          </w:tcPr>
          <w:p>
            <w:pPr>
              <w:pStyle w:val="yTable"/>
              <w:tabs>
                <w:tab w:val="decimal" w:pos="766"/>
              </w:tabs>
            </w:pPr>
            <w:r>
              <w:t>200</w:t>
            </w:r>
          </w:p>
        </w:tc>
      </w:tr>
      <w:tr>
        <w:trPr>
          <w:cantSplit/>
        </w:trPr>
        <w:tc>
          <w:tcPr>
            <w:tcW w:w="710" w:type="dxa"/>
          </w:tcPr>
          <w:p>
            <w:pPr>
              <w:pStyle w:val="yTable"/>
            </w:pPr>
            <w:r>
              <w:t>24.</w:t>
            </w:r>
          </w:p>
        </w:tc>
        <w:tc>
          <w:tcPr>
            <w:tcW w:w="1211" w:type="dxa"/>
          </w:tcPr>
          <w:p>
            <w:pPr>
              <w:pStyle w:val="yTable"/>
              <w:tabs>
                <w:tab w:val="decimal" w:pos="340"/>
              </w:tabs>
            </w:pPr>
            <w:r>
              <w:t>32</w:t>
            </w:r>
          </w:p>
        </w:tc>
        <w:tc>
          <w:tcPr>
            <w:tcW w:w="3719" w:type="dxa"/>
            <w:gridSpan w:val="2"/>
          </w:tcPr>
          <w:p>
            <w:pPr>
              <w:pStyle w:val="yTable"/>
            </w:pPr>
            <w:r>
              <w:t>Sandboarding</w:t>
            </w:r>
          </w:p>
        </w:tc>
        <w:tc>
          <w:tcPr>
            <w:tcW w:w="1200" w:type="dxa"/>
            <w:vAlign w:val="bottom"/>
          </w:tcPr>
          <w:p>
            <w:pPr>
              <w:pStyle w:val="yTable"/>
              <w:tabs>
                <w:tab w:val="decimal" w:pos="766"/>
              </w:tabs>
            </w:pPr>
            <w:r>
              <w:t>50</w:t>
            </w:r>
          </w:p>
        </w:tc>
      </w:tr>
      <w:tr>
        <w:trPr>
          <w:cantSplit/>
        </w:trPr>
        <w:tc>
          <w:tcPr>
            <w:tcW w:w="710" w:type="dxa"/>
          </w:tcPr>
          <w:p>
            <w:pPr>
              <w:pStyle w:val="yTable"/>
            </w:pPr>
            <w:r>
              <w:t>25.</w:t>
            </w:r>
          </w:p>
        </w:tc>
        <w:tc>
          <w:tcPr>
            <w:tcW w:w="1211" w:type="dxa"/>
          </w:tcPr>
          <w:p>
            <w:pPr>
              <w:pStyle w:val="yTable"/>
              <w:tabs>
                <w:tab w:val="decimal" w:pos="340"/>
              </w:tabs>
            </w:pPr>
            <w:bookmarkStart w:id="2098" w:name="_Hlt499631292"/>
            <w:r>
              <w:t>33</w:t>
            </w:r>
            <w:bookmarkEnd w:id="2098"/>
          </w:p>
        </w:tc>
        <w:tc>
          <w:tcPr>
            <w:tcW w:w="3719" w:type="dxa"/>
            <w:gridSpan w:val="2"/>
          </w:tcPr>
          <w:p>
            <w:pPr>
              <w:pStyle w:val="yTable"/>
            </w:pPr>
            <w:r>
              <w:t>Abseiling</w:t>
            </w:r>
          </w:p>
        </w:tc>
        <w:tc>
          <w:tcPr>
            <w:tcW w:w="1200" w:type="dxa"/>
            <w:vAlign w:val="bottom"/>
          </w:tcPr>
          <w:p>
            <w:pPr>
              <w:pStyle w:val="yTable"/>
              <w:tabs>
                <w:tab w:val="decimal" w:pos="766"/>
              </w:tabs>
            </w:pPr>
            <w:r>
              <w:t>50</w:t>
            </w:r>
          </w:p>
        </w:tc>
      </w:tr>
      <w:tr>
        <w:trPr>
          <w:cantSplit/>
        </w:trPr>
        <w:tc>
          <w:tcPr>
            <w:tcW w:w="710" w:type="dxa"/>
          </w:tcPr>
          <w:p>
            <w:pPr>
              <w:pStyle w:val="yTable"/>
            </w:pPr>
            <w:r>
              <w:t>25a.</w:t>
            </w:r>
          </w:p>
        </w:tc>
        <w:tc>
          <w:tcPr>
            <w:tcW w:w="1211" w:type="dxa"/>
          </w:tcPr>
          <w:p>
            <w:pPr>
              <w:pStyle w:val="yTable"/>
              <w:tabs>
                <w:tab w:val="decimal" w:pos="340"/>
              </w:tabs>
            </w:pPr>
            <w:r>
              <w:t>34(1)</w:t>
            </w:r>
          </w:p>
        </w:tc>
        <w:tc>
          <w:tcPr>
            <w:tcW w:w="3719" w:type="dxa"/>
            <w:gridSpan w:val="2"/>
          </w:tcPr>
          <w:p>
            <w:pPr>
              <w:pStyle w:val="yTable"/>
            </w:pPr>
            <w:r>
              <w:t>Unauthorised structure</w:t>
            </w:r>
          </w:p>
        </w:tc>
        <w:tc>
          <w:tcPr>
            <w:tcW w:w="1200" w:type="dxa"/>
            <w:vAlign w:val="bottom"/>
          </w:tcPr>
          <w:p>
            <w:pPr>
              <w:pStyle w:val="yTable"/>
              <w:tabs>
                <w:tab w:val="decimal" w:pos="766"/>
              </w:tabs>
            </w:pPr>
            <w:r>
              <w:t>200</w:t>
            </w:r>
          </w:p>
        </w:tc>
      </w:tr>
      <w:tr>
        <w:trPr>
          <w:cantSplit/>
        </w:trPr>
        <w:tc>
          <w:tcPr>
            <w:tcW w:w="710" w:type="dxa"/>
          </w:tcPr>
          <w:p>
            <w:pPr>
              <w:pStyle w:val="yTable"/>
            </w:pPr>
            <w:r>
              <w:t>25b.</w:t>
            </w:r>
          </w:p>
        </w:tc>
        <w:tc>
          <w:tcPr>
            <w:tcW w:w="1211" w:type="dxa"/>
          </w:tcPr>
          <w:p>
            <w:pPr>
              <w:pStyle w:val="yTable"/>
              <w:tabs>
                <w:tab w:val="decimal" w:pos="340"/>
              </w:tabs>
            </w:pPr>
            <w:r>
              <w:t>34(4)</w:t>
            </w:r>
          </w:p>
        </w:tc>
        <w:tc>
          <w:tcPr>
            <w:tcW w:w="3719" w:type="dxa"/>
            <w:gridSpan w:val="2"/>
          </w:tcPr>
          <w:p>
            <w:pPr>
              <w:pStyle w:val="yTable"/>
            </w:pPr>
            <w:r>
              <w:t>Failing to comply with direction to pull down etc. unauthorised structure</w:t>
            </w:r>
          </w:p>
        </w:tc>
        <w:tc>
          <w:tcPr>
            <w:tcW w:w="1200" w:type="dxa"/>
            <w:vAlign w:val="bottom"/>
          </w:tcPr>
          <w:p>
            <w:pPr>
              <w:pStyle w:val="yTable"/>
              <w:tabs>
                <w:tab w:val="decimal" w:pos="766"/>
              </w:tabs>
            </w:pPr>
            <w:r>
              <w:t>200</w:t>
            </w:r>
          </w:p>
        </w:tc>
      </w:tr>
      <w:tr>
        <w:trPr>
          <w:cantSplit/>
        </w:trPr>
        <w:tc>
          <w:tcPr>
            <w:tcW w:w="710" w:type="dxa"/>
          </w:tcPr>
          <w:p>
            <w:pPr>
              <w:pStyle w:val="yTable"/>
            </w:pPr>
            <w:r>
              <w:t>25c.</w:t>
            </w:r>
          </w:p>
        </w:tc>
        <w:tc>
          <w:tcPr>
            <w:tcW w:w="1211" w:type="dxa"/>
          </w:tcPr>
          <w:p>
            <w:pPr>
              <w:pStyle w:val="yTable"/>
              <w:tabs>
                <w:tab w:val="decimal" w:pos="340"/>
              </w:tabs>
            </w:pPr>
            <w:r>
              <w:t>35A(1)</w:t>
            </w:r>
          </w:p>
        </w:tc>
        <w:tc>
          <w:tcPr>
            <w:tcW w:w="3719" w:type="dxa"/>
            <w:gridSpan w:val="2"/>
          </w:tcPr>
          <w:p>
            <w:pPr>
              <w:pStyle w:val="yTable"/>
            </w:pPr>
            <w:r>
              <w:t>Quarrying, removing or disturbing soil etc.</w:t>
            </w:r>
          </w:p>
        </w:tc>
        <w:tc>
          <w:tcPr>
            <w:tcW w:w="1200" w:type="dxa"/>
            <w:vAlign w:val="bottom"/>
          </w:tcPr>
          <w:p>
            <w:pPr>
              <w:pStyle w:val="yTable"/>
              <w:tabs>
                <w:tab w:val="decimal" w:pos="766"/>
              </w:tabs>
            </w:pPr>
            <w:r>
              <w:t>200</w:t>
            </w:r>
          </w:p>
        </w:tc>
      </w:tr>
      <w:tr>
        <w:trPr>
          <w:cantSplit/>
        </w:trPr>
        <w:tc>
          <w:tcPr>
            <w:tcW w:w="710" w:type="dxa"/>
          </w:tcPr>
          <w:p>
            <w:pPr>
              <w:pStyle w:val="yTable"/>
            </w:pPr>
            <w:r>
              <w:t>26.</w:t>
            </w:r>
          </w:p>
        </w:tc>
        <w:tc>
          <w:tcPr>
            <w:tcW w:w="1211" w:type="dxa"/>
          </w:tcPr>
          <w:p>
            <w:pPr>
              <w:pStyle w:val="yTable"/>
              <w:tabs>
                <w:tab w:val="decimal" w:pos="340"/>
              </w:tabs>
            </w:pPr>
            <w:r>
              <w:t>36</w:t>
            </w:r>
          </w:p>
        </w:tc>
        <w:tc>
          <w:tcPr>
            <w:tcW w:w="3719" w:type="dxa"/>
            <w:gridSpan w:val="2"/>
          </w:tcPr>
          <w:p>
            <w:pPr>
              <w:pStyle w:val="yTable"/>
            </w:pPr>
            <w:r>
              <w:t>Dumping of vehicles etc.</w:t>
            </w:r>
          </w:p>
        </w:tc>
        <w:tc>
          <w:tcPr>
            <w:tcW w:w="1200" w:type="dxa"/>
            <w:vAlign w:val="bottom"/>
          </w:tcPr>
          <w:p>
            <w:pPr>
              <w:pStyle w:val="yTable"/>
              <w:tabs>
                <w:tab w:val="decimal" w:pos="766"/>
              </w:tabs>
            </w:pPr>
            <w:r>
              <w:t>200</w:t>
            </w:r>
          </w:p>
        </w:tc>
      </w:tr>
      <w:tr>
        <w:trPr>
          <w:cantSplit/>
        </w:trPr>
        <w:tc>
          <w:tcPr>
            <w:tcW w:w="710" w:type="dxa"/>
          </w:tcPr>
          <w:p>
            <w:pPr>
              <w:pStyle w:val="yTable"/>
            </w:pPr>
            <w:r>
              <w:t>27.</w:t>
            </w:r>
          </w:p>
        </w:tc>
        <w:tc>
          <w:tcPr>
            <w:tcW w:w="1211" w:type="dxa"/>
          </w:tcPr>
          <w:p>
            <w:pPr>
              <w:pStyle w:val="yTable"/>
              <w:tabs>
                <w:tab w:val="decimal" w:pos="340"/>
              </w:tabs>
            </w:pPr>
            <w:r>
              <w:t>37(1)</w:t>
            </w:r>
          </w:p>
        </w:tc>
        <w:tc>
          <w:tcPr>
            <w:tcW w:w="3719" w:type="dxa"/>
            <w:gridSpan w:val="2"/>
          </w:tcPr>
          <w:p>
            <w:pPr>
              <w:pStyle w:val="yTable"/>
            </w:pPr>
            <w:r>
              <w:t>Billsticking etc.</w:t>
            </w:r>
          </w:p>
        </w:tc>
        <w:tc>
          <w:tcPr>
            <w:tcW w:w="1200" w:type="dxa"/>
            <w:vAlign w:val="bottom"/>
          </w:tcPr>
          <w:p>
            <w:pPr>
              <w:pStyle w:val="yTable"/>
              <w:tabs>
                <w:tab w:val="decimal" w:pos="766"/>
              </w:tabs>
            </w:pPr>
            <w:r>
              <w:t>50</w:t>
            </w:r>
          </w:p>
        </w:tc>
      </w:tr>
      <w:tr>
        <w:trPr>
          <w:cantSplit/>
        </w:trPr>
        <w:tc>
          <w:tcPr>
            <w:tcW w:w="710" w:type="dxa"/>
          </w:tcPr>
          <w:p>
            <w:pPr>
              <w:pStyle w:val="yTable"/>
            </w:pPr>
            <w:r>
              <w:t>28.</w:t>
            </w:r>
          </w:p>
        </w:tc>
        <w:tc>
          <w:tcPr>
            <w:tcW w:w="1211" w:type="dxa"/>
          </w:tcPr>
          <w:p>
            <w:pPr>
              <w:pStyle w:val="yTable"/>
              <w:tabs>
                <w:tab w:val="decimal" w:pos="340"/>
              </w:tabs>
            </w:pPr>
            <w:r>
              <w:t>37(2)</w:t>
            </w:r>
          </w:p>
        </w:tc>
        <w:tc>
          <w:tcPr>
            <w:tcW w:w="3719" w:type="dxa"/>
            <w:gridSpan w:val="2"/>
          </w:tcPr>
          <w:p>
            <w:pPr>
              <w:pStyle w:val="yTable"/>
            </w:pPr>
            <w:r>
              <w:t>Damaging or interfering with thing or structure</w:t>
            </w:r>
          </w:p>
        </w:tc>
        <w:tc>
          <w:tcPr>
            <w:tcW w:w="1200" w:type="dxa"/>
            <w:vAlign w:val="bottom"/>
          </w:tcPr>
          <w:p>
            <w:pPr>
              <w:pStyle w:val="yTable"/>
              <w:tabs>
                <w:tab w:val="decimal" w:pos="766"/>
              </w:tabs>
            </w:pPr>
            <w:r>
              <w:t>200</w:t>
            </w:r>
          </w:p>
        </w:tc>
      </w:tr>
      <w:tr>
        <w:trPr>
          <w:cantSplit/>
        </w:trPr>
        <w:tc>
          <w:tcPr>
            <w:tcW w:w="710" w:type="dxa"/>
          </w:tcPr>
          <w:p>
            <w:pPr>
              <w:pStyle w:val="yTable"/>
            </w:pPr>
            <w:r>
              <w:t>29.</w:t>
            </w:r>
          </w:p>
        </w:tc>
        <w:tc>
          <w:tcPr>
            <w:tcW w:w="1211" w:type="dxa"/>
          </w:tcPr>
          <w:p>
            <w:pPr>
              <w:pStyle w:val="yTable"/>
              <w:tabs>
                <w:tab w:val="decimal" w:pos="340"/>
              </w:tabs>
            </w:pPr>
            <w:r>
              <w:t>38(1)</w:t>
            </w:r>
          </w:p>
        </w:tc>
        <w:tc>
          <w:tcPr>
            <w:tcW w:w="3719" w:type="dxa"/>
            <w:gridSpan w:val="2"/>
          </w:tcPr>
          <w:p>
            <w:pPr>
              <w:pStyle w:val="yTable"/>
            </w:pPr>
            <w:r>
              <w:t>Erecting unauthorised sign or notice</w:t>
            </w:r>
          </w:p>
        </w:tc>
        <w:tc>
          <w:tcPr>
            <w:tcW w:w="1200" w:type="dxa"/>
            <w:vAlign w:val="bottom"/>
          </w:tcPr>
          <w:p>
            <w:pPr>
              <w:pStyle w:val="yTable"/>
              <w:tabs>
                <w:tab w:val="decimal" w:pos="766"/>
              </w:tabs>
            </w:pPr>
            <w:r>
              <w:t>100</w:t>
            </w:r>
          </w:p>
        </w:tc>
      </w:tr>
      <w:tr>
        <w:trPr>
          <w:cantSplit/>
        </w:trPr>
        <w:tc>
          <w:tcPr>
            <w:tcW w:w="710" w:type="dxa"/>
          </w:tcPr>
          <w:p>
            <w:pPr>
              <w:pStyle w:val="yTable"/>
            </w:pPr>
            <w:r>
              <w:t>30.</w:t>
            </w:r>
          </w:p>
        </w:tc>
        <w:tc>
          <w:tcPr>
            <w:tcW w:w="1211" w:type="dxa"/>
          </w:tcPr>
          <w:p>
            <w:pPr>
              <w:pStyle w:val="yTable"/>
              <w:tabs>
                <w:tab w:val="decimal" w:pos="340"/>
              </w:tabs>
            </w:pPr>
            <w:r>
              <w:t>39(1) or (2)</w:t>
            </w:r>
          </w:p>
        </w:tc>
        <w:tc>
          <w:tcPr>
            <w:tcW w:w="3719" w:type="dxa"/>
            <w:gridSpan w:val="2"/>
          </w:tcPr>
          <w:p>
            <w:pPr>
              <w:pStyle w:val="yTable"/>
            </w:pPr>
            <w:r>
              <w:t>Unlawful lighting of fires etc.</w:t>
            </w:r>
          </w:p>
        </w:tc>
        <w:tc>
          <w:tcPr>
            <w:tcW w:w="1200" w:type="dxa"/>
            <w:vAlign w:val="bottom"/>
          </w:tcPr>
          <w:p>
            <w:pPr>
              <w:pStyle w:val="yTable"/>
              <w:tabs>
                <w:tab w:val="decimal" w:pos="766"/>
              </w:tabs>
            </w:pPr>
            <w:r>
              <w:t>200</w:t>
            </w:r>
          </w:p>
        </w:tc>
      </w:tr>
      <w:tr>
        <w:trPr>
          <w:cantSplit/>
        </w:trPr>
        <w:tc>
          <w:tcPr>
            <w:tcW w:w="710" w:type="dxa"/>
          </w:tcPr>
          <w:p>
            <w:pPr>
              <w:pStyle w:val="yTable"/>
            </w:pPr>
            <w:r>
              <w:t>31.</w:t>
            </w:r>
          </w:p>
        </w:tc>
        <w:tc>
          <w:tcPr>
            <w:tcW w:w="1211" w:type="dxa"/>
          </w:tcPr>
          <w:p>
            <w:pPr>
              <w:pStyle w:val="yTable"/>
              <w:tabs>
                <w:tab w:val="decimal" w:pos="340"/>
              </w:tabs>
            </w:pPr>
            <w:r>
              <w:t>40(2)</w:t>
            </w:r>
          </w:p>
        </w:tc>
        <w:tc>
          <w:tcPr>
            <w:tcW w:w="3719" w:type="dxa"/>
            <w:gridSpan w:val="2"/>
          </w:tcPr>
          <w:p>
            <w:pPr>
              <w:pStyle w:val="yTable"/>
            </w:pPr>
            <w:r>
              <w:t>Failing to comply with direction to extinguish fire</w:t>
            </w:r>
          </w:p>
        </w:tc>
        <w:tc>
          <w:tcPr>
            <w:tcW w:w="1200" w:type="dxa"/>
            <w:vAlign w:val="bottom"/>
          </w:tcPr>
          <w:p>
            <w:pPr>
              <w:pStyle w:val="yTable"/>
              <w:tabs>
                <w:tab w:val="decimal" w:pos="766"/>
              </w:tabs>
            </w:pPr>
            <w:r>
              <w:t>200</w:t>
            </w:r>
          </w:p>
        </w:tc>
      </w:tr>
      <w:tr>
        <w:trPr>
          <w:cantSplit/>
        </w:trPr>
        <w:tc>
          <w:tcPr>
            <w:tcW w:w="710" w:type="dxa"/>
          </w:tcPr>
          <w:p>
            <w:pPr>
              <w:pStyle w:val="yTable"/>
            </w:pPr>
            <w:r>
              <w:t>32.</w:t>
            </w:r>
          </w:p>
        </w:tc>
        <w:tc>
          <w:tcPr>
            <w:tcW w:w="1211" w:type="dxa"/>
          </w:tcPr>
          <w:p>
            <w:pPr>
              <w:pStyle w:val="yTable"/>
              <w:tabs>
                <w:tab w:val="decimal" w:pos="340"/>
              </w:tabs>
            </w:pPr>
            <w:r>
              <w:t>41</w:t>
            </w:r>
          </w:p>
        </w:tc>
        <w:tc>
          <w:tcPr>
            <w:tcW w:w="3719" w:type="dxa"/>
            <w:gridSpan w:val="2"/>
          </w:tcPr>
          <w:p>
            <w:pPr>
              <w:pStyle w:val="yTable"/>
            </w:pPr>
            <w:r>
              <w:t>Entering certain classified areas</w:t>
            </w:r>
          </w:p>
        </w:tc>
        <w:tc>
          <w:tcPr>
            <w:tcW w:w="1200" w:type="dxa"/>
            <w:vAlign w:val="bottom"/>
          </w:tcPr>
          <w:p>
            <w:pPr>
              <w:pStyle w:val="yTable"/>
              <w:tabs>
                <w:tab w:val="decimal" w:pos="766"/>
              </w:tabs>
            </w:pPr>
            <w:r>
              <w:t>200</w:t>
            </w:r>
          </w:p>
        </w:tc>
      </w:tr>
      <w:tr>
        <w:trPr>
          <w:cantSplit/>
        </w:trPr>
        <w:tc>
          <w:tcPr>
            <w:tcW w:w="710" w:type="dxa"/>
          </w:tcPr>
          <w:p>
            <w:pPr>
              <w:pStyle w:val="yTable"/>
            </w:pPr>
            <w:r>
              <w:t>33.</w:t>
            </w:r>
          </w:p>
        </w:tc>
        <w:tc>
          <w:tcPr>
            <w:tcW w:w="1211" w:type="dxa"/>
          </w:tcPr>
          <w:p>
            <w:pPr>
              <w:pStyle w:val="yTable"/>
              <w:tabs>
                <w:tab w:val="decimal" w:pos="340"/>
              </w:tabs>
            </w:pPr>
            <w:r>
              <w:t>42</w:t>
            </w:r>
          </w:p>
        </w:tc>
        <w:tc>
          <w:tcPr>
            <w:tcW w:w="3719" w:type="dxa"/>
            <w:gridSpan w:val="2"/>
          </w:tcPr>
          <w:p>
            <w:pPr>
              <w:pStyle w:val="yTable"/>
            </w:pPr>
            <w:r>
              <w:t>Entering limited access area other than on foot or by vessel</w:t>
            </w:r>
          </w:p>
        </w:tc>
        <w:tc>
          <w:tcPr>
            <w:tcW w:w="1200" w:type="dxa"/>
            <w:vAlign w:val="bottom"/>
          </w:tcPr>
          <w:p>
            <w:pPr>
              <w:pStyle w:val="yTable"/>
              <w:tabs>
                <w:tab w:val="decimal" w:pos="766"/>
              </w:tabs>
            </w:pPr>
            <w:r>
              <w:t>200</w:t>
            </w:r>
          </w:p>
        </w:tc>
      </w:tr>
      <w:tr>
        <w:trPr>
          <w:cantSplit/>
        </w:trPr>
        <w:tc>
          <w:tcPr>
            <w:tcW w:w="710" w:type="dxa"/>
          </w:tcPr>
          <w:p>
            <w:pPr>
              <w:pStyle w:val="yTable"/>
            </w:pPr>
            <w:r>
              <w:t>34.</w:t>
            </w:r>
          </w:p>
        </w:tc>
        <w:tc>
          <w:tcPr>
            <w:tcW w:w="1211" w:type="dxa"/>
          </w:tcPr>
          <w:p>
            <w:pPr>
              <w:pStyle w:val="yTable"/>
              <w:tabs>
                <w:tab w:val="decimal" w:pos="340"/>
              </w:tabs>
            </w:pPr>
            <w:r>
              <w:t>43</w:t>
            </w:r>
          </w:p>
        </w:tc>
        <w:tc>
          <w:tcPr>
            <w:tcW w:w="3719" w:type="dxa"/>
            <w:gridSpan w:val="2"/>
          </w:tcPr>
          <w:p>
            <w:pPr>
              <w:pStyle w:val="yTable"/>
            </w:pPr>
            <w:r>
              <w:t>Entering wilderness area by vehicle, vessel or animal</w:t>
            </w:r>
          </w:p>
        </w:tc>
        <w:tc>
          <w:tcPr>
            <w:tcW w:w="1200" w:type="dxa"/>
            <w:vAlign w:val="bottom"/>
          </w:tcPr>
          <w:p>
            <w:pPr>
              <w:pStyle w:val="yTable"/>
              <w:tabs>
                <w:tab w:val="decimal" w:pos="766"/>
              </w:tabs>
            </w:pPr>
            <w:r>
              <w:t>100</w:t>
            </w:r>
          </w:p>
        </w:tc>
      </w:tr>
      <w:tr>
        <w:trPr>
          <w:cantSplit/>
        </w:trPr>
        <w:tc>
          <w:tcPr>
            <w:tcW w:w="710" w:type="dxa"/>
          </w:tcPr>
          <w:p>
            <w:pPr>
              <w:pStyle w:val="yTable"/>
            </w:pPr>
            <w:r>
              <w:t>35.</w:t>
            </w:r>
          </w:p>
        </w:tc>
        <w:tc>
          <w:tcPr>
            <w:tcW w:w="1211" w:type="dxa"/>
          </w:tcPr>
          <w:p>
            <w:pPr>
              <w:pStyle w:val="yTable"/>
              <w:tabs>
                <w:tab w:val="decimal" w:pos="340"/>
              </w:tabs>
            </w:pPr>
            <w:r>
              <w:t>46(1)</w:t>
            </w:r>
          </w:p>
        </w:tc>
        <w:tc>
          <w:tcPr>
            <w:tcW w:w="3719" w:type="dxa"/>
            <w:gridSpan w:val="2"/>
          </w:tcPr>
          <w:p>
            <w:pPr>
              <w:pStyle w:val="yTable"/>
            </w:pPr>
            <w:r>
              <w:t>Entering closed area</w:t>
            </w:r>
          </w:p>
        </w:tc>
        <w:tc>
          <w:tcPr>
            <w:tcW w:w="1200" w:type="dxa"/>
            <w:vAlign w:val="bottom"/>
          </w:tcPr>
          <w:p>
            <w:pPr>
              <w:pStyle w:val="yTable"/>
              <w:tabs>
                <w:tab w:val="decimal" w:pos="766"/>
              </w:tabs>
            </w:pPr>
            <w:r>
              <w:t>100</w:t>
            </w:r>
          </w:p>
        </w:tc>
      </w:tr>
      <w:tr>
        <w:trPr>
          <w:cantSplit/>
        </w:trPr>
        <w:tc>
          <w:tcPr>
            <w:tcW w:w="710" w:type="dxa"/>
          </w:tcPr>
          <w:p>
            <w:pPr>
              <w:pStyle w:val="yTable"/>
            </w:pPr>
            <w:r>
              <w:t>36.</w:t>
            </w:r>
          </w:p>
        </w:tc>
        <w:tc>
          <w:tcPr>
            <w:tcW w:w="1211" w:type="dxa"/>
          </w:tcPr>
          <w:p>
            <w:pPr>
              <w:pStyle w:val="yTable"/>
              <w:tabs>
                <w:tab w:val="decimal" w:pos="340"/>
              </w:tabs>
            </w:pPr>
            <w:r>
              <w:t>47(1)</w:t>
            </w:r>
          </w:p>
        </w:tc>
        <w:tc>
          <w:tcPr>
            <w:tcW w:w="3719" w:type="dxa"/>
            <w:gridSpan w:val="2"/>
          </w:tcPr>
          <w:p>
            <w:pPr>
              <w:pStyle w:val="yTable"/>
            </w:pPr>
            <w:r>
              <w:t>Failing to enter through gate or barrier</w:t>
            </w:r>
          </w:p>
        </w:tc>
        <w:tc>
          <w:tcPr>
            <w:tcW w:w="1200" w:type="dxa"/>
            <w:vAlign w:val="bottom"/>
          </w:tcPr>
          <w:p>
            <w:pPr>
              <w:pStyle w:val="yTable"/>
              <w:tabs>
                <w:tab w:val="decimal" w:pos="766"/>
              </w:tabs>
            </w:pPr>
            <w:r>
              <w:t>50</w:t>
            </w:r>
          </w:p>
        </w:tc>
      </w:tr>
      <w:tr>
        <w:trPr>
          <w:cantSplit/>
        </w:trPr>
        <w:tc>
          <w:tcPr>
            <w:tcW w:w="710" w:type="dxa"/>
          </w:tcPr>
          <w:p>
            <w:pPr>
              <w:pStyle w:val="yTable"/>
            </w:pPr>
            <w:r>
              <w:t>37.</w:t>
            </w:r>
          </w:p>
        </w:tc>
        <w:tc>
          <w:tcPr>
            <w:tcW w:w="1211" w:type="dxa"/>
          </w:tcPr>
          <w:p>
            <w:pPr>
              <w:pStyle w:val="yTable"/>
              <w:tabs>
                <w:tab w:val="decimal" w:pos="340"/>
              </w:tabs>
            </w:pPr>
            <w:r>
              <w:t>47(2)</w:t>
            </w:r>
          </w:p>
        </w:tc>
        <w:tc>
          <w:tcPr>
            <w:tcW w:w="3719" w:type="dxa"/>
            <w:gridSpan w:val="2"/>
          </w:tcPr>
          <w:p>
            <w:pPr>
              <w:pStyle w:val="yTable"/>
            </w:pPr>
            <w:r>
              <w:t>Unlawfully unlocking etc. gate or barrier</w:t>
            </w:r>
          </w:p>
        </w:tc>
        <w:tc>
          <w:tcPr>
            <w:tcW w:w="1200" w:type="dxa"/>
            <w:vAlign w:val="bottom"/>
          </w:tcPr>
          <w:p>
            <w:pPr>
              <w:pStyle w:val="yTable"/>
              <w:tabs>
                <w:tab w:val="decimal" w:pos="766"/>
              </w:tabs>
            </w:pPr>
            <w:r>
              <w:t>50</w:t>
            </w:r>
          </w:p>
        </w:tc>
      </w:tr>
      <w:tr>
        <w:trPr>
          <w:cantSplit/>
        </w:trPr>
        <w:tc>
          <w:tcPr>
            <w:tcW w:w="710" w:type="dxa"/>
          </w:tcPr>
          <w:p>
            <w:pPr>
              <w:pStyle w:val="yTable"/>
            </w:pPr>
            <w:r>
              <w:t>37a.</w:t>
            </w:r>
          </w:p>
        </w:tc>
        <w:tc>
          <w:tcPr>
            <w:tcW w:w="1211" w:type="dxa"/>
          </w:tcPr>
          <w:p>
            <w:pPr>
              <w:pStyle w:val="yTable"/>
              <w:tabs>
                <w:tab w:val="decimal" w:pos="340"/>
              </w:tabs>
            </w:pPr>
            <w:r>
              <w:t>47(3)</w:t>
            </w:r>
          </w:p>
        </w:tc>
        <w:tc>
          <w:tcPr>
            <w:tcW w:w="3719" w:type="dxa"/>
            <w:gridSpan w:val="2"/>
          </w:tcPr>
          <w:p>
            <w:pPr>
              <w:pStyle w:val="yTable"/>
            </w:pPr>
            <w:r>
              <w:t>Unlawfully removing etc. gate or barrier</w:t>
            </w:r>
          </w:p>
        </w:tc>
        <w:tc>
          <w:tcPr>
            <w:tcW w:w="1200" w:type="dxa"/>
            <w:vAlign w:val="bottom"/>
          </w:tcPr>
          <w:p>
            <w:pPr>
              <w:pStyle w:val="yTable"/>
              <w:tabs>
                <w:tab w:val="decimal" w:pos="766"/>
              </w:tabs>
            </w:pPr>
            <w:r>
              <w:t>50</w:t>
            </w:r>
          </w:p>
        </w:tc>
      </w:tr>
      <w:tr>
        <w:trPr>
          <w:cantSplit/>
        </w:trPr>
        <w:tc>
          <w:tcPr>
            <w:tcW w:w="710" w:type="dxa"/>
          </w:tcPr>
          <w:p>
            <w:pPr>
              <w:pStyle w:val="yTable"/>
            </w:pPr>
            <w:r>
              <w:t>38.</w:t>
            </w:r>
          </w:p>
        </w:tc>
        <w:tc>
          <w:tcPr>
            <w:tcW w:w="1211" w:type="dxa"/>
          </w:tcPr>
          <w:p>
            <w:pPr>
              <w:pStyle w:val="yTable"/>
              <w:tabs>
                <w:tab w:val="decimal" w:pos="340"/>
              </w:tabs>
            </w:pPr>
            <w:r>
              <w:t>48</w:t>
            </w:r>
          </w:p>
        </w:tc>
        <w:tc>
          <w:tcPr>
            <w:tcW w:w="3719" w:type="dxa"/>
            <w:gridSpan w:val="2"/>
          </w:tcPr>
          <w:p>
            <w:pPr>
              <w:pStyle w:val="yTable"/>
            </w:pPr>
            <w:r>
              <w:t>Entering or remaining on area set aside for Departmental purposes</w:t>
            </w:r>
          </w:p>
        </w:tc>
        <w:tc>
          <w:tcPr>
            <w:tcW w:w="1200" w:type="dxa"/>
            <w:vAlign w:val="bottom"/>
          </w:tcPr>
          <w:p>
            <w:pPr>
              <w:pStyle w:val="yTable"/>
              <w:tabs>
                <w:tab w:val="decimal" w:pos="766"/>
              </w:tabs>
            </w:pPr>
            <w:r>
              <w:t>50</w:t>
            </w:r>
          </w:p>
        </w:tc>
      </w:tr>
      <w:tr>
        <w:trPr>
          <w:cantSplit/>
        </w:trPr>
        <w:tc>
          <w:tcPr>
            <w:tcW w:w="710" w:type="dxa"/>
          </w:tcPr>
          <w:p>
            <w:pPr>
              <w:pStyle w:val="yTable"/>
            </w:pPr>
            <w:r>
              <w:t>39.</w:t>
            </w:r>
          </w:p>
        </w:tc>
        <w:tc>
          <w:tcPr>
            <w:tcW w:w="1211" w:type="dxa"/>
          </w:tcPr>
          <w:p>
            <w:pPr>
              <w:pStyle w:val="yTable"/>
              <w:tabs>
                <w:tab w:val="decimal" w:pos="340"/>
              </w:tabs>
            </w:pPr>
            <w:r>
              <w:t>49(4)</w:t>
            </w:r>
          </w:p>
        </w:tc>
        <w:tc>
          <w:tcPr>
            <w:tcW w:w="3719" w:type="dxa"/>
            <w:gridSpan w:val="2"/>
          </w:tcPr>
          <w:p>
            <w:pPr>
              <w:pStyle w:val="yTable"/>
            </w:pPr>
            <w:r>
              <w:t>Entering or remaining in cave</w:t>
            </w:r>
          </w:p>
        </w:tc>
        <w:tc>
          <w:tcPr>
            <w:tcW w:w="1200" w:type="dxa"/>
            <w:vAlign w:val="bottom"/>
          </w:tcPr>
          <w:p>
            <w:pPr>
              <w:pStyle w:val="yTable"/>
              <w:tabs>
                <w:tab w:val="decimal" w:pos="766"/>
              </w:tabs>
            </w:pPr>
            <w:r>
              <w:t>100</w:t>
            </w:r>
          </w:p>
        </w:tc>
      </w:tr>
      <w:tr>
        <w:trPr>
          <w:cantSplit/>
        </w:trPr>
        <w:tc>
          <w:tcPr>
            <w:tcW w:w="710" w:type="dxa"/>
          </w:tcPr>
          <w:p>
            <w:pPr>
              <w:pStyle w:val="yTable"/>
            </w:pPr>
            <w:r>
              <w:t>40.</w:t>
            </w:r>
          </w:p>
        </w:tc>
        <w:tc>
          <w:tcPr>
            <w:tcW w:w="1211" w:type="dxa"/>
          </w:tcPr>
          <w:p>
            <w:pPr>
              <w:pStyle w:val="yTable"/>
              <w:tabs>
                <w:tab w:val="decimal" w:pos="340"/>
              </w:tabs>
            </w:pPr>
            <w:r>
              <w:t>49(5)</w:t>
            </w:r>
          </w:p>
        </w:tc>
        <w:tc>
          <w:tcPr>
            <w:tcW w:w="3719" w:type="dxa"/>
            <w:gridSpan w:val="2"/>
          </w:tcPr>
          <w:p>
            <w:pPr>
              <w:pStyle w:val="yTable"/>
            </w:pPr>
            <w:r>
              <w:t>Failing to comply with condition or restriction of permit to enter cave</w:t>
            </w:r>
          </w:p>
        </w:tc>
        <w:tc>
          <w:tcPr>
            <w:tcW w:w="1200" w:type="dxa"/>
            <w:vAlign w:val="bottom"/>
          </w:tcPr>
          <w:p>
            <w:pPr>
              <w:pStyle w:val="yTable"/>
              <w:tabs>
                <w:tab w:val="decimal" w:pos="766"/>
              </w:tabs>
            </w:pPr>
            <w:r>
              <w:t>100</w:t>
            </w:r>
          </w:p>
        </w:tc>
      </w:tr>
      <w:tr>
        <w:trPr>
          <w:cantSplit/>
        </w:trPr>
        <w:tc>
          <w:tcPr>
            <w:tcW w:w="710" w:type="dxa"/>
          </w:tcPr>
          <w:p>
            <w:pPr>
              <w:pStyle w:val="yTable"/>
            </w:pPr>
            <w:r>
              <w:t>40a.</w:t>
            </w:r>
          </w:p>
        </w:tc>
        <w:tc>
          <w:tcPr>
            <w:tcW w:w="1211" w:type="dxa"/>
          </w:tcPr>
          <w:p>
            <w:pPr>
              <w:pStyle w:val="yTable"/>
              <w:tabs>
                <w:tab w:val="decimal" w:pos="340"/>
              </w:tabs>
            </w:pPr>
            <w:r>
              <w:t>50</w:t>
            </w:r>
          </w:p>
        </w:tc>
        <w:tc>
          <w:tcPr>
            <w:tcW w:w="3719" w:type="dxa"/>
            <w:gridSpan w:val="2"/>
          </w:tcPr>
          <w:p>
            <w:pPr>
              <w:pStyle w:val="yTable"/>
            </w:pPr>
            <w:r>
              <w:t>Unlawfully organising cross country events etc.</w:t>
            </w:r>
          </w:p>
        </w:tc>
        <w:tc>
          <w:tcPr>
            <w:tcW w:w="1200" w:type="dxa"/>
            <w:vAlign w:val="bottom"/>
          </w:tcPr>
          <w:p>
            <w:pPr>
              <w:pStyle w:val="yTable"/>
              <w:tabs>
                <w:tab w:val="decimal" w:pos="766"/>
              </w:tabs>
            </w:pPr>
            <w:r>
              <w:t>100</w:t>
            </w:r>
          </w:p>
        </w:tc>
      </w:tr>
      <w:tr>
        <w:trPr>
          <w:cantSplit/>
        </w:trPr>
        <w:tc>
          <w:tcPr>
            <w:tcW w:w="710" w:type="dxa"/>
          </w:tcPr>
          <w:p>
            <w:pPr>
              <w:pStyle w:val="yTable"/>
            </w:pPr>
            <w:r>
              <w:t>41.</w:t>
            </w:r>
          </w:p>
        </w:tc>
        <w:tc>
          <w:tcPr>
            <w:tcW w:w="1211" w:type="dxa"/>
          </w:tcPr>
          <w:p>
            <w:pPr>
              <w:pStyle w:val="yTable"/>
              <w:tabs>
                <w:tab w:val="decimal" w:pos="340"/>
              </w:tabs>
            </w:pPr>
            <w:r>
              <w:t>51(1)</w:t>
            </w:r>
          </w:p>
        </w:tc>
        <w:tc>
          <w:tcPr>
            <w:tcW w:w="3719" w:type="dxa"/>
            <w:gridSpan w:val="2"/>
          </w:tcPr>
          <w:p>
            <w:pPr>
              <w:pStyle w:val="yTable"/>
            </w:pPr>
            <w:r>
              <w:t>Unlawfully driving or using vehicle</w:t>
            </w:r>
          </w:p>
        </w:tc>
        <w:tc>
          <w:tcPr>
            <w:tcW w:w="1200" w:type="dxa"/>
            <w:vAlign w:val="bottom"/>
          </w:tcPr>
          <w:p>
            <w:pPr>
              <w:pStyle w:val="yTable"/>
              <w:tabs>
                <w:tab w:val="decimal" w:pos="766"/>
              </w:tabs>
            </w:pPr>
            <w:r>
              <w:t>100</w:t>
            </w:r>
          </w:p>
        </w:tc>
      </w:tr>
      <w:tr>
        <w:trPr>
          <w:cantSplit/>
        </w:trPr>
        <w:tc>
          <w:tcPr>
            <w:tcW w:w="710" w:type="dxa"/>
          </w:tcPr>
          <w:p>
            <w:pPr>
              <w:pStyle w:val="yTable"/>
            </w:pPr>
            <w:r>
              <w:t>41a.</w:t>
            </w:r>
          </w:p>
        </w:tc>
        <w:tc>
          <w:tcPr>
            <w:tcW w:w="1211" w:type="dxa"/>
          </w:tcPr>
          <w:p>
            <w:pPr>
              <w:pStyle w:val="yTable"/>
              <w:tabs>
                <w:tab w:val="decimal" w:pos="340"/>
              </w:tabs>
            </w:pPr>
            <w:r>
              <w:t>51(3)</w:t>
            </w:r>
          </w:p>
        </w:tc>
        <w:tc>
          <w:tcPr>
            <w:tcW w:w="3719" w:type="dxa"/>
            <w:gridSpan w:val="2"/>
          </w:tcPr>
          <w:p>
            <w:pPr>
              <w:pStyle w:val="yTable"/>
            </w:pPr>
            <w:r>
              <w:t>Unlawfully driving or using vehicle in restricted area</w:t>
            </w:r>
          </w:p>
        </w:tc>
        <w:tc>
          <w:tcPr>
            <w:tcW w:w="1200" w:type="dxa"/>
            <w:vAlign w:val="bottom"/>
          </w:tcPr>
          <w:p>
            <w:pPr>
              <w:pStyle w:val="yTable"/>
              <w:tabs>
                <w:tab w:val="decimal" w:pos="766"/>
              </w:tabs>
            </w:pPr>
            <w:r>
              <w:t>200</w:t>
            </w:r>
          </w:p>
        </w:tc>
      </w:tr>
      <w:tr>
        <w:trPr>
          <w:cantSplit/>
        </w:trPr>
        <w:tc>
          <w:tcPr>
            <w:tcW w:w="710" w:type="dxa"/>
          </w:tcPr>
          <w:p>
            <w:pPr>
              <w:pStyle w:val="yTable"/>
            </w:pPr>
            <w:r>
              <w:t>41b.</w:t>
            </w:r>
          </w:p>
        </w:tc>
        <w:tc>
          <w:tcPr>
            <w:tcW w:w="1211" w:type="dxa"/>
          </w:tcPr>
          <w:p>
            <w:pPr>
              <w:pStyle w:val="yTable"/>
              <w:tabs>
                <w:tab w:val="decimal" w:pos="340"/>
              </w:tabs>
            </w:pPr>
            <w:r>
              <w:t>51A(1)</w:t>
            </w:r>
          </w:p>
        </w:tc>
        <w:tc>
          <w:tcPr>
            <w:tcW w:w="3719" w:type="dxa"/>
            <w:gridSpan w:val="2"/>
          </w:tcPr>
          <w:p>
            <w:pPr>
              <w:pStyle w:val="yTable"/>
            </w:pPr>
            <w:r>
              <w:t>Unlawfully riding a bicycle on CALM land</w:t>
            </w:r>
          </w:p>
        </w:tc>
        <w:tc>
          <w:tcPr>
            <w:tcW w:w="1200" w:type="dxa"/>
            <w:vAlign w:val="bottom"/>
          </w:tcPr>
          <w:p>
            <w:pPr>
              <w:pStyle w:val="yTable"/>
              <w:tabs>
                <w:tab w:val="decimal" w:pos="766"/>
              </w:tabs>
            </w:pPr>
            <w:r>
              <w:t>50</w:t>
            </w:r>
          </w:p>
        </w:tc>
      </w:tr>
      <w:tr>
        <w:trPr>
          <w:cantSplit/>
        </w:trPr>
        <w:tc>
          <w:tcPr>
            <w:tcW w:w="710" w:type="dxa"/>
          </w:tcPr>
          <w:p>
            <w:pPr>
              <w:pStyle w:val="yTable"/>
            </w:pPr>
            <w:r>
              <w:t>41c.</w:t>
            </w:r>
          </w:p>
        </w:tc>
        <w:tc>
          <w:tcPr>
            <w:tcW w:w="1211" w:type="dxa"/>
          </w:tcPr>
          <w:p>
            <w:pPr>
              <w:pStyle w:val="yTable"/>
              <w:tabs>
                <w:tab w:val="decimal" w:pos="340"/>
              </w:tabs>
            </w:pPr>
            <w:r>
              <w:t>51A(3)</w:t>
            </w:r>
          </w:p>
        </w:tc>
        <w:tc>
          <w:tcPr>
            <w:tcW w:w="3719" w:type="dxa"/>
            <w:gridSpan w:val="2"/>
          </w:tcPr>
          <w:p>
            <w:pPr>
              <w:pStyle w:val="yTable"/>
            </w:pPr>
            <w:r>
              <w:t>Unlawfully riding a bicycle in restricted area</w:t>
            </w:r>
          </w:p>
        </w:tc>
        <w:tc>
          <w:tcPr>
            <w:tcW w:w="1200" w:type="dxa"/>
            <w:vAlign w:val="bottom"/>
          </w:tcPr>
          <w:p>
            <w:pPr>
              <w:pStyle w:val="yTable"/>
              <w:tabs>
                <w:tab w:val="decimal" w:pos="766"/>
              </w:tabs>
            </w:pPr>
            <w:r>
              <w:t>100</w:t>
            </w:r>
          </w:p>
        </w:tc>
      </w:tr>
      <w:tr>
        <w:trPr>
          <w:cantSplit/>
        </w:trPr>
        <w:tc>
          <w:tcPr>
            <w:tcW w:w="710" w:type="dxa"/>
          </w:tcPr>
          <w:p>
            <w:pPr>
              <w:pStyle w:val="yTable"/>
            </w:pPr>
            <w:r>
              <w:t>42.</w:t>
            </w:r>
          </w:p>
        </w:tc>
        <w:tc>
          <w:tcPr>
            <w:tcW w:w="1211" w:type="dxa"/>
          </w:tcPr>
          <w:p>
            <w:pPr>
              <w:pStyle w:val="yTable"/>
              <w:tabs>
                <w:tab w:val="decimal" w:pos="340"/>
              </w:tabs>
            </w:pPr>
            <w:r>
              <w:t>52</w:t>
            </w:r>
          </w:p>
        </w:tc>
        <w:tc>
          <w:tcPr>
            <w:tcW w:w="3719" w:type="dxa"/>
            <w:gridSpan w:val="2"/>
          </w:tcPr>
          <w:p>
            <w:pPr>
              <w:pStyle w:val="yTable"/>
            </w:pPr>
            <w:r>
              <w:t>Unlawfully using off</w:t>
            </w:r>
            <w:r>
              <w:noBreakHyphen/>
              <w:t>road vehicle</w:t>
            </w:r>
          </w:p>
        </w:tc>
        <w:tc>
          <w:tcPr>
            <w:tcW w:w="1200" w:type="dxa"/>
            <w:vAlign w:val="bottom"/>
          </w:tcPr>
          <w:p>
            <w:pPr>
              <w:pStyle w:val="yTable"/>
              <w:tabs>
                <w:tab w:val="decimal" w:pos="766"/>
              </w:tabs>
            </w:pPr>
            <w:r>
              <w:t>100</w:t>
            </w:r>
          </w:p>
        </w:tc>
      </w:tr>
      <w:tr>
        <w:trPr>
          <w:cantSplit/>
        </w:trPr>
        <w:tc>
          <w:tcPr>
            <w:tcW w:w="710" w:type="dxa"/>
          </w:tcPr>
          <w:p>
            <w:pPr>
              <w:pStyle w:val="yTable"/>
            </w:pPr>
            <w:r>
              <w:t>42a.</w:t>
            </w:r>
          </w:p>
        </w:tc>
        <w:tc>
          <w:tcPr>
            <w:tcW w:w="1211" w:type="dxa"/>
          </w:tcPr>
          <w:p>
            <w:pPr>
              <w:pStyle w:val="yTable"/>
              <w:tabs>
                <w:tab w:val="decimal" w:pos="340"/>
              </w:tabs>
            </w:pPr>
            <w:r>
              <w:t>53</w:t>
            </w:r>
          </w:p>
        </w:tc>
        <w:tc>
          <w:tcPr>
            <w:tcW w:w="3719" w:type="dxa"/>
            <w:gridSpan w:val="2"/>
          </w:tcPr>
          <w:p>
            <w:pPr>
              <w:pStyle w:val="yTable"/>
            </w:pPr>
            <w:r>
              <w:t>Unlawfully organising car rallies etc.</w:t>
            </w:r>
          </w:p>
        </w:tc>
        <w:tc>
          <w:tcPr>
            <w:tcW w:w="1200" w:type="dxa"/>
            <w:vAlign w:val="bottom"/>
          </w:tcPr>
          <w:p>
            <w:pPr>
              <w:pStyle w:val="yTable"/>
              <w:tabs>
                <w:tab w:val="decimal" w:pos="766"/>
              </w:tabs>
            </w:pPr>
            <w:r>
              <w:t>200</w:t>
            </w:r>
          </w:p>
        </w:tc>
      </w:tr>
      <w:tr>
        <w:trPr>
          <w:cantSplit/>
        </w:trPr>
        <w:tc>
          <w:tcPr>
            <w:tcW w:w="710" w:type="dxa"/>
          </w:tcPr>
          <w:p>
            <w:pPr>
              <w:pStyle w:val="yTable"/>
            </w:pPr>
            <w:r>
              <w:t>43.</w:t>
            </w:r>
          </w:p>
        </w:tc>
        <w:tc>
          <w:tcPr>
            <w:tcW w:w="1211" w:type="dxa"/>
          </w:tcPr>
          <w:p>
            <w:pPr>
              <w:pStyle w:val="yTable"/>
              <w:tabs>
                <w:tab w:val="decimal" w:pos="340"/>
              </w:tabs>
            </w:pPr>
            <w:r>
              <w:t>54(1)</w:t>
            </w:r>
          </w:p>
        </w:tc>
        <w:tc>
          <w:tcPr>
            <w:tcW w:w="3719" w:type="dxa"/>
            <w:gridSpan w:val="2"/>
          </w:tcPr>
          <w:p>
            <w:pPr>
              <w:pStyle w:val="yTable"/>
            </w:pPr>
            <w:r>
              <w:t>Breaching traffic law</w:t>
            </w:r>
          </w:p>
        </w:tc>
        <w:tc>
          <w:tcPr>
            <w:tcW w:w="1200" w:type="dxa"/>
            <w:vAlign w:val="bottom"/>
          </w:tcPr>
          <w:p>
            <w:pPr>
              <w:pStyle w:val="yTable"/>
              <w:tabs>
                <w:tab w:val="decimal" w:pos="766"/>
              </w:tabs>
            </w:pPr>
            <w:r>
              <w:t>50</w:t>
            </w:r>
          </w:p>
        </w:tc>
      </w:tr>
      <w:tr>
        <w:trPr>
          <w:cantSplit/>
        </w:trPr>
        <w:tc>
          <w:tcPr>
            <w:tcW w:w="710" w:type="dxa"/>
          </w:tcPr>
          <w:p>
            <w:pPr>
              <w:pStyle w:val="yTable"/>
            </w:pPr>
            <w:r>
              <w:t>44.</w:t>
            </w:r>
          </w:p>
        </w:tc>
        <w:tc>
          <w:tcPr>
            <w:tcW w:w="1211" w:type="dxa"/>
          </w:tcPr>
          <w:p>
            <w:pPr>
              <w:pStyle w:val="yTable"/>
              <w:tabs>
                <w:tab w:val="decimal" w:pos="340"/>
              </w:tabs>
            </w:pPr>
            <w:r>
              <w:t>55</w:t>
            </w:r>
          </w:p>
        </w:tc>
        <w:tc>
          <w:tcPr>
            <w:tcW w:w="3719" w:type="dxa"/>
            <w:gridSpan w:val="2"/>
          </w:tcPr>
          <w:p>
            <w:pPr>
              <w:pStyle w:val="yTable"/>
            </w:pPr>
            <w:r>
              <w:t>Failing to obey direction in relation to the parking or movement of vehicle</w:t>
            </w:r>
          </w:p>
        </w:tc>
        <w:tc>
          <w:tcPr>
            <w:tcW w:w="1200" w:type="dxa"/>
            <w:vAlign w:val="bottom"/>
          </w:tcPr>
          <w:p>
            <w:pPr>
              <w:pStyle w:val="yTable"/>
              <w:tabs>
                <w:tab w:val="decimal" w:pos="766"/>
              </w:tabs>
            </w:pPr>
            <w:r>
              <w:t>50</w:t>
            </w:r>
          </w:p>
        </w:tc>
      </w:tr>
      <w:tr>
        <w:trPr>
          <w:cantSplit/>
        </w:trPr>
        <w:tc>
          <w:tcPr>
            <w:tcW w:w="710" w:type="dxa"/>
          </w:tcPr>
          <w:p>
            <w:pPr>
              <w:pStyle w:val="yTable"/>
            </w:pPr>
            <w:r>
              <w:t>45.</w:t>
            </w:r>
          </w:p>
        </w:tc>
        <w:tc>
          <w:tcPr>
            <w:tcW w:w="1211" w:type="dxa"/>
          </w:tcPr>
          <w:p>
            <w:pPr>
              <w:pStyle w:val="yTable"/>
              <w:tabs>
                <w:tab w:val="decimal" w:pos="340"/>
              </w:tabs>
            </w:pPr>
            <w:r>
              <w:t>56(1)</w:t>
            </w:r>
          </w:p>
        </w:tc>
        <w:tc>
          <w:tcPr>
            <w:tcW w:w="3719" w:type="dxa"/>
            <w:gridSpan w:val="2"/>
          </w:tcPr>
          <w:p>
            <w:pPr>
              <w:pStyle w:val="yTable"/>
            </w:pPr>
            <w:r>
              <w:t>Parking contrary to direction on sign</w:t>
            </w:r>
          </w:p>
        </w:tc>
        <w:tc>
          <w:tcPr>
            <w:tcW w:w="1200" w:type="dxa"/>
            <w:vAlign w:val="bottom"/>
          </w:tcPr>
          <w:p>
            <w:pPr>
              <w:pStyle w:val="yTable"/>
              <w:tabs>
                <w:tab w:val="decimal" w:pos="766"/>
              </w:tabs>
            </w:pPr>
            <w:r>
              <w:t>50</w:t>
            </w:r>
          </w:p>
        </w:tc>
      </w:tr>
      <w:tr>
        <w:trPr>
          <w:cantSplit/>
        </w:trPr>
        <w:tc>
          <w:tcPr>
            <w:tcW w:w="710" w:type="dxa"/>
          </w:tcPr>
          <w:p>
            <w:pPr>
              <w:pStyle w:val="yTable"/>
            </w:pPr>
            <w:r>
              <w:t>46.</w:t>
            </w:r>
          </w:p>
        </w:tc>
        <w:tc>
          <w:tcPr>
            <w:tcW w:w="1211" w:type="dxa"/>
          </w:tcPr>
          <w:p>
            <w:pPr>
              <w:pStyle w:val="yTable"/>
              <w:tabs>
                <w:tab w:val="decimal" w:pos="340"/>
              </w:tabs>
            </w:pPr>
            <w:r>
              <w:t>56(4)</w:t>
            </w:r>
          </w:p>
        </w:tc>
        <w:tc>
          <w:tcPr>
            <w:tcW w:w="3719" w:type="dxa"/>
            <w:gridSpan w:val="2"/>
          </w:tcPr>
          <w:p>
            <w:pPr>
              <w:pStyle w:val="yTable"/>
            </w:pPr>
            <w:r>
              <w:t>Failing to pay parking charge or display ticket</w:t>
            </w:r>
          </w:p>
        </w:tc>
        <w:tc>
          <w:tcPr>
            <w:tcW w:w="1200" w:type="dxa"/>
            <w:vAlign w:val="bottom"/>
          </w:tcPr>
          <w:p>
            <w:pPr>
              <w:pStyle w:val="yTable"/>
              <w:tabs>
                <w:tab w:val="decimal" w:pos="766"/>
              </w:tabs>
            </w:pPr>
            <w:r>
              <w:t>50</w:t>
            </w:r>
          </w:p>
        </w:tc>
      </w:tr>
      <w:tr>
        <w:trPr>
          <w:cantSplit/>
        </w:trPr>
        <w:tc>
          <w:tcPr>
            <w:tcW w:w="710" w:type="dxa"/>
          </w:tcPr>
          <w:p>
            <w:pPr>
              <w:pStyle w:val="yTable"/>
            </w:pPr>
            <w:r>
              <w:t>47.</w:t>
            </w:r>
          </w:p>
        </w:tc>
        <w:tc>
          <w:tcPr>
            <w:tcW w:w="1211" w:type="dxa"/>
          </w:tcPr>
          <w:p>
            <w:pPr>
              <w:pStyle w:val="yTable"/>
              <w:tabs>
                <w:tab w:val="decimal" w:pos="340"/>
              </w:tabs>
            </w:pPr>
            <w:r>
              <w:t>57</w:t>
            </w:r>
          </w:p>
        </w:tc>
        <w:tc>
          <w:tcPr>
            <w:tcW w:w="3719" w:type="dxa"/>
            <w:gridSpan w:val="2"/>
          </w:tcPr>
          <w:p>
            <w:pPr>
              <w:pStyle w:val="yTable"/>
            </w:pPr>
            <w:r>
              <w:t>Obstructing vehicle etc.</w:t>
            </w:r>
          </w:p>
        </w:tc>
        <w:tc>
          <w:tcPr>
            <w:tcW w:w="1200" w:type="dxa"/>
            <w:vAlign w:val="bottom"/>
          </w:tcPr>
          <w:p>
            <w:pPr>
              <w:pStyle w:val="yTable"/>
              <w:tabs>
                <w:tab w:val="decimal" w:pos="766"/>
              </w:tabs>
            </w:pPr>
            <w:r>
              <w:t>50</w:t>
            </w:r>
          </w:p>
        </w:tc>
      </w:tr>
      <w:tr>
        <w:trPr>
          <w:cantSplit/>
        </w:trPr>
        <w:tc>
          <w:tcPr>
            <w:tcW w:w="710" w:type="dxa"/>
          </w:tcPr>
          <w:p>
            <w:pPr>
              <w:pStyle w:val="yTable"/>
            </w:pPr>
            <w:r>
              <w:t>47a.</w:t>
            </w:r>
          </w:p>
        </w:tc>
        <w:tc>
          <w:tcPr>
            <w:tcW w:w="1211" w:type="dxa"/>
          </w:tcPr>
          <w:p>
            <w:pPr>
              <w:pStyle w:val="yTable"/>
              <w:tabs>
                <w:tab w:val="decimal" w:pos="340"/>
              </w:tabs>
            </w:pPr>
            <w:r>
              <w:t>59(1)</w:t>
            </w:r>
          </w:p>
        </w:tc>
        <w:tc>
          <w:tcPr>
            <w:tcW w:w="3719" w:type="dxa"/>
            <w:gridSpan w:val="2"/>
          </w:tcPr>
          <w:p>
            <w:pPr>
              <w:pStyle w:val="yTable"/>
            </w:pPr>
            <w:r>
              <w:t>Unlawfully installing a mooring</w:t>
            </w:r>
          </w:p>
        </w:tc>
        <w:tc>
          <w:tcPr>
            <w:tcW w:w="1200" w:type="dxa"/>
            <w:vAlign w:val="bottom"/>
          </w:tcPr>
          <w:p>
            <w:pPr>
              <w:pStyle w:val="yTable"/>
              <w:tabs>
                <w:tab w:val="decimal" w:pos="766"/>
              </w:tabs>
            </w:pPr>
            <w:r>
              <w:t>200</w:t>
            </w:r>
          </w:p>
        </w:tc>
      </w:tr>
      <w:tr>
        <w:trPr>
          <w:cantSplit/>
        </w:trPr>
        <w:tc>
          <w:tcPr>
            <w:tcW w:w="710" w:type="dxa"/>
          </w:tcPr>
          <w:p>
            <w:pPr>
              <w:pStyle w:val="yTable"/>
            </w:pPr>
            <w:r>
              <w:t>48.</w:t>
            </w:r>
          </w:p>
        </w:tc>
        <w:tc>
          <w:tcPr>
            <w:tcW w:w="1211" w:type="dxa"/>
          </w:tcPr>
          <w:p>
            <w:pPr>
              <w:pStyle w:val="yTable"/>
              <w:tabs>
                <w:tab w:val="decimal" w:pos="340"/>
              </w:tabs>
            </w:pPr>
            <w:r>
              <w:t>59(2)</w:t>
            </w:r>
          </w:p>
        </w:tc>
        <w:tc>
          <w:tcPr>
            <w:tcW w:w="3719" w:type="dxa"/>
            <w:gridSpan w:val="2"/>
          </w:tcPr>
          <w:p>
            <w:pPr>
              <w:pStyle w:val="yTable"/>
            </w:pPr>
            <w:r>
              <w:t>Using an unlawful mooring</w:t>
            </w:r>
          </w:p>
        </w:tc>
        <w:tc>
          <w:tcPr>
            <w:tcW w:w="1200" w:type="dxa"/>
            <w:vAlign w:val="bottom"/>
          </w:tcPr>
          <w:p>
            <w:pPr>
              <w:pStyle w:val="yTable"/>
              <w:tabs>
                <w:tab w:val="decimal" w:pos="766"/>
              </w:tabs>
            </w:pPr>
            <w:r>
              <w:t>100</w:t>
            </w:r>
          </w:p>
        </w:tc>
      </w:tr>
      <w:tr>
        <w:trPr>
          <w:cantSplit/>
        </w:trPr>
        <w:tc>
          <w:tcPr>
            <w:tcW w:w="710" w:type="dxa"/>
          </w:tcPr>
          <w:p>
            <w:pPr>
              <w:pStyle w:val="yTable"/>
            </w:pPr>
            <w:r>
              <w:t>49.</w:t>
            </w:r>
          </w:p>
        </w:tc>
        <w:tc>
          <w:tcPr>
            <w:tcW w:w="1211" w:type="dxa"/>
          </w:tcPr>
          <w:p>
            <w:pPr>
              <w:pStyle w:val="yTable"/>
              <w:tabs>
                <w:tab w:val="decimal" w:pos="340"/>
              </w:tabs>
            </w:pPr>
            <w:r>
              <w:t>59(3)</w:t>
            </w:r>
          </w:p>
        </w:tc>
        <w:tc>
          <w:tcPr>
            <w:tcW w:w="3719" w:type="dxa"/>
            <w:gridSpan w:val="2"/>
          </w:tcPr>
          <w:p>
            <w:pPr>
              <w:pStyle w:val="yTable"/>
            </w:pPr>
            <w:r>
              <w:t>Securing a vessel in an unlawful manner</w:t>
            </w:r>
          </w:p>
        </w:tc>
        <w:tc>
          <w:tcPr>
            <w:tcW w:w="1200" w:type="dxa"/>
            <w:vAlign w:val="bottom"/>
          </w:tcPr>
          <w:p>
            <w:pPr>
              <w:pStyle w:val="yTable"/>
              <w:tabs>
                <w:tab w:val="decimal" w:pos="766"/>
              </w:tabs>
            </w:pPr>
            <w:r>
              <w:t>100</w:t>
            </w:r>
          </w:p>
        </w:tc>
      </w:tr>
      <w:tr>
        <w:trPr>
          <w:cantSplit/>
        </w:trPr>
        <w:tc>
          <w:tcPr>
            <w:tcW w:w="710" w:type="dxa"/>
          </w:tcPr>
          <w:p>
            <w:pPr>
              <w:pStyle w:val="yTable"/>
            </w:pPr>
            <w:r>
              <w:t>50.</w:t>
            </w:r>
          </w:p>
        </w:tc>
        <w:tc>
          <w:tcPr>
            <w:tcW w:w="1211" w:type="dxa"/>
          </w:tcPr>
          <w:p>
            <w:pPr>
              <w:pStyle w:val="yTable"/>
              <w:tabs>
                <w:tab w:val="decimal" w:pos="340"/>
              </w:tabs>
            </w:pPr>
            <w:r>
              <w:t>60(1)</w:t>
            </w:r>
          </w:p>
        </w:tc>
        <w:tc>
          <w:tcPr>
            <w:tcW w:w="3719" w:type="dxa"/>
            <w:gridSpan w:val="2"/>
          </w:tcPr>
          <w:p>
            <w:pPr>
              <w:pStyle w:val="yTable"/>
            </w:pPr>
            <w:r>
              <w:t>Anchoring a vessel in a restricted area</w:t>
            </w:r>
          </w:p>
        </w:tc>
        <w:tc>
          <w:tcPr>
            <w:tcW w:w="1200" w:type="dxa"/>
            <w:vAlign w:val="bottom"/>
          </w:tcPr>
          <w:p>
            <w:pPr>
              <w:pStyle w:val="yTable"/>
              <w:tabs>
                <w:tab w:val="decimal" w:pos="766"/>
              </w:tabs>
            </w:pPr>
            <w:r>
              <w:t>100</w:t>
            </w:r>
          </w:p>
        </w:tc>
      </w:tr>
      <w:tr>
        <w:trPr>
          <w:cantSplit/>
        </w:trPr>
        <w:tc>
          <w:tcPr>
            <w:tcW w:w="710" w:type="dxa"/>
          </w:tcPr>
          <w:p>
            <w:pPr>
              <w:pStyle w:val="yTable"/>
            </w:pPr>
            <w:r>
              <w:t>51.</w:t>
            </w:r>
          </w:p>
        </w:tc>
        <w:tc>
          <w:tcPr>
            <w:tcW w:w="1211" w:type="dxa"/>
          </w:tcPr>
          <w:p>
            <w:pPr>
              <w:pStyle w:val="yTable"/>
              <w:tabs>
                <w:tab w:val="decimal" w:pos="340"/>
              </w:tabs>
            </w:pPr>
            <w:r>
              <w:t>61</w:t>
            </w:r>
          </w:p>
        </w:tc>
        <w:tc>
          <w:tcPr>
            <w:tcW w:w="3719" w:type="dxa"/>
            <w:gridSpan w:val="2"/>
          </w:tcPr>
          <w:p>
            <w:pPr>
              <w:pStyle w:val="yTable"/>
            </w:pPr>
            <w:r>
              <w:t>Operating certain vessels in a restricted area</w:t>
            </w:r>
          </w:p>
        </w:tc>
        <w:tc>
          <w:tcPr>
            <w:tcW w:w="1200" w:type="dxa"/>
            <w:vAlign w:val="bottom"/>
          </w:tcPr>
          <w:p>
            <w:pPr>
              <w:pStyle w:val="yTable"/>
              <w:tabs>
                <w:tab w:val="decimal" w:pos="766"/>
              </w:tabs>
            </w:pPr>
            <w:r>
              <w:t>50</w:t>
            </w:r>
          </w:p>
        </w:tc>
      </w:tr>
      <w:tr>
        <w:trPr>
          <w:cantSplit/>
        </w:trPr>
        <w:tc>
          <w:tcPr>
            <w:tcW w:w="710" w:type="dxa"/>
          </w:tcPr>
          <w:p>
            <w:pPr>
              <w:pStyle w:val="yTable"/>
            </w:pPr>
            <w:r>
              <w:t>51a.</w:t>
            </w:r>
          </w:p>
        </w:tc>
        <w:tc>
          <w:tcPr>
            <w:tcW w:w="1211" w:type="dxa"/>
          </w:tcPr>
          <w:p>
            <w:pPr>
              <w:pStyle w:val="yTable"/>
              <w:tabs>
                <w:tab w:val="decimal" w:pos="340"/>
              </w:tabs>
            </w:pPr>
            <w:r>
              <w:t>61A</w:t>
            </w:r>
          </w:p>
        </w:tc>
        <w:tc>
          <w:tcPr>
            <w:tcW w:w="3719" w:type="dxa"/>
            <w:gridSpan w:val="2"/>
          </w:tcPr>
          <w:p>
            <w:pPr>
              <w:pStyle w:val="yTable"/>
            </w:pPr>
            <w:r>
              <w:t>Unlawful operation of vessels in nature reserves</w:t>
            </w:r>
          </w:p>
        </w:tc>
        <w:tc>
          <w:tcPr>
            <w:tcW w:w="1200" w:type="dxa"/>
            <w:vAlign w:val="bottom"/>
          </w:tcPr>
          <w:p>
            <w:pPr>
              <w:pStyle w:val="yTable"/>
              <w:tabs>
                <w:tab w:val="decimal" w:pos="766"/>
              </w:tabs>
            </w:pPr>
            <w:r>
              <w:t>100</w:t>
            </w:r>
          </w:p>
        </w:tc>
      </w:tr>
      <w:tr>
        <w:trPr>
          <w:cantSplit/>
        </w:trPr>
        <w:tc>
          <w:tcPr>
            <w:tcW w:w="710" w:type="dxa"/>
          </w:tcPr>
          <w:p>
            <w:pPr>
              <w:pStyle w:val="yTable"/>
            </w:pPr>
            <w:r>
              <w:t>51b.</w:t>
            </w:r>
          </w:p>
        </w:tc>
        <w:tc>
          <w:tcPr>
            <w:tcW w:w="1211" w:type="dxa"/>
          </w:tcPr>
          <w:p>
            <w:pPr>
              <w:pStyle w:val="yTable"/>
              <w:tabs>
                <w:tab w:val="decimal" w:pos="340"/>
              </w:tabs>
            </w:pPr>
            <w:r>
              <w:t>62(1)</w:t>
            </w:r>
          </w:p>
        </w:tc>
        <w:tc>
          <w:tcPr>
            <w:tcW w:w="3719" w:type="dxa"/>
            <w:gridSpan w:val="2"/>
          </w:tcPr>
          <w:p>
            <w:pPr>
              <w:pStyle w:val="yTable"/>
            </w:pPr>
            <w:r>
              <w:t>Unsafe navigation of vessels</w:t>
            </w:r>
          </w:p>
        </w:tc>
        <w:tc>
          <w:tcPr>
            <w:tcW w:w="1200" w:type="dxa"/>
            <w:vAlign w:val="bottom"/>
          </w:tcPr>
          <w:p>
            <w:pPr>
              <w:pStyle w:val="yTable"/>
              <w:tabs>
                <w:tab w:val="decimal" w:pos="766"/>
              </w:tabs>
            </w:pPr>
            <w:r>
              <w:t>50</w:t>
            </w:r>
          </w:p>
        </w:tc>
      </w:tr>
      <w:tr>
        <w:trPr>
          <w:cantSplit/>
        </w:trPr>
        <w:tc>
          <w:tcPr>
            <w:tcW w:w="710" w:type="dxa"/>
          </w:tcPr>
          <w:p>
            <w:pPr>
              <w:pStyle w:val="yTable"/>
            </w:pPr>
            <w:r>
              <w:t>52.</w:t>
            </w:r>
          </w:p>
        </w:tc>
        <w:tc>
          <w:tcPr>
            <w:tcW w:w="1211" w:type="dxa"/>
          </w:tcPr>
          <w:p>
            <w:pPr>
              <w:pStyle w:val="yTable"/>
              <w:tabs>
                <w:tab w:val="decimal" w:pos="340"/>
              </w:tabs>
            </w:pPr>
            <w:r>
              <w:t>63</w:t>
            </w:r>
          </w:p>
        </w:tc>
        <w:tc>
          <w:tcPr>
            <w:tcW w:w="3719" w:type="dxa"/>
            <w:gridSpan w:val="2"/>
          </w:tcPr>
          <w:p>
            <w:pPr>
              <w:pStyle w:val="yTable"/>
            </w:pPr>
            <w:r>
              <w:t>Failing to obey direction as to vessel</w:t>
            </w:r>
          </w:p>
        </w:tc>
        <w:tc>
          <w:tcPr>
            <w:tcW w:w="1200" w:type="dxa"/>
            <w:vAlign w:val="bottom"/>
          </w:tcPr>
          <w:p>
            <w:pPr>
              <w:pStyle w:val="yTable"/>
              <w:tabs>
                <w:tab w:val="decimal" w:pos="766"/>
              </w:tabs>
            </w:pPr>
            <w:r>
              <w:t>50</w:t>
            </w:r>
          </w:p>
        </w:tc>
      </w:tr>
      <w:tr>
        <w:trPr>
          <w:cantSplit/>
        </w:trPr>
        <w:tc>
          <w:tcPr>
            <w:tcW w:w="710" w:type="dxa"/>
          </w:tcPr>
          <w:p>
            <w:pPr>
              <w:pStyle w:val="yTable"/>
            </w:pPr>
            <w:r>
              <w:t>53.</w:t>
            </w:r>
          </w:p>
        </w:tc>
        <w:tc>
          <w:tcPr>
            <w:tcW w:w="1211" w:type="dxa"/>
          </w:tcPr>
          <w:p>
            <w:pPr>
              <w:pStyle w:val="yTable"/>
              <w:tabs>
                <w:tab w:val="decimal" w:pos="340"/>
              </w:tabs>
            </w:pPr>
            <w:r>
              <w:t>64(1)</w:t>
            </w:r>
          </w:p>
        </w:tc>
        <w:tc>
          <w:tcPr>
            <w:tcW w:w="3719" w:type="dxa"/>
            <w:gridSpan w:val="2"/>
          </w:tcPr>
          <w:p>
            <w:pPr>
              <w:pStyle w:val="yTable"/>
            </w:pPr>
            <w:r>
              <w:t>Launching etc. vessel in restricted area</w:t>
            </w:r>
          </w:p>
        </w:tc>
        <w:tc>
          <w:tcPr>
            <w:tcW w:w="1200" w:type="dxa"/>
            <w:vAlign w:val="bottom"/>
          </w:tcPr>
          <w:p>
            <w:pPr>
              <w:pStyle w:val="yTable"/>
              <w:tabs>
                <w:tab w:val="decimal" w:pos="766"/>
              </w:tabs>
            </w:pPr>
            <w:r>
              <w:t>100</w:t>
            </w:r>
          </w:p>
        </w:tc>
      </w:tr>
      <w:tr>
        <w:trPr>
          <w:cantSplit/>
        </w:trPr>
        <w:tc>
          <w:tcPr>
            <w:tcW w:w="710" w:type="dxa"/>
          </w:tcPr>
          <w:p>
            <w:pPr>
              <w:pStyle w:val="yTable"/>
            </w:pPr>
            <w:r>
              <w:t>53a.</w:t>
            </w:r>
          </w:p>
        </w:tc>
        <w:tc>
          <w:tcPr>
            <w:tcW w:w="1211" w:type="dxa"/>
          </w:tcPr>
          <w:p>
            <w:pPr>
              <w:pStyle w:val="yTable"/>
              <w:tabs>
                <w:tab w:val="decimal" w:pos="340"/>
              </w:tabs>
            </w:pPr>
            <w:r>
              <w:t>64(2)</w:t>
            </w:r>
          </w:p>
        </w:tc>
        <w:tc>
          <w:tcPr>
            <w:tcW w:w="3719" w:type="dxa"/>
            <w:gridSpan w:val="2"/>
          </w:tcPr>
          <w:p>
            <w:pPr>
              <w:pStyle w:val="yTable"/>
            </w:pPr>
            <w:r>
              <w:t>Launching etc. vessel in restricted area — contravention of restriction</w:t>
            </w:r>
          </w:p>
        </w:tc>
        <w:tc>
          <w:tcPr>
            <w:tcW w:w="1200" w:type="dxa"/>
            <w:vAlign w:val="bottom"/>
          </w:tcPr>
          <w:p>
            <w:pPr>
              <w:pStyle w:val="yTable"/>
              <w:tabs>
                <w:tab w:val="decimal" w:pos="766"/>
              </w:tabs>
            </w:pPr>
            <w:r>
              <w:t>100</w:t>
            </w:r>
          </w:p>
        </w:tc>
      </w:tr>
      <w:tr>
        <w:trPr>
          <w:cantSplit/>
        </w:trPr>
        <w:tc>
          <w:tcPr>
            <w:tcW w:w="710" w:type="dxa"/>
          </w:tcPr>
          <w:p>
            <w:pPr>
              <w:pStyle w:val="yTable"/>
            </w:pPr>
            <w:r>
              <w:t>54.</w:t>
            </w:r>
          </w:p>
        </w:tc>
        <w:tc>
          <w:tcPr>
            <w:tcW w:w="1211" w:type="dxa"/>
          </w:tcPr>
          <w:p>
            <w:pPr>
              <w:pStyle w:val="yTable"/>
              <w:tabs>
                <w:tab w:val="decimal" w:pos="340"/>
              </w:tabs>
            </w:pPr>
            <w:r>
              <w:t>64(4)</w:t>
            </w:r>
          </w:p>
        </w:tc>
        <w:tc>
          <w:tcPr>
            <w:tcW w:w="3719" w:type="dxa"/>
            <w:gridSpan w:val="2"/>
            <w:vAlign w:val="bottom"/>
          </w:tcPr>
          <w:p>
            <w:pPr>
              <w:pStyle w:val="yTable"/>
            </w:pPr>
            <w:r>
              <w:t>Failing to comply with direction to remove vessel</w:t>
            </w:r>
          </w:p>
        </w:tc>
        <w:tc>
          <w:tcPr>
            <w:tcW w:w="1200" w:type="dxa"/>
            <w:vAlign w:val="bottom"/>
          </w:tcPr>
          <w:p>
            <w:pPr>
              <w:pStyle w:val="yTable"/>
              <w:tabs>
                <w:tab w:val="decimal" w:pos="766"/>
              </w:tabs>
            </w:pPr>
            <w:r>
              <w:t>100</w:t>
            </w:r>
          </w:p>
        </w:tc>
      </w:tr>
      <w:tr>
        <w:trPr>
          <w:cantSplit/>
        </w:trPr>
        <w:tc>
          <w:tcPr>
            <w:tcW w:w="710" w:type="dxa"/>
          </w:tcPr>
          <w:p>
            <w:pPr>
              <w:pStyle w:val="yTable"/>
            </w:pPr>
            <w:r>
              <w:t>54a.</w:t>
            </w:r>
          </w:p>
        </w:tc>
        <w:tc>
          <w:tcPr>
            <w:tcW w:w="1211" w:type="dxa"/>
          </w:tcPr>
          <w:p>
            <w:pPr>
              <w:pStyle w:val="yTable"/>
              <w:tabs>
                <w:tab w:val="decimal" w:pos="340"/>
              </w:tabs>
            </w:pPr>
            <w:r>
              <w:t>65(1)</w:t>
            </w:r>
          </w:p>
        </w:tc>
        <w:tc>
          <w:tcPr>
            <w:tcW w:w="3719" w:type="dxa"/>
            <w:gridSpan w:val="2"/>
          </w:tcPr>
          <w:p>
            <w:pPr>
              <w:pStyle w:val="yTable"/>
            </w:pPr>
            <w:r>
              <w:t>Unlawful landing of aircraft etc.</w:t>
            </w:r>
          </w:p>
        </w:tc>
        <w:tc>
          <w:tcPr>
            <w:tcW w:w="1200" w:type="dxa"/>
            <w:vAlign w:val="bottom"/>
          </w:tcPr>
          <w:p>
            <w:pPr>
              <w:pStyle w:val="yTable"/>
              <w:tabs>
                <w:tab w:val="decimal" w:pos="766"/>
              </w:tabs>
            </w:pPr>
            <w:r>
              <w:t>100</w:t>
            </w:r>
          </w:p>
        </w:tc>
      </w:tr>
      <w:tr>
        <w:trPr>
          <w:cantSplit/>
        </w:trPr>
        <w:tc>
          <w:tcPr>
            <w:tcW w:w="710" w:type="dxa"/>
          </w:tcPr>
          <w:p>
            <w:pPr>
              <w:pStyle w:val="yTable"/>
            </w:pPr>
            <w:r>
              <w:t>55.</w:t>
            </w:r>
          </w:p>
        </w:tc>
        <w:tc>
          <w:tcPr>
            <w:tcW w:w="1211" w:type="dxa"/>
          </w:tcPr>
          <w:p>
            <w:pPr>
              <w:pStyle w:val="yTable"/>
              <w:tabs>
                <w:tab w:val="decimal" w:pos="340"/>
              </w:tabs>
            </w:pPr>
            <w:r>
              <w:t>66(1)</w:t>
            </w:r>
          </w:p>
        </w:tc>
        <w:tc>
          <w:tcPr>
            <w:tcW w:w="3719" w:type="dxa"/>
            <w:gridSpan w:val="2"/>
          </w:tcPr>
          <w:p>
            <w:pPr>
              <w:pStyle w:val="yTable"/>
            </w:pPr>
            <w:r>
              <w:t>Camping other than in camping area</w:t>
            </w:r>
          </w:p>
        </w:tc>
        <w:tc>
          <w:tcPr>
            <w:tcW w:w="1200" w:type="dxa"/>
            <w:vAlign w:val="bottom"/>
          </w:tcPr>
          <w:p>
            <w:pPr>
              <w:pStyle w:val="yTable"/>
              <w:tabs>
                <w:tab w:val="decimal" w:pos="766"/>
              </w:tabs>
            </w:pPr>
            <w:r>
              <w:t>50</w:t>
            </w:r>
          </w:p>
        </w:tc>
      </w:tr>
      <w:tr>
        <w:trPr>
          <w:cantSplit/>
        </w:trPr>
        <w:tc>
          <w:tcPr>
            <w:tcW w:w="710" w:type="dxa"/>
          </w:tcPr>
          <w:p>
            <w:pPr>
              <w:pStyle w:val="yTable"/>
            </w:pPr>
            <w:r>
              <w:t>56.</w:t>
            </w:r>
          </w:p>
        </w:tc>
        <w:tc>
          <w:tcPr>
            <w:tcW w:w="1211" w:type="dxa"/>
          </w:tcPr>
          <w:p>
            <w:pPr>
              <w:pStyle w:val="yTable"/>
              <w:tabs>
                <w:tab w:val="decimal" w:pos="340"/>
              </w:tabs>
            </w:pPr>
            <w:r>
              <w:t>66(2)</w:t>
            </w:r>
          </w:p>
        </w:tc>
        <w:tc>
          <w:tcPr>
            <w:tcW w:w="3719" w:type="dxa"/>
            <w:gridSpan w:val="2"/>
          </w:tcPr>
          <w:p>
            <w:pPr>
              <w:pStyle w:val="yTable"/>
            </w:pPr>
            <w:r>
              <w:t>Failing to comply with condition of camping area</w:t>
            </w:r>
          </w:p>
        </w:tc>
        <w:tc>
          <w:tcPr>
            <w:tcW w:w="1200" w:type="dxa"/>
            <w:vAlign w:val="bottom"/>
          </w:tcPr>
          <w:p>
            <w:pPr>
              <w:pStyle w:val="yTable"/>
              <w:tabs>
                <w:tab w:val="decimal" w:pos="766"/>
              </w:tabs>
            </w:pPr>
            <w:r>
              <w:t>50</w:t>
            </w:r>
          </w:p>
        </w:tc>
      </w:tr>
      <w:tr>
        <w:trPr>
          <w:cantSplit/>
        </w:trPr>
        <w:tc>
          <w:tcPr>
            <w:tcW w:w="710" w:type="dxa"/>
          </w:tcPr>
          <w:p>
            <w:pPr>
              <w:pStyle w:val="yTable"/>
            </w:pPr>
            <w:r>
              <w:t>57.</w:t>
            </w:r>
          </w:p>
        </w:tc>
        <w:tc>
          <w:tcPr>
            <w:tcW w:w="1211" w:type="dxa"/>
          </w:tcPr>
          <w:p>
            <w:pPr>
              <w:pStyle w:val="yTable"/>
              <w:tabs>
                <w:tab w:val="decimal" w:pos="340"/>
              </w:tabs>
            </w:pPr>
            <w:r>
              <w:t>67(2)</w:t>
            </w:r>
          </w:p>
        </w:tc>
        <w:tc>
          <w:tcPr>
            <w:tcW w:w="3719" w:type="dxa"/>
            <w:gridSpan w:val="2"/>
          </w:tcPr>
          <w:p>
            <w:pPr>
              <w:pStyle w:val="yTable"/>
            </w:pPr>
            <w:r>
              <w:t>Failing to comply with direction to vacate camp</w:t>
            </w:r>
          </w:p>
        </w:tc>
        <w:tc>
          <w:tcPr>
            <w:tcW w:w="1200" w:type="dxa"/>
            <w:vAlign w:val="bottom"/>
          </w:tcPr>
          <w:p>
            <w:pPr>
              <w:pStyle w:val="yTable"/>
              <w:tabs>
                <w:tab w:val="decimal" w:pos="766"/>
              </w:tabs>
            </w:pPr>
            <w:r>
              <w:t>100</w:t>
            </w:r>
          </w:p>
        </w:tc>
      </w:tr>
      <w:tr>
        <w:trPr>
          <w:cantSplit/>
        </w:trPr>
        <w:tc>
          <w:tcPr>
            <w:tcW w:w="710" w:type="dxa"/>
          </w:tcPr>
          <w:p>
            <w:pPr>
              <w:pStyle w:val="yTable"/>
            </w:pPr>
            <w:r>
              <w:t>58.</w:t>
            </w:r>
          </w:p>
        </w:tc>
        <w:tc>
          <w:tcPr>
            <w:tcW w:w="1211" w:type="dxa"/>
          </w:tcPr>
          <w:p>
            <w:pPr>
              <w:pStyle w:val="yTable"/>
              <w:tabs>
                <w:tab w:val="decimal" w:pos="340"/>
              </w:tabs>
            </w:pPr>
            <w:r>
              <w:t>68</w:t>
            </w:r>
          </w:p>
        </w:tc>
        <w:tc>
          <w:tcPr>
            <w:tcW w:w="3719" w:type="dxa"/>
            <w:gridSpan w:val="2"/>
          </w:tcPr>
          <w:p>
            <w:pPr>
              <w:pStyle w:val="yTable"/>
            </w:pPr>
            <w:r>
              <w:t>Entering camping unit without authority</w:t>
            </w:r>
          </w:p>
        </w:tc>
        <w:tc>
          <w:tcPr>
            <w:tcW w:w="1200" w:type="dxa"/>
            <w:vAlign w:val="bottom"/>
          </w:tcPr>
          <w:p>
            <w:pPr>
              <w:pStyle w:val="yTable"/>
              <w:tabs>
                <w:tab w:val="decimal" w:pos="766"/>
              </w:tabs>
            </w:pPr>
            <w:r>
              <w:t>50</w:t>
            </w:r>
          </w:p>
        </w:tc>
      </w:tr>
      <w:tr>
        <w:trPr>
          <w:cantSplit/>
        </w:trPr>
        <w:tc>
          <w:tcPr>
            <w:tcW w:w="710" w:type="dxa"/>
          </w:tcPr>
          <w:p>
            <w:pPr>
              <w:pStyle w:val="yTable"/>
            </w:pPr>
            <w:r>
              <w:t>59.</w:t>
            </w:r>
          </w:p>
        </w:tc>
        <w:tc>
          <w:tcPr>
            <w:tcW w:w="1211" w:type="dxa"/>
          </w:tcPr>
          <w:p>
            <w:pPr>
              <w:pStyle w:val="yTable"/>
              <w:tabs>
                <w:tab w:val="decimal" w:pos="340"/>
              </w:tabs>
            </w:pPr>
            <w:r>
              <w:t>69(1)</w:t>
            </w:r>
          </w:p>
        </w:tc>
        <w:tc>
          <w:tcPr>
            <w:tcW w:w="3719" w:type="dxa"/>
            <w:gridSpan w:val="2"/>
          </w:tcPr>
          <w:p>
            <w:pPr>
              <w:pStyle w:val="yTable"/>
            </w:pPr>
            <w:r>
              <w:t>Unlawful construction of camping unit</w:t>
            </w:r>
          </w:p>
        </w:tc>
        <w:tc>
          <w:tcPr>
            <w:tcW w:w="1200" w:type="dxa"/>
            <w:vAlign w:val="bottom"/>
          </w:tcPr>
          <w:p>
            <w:pPr>
              <w:pStyle w:val="yTable"/>
              <w:tabs>
                <w:tab w:val="decimal" w:pos="766"/>
              </w:tabs>
            </w:pPr>
            <w:r>
              <w:t>100</w:t>
            </w:r>
          </w:p>
        </w:tc>
      </w:tr>
      <w:tr>
        <w:trPr>
          <w:cantSplit/>
        </w:trPr>
        <w:tc>
          <w:tcPr>
            <w:tcW w:w="710" w:type="dxa"/>
          </w:tcPr>
          <w:p>
            <w:pPr>
              <w:pStyle w:val="yTable"/>
            </w:pPr>
            <w:r>
              <w:t>60.</w:t>
            </w:r>
          </w:p>
        </w:tc>
        <w:tc>
          <w:tcPr>
            <w:tcW w:w="1211" w:type="dxa"/>
          </w:tcPr>
          <w:p>
            <w:pPr>
              <w:pStyle w:val="yTable"/>
              <w:tabs>
                <w:tab w:val="decimal" w:pos="340"/>
              </w:tabs>
            </w:pPr>
            <w:r>
              <w:t>69(2)</w:t>
            </w:r>
          </w:p>
        </w:tc>
        <w:tc>
          <w:tcPr>
            <w:tcW w:w="3719" w:type="dxa"/>
            <w:gridSpan w:val="2"/>
          </w:tcPr>
          <w:p>
            <w:pPr>
              <w:pStyle w:val="yTable"/>
            </w:pPr>
            <w:r>
              <w:t>Unlawful positioning of camping unit</w:t>
            </w:r>
          </w:p>
        </w:tc>
        <w:tc>
          <w:tcPr>
            <w:tcW w:w="1200" w:type="dxa"/>
            <w:vAlign w:val="bottom"/>
          </w:tcPr>
          <w:p>
            <w:pPr>
              <w:pStyle w:val="yTable"/>
              <w:tabs>
                <w:tab w:val="decimal" w:pos="766"/>
              </w:tabs>
            </w:pPr>
            <w:r>
              <w:t>50</w:t>
            </w:r>
          </w:p>
        </w:tc>
      </w:tr>
      <w:tr>
        <w:trPr>
          <w:cantSplit/>
        </w:trPr>
        <w:tc>
          <w:tcPr>
            <w:tcW w:w="710" w:type="dxa"/>
          </w:tcPr>
          <w:p>
            <w:pPr>
              <w:pStyle w:val="yTable"/>
            </w:pPr>
            <w:r>
              <w:t>61.</w:t>
            </w:r>
          </w:p>
        </w:tc>
        <w:tc>
          <w:tcPr>
            <w:tcW w:w="1211" w:type="dxa"/>
          </w:tcPr>
          <w:p>
            <w:pPr>
              <w:pStyle w:val="yTable"/>
              <w:tabs>
                <w:tab w:val="decimal" w:pos="340"/>
              </w:tabs>
            </w:pPr>
            <w:r>
              <w:t>69(3)</w:t>
            </w:r>
          </w:p>
        </w:tc>
        <w:tc>
          <w:tcPr>
            <w:tcW w:w="3719" w:type="dxa"/>
            <w:gridSpan w:val="2"/>
          </w:tcPr>
          <w:p>
            <w:pPr>
              <w:pStyle w:val="yTable"/>
            </w:pPr>
            <w:r>
              <w:t>Failing to maintain camping site in clean and sanitary condition</w:t>
            </w:r>
          </w:p>
        </w:tc>
        <w:tc>
          <w:tcPr>
            <w:tcW w:w="1200" w:type="dxa"/>
            <w:vAlign w:val="bottom"/>
          </w:tcPr>
          <w:p>
            <w:pPr>
              <w:pStyle w:val="yTable"/>
              <w:tabs>
                <w:tab w:val="decimal" w:pos="766"/>
              </w:tabs>
            </w:pPr>
            <w:r>
              <w:t>50</w:t>
            </w:r>
          </w:p>
        </w:tc>
      </w:tr>
      <w:tr>
        <w:trPr>
          <w:cantSplit/>
        </w:trPr>
        <w:tc>
          <w:tcPr>
            <w:tcW w:w="710" w:type="dxa"/>
          </w:tcPr>
          <w:p>
            <w:pPr>
              <w:pStyle w:val="yTable"/>
            </w:pPr>
            <w:r>
              <w:t>62.</w:t>
            </w:r>
          </w:p>
        </w:tc>
        <w:tc>
          <w:tcPr>
            <w:tcW w:w="1211" w:type="dxa"/>
          </w:tcPr>
          <w:p>
            <w:pPr>
              <w:pStyle w:val="yTable"/>
              <w:tabs>
                <w:tab w:val="decimal" w:pos="340"/>
              </w:tabs>
            </w:pPr>
            <w:r>
              <w:t>69(4)</w:t>
            </w:r>
          </w:p>
        </w:tc>
        <w:tc>
          <w:tcPr>
            <w:tcW w:w="3719" w:type="dxa"/>
            <w:gridSpan w:val="2"/>
          </w:tcPr>
          <w:p>
            <w:pPr>
              <w:pStyle w:val="yTable"/>
            </w:pPr>
            <w:r>
              <w:t>Failing to confine camp to allotted or defined site</w:t>
            </w:r>
          </w:p>
        </w:tc>
        <w:tc>
          <w:tcPr>
            <w:tcW w:w="1200" w:type="dxa"/>
            <w:vAlign w:val="bottom"/>
          </w:tcPr>
          <w:p>
            <w:pPr>
              <w:pStyle w:val="yTable"/>
              <w:tabs>
                <w:tab w:val="decimal" w:pos="766"/>
              </w:tabs>
            </w:pPr>
            <w:r>
              <w:t>50</w:t>
            </w:r>
          </w:p>
        </w:tc>
      </w:tr>
      <w:tr>
        <w:trPr>
          <w:cantSplit/>
        </w:trPr>
        <w:tc>
          <w:tcPr>
            <w:tcW w:w="710" w:type="dxa"/>
          </w:tcPr>
          <w:p>
            <w:pPr>
              <w:pStyle w:val="yTable"/>
            </w:pPr>
            <w:r>
              <w:t>63.</w:t>
            </w:r>
          </w:p>
        </w:tc>
        <w:tc>
          <w:tcPr>
            <w:tcW w:w="1211" w:type="dxa"/>
          </w:tcPr>
          <w:p>
            <w:pPr>
              <w:pStyle w:val="yTable"/>
              <w:tabs>
                <w:tab w:val="decimal" w:pos="340"/>
              </w:tabs>
            </w:pPr>
            <w:r>
              <w:t>69(6)</w:t>
            </w:r>
          </w:p>
        </w:tc>
        <w:tc>
          <w:tcPr>
            <w:tcW w:w="3719" w:type="dxa"/>
            <w:gridSpan w:val="2"/>
          </w:tcPr>
          <w:p>
            <w:pPr>
              <w:pStyle w:val="yTable"/>
            </w:pPr>
            <w:r>
              <w:t>Failing to comply with direction to move site</w:t>
            </w:r>
          </w:p>
        </w:tc>
        <w:tc>
          <w:tcPr>
            <w:tcW w:w="1200" w:type="dxa"/>
            <w:vAlign w:val="bottom"/>
          </w:tcPr>
          <w:p>
            <w:pPr>
              <w:pStyle w:val="yTable"/>
              <w:tabs>
                <w:tab w:val="decimal" w:pos="766"/>
              </w:tabs>
            </w:pPr>
            <w:r>
              <w:t>100</w:t>
            </w:r>
          </w:p>
        </w:tc>
      </w:tr>
      <w:tr>
        <w:trPr>
          <w:cantSplit/>
        </w:trPr>
        <w:tc>
          <w:tcPr>
            <w:tcW w:w="710" w:type="dxa"/>
          </w:tcPr>
          <w:p>
            <w:pPr>
              <w:pStyle w:val="yTable"/>
            </w:pPr>
            <w:r>
              <w:t>64.</w:t>
            </w:r>
          </w:p>
        </w:tc>
        <w:tc>
          <w:tcPr>
            <w:tcW w:w="1211" w:type="dxa"/>
          </w:tcPr>
          <w:p>
            <w:pPr>
              <w:pStyle w:val="yTable"/>
              <w:tabs>
                <w:tab w:val="decimal" w:pos="340"/>
              </w:tabs>
            </w:pPr>
            <w:r>
              <w:t>70(2)</w:t>
            </w:r>
          </w:p>
        </w:tc>
        <w:tc>
          <w:tcPr>
            <w:tcW w:w="3719" w:type="dxa"/>
            <w:gridSpan w:val="2"/>
          </w:tcPr>
          <w:p>
            <w:pPr>
              <w:pStyle w:val="yTable"/>
            </w:pPr>
            <w:r>
              <w:t>Failing to comply with direction as to power generator</w:t>
            </w:r>
          </w:p>
        </w:tc>
        <w:tc>
          <w:tcPr>
            <w:tcW w:w="1200" w:type="dxa"/>
            <w:vAlign w:val="bottom"/>
          </w:tcPr>
          <w:p>
            <w:pPr>
              <w:pStyle w:val="yTable"/>
              <w:tabs>
                <w:tab w:val="decimal" w:pos="766"/>
              </w:tabs>
            </w:pPr>
            <w:r>
              <w:t>100</w:t>
            </w:r>
          </w:p>
        </w:tc>
      </w:tr>
      <w:tr>
        <w:trPr>
          <w:cantSplit/>
        </w:trPr>
        <w:tc>
          <w:tcPr>
            <w:tcW w:w="710" w:type="dxa"/>
          </w:tcPr>
          <w:p>
            <w:pPr>
              <w:pStyle w:val="yTable"/>
            </w:pPr>
            <w:r>
              <w:t>64a.</w:t>
            </w:r>
          </w:p>
        </w:tc>
        <w:tc>
          <w:tcPr>
            <w:tcW w:w="1211" w:type="dxa"/>
          </w:tcPr>
          <w:p>
            <w:pPr>
              <w:pStyle w:val="yTable"/>
              <w:tabs>
                <w:tab w:val="decimal" w:pos="340"/>
              </w:tabs>
            </w:pPr>
            <w:r>
              <w:t>71(2a)</w:t>
            </w:r>
          </w:p>
        </w:tc>
        <w:tc>
          <w:tcPr>
            <w:tcW w:w="3719" w:type="dxa"/>
            <w:gridSpan w:val="2"/>
          </w:tcPr>
          <w:p>
            <w:pPr>
              <w:pStyle w:val="yTable"/>
            </w:pPr>
            <w:r>
              <w:t>Unlawfully collecting firewood for campfire</w:t>
            </w:r>
          </w:p>
        </w:tc>
        <w:tc>
          <w:tcPr>
            <w:tcW w:w="1200" w:type="dxa"/>
            <w:vAlign w:val="bottom"/>
          </w:tcPr>
          <w:p>
            <w:pPr>
              <w:pStyle w:val="yTable"/>
              <w:tabs>
                <w:tab w:val="decimal" w:pos="766"/>
              </w:tabs>
            </w:pPr>
            <w:r>
              <w:t>20</w:t>
            </w:r>
          </w:p>
        </w:tc>
      </w:tr>
      <w:tr>
        <w:trPr>
          <w:cantSplit/>
        </w:trPr>
        <w:tc>
          <w:tcPr>
            <w:tcW w:w="710" w:type="dxa"/>
          </w:tcPr>
          <w:p>
            <w:pPr>
              <w:pStyle w:val="yTable"/>
            </w:pPr>
            <w:r>
              <w:t>64b.</w:t>
            </w:r>
          </w:p>
        </w:tc>
        <w:tc>
          <w:tcPr>
            <w:tcW w:w="1211" w:type="dxa"/>
          </w:tcPr>
          <w:p>
            <w:pPr>
              <w:pStyle w:val="yTable"/>
              <w:tabs>
                <w:tab w:val="decimal" w:pos="340"/>
              </w:tabs>
            </w:pPr>
            <w:r>
              <w:t>73(2)</w:t>
            </w:r>
          </w:p>
        </w:tc>
        <w:tc>
          <w:tcPr>
            <w:tcW w:w="3719" w:type="dxa"/>
            <w:gridSpan w:val="2"/>
          </w:tcPr>
          <w:p>
            <w:pPr>
              <w:pStyle w:val="yTable"/>
            </w:pPr>
            <w:r>
              <w:t>Failing to comply with signs</w:t>
            </w:r>
          </w:p>
        </w:tc>
        <w:tc>
          <w:tcPr>
            <w:tcW w:w="1200" w:type="dxa"/>
            <w:vAlign w:val="bottom"/>
          </w:tcPr>
          <w:p>
            <w:pPr>
              <w:pStyle w:val="yTable"/>
              <w:tabs>
                <w:tab w:val="decimal" w:pos="766"/>
              </w:tabs>
            </w:pPr>
            <w:r>
              <w:t>50</w:t>
            </w:r>
          </w:p>
        </w:tc>
      </w:tr>
      <w:tr>
        <w:trPr>
          <w:cantSplit/>
        </w:trPr>
        <w:tc>
          <w:tcPr>
            <w:tcW w:w="710" w:type="dxa"/>
          </w:tcPr>
          <w:p>
            <w:pPr>
              <w:pStyle w:val="yTable"/>
            </w:pPr>
            <w:r>
              <w:t>65.</w:t>
            </w:r>
          </w:p>
        </w:tc>
        <w:tc>
          <w:tcPr>
            <w:tcW w:w="1211" w:type="dxa"/>
          </w:tcPr>
          <w:p>
            <w:pPr>
              <w:pStyle w:val="yTable"/>
              <w:tabs>
                <w:tab w:val="decimal" w:pos="340"/>
              </w:tabs>
            </w:pPr>
            <w:r>
              <w:t>75(2)</w:t>
            </w:r>
          </w:p>
        </w:tc>
        <w:tc>
          <w:tcPr>
            <w:tcW w:w="3719" w:type="dxa"/>
            <w:gridSpan w:val="2"/>
          </w:tcPr>
          <w:p>
            <w:pPr>
              <w:pStyle w:val="yTable"/>
            </w:pPr>
            <w:r>
              <w:t>Taking intoxicating substance into cave</w:t>
            </w:r>
          </w:p>
        </w:tc>
        <w:tc>
          <w:tcPr>
            <w:tcW w:w="1200" w:type="dxa"/>
            <w:vAlign w:val="bottom"/>
          </w:tcPr>
          <w:p>
            <w:pPr>
              <w:pStyle w:val="yTable"/>
              <w:tabs>
                <w:tab w:val="decimal" w:pos="766"/>
              </w:tabs>
            </w:pPr>
            <w:r>
              <w:t>50</w:t>
            </w:r>
          </w:p>
        </w:tc>
      </w:tr>
      <w:tr>
        <w:trPr>
          <w:cantSplit/>
        </w:trPr>
        <w:tc>
          <w:tcPr>
            <w:tcW w:w="710" w:type="dxa"/>
          </w:tcPr>
          <w:p>
            <w:pPr>
              <w:pStyle w:val="yTable"/>
            </w:pPr>
            <w:r>
              <w:t>66.</w:t>
            </w:r>
          </w:p>
        </w:tc>
        <w:tc>
          <w:tcPr>
            <w:tcW w:w="1211" w:type="dxa"/>
          </w:tcPr>
          <w:p>
            <w:pPr>
              <w:pStyle w:val="yTable"/>
              <w:tabs>
                <w:tab w:val="decimal" w:pos="340"/>
              </w:tabs>
            </w:pPr>
            <w:r>
              <w:t>76(1)</w:t>
            </w:r>
          </w:p>
        </w:tc>
        <w:tc>
          <w:tcPr>
            <w:tcW w:w="3719" w:type="dxa"/>
            <w:gridSpan w:val="2"/>
          </w:tcPr>
          <w:p>
            <w:pPr>
              <w:pStyle w:val="yTable"/>
            </w:pPr>
            <w:r>
              <w:t>Removing CALM property</w:t>
            </w:r>
          </w:p>
        </w:tc>
        <w:tc>
          <w:tcPr>
            <w:tcW w:w="1200" w:type="dxa"/>
            <w:vAlign w:val="bottom"/>
          </w:tcPr>
          <w:p>
            <w:pPr>
              <w:pStyle w:val="yTable"/>
              <w:tabs>
                <w:tab w:val="decimal" w:pos="766"/>
              </w:tabs>
            </w:pPr>
            <w:r>
              <w:t>200</w:t>
            </w:r>
          </w:p>
        </w:tc>
      </w:tr>
      <w:tr>
        <w:trPr>
          <w:cantSplit/>
        </w:trPr>
        <w:tc>
          <w:tcPr>
            <w:tcW w:w="710" w:type="dxa"/>
          </w:tcPr>
          <w:p>
            <w:pPr>
              <w:pStyle w:val="yTable"/>
            </w:pPr>
            <w:r>
              <w:t>66a.</w:t>
            </w:r>
          </w:p>
        </w:tc>
        <w:tc>
          <w:tcPr>
            <w:tcW w:w="1211" w:type="dxa"/>
          </w:tcPr>
          <w:p>
            <w:pPr>
              <w:pStyle w:val="yTable"/>
              <w:tabs>
                <w:tab w:val="decimal" w:pos="340"/>
              </w:tabs>
            </w:pPr>
            <w:r>
              <w:t>78(1a)</w:t>
            </w:r>
          </w:p>
        </w:tc>
        <w:tc>
          <w:tcPr>
            <w:tcW w:w="3719" w:type="dxa"/>
            <w:gridSpan w:val="2"/>
          </w:tcPr>
          <w:p>
            <w:pPr>
              <w:pStyle w:val="yTable"/>
            </w:pPr>
            <w:r>
              <w:t>Failing to comply with order to remove unauthorised property</w:t>
            </w:r>
          </w:p>
        </w:tc>
        <w:tc>
          <w:tcPr>
            <w:tcW w:w="1200" w:type="dxa"/>
            <w:vAlign w:val="bottom"/>
          </w:tcPr>
          <w:p>
            <w:pPr>
              <w:pStyle w:val="yTable"/>
              <w:tabs>
                <w:tab w:val="decimal" w:pos="766"/>
              </w:tabs>
            </w:pPr>
            <w:r>
              <w:t>50</w:t>
            </w:r>
          </w:p>
        </w:tc>
      </w:tr>
      <w:tr>
        <w:trPr>
          <w:cantSplit/>
        </w:trPr>
        <w:tc>
          <w:tcPr>
            <w:tcW w:w="710" w:type="dxa"/>
          </w:tcPr>
          <w:p>
            <w:pPr>
              <w:pStyle w:val="yTable"/>
            </w:pPr>
            <w:r>
              <w:t>67.</w:t>
            </w:r>
          </w:p>
        </w:tc>
        <w:tc>
          <w:tcPr>
            <w:tcW w:w="1211" w:type="dxa"/>
          </w:tcPr>
          <w:p>
            <w:pPr>
              <w:pStyle w:val="yTable"/>
              <w:tabs>
                <w:tab w:val="decimal" w:pos="340"/>
              </w:tabs>
            </w:pPr>
            <w:r>
              <w:t>88(2)</w:t>
            </w:r>
          </w:p>
        </w:tc>
        <w:tc>
          <w:tcPr>
            <w:tcW w:w="3719" w:type="dxa"/>
            <w:gridSpan w:val="2"/>
          </w:tcPr>
          <w:p>
            <w:pPr>
              <w:pStyle w:val="yTable"/>
            </w:pPr>
            <w:r>
              <w:t>Failing to comply with requirement to return licence</w:t>
            </w:r>
          </w:p>
        </w:tc>
        <w:tc>
          <w:tcPr>
            <w:tcW w:w="1200" w:type="dxa"/>
            <w:vAlign w:val="bottom"/>
          </w:tcPr>
          <w:p>
            <w:pPr>
              <w:pStyle w:val="yTable"/>
              <w:tabs>
                <w:tab w:val="decimal" w:pos="766"/>
              </w:tabs>
            </w:pPr>
            <w:r>
              <w:t>50</w:t>
            </w:r>
          </w:p>
        </w:tc>
      </w:tr>
      <w:tr>
        <w:trPr>
          <w:cantSplit/>
        </w:trPr>
        <w:tc>
          <w:tcPr>
            <w:tcW w:w="710" w:type="dxa"/>
          </w:tcPr>
          <w:p>
            <w:pPr>
              <w:pStyle w:val="yTable"/>
            </w:pPr>
            <w:r>
              <w:t>68.</w:t>
            </w:r>
          </w:p>
        </w:tc>
        <w:tc>
          <w:tcPr>
            <w:tcW w:w="1211" w:type="dxa"/>
          </w:tcPr>
          <w:p>
            <w:pPr>
              <w:pStyle w:val="yTable"/>
              <w:tabs>
                <w:tab w:val="decimal" w:pos="340"/>
              </w:tabs>
            </w:pPr>
            <w:r>
              <w:t>98(3)</w:t>
            </w:r>
          </w:p>
        </w:tc>
        <w:tc>
          <w:tcPr>
            <w:tcW w:w="3719" w:type="dxa"/>
            <w:gridSpan w:val="2"/>
          </w:tcPr>
          <w:p>
            <w:pPr>
              <w:pStyle w:val="yTable"/>
            </w:pPr>
            <w:r>
              <w:t>Contravention of condition of commercial operations licence</w:t>
            </w:r>
          </w:p>
        </w:tc>
        <w:tc>
          <w:tcPr>
            <w:tcW w:w="1200" w:type="dxa"/>
            <w:vAlign w:val="bottom"/>
          </w:tcPr>
          <w:p>
            <w:pPr>
              <w:pStyle w:val="yTable"/>
              <w:tabs>
                <w:tab w:val="decimal" w:pos="766"/>
              </w:tabs>
            </w:pPr>
            <w:r>
              <w:t>100</w:t>
            </w:r>
          </w:p>
        </w:tc>
      </w:tr>
      <w:tr>
        <w:trPr>
          <w:cantSplit/>
        </w:trPr>
        <w:tc>
          <w:tcPr>
            <w:tcW w:w="710" w:type="dxa"/>
          </w:tcPr>
          <w:p>
            <w:pPr>
              <w:pStyle w:val="yTable"/>
            </w:pPr>
            <w:r>
              <w:t>69.</w:t>
            </w:r>
          </w:p>
        </w:tc>
        <w:tc>
          <w:tcPr>
            <w:tcW w:w="1211" w:type="dxa"/>
          </w:tcPr>
          <w:p>
            <w:pPr>
              <w:pStyle w:val="yTable"/>
              <w:tabs>
                <w:tab w:val="decimal" w:pos="340"/>
              </w:tabs>
            </w:pPr>
            <w:r>
              <w:t>99(5)</w:t>
            </w:r>
          </w:p>
        </w:tc>
        <w:tc>
          <w:tcPr>
            <w:tcW w:w="3719" w:type="dxa"/>
            <w:gridSpan w:val="2"/>
          </w:tcPr>
          <w:p>
            <w:pPr>
              <w:pStyle w:val="yTable"/>
            </w:pPr>
            <w:r>
              <w:t>Failing to pay entrance fee</w:t>
            </w:r>
          </w:p>
        </w:tc>
        <w:tc>
          <w:tcPr>
            <w:tcW w:w="1200" w:type="dxa"/>
            <w:vAlign w:val="bottom"/>
          </w:tcPr>
          <w:p>
            <w:pPr>
              <w:pStyle w:val="yTable"/>
              <w:tabs>
                <w:tab w:val="decimal" w:pos="766"/>
              </w:tabs>
            </w:pPr>
            <w:r>
              <w:t>35</w:t>
            </w:r>
          </w:p>
        </w:tc>
      </w:tr>
      <w:tr>
        <w:trPr>
          <w:cantSplit/>
        </w:trPr>
        <w:tc>
          <w:tcPr>
            <w:tcW w:w="710" w:type="dxa"/>
          </w:tcPr>
          <w:p>
            <w:pPr>
              <w:pStyle w:val="yTable"/>
            </w:pPr>
            <w:r>
              <w:t>69a.</w:t>
            </w:r>
          </w:p>
        </w:tc>
        <w:tc>
          <w:tcPr>
            <w:tcW w:w="1211" w:type="dxa"/>
          </w:tcPr>
          <w:p>
            <w:pPr>
              <w:pStyle w:val="yTable"/>
              <w:tabs>
                <w:tab w:val="decimal" w:pos="340"/>
              </w:tabs>
            </w:pPr>
            <w:r>
              <w:t>99A(3)</w:t>
            </w:r>
          </w:p>
        </w:tc>
        <w:tc>
          <w:tcPr>
            <w:tcW w:w="3719" w:type="dxa"/>
            <w:gridSpan w:val="2"/>
          </w:tcPr>
          <w:p>
            <w:pPr>
              <w:pStyle w:val="yTable"/>
            </w:pPr>
            <w:r>
              <w:t>Failing to pay landing fee for tour aircraft</w:t>
            </w:r>
          </w:p>
        </w:tc>
        <w:tc>
          <w:tcPr>
            <w:tcW w:w="1200" w:type="dxa"/>
            <w:vAlign w:val="bottom"/>
          </w:tcPr>
          <w:p>
            <w:pPr>
              <w:pStyle w:val="yTable"/>
              <w:tabs>
                <w:tab w:val="decimal" w:pos="766"/>
              </w:tabs>
            </w:pPr>
            <w:r>
              <w:t>100</w:t>
            </w:r>
          </w:p>
        </w:tc>
      </w:tr>
      <w:tr>
        <w:trPr>
          <w:cantSplit/>
        </w:trPr>
        <w:tc>
          <w:tcPr>
            <w:tcW w:w="710" w:type="dxa"/>
          </w:tcPr>
          <w:p>
            <w:pPr>
              <w:pStyle w:val="yTable"/>
            </w:pPr>
            <w:r>
              <w:t>70.</w:t>
            </w:r>
          </w:p>
        </w:tc>
        <w:tc>
          <w:tcPr>
            <w:tcW w:w="1211" w:type="dxa"/>
          </w:tcPr>
          <w:p>
            <w:pPr>
              <w:pStyle w:val="yTable"/>
              <w:ind w:firstLine="45"/>
            </w:pPr>
            <w:r>
              <w:t>100(4)</w:t>
            </w:r>
          </w:p>
        </w:tc>
        <w:tc>
          <w:tcPr>
            <w:tcW w:w="3719" w:type="dxa"/>
            <w:gridSpan w:val="2"/>
          </w:tcPr>
          <w:p>
            <w:pPr>
              <w:pStyle w:val="yTable"/>
            </w:pPr>
            <w:r>
              <w:t>Failing to pay fee for Tree Top Walk</w:t>
            </w:r>
          </w:p>
        </w:tc>
        <w:tc>
          <w:tcPr>
            <w:tcW w:w="1200" w:type="dxa"/>
            <w:vAlign w:val="bottom"/>
          </w:tcPr>
          <w:p>
            <w:pPr>
              <w:pStyle w:val="yTable"/>
              <w:tabs>
                <w:tab w:val="decimal" w:pos="766"/>
              </w:tabs>
            </w:pPr>
            <w:r>
              <w:t>35</w:t>
            </w:r>
          </w:p>
        </w:tc>
      </w:tr>
      <w:tr>
        <w:trPr>
          <w:cantSplit/>
        </w:trPr>
        <w:tc>
          <w:tcPr>
            <w:tcW w:w="710" w:type="dxa"/>
          </w:tcPr>
          <w:p>
            <w:pPr>
              <w:pStyle w:val="yTable"/>
            </w:pPr>
            <w:r>
              <w:t>70a.</w:t>
            </w:r>
          </w:p>
        </w:tc>
        <w:tc>
          <w:tcPr>
            <w:tcW w:w="1211" w:type="dxa"/>
          </w:tcPr>
          <w:p>
            <w:pPr>
              <w:pStyle w:val="yTable"/>
              <w:ind w:firstLine="45"/>
            </w:pPr>
            <w:r>
              <w:t>100A(4)</w:t>
            </w:r>
          </w:p>
        </w:tc>
        <w:tc>
          <w:tcPr>
            <w:tcW w:w="3719" w:type="dxa"/>
            <w:gridSpan w:val="2"/>
          </w:tcPr>
          <w:p>
            <w:pPr>
              <w:pStyle w:val="yTable"/>
            </w:pPr>
            <w:r>
              <w:t>Failing to pay entrance fee</w:t>
            </w:r>
          </w:p>
        </w:tc>
        <w:tc>
          <w:tcPr>
            <w:tcW w:w="1200" w:type="dxa"/>
            <w:vAlign w:val="bottom"/>
          </w:tcPr>
          <w:p>
            <w:pPr>
              <w:pStyle w:val="yTable"/>
              <w:tabs>
                <w:tab w:val="decimal" w:pos="766"/>
              </w:tabs>
            </w:pPr>
            <w:r>
              <w:t>35</w:t>
            </w:r>
          </w:p>
        </w:tc>
      </w:tr>
      <w:tr>
        <w:trPr>
          <w:cantSplit/>
        </w:trPr>
        <w:tc>
          <w:tcPr>
            <w:tcW w:w="710" w:type="dxa"/>
          </w:tcPr>
          <w:p>
            <w:pPr>
              <w:pStyle w:val="yTable"/>
            </w:pPr>
            <w:r>
              <w:t>71.</w:t>
            </w:r>
          </w:p>
        </w:tc>
        <w:tc>
          <w:tcPr>
            <w:tcW w:w="1211" w:type="dxa"/>
          </w:tcPr>
          <w:p>
            <w:pPr>
              <w:pStyle w:val="yTable"/>
              <w:ind w:firstLine="45"/>
            </w:pPr>
            <w:r>
              <w:t>102</w:t>
            </w:r>
          </w:p>
        </w:tc>
        <w:tc>
          <w:tcPr>
            <w:tcW w:w="3719" w:type="dxa"/>
            <w:gridSpan w:val="2"/>
          </w:tcPr>
          <w:p>
            <w:pPr>
              <w:pStyle w:val="yTable"/>
            </w:pPr>
            <w:r>
              <w:t>Failing to pay entrance fee when entering on horseback</w:t>
            </w:r>
          </w:p>
        </w:tc>
        <w:tc>
          <w:tcPr>
            <w:tcW w:w="1200" w:type="dxa"/>
            <w:vAlign w:val="bottom"/>
          </w:tcPr>
          <w:p>
            <w:pPr>
              <w:pStyle w:val="yTable"/>
              <w:tabs>
                <w:tab w:val="decimal" w:pos="766"/>
              </w:tabs>
            </w:pPr>
            <w:r>
              <w:t>35</w:t>
            </w:r>
          </w:p>
        </w:tc>
      </w:tr>
      <w:tr>
        <w:trPr>
          <w:cantSplit/>
        </w:trPr>
        <w:tc>
          <w:tcPr>
            <w:tcW w:w="710" w:type="dxa"/>
          </w:tcPr>
          <w:p>
            <w:pPr>
              <w:pStyle w:val="yTable"/>
            </w:pPr>
            <w:r>
              <w:t>71a.</w:t>
            </w:r>
          </w:p>
        </w:tc>
        <w:tc>
          <w:tcPr>
            <w:tcW w:w="1211" w:type="dxa"/>
          </w:tcPr>
          <w:p>
            <w:pPr>
              <w:pStyle w:val="yTable"/>
              <w:ind w:firstLine="45"/>
            </w:pPr>
            <w:r>
              <w:t>102A(3)</w:t>
            </w:r>
          </w:p>
        </w:tc>
        <w:tc>
          <w:tcPr>
            <w:tcW w:w="3719" w:type="dxa"/>
            <w:gridSpan w:val="2"/>
          </w:tcPr>
          <w:p>
            <w:pPr>
              <w:pStyle w:val="yTable"/>
            </w:pPr>
            <w:r>
              <w:t>Failing to pay abseiling fee</w:t>
            </w:r>
          </w:p>
        </w:tc>
        <w:tc>
          <w:tcPr>
            <w:tcW w:w="1200" w:type="dxa"/>
            <w:vAlign w:val="bottom"/>
          </w:tcPr>
          <w:p>
            <w:pPr>
              <w:pStyle w:val="yTable"/>
              <w:tabs>
                <w:tab w:val="decimal" w:pos="766"/>
              </w:tabs>
            </w:pPr>
            <w:r>
              <w:t>35</w:t>
            </w:r>
          </w:p>
        </w:tc>
      </w:tr>
      <w:tr>
        <w:trPr>
          <w:cantSplit/>
        </w:trPr>
        <w:tc>
          <w:tcPr>
            <w:tcW w:w="710" w:type="dxa"/>
          </w:tcPr>
          <w:p>
            <w:pPr>
              <w:pStyle w:val="yTable"/>
            </w:pPr>
            <w:r>
              <w:t>72.</w:t>
            </w:r>
          </w:p>
        </w:tc>
        <w:tc>
          <w:tcPr>
            <w:tcW w:w="1211" w:type="dxa"/>
          </w:tcPr>
          <w:p>
            <w:pPr>
              <w:pStyle w:val="yTable"/>
              <w:ind w:firstLine="45"/>
            </w:pPr>
            <w:r>
              <w:t>103(4)</w:t>
            </w:r>
          </w:p>
        </w:tc>
        <w:tc>
          <w:tcPr>
            <w:tcW w:w="3719" w:type="dxa"/>
            <w:gridSpan w:val="2"/>
          </w:tcPr>
          <w:p>
            <w:pPr>
              <w:pStyle w:val="yTable"/>
            </w:pPr>
            <w:r>
              <w:t>Failing to pay camping fee</w:t>
            </w:r>
          </w:p>
        </w:tc>
        <w:tc>
          <w:tcPr>
            <w:tcW w:w="1200" w:type="dxa"/>
            <w:vAlign w:val="bottom"/>
          </w:tcPr>
          <w:p>
            <w:pPr>
              <w:pStyle w:val="yTable"/>
              <w:tabs>
                <w:tab w:val="decimal" w:pos="766"/>
              </w:tabs>
            </w:pPr>
            <w:r>
              <w:t>35</w:t>
            </w:r>
          </w:p>
        </w:tc>
      </w:tr>
      <w:tr>
        <w:trPr>
          <w:cantSplit/>
        </w:trPr>
        <w:tc>
          <w:tcPr>
            <w:tcW w:w="710" w:type="dxa"/>
          </w:tcPr>
          <w:p>
            <w:pPr>
              <w:pStyle w:val="yTable"/>
            </w:pPr>
            <w:r>
              <w:t>73.</w:t>
            </w:r>
          </w:p>
        </w:tc>
        <w:tc>
          <w:tcPr>
            <w:tcW w:w="1211" w:type="dxa"/>
          </w:tcPr>
          <w:p>
            <w:pPr>
              <w:pStyle w:val="yTable"/>
              <w:ind w:firstLine="45"/>
            </w:pPr>
            <w:r>
              <w:t>105(1)</w:t>
            </w:r>
          </w:p>
        </w:tc>
        <w:tc>
          <w:tcPr>
            <w:tcW w:w="3719" w:type="dxa"/>
            <w:gridSpan w:val="2"/>
          </w:tcPr>
          <w:p>
            <w:pPr>
              <w:pStyle w:val="yTable"/>
            </w:pPr>
            <w:r>
              <w:t>Organising etc. meeting etc.</w:t>
            </w:r>
          </w:p>
        </w:tc>
        <w:tc>
          <w:tcPr>
            <w:tcW w:w="1200" w:type="dxa"/>
            <w:vAlign w:val="bottom"/>
          </w:tcPr>
          <w:p>
            <w:pPr>
              <w:pStyle w:val="yTable"/>
              <w:tabs>
                <w:tab w:val="decimal" w:pos="766"/>
              </w:tabs>
            </w:pPr>
            <w:r>
              <w:t>200</w:t>
            </w:r>
          </w:p>
        </w:tc>
      </w:tr>
      <w:tr>
        <w:trPr>
          <w:cantSplit/>
        </w:trPr>
        <w:tc>
          <w:tcPr>
            <w:tcW w:w="710" w:type="dxa"/>
          </w:tcPr>
          <w:p>
            <w:pPr>
              <w:pStyle w:val="yTable"/>
            </w:pPr>
            <w:r>
              <w:t>74.</w:t>
            </w:r>
          </w:p>
        </w:tc>
        <w:tc>
          <w:tcPr>
            <w:tcW w:w="1211" w:type="dxa"/>
          </w:tcPr>
          <w:p>
            <w:pPr>
              <w:pStyle w:val="yTable"/>
              <w:ind w:firstLine="45"/>
            </w:pPr>
            <w:r>
              <w:t>106(1)</w:t>
            </w:r>
          </w:p>
        </w:tc>
        <w:tc>
          <w:tcPr>
            <w:tcW w:w="3719" w:type="dxa"/>
            <w:gridSpan w:val="2"/>
          </w:tcPr>
          <w:p>
            <w:pPr>
              <w:pStyle w:val="yTable"/>
            </w:pPr>
            <w:r>
              <w:t>Selling goods or services, or carrying on business</w:t>
            </w:r>
          </w:p>
        </w:tc>
        <w:tc>
          <w:tcPr>
            <w:tcW w:w="1200" w:type="dxa"/>
            <w:vAlign w:val="bottom"/>
          </w:tcPr>
          <w:p>
            <w:pPr>
              <w:pStyle w:val="yTable"/>
              <w:tabs>
                <w:tab w:val="decimal" w:pos="766"/>
              </w:tabs>
            </w:pPr>
            <w:r>
              <w:t>200</w:t>
            </w:r>
          </w:p>
        </w:tc>
      </w:tr>
      <w:tr>
        <w:trPr>
          <w:cantSplit/>
        </w:trPr>
        <w:tc>
          <w:tcPr>
            <w:tcW w:w="710" w:type="dxa"/>
          </w:tcPr>
          <w:p>
            <w:pPr>
              <w:pStyle w:val="yTable"/>
            </w:pPr>
            <w:r>
              <w:t>74a.</w:t>
            </w:r>
          </w:p>
        </w:tc>
        <w:tc>
          <w:tcPr>
            <w:tcW w:w="1211" w:type="dxa"/>
          </w:tcPr>
          <w:p>
            <w:pPr>
              <w:pStyle w:val="yTable"/>
              <w:ind w:firstLine="45"/>
            </w:pPr>
            <w:r>
              <w:t>106(2)</w:t>
            </w:r>
          </w:p>
        </w:tc>
        <w:tc>
          <w:tcPr>
            <w:tcW w:w="3719" w:type="dxa"/>
            <w:gridSpan w:val="2"/>
          </w:tcPr>
          <w:p>
            <w:pPr>
              <w:pStyle w:val="yTable"/>
            </w:pPr>
            <w:r>
              <w:t>Advertising goods or services or a business</w:t>
            </w:r>
          </w:p>
        </w:tc>
        <w:tc>
          <w:tcPr>
            <w:tcW w:w="1200" w:type="dxa"/>
            <w:vAlign w:val="bottom"/>
          </w:tcPr>
          <w:p>
            <w:pPr>
              <w:pStyle w:val="yTable"/>
              <w:tabs>
                <w:tab w:val="decimal" w:pos="766"/>
              </w:tabs>
            </w:pPr>
            <w:r>
              <w:t>200</w:t>
            </w:r>
          </w:p>
        </w:tc>
      </w:tr>
      <w:tr>
        <w:trPr>
          <w:cantSplit/>
        </w:trPr>
        <w:tc>
          <w:tcPr>
            <w:tcW w:w="710" w:type="dxa"/>
          </w:tcPr>
          <w:p>
            <w:pPr>
              <w:pStyle w:val="yTable"/>
            </w:pPr>
            <w:r>
              <w:t>75.</w:t>
            </w:r>
          </w:p>
        </w:tc>
        <w:tc>
          <w:tcPr>
            <w:tcW w:w="1211" w:type="dxa"/>
          </w:tcPr>
          <w:p>
            <w:pPr>
              <w:pStyle w:val="yTable"/>
              <w:ind w:firstLine="45"/>
            </w:pPr>
            <w:r>
              <w:t>107</w:t>
            </w:r>
          </w:p>
        </w:tc>
        <w:tc>
          <w:tcPr>
            <w:tcW w:w="3719" w:type="dxa"/>
            <w:gridSpan w:val="2"/>
          </w:tcPr>
          <w:p>
            <w:pPr>
              <w:pStyle w:val="yTable"/>
            </w:pPr>
            <w:r>
              <w:t>Distributing etc. printed matter etc.</w:t>
            </w:r>
          </w:p>
        </w:tc>
        <w:tc>
          <w:tcPr>
            <w:tcW w:w="1200" w:type="dxa"/>
            <w:vAlign w:val="bottom"/>
          </w:tcPr>
          <w:p>
            <w:pPr>
              <w:pStyle w:val="yTable"/>
              <w:tabs>
                <w:tab w:val="decimal" w:pos="766"/>
              </w:tabs>
            </w:pPr>
            <w:r>
              <w:t>50</w:t>
            </w:r>
          </w:p>
        </w:tc>
      </w:tr>
      <w:tr>
        <w:trPr>
          <w:cantSplit/>
        </w:trPr>
        <w:tc>
          <w:tcPr>
            <w:tcW w:w="710" w:type="dxa"/>
          </w:tcPr>
          <w:p>
            <w:pPr>
              <w:pStyle w:val="yTable"/>
            </w:pPr>
            <w:r>
              <w:t>76.</w:t>
            </w:r>
          </w:p>
        </w:tc>
        <w:tc>
          <w:tcPr>
            <w:tcW w:w="1211" w:type="dxa"/>
          </w:tcPr>
          <w:p>
            <w:pPr>
              <w:pStyle w:val="yTable"/>
              <w:ind w:firstLine="45"/>
            </w:pPr>
            <w:r>
              <w:t>108</w:t>
            </w:r>
          </w:p>
        </w:tc>
        <w:tc>
          <w:tcPr>
            <w:tcW w:w="3719" w:type="dxa"/>
            <w:gridSpan w:val="2"/>
          </w:tcPr>
          <w:p>
            <w:pPr>
              <w:pStyle w:val="yTable"/>
            </w:pPr>
            <w:r>
              <w:t>Unlawfully taking still or motion pictures</w:t>
            </w:r>
          </w:p>
        </w:tc>
        <w:tc>
          <w:tcPr>
            <w:tcW w:w="1200" w:type="dxa"/>
            <w:vAlign w:val="bottom"/>
          </w:tcPr>
          <w:p>
            <w:pPr>
              <w:pStyle w:val="yTable"/>
              <w:tabs>
                <w:tab w:val="decimal" w:pos="766"/>
              </w:tabs>
            </w:pPr>
            <w:r>
              <w:t>50</w:t>
            </w:r>
          </w:p>
        </w:tc>
      </w:tr>
      <w:tr>
        <w:trPr>
          <w:cantSplit/>
        </w:trPr>
        <w:tc>
          <w:tcPr>
            <w:tcW w:w="710" w:type="dxa"/>
          </w:tcPr>
          <w:p>
            <w:pPr>
              <w:pStyle w:val="yTable"/>
            </w:pPr>
            <w:r>
              <w:t>77.</w:t>
            </w:r>
          </w:p>
        </w:tc>
        <w:tc>
          <w:tcPr>
            <w:tcW w:w="1211" w:type="dxa"/>
          </w:tcPr>
          <w:p>
            <w:pPr>
              <w:pStyle w:val="yTable"/>
              <w:ind w:firstLine="45"/>
            </w:pPr>
            <w:r>
              <w:t>109</w:t>
            </w:r>
          </w:p>
        </w:tc>
        <w:tc>
          <w:tcPr>
            <w:tcW w:w="3719" w:type="dxa"/>
            <w:gridSpan w:val="2"/>
          </w:tcPr>
          <w:p>
            <w:pPr>
              <w:pStyle w:val="yTable"/>
            </w:pPr>
            <w:r>
              <w:t>Failing to produce licence etc.</w:t>
            </w:r>
          </w:p>
        </w:tc>
        <w:tc>
          <w:tcPr>
            <w:tcW w:w="1200" w:type="dxa"/>
            <w:vAlign w:val="bottom"/>
          </w:tcPr>
          <w:p>
            <w:pPr>
              <w:pStyle w:val="yTable"/>
              <w:tabs>
                <w:tab w:val="decimal" w:pos="766"/>
              </w:tabs>
            </w:pPr>
            <w:r>
              <w:t>100</w:t>
            </w:r>
          </w:p>
        </w:tc>
      </w:tr>
      <w:tr>
        <w:trPr>
          <w:cantSplit/>
        </w:trPr>
        <w:tc>
          <w:tcPr>
            <w:tcW w:w="710" w:type="dxa"/>
          </w:tcPr>
          <w:p>
            <w:pPr>
              <w:pStyle w:val="yTable"/>
            </w:pPr>
            <w:r>
              <w:t>78.</w:t>
            </w:r>
          </w:p>
        </w:tc>
        <w:tc>
          <w:tcPr>
            <w:tcW w:w="1211" w:type="dxa"/>
          </w:tcPr>
          <w:p>
            <w:pPr>
              <w:pStyle w:val="yTable"/>
              <w:ind w:firstLine="45"/>
            </w:pPr>
            <w:r>
              <w:t>110</w:t>
            </w:r>
          </w:p>
        </w:tc>
        <w:tc>
          <w:tcPr>
            <w:tcW w:w="3719" w:type="dxa"/>
            <w:gridSpan w:val="2"/>
          </w:tcPr>
          <w:p>
            <w:pPr>
              <w:pStyle w:val="yTable"/>
            </w:pPr>
            <w:r>
              <w:t>Giving false or misleading information</w:t>
            </w:r>
          </w:p>
        </w:tc>
        <w:tc>
          <w:tcPr>
            <w:tcW w:w="1200" w:type="dxa"/>
            <w:vAlign w:val="bottom"/>
          </w:tcPr>
          <w:p>
            <w:pPr>
              <w:pStyle w:val="yTable"/>
              <w:tabs>
                <w:tab w:val="decimal" w:pos="766"/>
              </w:tabs>
            </w:pPr>
            <w:r>
              <w:t>100</w:t>
            </w:r>
          </w:p>
        </w:tc>
      </w:tr>
    </w:tbl>
    <w:p>
      <w:pPr>
        <w:pStyle w:val="yFootnotesection"/>
      </w:pPr>
      <w:bookmarkStart w:id="2099" w:name="_Toc8119210"/>
      <w:bookmarkStart w:id="2100" w:name="_Toc78685350"/>
      <w:r>
        <w:tab/>
        <w:t>[Division 2 amended in Gazette 29 Sep 2006 p. 4331</w:t>
      </w:r>
      <w:r>
        <w:noBreakHyphen/>
        <w:t>3; 27 Feb 2007 p. 625-6.]</w:t>
      </w:r>
    </w:p>
    <w:p>
      <w:pPr>
        <w:pStyle w:val="yScheduleHeading"/>
      </w:pPr>
      <w:bookmarkStart w:id="2101" w:name="_Toc189456651"/>
      <w:bookmarkStart w:id="2102" w:name="_Toc524422662"/>
      <w:bookmarkStart w:id="2103" w:name="_Toc147312462"/>
      <w:bookmarkStart w:id="2104" w:name="_Toc147631319"/>
      <w:bookmarkStart w:id="2105" w:name="_Toc147633653"/>
      <w:bookmarkStart w:id="2106" w:name="_Toc147907097"/>
      <w:bookmarkStart w:id="2107" w:name="_Toc147907496"/>
      <w:bookmarkStart w:id="2108" w:name="_Toc149010049"/>
      <w:bookmarkStart w:id="2109" w:name="_Toc149010403"/>
      <w:bookmarkStart w:id="2110" w:name="_Toc149010571"/>
      <w:bookmarkStart w:id="2111" w:name="_Toc149016448"/>
      <w:bookmarkStart w:id="2112" w:name="_Toc149039191"/>
      <w:bookmarkStart w:id="2113" w:name="_Toc149039912"/>
      <w:bookmarkStart w:id="2114" w:name="_Toc150315523"/>
      <w:bookmarkStart w:id="2115" w:name="_Toc150315734"/>
      <w:bookmarkStart w:id="2116" w:name="_Toc160272944"/>
      <w:bookmarkStart w:id="2117" w:name="_Toc160332892"/>
      <w:bookmarkStart w:id="2118" w:name="_Toc170207918"/>
      <w:r>
        <w:rPr>
          <w:rStyle w:val="CharSchNo"/>
        </w:rPr>
        <w:t>Schedule 3</w:t>
      </w:r>
      <w:r>
        <w:rPr>
          <w:rStyle w:val="CharSDivNo"/>
        </w:rPr>
        <w:t xml:space="preserve"> </w:t>
      </w:r>
      <w:r>
        <w:t>—</w:t>
      </w:r>
      <w:r>
        <w:rPr>
          <w:rStyle w:val="CharSDivText"/>
        </w:rPr>
        <w:t xml:space="preserve"> </w:t>
      </w:r>
      <w:r>
        <w:rPr>
          <w:rStyle w:val="CharSchText"/>
        </w:rPr>
        <w:t>Forms</w:t>
      </w:r>
      <w:bookmarkEnd w:id="2101"/>
      <w:bookmarkEnd w:id="2102"/>
      <w:bookmarkEnd w:id="2099"/>
      <w:bookmarkEnd w:id="2100"/>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p>
    <w:p>
      <w:pPr>
        <w:pStyle w:val="yShoulderClause"/>
      </w:pPr>
      <w:r>
        <w:t xml:space="preserve">[r. </w:t>
      </w:r>
      <w:bookmarkStart w:id="2119" w:name="_Hlt499688711"/>
      <w:r>
        <w:t>112(3)</w:t>
      </w:r>
      <w:bookmarkEnd w:id="2119"/>
      <w:r>
        <w:t>]</w:t>
      </w:r>
    </w:p>
    <w:p>
      <w:pPr>
        <w:pStyle w:val="yMiscellaneousBody"/>
        <w:jc w:val="center"/>
        <w:rPr>
          <w:snapToGrid w:val="0"/>
        </w:rPr>
      </w:pPr>
      <w:r>
        <w:rPr>
          <w:snapToGrid w:val="0"/>
        </w:rPr>
        <w:t>Form 1</w:t>
      </w:r>
    </w:p>
    <w:p>
      <w:pPr>
        <w:pStyle w:val="yMiscellaneousBody"/>
        <w:jc w:val="center"/>
        <w:rPr>
          <w:i/>
          <w:snapToGrid w:val="0"/>
        </w:rPr>
      </w:pPr>
      <w:r>
        <w:rPr>
          <w:i/>
          <w:snapToGrid w:val="0"/>
        </w:rPr>
        <w:t>Conservation and Land Management Regulations 2002</w:t>
      </w:r>
    </w:p>
    <w:p>
      <w:pPr>
        <w:pStyle w:val="yMiscellaneousBody"/>
        <w:jc w:val="center"/>
        <w:rPr>
          <w:snapToGrid w:val="0"/>
        </w:rPr>
      </w:pPr>
      <w:r>
        <w:rPr>
          <w:snapToGrid w:val="0"/>
        </w:rPr>
        <w:t>Infringement Notice</w:t>
      </w:r>
    </w:p>
    <w:p>
      <w:pPr>
        <w:pStyle w:val="yMiscellaneousBody"/>
        <w:jc w:val="center"/>
        <w:rPr>
          <w:i/>
          <w:snapToGrid w:val="0"/>
        </w:rPr>
      </w:pPr>
      <w:r>
        <w:rPr>
          <w:i/>
          <w:snapToGrid w:val="0"/>
        </w:rPr>
        <w:t>Conservation and Land Management Act 1984</w:t>
      </w:r>
    </w:p>
    <w:p>
      <w:pPr>
        <w:pStyle w:val="yMiscellaneousBody"/>
        <w:rPr>
          <w:snapToGrid w:val="0"/>
        </w:rPr>
      </w:pPr>
      <w:r>
        <w:rPr>
          <w:snapToGrid w:val="0"/>
        </w:rPr>
        <w:t>(section 114A(1))                                                                No. . . . . . . . . . . . . . .</w:t>
      </w:r>
    </w:p>
    <w:p>
      <w:pPr>
        <w:pStyle w:val="yMiscellaneousBody"/>
        <w:rPr>
          <w:snapToGrid w:val="0"/>
        </w:rPr>
      </w:pPr>
      <w:r>
        <w:rPr>
          <w:snapToGrid w:val="0"/>
        </w:rPr>
        <w:t xml:space="preserve">                                                                                              Date . . . ./ . . . . / . . . .</w:t>
      </w:r>
    </w:p>
    <w:p>
      <w:pPr>
        <w:pStyle w:val="yMiscellaneousBody"/>
        <w:rPr>
          <w:snapToGrid w:val="0"/>
        </w:rPr>
      </w:pPr>
      <w:r>
        <w:rPr>
          <w:snapToGrid w:val="0"/>
        </w:rPr>
        <w:t>1. To . . . . . . . . . . . . . . . . . . . . . . . . . . . . . . . . . . . . . . . . . . . . . . . . . . . (name)</w:t>
      </w:r>
    </w:p>
    <w:p>
      <w:pPr>
        <w:pStyle w:val="yMiscellaneousBody"/>
        <w:rPr>
          <w:snapToGrid w:val="0"/>
        </w:rPr>
      </w:pPr>
      <w:r>
        <w:rPr>
          <w:snapToGrid w:val="0"/>
        </w:rPr>
        <w:t>of . . . . . . . . . . . . . . . . . . . . . . . . . . . . . . . . . . . . . . . . . . . . . . . . . . . . . . . . . . . . . . . . . . . . . . . . . . . . . . . . . . . . . . . . . . . . . . . . . . . . . . . . . . . . . . . . . . . . . . .(address)</w:t>
      </w:r>
    </w:p>
    <w:p>
      <w:pPr>
        <w:pStyle w:val="yMiscellaneousBody"/>
        <w:rPr>
          <w:snapToGrid w:val="0"/>
        </w:rPr>
      </w:pPr>
      <w:r>
        <w:rPr>
          <w:snapToGrid w:val="0"/>
        </w:rPr>
        <w:t xml:space="preserve">2. It is alleged that at about . . . . . . . . .a.m./p.m. on the . . . day of. . . . . . . . . . . ., you committed an offence against regulation . . . . . of the </w:t>
      </w:r>
      <w:r>
        <w:rPr>
          <w:i/>
          <w:snapToGrid w:val="0"/>
        </w:rPr>
        <w:t>Conservation and Land Management Regulations 2002</w:t>
      </w:r>
      <w:r>
        <w:rPr>
          <w:snapToGrid w:val="0"/>
        </w:rPr>
        <w:t xml:space="preserve"> by . . . . . . . . . . . . . . . . . . . . . . . . . . . . . . . </w:t>
      </w:r>
    </w:p>
    <w:p>
      <w:pPr>
        <w:pStyle w:val="yMiscellaneousBody"/>
        <w:rPr>
          <w:snapToGrid w:val="0"/>
        </w:rPr>
      </w:pPr>
      <w:r>
        <w:rPr>
          <w:snapToGrid w:val="0"/>
        </w:rPr>
        <w:t xml:space="preserve">3. If you do not wish to have a complaint of the alleged offence heard and determined by a court, you may pay the modified penalty of $ . . . . . . . . for that offence to the </w:t>
      </w:r>
      <w:r>
        <w:t xml:space="preserve">Chief Executive Officer </w:t>
      </w:r>
      <w:r>
        <w:rPr>
          <w:snapToGrid w:val="0"/>
        </w:rPr>
        <w:t>within 21 days of the giving of this notice.</w:t>
      </w:r>
    </w:p>
    <w:p>
      <w:pPr>
        <w:pStyle w:val="yMiscellaneousBody"/>
        <w:rPr>
          <w:snapToGrid w:val="0"/>
        </w:rPr>
      </w:pPr>
      <w:r>
        <w:rPr>
          <w:snapToGrid w:val="0"/>
        </w:rPr>
        <w:t>4. Payment may be made by either posting this form and a cheque, money or postal note for the modified penalty to the</w:t>
      </w:r>
      <w:r>
        <w:t xml:space="preserve"> Chief Executive Officer</w:t>
      </w:r>
      <w:r>
        <w:rPr>
          <w:snapToGrid w:val="0"/>
        </w:rPr>
        <w:t xml:space="preserve">, </w:t>
      </w:r>
      <w:r>
        <w:t>Department of Environment and Conservation</w:t>
      </w:r>
      <w:r>
        <w:rPr>
          <w:snapToGrid w:val="0"/>
        </w:rPr>
        <w:t>, P.O. Box 104, Como WA 6152, or by delivering this form and paying the modified penalty at an office of the</w:t>
      </w:r>
      <w:r>
        <w:t xml:space="preserve"> Department of Environment and Conservation</w:t>
      </w:r>
      <w:r>
        <w:rPr>
          <w:snapToGrid w:val="0"/>
        </w:rPr>
        <w:t>.</w:t>
      </w:r>
    </w:p>
    <w:p>
      <w:pPr>
        <w:pStyle w:val="yMiscellaneousBody"/>
        <w:keepNext/>
        <w:keepLines/>
        <w:rPr>
          <w:snapToGrid w:val="0"/>
        </w:rPr>
      </w:pPr>
      <w:r>
        <w:rPr>
          <w:snapToGrid w:val="0"/>
        </w:rPr>
        <w:t>5. If this modified penalty is not paid within 21 days of the date of this notice, court proceedings may be taken against you.</w:t>
      </w:r>
    </w:p>
    <w:p>
      <w:pPr>
        <w:pStyle w:val="yMiscellaneousBody"/>
        <w:keepNext/>
        <w:keepLines/>
        <w:jc w:val="right"/>
        <w:rPr>
          <w:snapToGrid w:val="0"/>
        </w:rPr>
      </w:pPr>
      <w:r>
        <w:rPr>
          <w:snapToGrid w:val="0"/>
        </w:rPr>
        <w:t xml:space="preserve"> . . . . . . . . . . . . . . . . . . . . . . . . . . . . . </w:t>
      </w:r>
    </w:p>
    <w:p>
      <w:pPr>
        <w:pStyle w:val="yMiscellaneousBody"/>
        <w:keepNext/>
        <w:keepLines/>
        <w:spacing w:before="0"/>
        <w:jc w:val="right"/>
        <w:rPr>
          <w:snapToGrid w:val="0"/>
        </w:rPr>
      </w:pPr>
      <w:r>
        <w:rPr>
          <w:snapToGrid w:val="0"/>
        </w:rPr>
        <w:t>Signature of (forest/wildlife/conservation</w:t>
      </w:r>
      <w:r>
        <w:rPr>
          <w:snapToGrid w:val="0"/>
        </w:rPr>
        <w:br/>
        <w:t xml:space="preserve"> and land management officer/ranger)*</w:t>
      </w:r>
    </w:p>
    <w:p>
      <w:pPr>
        <w:pStyle w:val="yMiscellaneousBody"/>
        <w:keepNext/>
        <w:keepLines/>
        <w:rPr>
          <w:snapToGrid w:val="0"/>
        </w:rPr>
      </w:pPr>
      <w:r>
        <w:rPr>
          <w:snapToGrid w:val="0"/>
        </w:rPr>
        <w:t>(* Delete whichever does not apply.)</w:t>
      </w:r>
    </w:p>
    <w:p>
      <w:pPr>
        <w:pStyle w:val="yFootnotesection"/>
        <w:keepNext/>
      </w:pPr>
      <w:r>
        <w:tab/>
        <w:t>[Form 1 amended in Gazette 29 Sep 2006 p. 4333.]</w:t>
      </w:r>
    </w:p>
    <w:p>
      <w:pPr>
        <w:pStyle w:val="yMiscellaneousBody"/>
        <w:pageBreakBefore/>
        <w:jc w:val="center"/>
        <w:rPr>
          <w:snapToGrid w:val="0"/>
        </w:rPr>
      </w:pPr>
      <w:r>
        <w:rPr>
          <w:snapToGrid w:val="0"/>
        </w:rPr>
        <w:t>Form 2</w:t>
      </w:r>
    </w:p>
    <w:p>
      <w:pPr>
        <w:pStyle w:val="yMiscellaneousBody"/>
        <w:jc w:val="right"/>
        <w:rPr>
          <w:snapToGrid w:val="0"/>
        </w:rPr>
      </w:pPr>
      <w:r>
        <w:rPr>
          <w:snapToGrid w:val="0"/>
        </w:rPr>
        <w:t>[r.</w:t>
      </w:r>
      <w:r>
        <w:t xml:space="preserve"> 112(4)</w:t>
      </w:r>
      <w:r>
        <w:rPr>
          <w:snapToGrid w:val="0"/>
        </w:rPr>
        <w:t>]</w:t>
      </w:r>
    </w:p>
    <w:p>
      <w:pPr>
        <w:pStyle w:val="yMiscellaneousBody"/>
        <w:jc w:val="center"/>
        <w:rPr>
          <w:i/>
          <w:snapToGrid w:val="0"/>
        </w:rPr>
      </w:pPr>
      <w:r>
        <w:rPr>
          <w:i/>
          <w:snapToGrid w:val="0"/>
        </w:rPr>
        <w:t>Conservation and Land Management Regulations 2002</w:t>
      </w:r>
    </w:p>
    <w:p>
      <w:pPr>
        <w:pStyle w:val="yMiscellaneousBody"/>
        <w:jc w:val="center"/>
        <w:rPr>
          <w:snapToGrid w:val="0"/>
        </w:rPr>
      </w:pPr>
      <w:r>
        <w:rPr>
          <w:snapToGrid w:val="0"/>
        </w:rPr>
        <w:t>Withdrawal of Infringement Notice</w:t>
      </w:r>
    </w:p>
    <w:p>
      <w:pPr>
        <w:pStyle w:val="yMiscellaneousBody"/>
        <w:jc w:val="center"/>
        <w:rPr>
          <w:i/>
          <w:snapToGrid w:val="0"/>
        </w:rPr>
      </w:pPr>
      <w:r>
        <w:rPr>
          <w:i/>
          <w:snapToGrid w:val="0"/>
        </w:rPr>
        <w:t>Conservation and Land Management Act 1984</w:t>
      </w:r>
    </w:p>
    <w:p>
      <w:pPr>
        <w:pStyle w:val="yMiscellaneousBody"/>
        <w:rPr>
          <w:snapToGrid w:val="0"/>
        </w:rPr>
      </w:pPr>
      <w:r>
        <w:rPr>
          <w:snapToGrid w:val="0"/>
        </w:rPr>
        <w:t>(section 114A(6))                                                           No. . . . . . . . . . . . . . .</w:t>
      </w:r>
    </w:p>
    <w:p>
      <w:pPr>
        <w:pStyle w:val="yMiscellaneousBody"/>
        <w:rPr>
          <w:snapToGrid w:val="0"/>
        </w:rPr>
      </w:pPr>
      <w:r>
        <w:rPr>
          <w:snapToGrid w:val="0"/>
        </w:rPr>
        <w:t xml:space="preserve">                                                                                         Date . . . ./ . . . . / . . . .</w:t>
      </w:r>
    </w:p>
    <w:p>
      <w:pPr>
        <w:pStyle w:val="yMiscellaneousBody"/>
        <w:rPr>
          <w:snapToGrid w:val="0"/>
        </w:rPr>
      </w:pPr>
      <w:r>
        <w:rPr>
          <w:snapToGrid w:val="0"/>
        </w:rPr>
        <w:t>To . . . . . . . . . . . . . . . . . . . . . . . . . . . . . . . . . . . . . . . . . . . . . . . . . . . (name)</w:t>
      </w:r>
    </w:p>
    <w:p>
      <w:pPr>
        <w:pStyle w:val="yMiscellaneousBody"/>
        <w:rPr>
          <w:snapToGrid w:val="0"/>
        </w:rPr>
      </w:pPr>
      <w:r>
        <w:rPr>
          <w:snapToGrid w:val="0"/>
        </w:rPr>
        <w:t>of . . . . . . . . . . . . . . . . . . . . . . . . . . . . . . . . . . . . . . . . . . . . . . . . . . . . . . . . . . . . . . . . . . . . . . . . . . . . . . . . . . . . . . . . . . . . . . . . . . . . . . . . . . . . . . . . . . . . . . .(address)</w:t>
      </w:r>
    </w:p>
    <w:p>
      <w:pPr>
        <w:pStyle w:val="yMiscellaneousBody"/>
        <w:rPr>
          <w:snapToGrid w:val="0"/>
        </w:rPr>
      </w:pPr>
    </w:p>
    <w:p>
      <w:pPr>
        <w:pStyle w:val="yMiscellaneousBody"/>
        <w:rPr>
          <w:snapToGrid w:val="0"/>
        </w:rPr>
      </w:pPr>
      <w:r>
        <w:rPr>
          <w:snapToGrid w:val="0"/>
        </w:rPr>
        <w:t>1. Infringement Notice No. . . . . . . . . . . . . . . . Date . . . ./ . . . ./ . . for the alleged offence of . . . . . . . . . . . . . . . . . . . . . . . . . . . . . . . . . . . . . . . . . . . . . . . . . . . . . . . . . . . . . . . . . . . . . . . . . . . . . . . . . . . . . . . . . . . . . . . . . . . . . . . . . . . . . . . . . . . . . .and specifying the modified penalty of $. . . . . . . . is withdrawn.</w:t>
      </w:r>
    </w:p>
    <w:p>
      <w:pPr>
        <w:pStyle w:val="yMiscellaneousBody"/>
        <w:rPr>
          <w:snapToGrid w:val="0"/>
        </w:rPr>
      </w:pPr>
      <w:r>
        <w:rPr>
          <w:snapToGrid w:val="0"/>
        </w:rPr>
        <w:t>2. No further action will be taken against you. *</w:t>
      </w:r>
    </w:p>
    <w:p>
      <w:pPr>
        <w:pStyle w:val="yMiscellaneousBody"/>
        <w:rPr>
          <w:snapToGrid w:val="0"/>
        </w:rPr>
      </w:pPr>
      <w:r>
        <w:rPr>
          <w:snapToGrid w:val="0"/>
        </w:rPr>
        <w:t>OR</w:t>
      </w:r>
    </w:p>
    <w:p>
      <w:pPr>
        <w:pStyle w:val="yMiscellaneousBody"/>
        <w:rPr>
          <w:snapToGrid w:val="0"/>
        </w:rPr>
      </w:pPr>
      <w:r>
        <w:rPr>
          <w:snapToGrid w:val="0"/>
        </w:rPr>
        <w:t>It is proposed to commence court proceedings against you for the alleged offence. *</w:t>
      </w:r>
    </w:p>
    <w:p>
      <w:pPr>
        <w:pStyle w:val="yMiscellaneousBody"/>
        <w:rPr>
          <w:snapToGrid w:val="0"/>
        </w:rPr>
      </w:pPr>
      <w:r>
        <w:rPr>
          <w:snapToGrid w:val="0"/>
        </w:rPr>
        <w:t>(* Delete whichever does not apply.)</w:t>
      </w:r>
    </w:p>
    <w:p>
      <w:pPr>
        <w:pStyle w:val="yMiscellaneousBody"/>
        <w:jc w:val="right"/>
        <w:rPr>
          <w:snapToGrid w:val="0"/>
        </w:rPr>
      </w:pPr>
      <w:r>
        <w:rPr>
          <w:snapToGrid w:val="0"/>
        </w:rPr>
        <w:t xml:space="preserve">. . . . . . . . . . . . . . . . . . . . . . . . . . . . . . . </w:t>
      </w:r>
    </w:p>
    <w:p>
      <w:pPr>
        <w:pStyle w:val="yMiscellaneousBody"/>
        <w:spacing w:before="0"/>
        <w:jc w:val="right"/>
        <w:rPr>
          <w:snapToGrid w:val="0"/>
        </w:rPr>
      </w:pPr>
      <w:r>
        <w:t>Chief Executive Officer</w:t>
      </w:r>
      <w:r>
        <w:rPr>
          <w:snapToGrid w:val="0"/>
        </w:rPr>
        <w:t>,</w:t>
      </w:r>
    </w:p>
    <w:p>
      <w:pPr>
        <w:pStyle w:val="yMiscellaneousBody"/>
        <w:spacing w:before="0"/>
        <w:jc w:val="right"/>
        <w:rPr>
          <w:snapToGrid w:val="0"/>
        </w:rPr>
      </w:pPr>
      <w:r>
        <w:t>Department of Environment and Conservation</w:t>
      </w:r>
    </w:p>
    <w:p>
      <w:pPr>
        <w:pStyle w:val="yFootnotesection"/>
      </w:pPr>
      <w:r>
        <w:tab/>
        <w:t>[Form 2 amended in Gazette 29 Sep 2006 p. 4333.]</w:t>
      </w:r>
    </w:p>
    <w:p>
      <w:pPr>
        <w:tabs>
          <w:tab w:val="decimal" w:pos="766"/>
        </w:tabs>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2120" w:name="UpToHere"/>
      <w:bookmarkStart w:id="2121" w:name="_Toc189456652"/>
      <w:bookmarkStart w:id="2122" w:name="_Toc524422663"/>
      <w:bookmarkStart w:id="2123" w:name="_Toc71355005"/>
      <w:bookmarkStart w:id="2124" w:name="_Toc78623748"/>
      <w:bookmarkStart w:id="2125" w:name="_Toc78685351"/>
      <w:bookmarkStart w:id="2126" w:name="_Toc147312463"/>
      <w:bookmarkStart w:id="2127" w:name="_Toc147631320"/>
      <w:bookmarkStart w:id="2128" w:name="_Toc147633654"/>
      <w:bookmarkStart w:id="2129" w:name="_Toc147907098"/>
      <w:bookmarkStart w:id="2130" w:name="_Toc147907497"/>
      <w:bookmarkStart w:id="2131" w:name="_Toc149010050"/>
      <w:bookmarkStart w:id="2132" w:name="_Toc149010404"/>
      <w:bookmarkStart w:id="2133" w:name="_Toc149010572"/>
      <w:bookmarkStart w:id="2134" w:name="_Toc149016449"/>
      <w:bookmarkStart w:id="2135" w:name="_Toc149039192"/>
      <w:bookmarkStart w:id="2136" w:name="_Toc149039913"/>
      <w:bookmarkStart w:id="2137" w:name="_Toc150315524"/>
      <w:bookmarkStart w:id="2138" w:name="_Toc150315735"/>
      <w:bookmarkStart w:id="2139" w:name="_Toc160272945"/>
      <w:bookmarkStart w:id="2140" w:name="_Toc160332893"/>
      <w:bookmarkStart w:id="2141" w:name="_Toc170207919"/>
      <w:bookmarkEnd w:id="2120"/>
      <w:r>
        <w:t>Notes</w:t>
      </w:r>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p>
    <w:p>
      <w:pPr>
        <w:pStyle w:val="nSubsection"/>
        <w:rPr>
          <w:snapToGrid w:val="0"/>
        </w:rPr>
      </w:pPr>
      <w:r>
        <w:rPr>
          <w:snapToGrid w:val="0"/>
          <w:vertAlign w:val="superscript"/>
        </w:rPr>
        <w:t>1</w:t>
      </w:r>
      <w:r>
        <w:rPr>
          <w:snapToGrid w:val="0"/>
        </w:rPr>
        <w:tab/>
        <w:t xml:space="preserve">This is a compilation of the </w:t>
      </w:r>
      <w:r>
        <w:rPr>
          <w:i/>
          <w:noProof/>
          <w:snapToGrid w:val="0"/>
        </w:rPr>
        <w:t>Conservation and Land Management Regulations 2002</w:t>
      </w:r>
      <w:r>
        <w:rPr>
          <w:snapToGrid w:val="0"/>
        </w:rPr>
        <w:t xml:space="preserve"> and includes the amendments made by the other written laws referred to in the following table.  The table also contains information about any reprint.</w:t>
      </w:r>
    </w:p>
    <w:p>
      <w:pPr>
        <w:pStyle w:val="nHeading3"/>
      </w:pPr>
      <w:bookmarkStart w:id="2142" w:name="_Toc189456653"/>
      <w:bookmarkStart w:id="2143" w:name="_Toc524422664"/>
      <w:bookmarkStart w:id="2144" w:name="_Toc150315736"/>
      <w:bookmarkStart w:id="2145" w:name="_Toc160332894"/>
      <w:bookmarkStart w:id="2146" w:name="_Toc170207920"/>
      <w:r>
        <w:t>Compilation table</w:t>
      </w:r>
      <w:bookmarkEnd w:id="2142"/>
      <w:bookmarkEnd w:id="2143"/>
      <w:bookmarkEnd w:id="2144"/>
      <w:bookmarkEnd w:id="2145"/>
      <w:bookmarkEnd w:id="214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Conservation and Land Management Regulations 2002</w:t>
            </w:r>
          </w:p>
        </w:tc>
        <w:tc>
          <w:tcPr>
            <w:tcW w:w="1276" w:type="dxa"/>
            <w:tcBorders>
              <w:top w:val="single" w:sz="8" w:space="0" w:color="auto"/>
            </w:tcBorders>
          </w:tcPr>
          <w:p>
            <w:pPr>
              <w:pStyle w:val="nTable"/>
              <w:spacing w:after="40"/>
              <w:rPr>
                <w:sz w:val="19"/>
              </w:rPr>
            </w:pPr>
            <w:r>
              <w:rPr>
                <w:sz w:val="19"/>
              </w:rPr>
              <w:t>3 May 2002 p. 2233</w:t>
            </w:r>
            <w:r>
              <w:rPr>
                <w:sz w:val="19"/>
              </w:rPr>
              <w:noBreakHyphen/>
              <w:t>308</w:t>
            </w:r>
          </w:p>
        </w:tc>
        <w:tc>
          <w:tcPr>
            <w:tcW w:w="2693" w:type="dxa"/>
            <w:tcBorders>
              <w:top w:val="single" w:sz="8" w:space="0" w:color="auto"/>
            </w:tcBorders>
          </w:tcPr>
          <w:p>
            <w:pPr>
              <w:pStyle w:val="nTable"/>
              <w:spacing w:after="40"/>
              <w:rPr>
                <w:sz w:val="19"/>
              </w:rPr>
            </w:pPr>
            <w:r>
              <w:rPr>
                <w:sz w:val="19"/>
              </w:rPr>
              <w:t>3 May 2002</w:t>
            </w:r>
          </w:p>
        </w:tc>
      </w:tr>
      <w:tr>
        <w:tc>
          <w:tcPr>
            <w:tcW w:w="3119" w:type="dxa"/>
          </w:tcPr>
          <w:p>
            <w:pPr>
              <w:pStyle w:val="nTable"/>
              <w:spacing w:after="40"/>
              <w:rPr>
                <w:i/>
                <w:sz w:val="19"/>
              </w:rPr>
            </w:pPr>
            <w:r>
              <w:rPr>
                <w:i/>
                <w:sz w:val="19"/>
              </w:rPr>
              <w:t>Conservation and Land Management Amendment Regulations 2002</w:t>
            </w:r>
          </w:p>
        </w:tc>
        <w:tc>
          <w:tcPr>
            <w:tcW w:w="1276" w:type="dxa"/>
          </w:tcPr>
          <w:p>
            <w:pPr>
              <w:pStyle w:val="nTable"/>
              <w:spacing w:after="40"/>
              <w:rPr>
                <w:sz w:val="19"/>
              </w:rPr>
            </w:pPr>
            <w:r>
              <w:rPr>
                <w:sz w:val="19"/>
              </w:rPr>
              <w:t>4 Oct 2002 p. 5065</w:t>
            </w:r>
            <w:r>
              <w:rPr>
                <w:sz w:val="19"/>
              </w:rPr>
              <w:noBreakHyphen/>
              <w:t>6</w:t>
            </w:r>
          </w:p>
        </w:tc>
        <w:tc>
          <w:tcPr>
            <w:tcW w:w="2693" w:type="dxa"/>
          </w:tcPr>
          <w:p>
            <w:pPr>
              <w:pStyle w:val="nTable"/>
              <w:spacing w:after="40"/>
              <w:rPr>
                <w:sz w:val="19"/>
              </w:rPr>
            </w:pPr>
            <w:r>
              <w:rPr>
                <w:sz w:val="19"/>
              </w:rPr>
              <w:t>4 Oct 2002</w:t>
            </w:r>
          </w:p>
        </w:tc>
      </w:tr>
      <w:tr>
        <w:tc>
          <w:tcPr>
            <w:tcW w:w="3119" w:type="dxa"/>
          </w:tcPr>
          <w:p>
            <w:pPr>
              <w:pStyle w:val="nTable"/>
              <w:spacing w:after="40"/>
              <w:rPr>
                <w:i/>
                <w:sz w:val="19"/>
              </w:rPr>
            </w:pPr>
            <w:r>
              <w:rPr>
                <w:i/>
                <w:sz w:val="19"/>
              </w:rPr>
              <w:t>Conservation and Land Management Amendment Regulations 2004</w:t>
            </w:r>
          </w:p>
        </w:tc>
        <w:tc>
          <w:tcPr>
            <w:tcW w:w="1276" w:type="dxa"/>
          </w:tcPr>
          <w:p>
            <w:pPr>
              <w:pStyle w:val="nTable"/>
              <w:spacing w:after="40"/>
              <w:rPr>
                <w:sz w:val="19"/>
              </w:rPr>
            </w:pPr>
            <w:r>
              <w:rPr>
                <w:sz w:val="19"/>
              </w:rPr>
              <w:t>4 May 2004 p. 1383</w:t>
            </w:r>
          </w:p>
        </w:tc>
        <w:tc>
          <w:tcPr>
            <w:tcW w:w="2693" w:type="dxa"/>
          </w:tcPr>
          <w:p>
            <w:pPr>
              <w:pStyle w:val="nTable"/>
              <w:spacing w:after="40"/>
              <w:rPr>
                <w:sz w:val="19"/>
              </w:rPr>
            </w:pPr>
            <w:r>
              <w:rPr>
                <w:sz w:val="19"/>
              </w:rPr>
              <w:t>4 May 2004</w:t>
            </w:r>
          </w:p>
        </w:tc>
      </w:tr>
      <w:tr>
        <w:tc>
          <w:tcPr>
            <w:tcW w:w="3119" w:type="dxa"/>
          </w:tcPr>
          <w:p>
            <w:pPr>
              <w:pStyle w:val="nTable"/>
              <w:spacing w:after="40"/>
              <w:rPr>
                <w:i/>
                <w:sz w:val="19"/>
              </w:rPr>
            </w:pPr>
            <w:r>
              <w:rPr>
                <w:i/>
                <w:sz w:val="19"/>
              </w:rPr>
              <w:t>Conservation and Land Management Amendment Regulations (No. 2) 2004</w:t>
            </w:r>
          </w:p>
        </w:tc>
        <w:tc>
          <w:tcPr>
            <w:tcW w:w="1276" w:type="dxa"/>
          </w:tcPr>
          <w:p>
            <w:pPr>
              <w:pStyle w:val="nTable"/>
              <w:spacing w:after="40"/>
              <w:rPr>
                <w:sz w:val="19"/>
              </w:rPr>
            </w:pPr>
            <w:r>
              <w:rPr>
                <w:sz w:val="19"/>
              </w:rPr>
              <w:t>27 Jul 2004 p. 3077</w:t>
            </w:r>
            <w:r>
              <w:rPr>
                <w:sz w:val="19"/>
              </w:rPr>
              <w:noBreakHyphen/>
              <w:t>8</w:t>
            </w:r>
          </w:p>
        </w:tc>
        <w:tc>
          <w:tcPr>
            <w:tcW w:w="2693" w:type="dxa"/>
          </w:tcPr>
          <w:p>
            <w:pPr>
              <w:pStyle w:val="nTable"/>
              <w:spacing w:after="40"/>
              <w:rPr>
                <w:sz w:val="19"/>
              </w:rPr>
            </w:pPr>
            <w:r>
              <w:rPr>
                <w:sz w:val="19"/>
              </w:rPr>
              <w:t>27 Jul 2004</w:t>
            </w:r>
          </w:p>
        </w:tc>
      </w:tr>
      <w:tr>
        <w:tc>
          <w:tcPr>
            <w:tcW w:w="3119" w:type="dxa"/>
          </w:tcPr>
          <w:p>
            <w:pPr>
              <w:pStyle w:val="nTable"/>
              <w:spacing w:after="40"/>
              <w:rPr>
                <w:i/>
                <w:sz w:val="19"/>
              </w:rPr>
            </w:pPr>
            <w:r>
              <w:rPr>
                <w:i/>
                <w:sz w:val="19"/>
              </w:rPr>
              <w:t>Conservation and Land Management Amendment Regulations 2006</w:t>
            </w:r>
          </w:p>
        </w:tc>
        <w:tc>
          <w:tcPr>
            <w:tcW w:w="1276" w:type="dxa"/>
          </w:tcPr>
          <w:p>
            <w:pPr>
              <w:pStyle w:val="nTable"/>
              <w:spacing w:after="40"/>
              <w:rPr>
                <w:sz w:val="19"/>
              </w:rPr>
            </w:pPr>
            <w:r>
              <w:rPr>
                <w:sz w:val="19"/>
              </w:rPr>
              <w:t>29 Sep 2006 p. 4297</w:t>
            </w:r>
            <w:r>
              <w:rPr>
                <w:sz w:val="19"/>
              </w:rPr>
              <w:noBreakHyphen/>
              <w:t>334</w:t>
            </w:r>
          </w:p>
        </w:tc>
        <w:tc>
          <w:tcPr>
            <w:tcW w:w="2693" w:type="dxa"/>
          </w:tcPr>
          <w:p>
            <w:pPr>
              <w:pStyle w:val="nTable"/>
              <w:spacing w:after="40"/>
              <w:rPr>
                <w:sz w:val="19"/>
              </w:rPr>
            </w:pPr>
            <w:r>
              <w:rPr>
                <w:sz w:val="19"/>
              </w:rPr>
              <w:t>29 Sep 2006 (see r. 2)</w:t>
            </w:r>
          </w:p>
        </w:tc>
      </w:tr>
      <w:tr>
        <w:trPr>
          <w:cantSplit/>
        </w:trPr>
        <w:tc>
          <w:tcPr>
            <w:tcW w:w="7088" w:type="dxa"/>
            <w:gridSpan w:val="3"/>
          </w:tcPr>
          <w:p>
            <w:pPr>
              <w:pStyle w:val="nTable"/>
              <w:spacing w:after="40"/>
              <w:rPr>
                <w:sz w:val="19"/>
              </w:rPr>
            </w:pPr>
            <w:r>
              <w:rPr>
                <w:b/>
                <w:bCs/>
                <w:sz w:val="19"/>
              </w:rPr>
              <w:t xml:space="preserve">Reprint 1:  The </w:t>
            </w:r>
            <w:r>
              <w:rPr>
                <w:b/>
                <w:bCs/>
                <w:i/>
                <w:sz w:val="19"/>
              </w:rPr>
              <w:t>Conservation and Land Management Regulations 2002</w:t>
            </w:r>
            <w:r>
              <w:rPr>
                <w:b/>
                <w:bCs/>
                <w:sz w:val="19"/>
              </w:rPr>
              <w:t xml:space="preserve"> as at 3 Nov 2006</w:t>
            </w:r>
            <w:r>
              <w:rPr>
                <w:sz w:val="19"/>
              </w:rPr>
              <w:t xml:space="preserve"> (includes amendments listed above)</w:t>
            </w:r>
          </w:p>
        </w:tc>
      </w:tr>
      <w:tr>
        <w:tc>
          <w:tcPr>
            <w:tcW w:w="3119" w:type="dxa"/>
          </w:tcPr>
          <w:p>
            <w:pPr>
              <w:pStyle w:val="nTable"/>
              <w:spacing w:after="40"/>
              <w:rPr>
                <w:i/>
                <w:sz w:val="19"/>
              </w:rPr>
            </w:pPr>
            <w:r>
              <w:rPr>
                <w:i/>
                <w:sz w:val="19"/>
              </w:rPr>
              <w:t>Conservation and Land Management Amendment Regulations 2007</w:t>
            </w:r>
          </w:p>
        </w:tc>
        <w:tc>
          <w:tcPr>
            <w:tcW w:w="1276" w:type="dxa"/>
          </w:tcPr>
          <w:p>
            <w:pPr>
              <w:pStyle w:val="nTable"/>
              <w:spacing w:after="40"/>
              <w:rPr>
                <w:sz w:val="19"/>
              </w:rPr>
            </w:pPr>
            <w:r>
              <w:rPr>
                <w:sz w:val="19"/>
              </w:rPr>
              <w:t>27 Feb 2007 p. 625-6</w:t>
            </w:r>
          </w:p>
        </w:tc>
        <w:tc>
          <w:tcPr>
            <w:tcW w:w="2693" w:type="dxa"/>
          </w:tcPr>
          <w:p>
            <w:pPr>
              <w:pStyle w:val="nTable"/>
              <w:spacing w:after="40"/>
              <w:rPr>
                <w:sz w:val="19"/>
              </w:rPr>
            </w:pPr>
            <w:r>
              <w:rPr>
                <w:sz w:val="19"/>
              </w:rPr>
              <w:t>27 Feb 2007</w:t>
            </w:r>
          </w:p>
        </w:tc>
      </w:tr>
      <w:tr>
        <w:trPr>
          <w:ins w:id="2147" w:author="Master Repository Process" w:date="2021-07-31T17:33:00Z"/>
        </w:trPr>
        <w:tc>
          <w:tcPr>
            <w:tcW w:w="3119" w:type="dxa"/>
            <w:tcBorders>
              <w:bottom w:val="single" w:sz="4" w:space="0" w:color="auto"/>
            </w:tcBorders>
          </w:tcPr>
          <w:p>
            <w:pPr>
              <w:pStyle w:val="nTable"/>
              <w:spacing w:after="40"/>
              <w:rPr>
                <w:ins w:id="2148" w:author="Master Repository Process" w:date="2021-07-31T17:33:00Z"/>
                <w:i/>
                <w:sz w:val="19"/>
              </w:rPr>
            </w:pPr>
            <w:ins w:id="2149" w:author="Master Repository Process" w:date="2021-07-31T17:33:00Z">
              <w:r>
                <w:rPr>
                  <w:i/>
                  <w:sz w:val="19"/>
                </w:rPr>
                <w:t>Conservation and Land Management Amendment Regulations (No. 2) 2007</w:t>
              </w:r>
            </w:ins>
          </w:p>
        </w:tc>
        <w:tc>
          <w:tcPr>
            <w:tcW w:w="1276" w:type="dxa"/>
            <w:tcBorders>
              <w:bottom w:val="single" w:sz="4" w:space="0" w:color="auto"/>
            </w:tcBorders>
          </w:tcPr>
          <w:p>
            <w:pPr>
              <w:pStyle w:val="nTable"/>
              <w:spacing w:after="40"/>
              <w:rPr>
                <w:ins w:id="2150" w:author="Master Repository Process" w:date="2021-07-31T17:33:00Z"/>
                <w:sz w:val="19"/>
              </w:rPr>
            </w:pPr>
            <w:ins w:id="2151" w:author="Master Repository Process" w:date="2021-07-31T17:33:00Z">
              <w:r>
                <w:rPr>
                  <w:sz w:val="19"/>
                </w:rPr>
                <w:t>29 Jan 2008 p. 241-2</w:t>
              </w:r>
            </w:ins>
          </w:p>
        </w:tc>
        <w:tc>
          <w:tcPr>
            <w:tcW w:w="2693" w:type="dxa"/>
            <w:tcBorders>
              <w:bottom w:val="single" w:sz="4" w:space="0" w:color="auto"/>
            </w:tcBorders>
          </w:tcPr>
          <w:p>
            <w:pPr>
              <w:pStyle w:val="nTable"/>
              <w:spacing w:after="40"/>
              <w:rPr>
                <w:ins w:id="2152" w:author="Master Repository Process" w:date="2021-07-31T17:33:00Z"/>
                <w:sz w:val="19"/>
              </w:rPr>
            </w:pPr>
            <w:ins w:id="2153" w:author="Master Repository Process" w:date="2021-07-31T17:33:00Z">
              <w:r>
                <w:rPr>
                  <w:sz w:val="19"/>
                </w:rPr>
                <w:t>r. 1 and 2: 29 Jan 2008 (see r. 2(a));</w:t>
              </w:r>
            </w:ins>
          </w:p>
          <w:p>
            <w:pPr>
              <w:pStyle w:val="nTable"/>
              <w:spacing w:before="0" w:after="40"/>
              <w:rPr>
                <w:ins w:id="2154" w:author="Master Repository Process" w:date="2021-07-31T17:33:00Z"/>
                <w:sz w:val="19"/>
              </w:rPr>
            </w:pPr>
            <w:ins w:id="2155" w:author="Master Repository Process" w:date="2021-07-31T17:33:00Z">
              <w:r>
                <w:rPr>
                  <w:sz w:val="19"/>
                </w:rPr>
                <w:t>Regulations other than r. 1 and 2: 30 Jan 2008 (see r. 2(b))</w:t>
              </w:r>
            </w:ins>
          </w:p>
        </w:tc>
      </w:tr>
    </w:tbl>
    <w:p>
      <w:pPr>
        <w:pStyle w:val="nSubsection"/>
      </w:pPr>
      <w:r>
        <w:rPr>
          <w:vertAlign w:val="superscript"/>
        </w:rPr>
        <w:t>2</w:t>
      </w:r>
      <w:r>
        <w:tab/>
        <w:t>Repealed by these regulations r. 115.</w:t>
      </w: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P TypographicSymbol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Conservation and Land Management Regulations 2002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Conservation and Land Management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Conservation and Land Management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Conservation and Land Management Regulations 2002</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2</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Regulations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rPr>
              <w:b w:val="0"/>
            </w:rPr>
          </w:pPr>
          <w:r>
            <w:rPr>
              <w:bCs/>
            </w:rPr>
            <w:fldChar w:fldCharType="begin"/>
          </w:r>
          <w:r>
            <w:rPr>
              <w:bCs/>
            </w:rPr>
            <w:instrText xml:space="preserve"> styleref CharDivNo </w:instrText>
          </w:r>
          <w:r>
            <w:rPr>
              <w:bCs/>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Conservation and Land Management Regulations 2002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Regulations 2002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19"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1E6234B-0B24-4897-9793-76AE93035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17855</Words>
  <Characters>81601</Characters>
  <Application>Microsoft Office Word</Application>
  <DocSecurity>0</DocSecurity>
  <Lines>2813</Lines>
  <Paragraphs>2071</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97385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Regulations 2002 01-b0-03 - 01-c0-03</dc:title>
  <dc:subject/>
  <dc:creator/>
  <cp:keywords/>
  <dc:description/>
  <cp:lastModifiedBy>Master Repository Process</cp:lastModifiedBy>
  <cp:revision>2</cp:revision>
  <cp:lastPrinted>2006-11-16T01:33:00Z</cp:lastPrinted>
  <dcterms:created xsi:type="dcterms:W3CDTF">2021-07-31T09:33:00Z</dcterms:created>
  <dcterms:modified xsi:type="dcterms:W3CDTF">2021-07-31T09:33:00Z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May 2002 p. 2233-308</vt:lpwstr>
  </property>
  <property fmtid="{D5CDD505-2E9C-101B-9397-08002B2CF9AE}" pid="3" name="CommencementDate">
    <vt:lpwstr>20080130</vt:lpwstr>
  </property>
  <property fmtid="{D5CDD505-2E9C-101B-9397-08002B2CF9AE}" pid="4" name="DocumentType">
    <vt:lpwstr>Reg</vt:lpwstr>
  </property>
  <property fmtid="{D5CDD505-2E9C-101B-9397-08002B2CF9AE}" pid="5" name="OwlsUID">
    <vt:i4>609</vt:i4>
  </property>
  <property fmtid="{D5CDD505-2E9C-101B-9397-08002B2CF9AE}" pid="6" name="ReprintNo">
    <vt:lpwstr>1</vt:lpwstr>
  </property>
  <property fmtid="{D5CDD505-2E9C-101B-9397-08002B2CF9AE}" pid="7" name="FromSuffix">
    <vt:lpwstr>01-b0-03</vt:lpwstr>
  </property>
  <property fmtid="{D5CDD505-2E9C-101B-9397-08002B2CF9AE}" pid="8" name="FromAsAtDate">
    <vt:lpwstr>27 Feb 2007</vt:lpwstr>
  </property>
  <property fmtid="{D5CDD505-2E9C-101B-9397-08002B2CF9AE}" pid="9" name="ToSuffix">
    <vt:lpwstr>01-c0-03</vt:lpwstr>
  </property>
  <property fmtid="{D5CDD505-2E9C-101B-9397-08002B2CF9AE}" pid="10" name="ToAsAtDate">
    <vt:lpwstr>30 Jan 2008</vt:lpwstr>
  </property>
</Properties>
</file>