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0" w:name="_Toc191980357"/>
      <w:bookmarkStart w:id="1" w:name="_Toc95806813"/>
      <w:bookmarkStart w:id="2" w:name="_Toc95877683"/>
      <w:bookmarkStart w:id="3" w:name="_Toc156097649"/>
      <w:bookmarkStart w:id="4" w:name="_Toc156097805"/>
      <w:bookmarkStart w:id="5" w:name="_Toc17105126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pPr>
      <w:bookmarkStart w:id="7" w:name="_Toc191980358"/>
      <w:bookmarkStart w:id="8" w:name="_Toc41812369"/>
      <w:bookmarkStart w:id="9" w:name="_Toc43771798"/>
      <w:bookmarkStart w:id="10" w:name="_Toc156097650"/>
      <w:bookmarkStart w:id="11" w:name="_Toc171051261"/>
      <w:r>
        <w:rPr>
          <w:rStyle w:val="CharSectno"/>
        </w:rPr>
        <w:t>1</w:t>
      </w:r>
      <w:r>
        <w:t>.</w:t>
      </w:r>
      <w:r>
        <w:tab/>
        <w:t>Citation</w:t>
      </w:r>
      <w:bookmarkEnd w:id="7"/>
      <w:bookmarkEnd w:id="8"/>
      <w:bookmarkEnd w:id="9"/>
      <w:bookmarkEnd w:id="10"/>
      <w:bookmarkEnd w:id="11"/>
    </w:p>
    <w:p>
      <w:pPr>
        <w:pStyle w:val="Subsection"/>
      </w:pPr>
      <w:r>
        <w:tab/>
      </w:r>
      <w:r>
        <w:tab/>
      </w:r>
      <w:bookmarkStart w:id="12" w:name="Start_Cursor"/>
      <w:bookmarkEnd w:id="12"/>
      <w:r>
        <w:t xml:space="preserve">These regulations may be cited as the </w:t>
      </w:r>
      <w:r>
        <w:rPr>
          <w:i/>
        </w:rPr>
        <w:t>Public Transport Authority Regulations 2003</w:t>
      </w:r>
      <w:r>
        <w:t>.</w:t>
      </w:r>
    </w:p>
    <w:p>
      <w:pPr>
        <w:pStyle w:val="Heading5"/>
        <w:rPr>
          <w:spacing w:val="-2"/>
        </w:rPr>
      </w:pPr>
      <w:bookmarkStart w:id="13" w:name="_Toc191980359"/>
      <w:bookmarkStart w:id="14" w:name="_Toc41812370"/>
      <w:bookmarkStart w:id="15" w:name="_Toc43771799"/>
      <w:bookmarkStart w:id="16" w:name="_Toc156097651"/>
      <w:bookmarkStart w:id="17" w:name="_Toc171051262"/>
      <w:r>
        <w:rPr>
          <w:rStyle w:val="CharSectno"/>
        </w:rPr>
        <w:t>2</w:t>
      </w:r>
      <w:r>
        <w:t>.</w:t>
      </w:r>
      <w:r>
        <w:tab/>
        <w:t>Commencement</w:t>
      </w:r>
      <w:bookmarkEnd w:id="13"/>
      <w:bookmarkEnd w:id="14"/>
      <w:bookmarkEnd w:id="15"/>
      <w:bookmarkEnd w:id="16"/>
      <w:bookmarkEnd w:id="17"/>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8" w:name="_Toc191980360"/>
      <w:bookmarkStart w:id="19" w:name="_Toc4977384"/>
      <w:bookmarkStart w:id="20" w:name="_Toc8460537"/>
      <w:bookmarkStart w:id="21" w:name="_Toc34197511"/>
      <w:bookmarkStart w:id="22" w:name="_Toc41812371"/>
      <w:bookmarkStart w:id="23" w:name="_Toc43771800"/>
      <w:bookmarkStart w:id="24" w:name="_Toc156097652"/>
      <w:bookmarkStart w:id="25" w:name="_Toc171051263"/>
      <w:r>
        <w:rPr>
          <w:rStyle w:val="CharSectno"/>
        </w:rPr>
        <w:t>3</w:t>
      </w:r>
      <w:r>
        <w:t>.</w:t>
      </w:r>
      <w:r>
        <w:tab/>
        <w:t>Interpretation</w:t>
      </w:r>
      <w:bookmarkEnd w:id="18"/>
      <w:bookmarkEnd w:id="19"/>
      <w:bookmarkEnd w:id="20"/>
      <w:bookmarkEnd w:id="21"/>
      <w:bookmarkEnd w:id="22"/>
      <w:bookmarkEnd w:id="23"/>
      <w:bookmarkEnd w:id="24"/>
      <w:bookmarkEnd w:id="25"/>
    </w:p>
    <w:p>
      <w:pPr>
        <w:pStyle w:val="Subsection"/>
      </w:pPr>
      <w:r>
        <w:tab/>
      </w:r>
      <w:r>
        <w:tab/>
        <w:t>In these regulations, unless the contrary intention appears —</w:t>
      </w:r>
    </w:p>
    <w:p>
      <w:pPr>
        <w:pStyle w:val="Defstart"/>
      </w:pPr>
      <w:r>
        <w:rPr>
          <w:b/>
        </w:rPr>
        <w:tab/>
        <w:t>“</w:t>
      </w:r>
      <w:r>
        <w:rPr>
          <w:rStyle w:val="CharDefText"/>
        </w:rPr>
        <w:t>Act</w:t>
      </w:r>
      <w:r>
        <w:rPr>
          <w:b/>
        </w:rPr>
        <w:t>”</w:t>
      </w:r>
      <w:r>
        <w:t xml:space="preserve"> means the </w:t>
      </w:r>
      <w:r>
        <w:rPr>
          <w:i/>
        </w:rPr>
        <w:t>Public Transport Authority Act 2003</w:t>
      </w:r>
      <w:r>
        <w:t>;</w:t>
      </w:r>
    </w:p>
    <w:p>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pPr>
        <w:pStyle w:val="Defstart"/>
      </w:pPr>
      <w:r>
        <w:rPr>
          <w:b/>
        </w:rPr>
        <w:tab/>
        <w:t>“</w:t>
      </w:r>
      <w:r>
        <w:rPr>
          <w:rStyle w:val="CharDefText"/>
        </w:rPr>
        <w:t>facility</w:t>
      </w:r>
      <w:r>
        <w:rPr>
          <w:b/>
        </w:rPr>
        <w:t>”</w:t>
      </w:r>
      <w:r>
        <w:t xml:space="preserve"> means a place associated with the provision of a public passenger transport service provided by the Authority;</w:t>
      </w:r>
    </w:p>
    <w:p>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pPr>
        <w:pStyle w:val="Defstart"/>
      </w:pPr>
      <w:r>
        <w:rPr>
          <w:b/>
        </w:rPr>
        <w:tab/>
        <w:t>“</w:t>
      </w:r>
      <w:r>
        <w:rPr>
          <w:rStyle w:val="CharDefText"/>
        </w:rPr>
        <w:t>ticket</w:t>
      </w:r>
      <w:r>
        <w:rPr>
          <w:b/>
        </w:rPr>
        <w:t>”</w:t>
      </w:r>
      <w:r>
        <w:t xml:space="preserve"> </w:t>
      </w:r>
      <w:bookmarkStart w:id="26" w:name="comma"/>
      <w:bookmarkEnd w:id="26"/>
      <w:r>
        <w:t>means a ticket, voucher, document or other thing issued by or on behalf of the Authority for the use of a public passenger transport service provided by the Authority.</w:t>
      </w:r>
    </w:p>
    <w:p>
      <w:pPr>
        <w:pStyle w:val="Heading5"/>
      </w:pPr>
      <w:bookmarkStart w:id="27" w:name="_Toc191980361"/>
      <w:bookmarkStart w:id="28" w:name="_Toc4977386"/>
      <w:bookmarkStart w:id="29" w:name="_Toc8460539"/>
      <w:bookmarkStart w:id="30" w:name="_Toc34197513"/>
      <w:bookmarkStart w:id="31" w:name="_Toc41812372"/>
      <w:bookmarkStart w:id="32" w:name="_Toc43771801"/>
      <w:bookmarkStart w:id="33" w:name="_Toc156097653"/>
      <w:bookmarkStart w:id="34" w:name="_Toc171051264"/>
      <w:r>
        <w:rPr>
          <w:rStyle w:val="CharSectno"/>
        </w:rPr>
        <w:t>4</w:t>
      </w:r>
      <w:r>
        <w:t>.</w:t>
      </w:r>
      <w:r>
        <w:tab/>
        <w:t>Offences prescribed as infringement notice offences</w:t>
      </w:r>
      <w:bookmarkEnd w:id="27"/>
      <w:bookmarkEnd w:id="28"/>
      <w:bookmarkEnd w:id="29"/>
      <w:bookmarkEnd w:id="30"/>
      <w:bookmarkEnd w:id="31"/>
      <w:bookmarkEnd w:id="32"/>
      <w:bookmarkEnd w:id="33"/>
      <w:bookmarkEnd w:id="34"/>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5" w:name="_Toc191980362"/>
      <w:bookmarkStart w:id="36" w:name="_Toc95806818"/>
      <w:bookmarkStart w:id="37" w:name="_Toc95877688"/>
      <w:bookmarkStart w:id="38" w:name="_Toc156097654"/>
      <w:bookmarkStart w:id="39" w:name="_Toc156097810"/>
      <w:bookmarkStart w:id="40" w:name="_Toc171051265"/>
      <w:r>
        <w:rPr>
          <w:rStyle w:val="CharPartNo"/>
        </w:rPr>
        <w:t>Part 2</w:t>
      </w:r>
      <w:r>
        <w:rPr>
          <w:rStyle w:val="CharDivNo"/>
        </w:rPr>
        <w:t> </w:t>
      </w:r>
      <w:r>
        <w:rPr>
          <w:sz w:val="24"/>
        </w:rPr>
        <w:t>—</w:t>
      </w:r>
      <w:r>
        <w:rPr>
          <w:rStyle w:val="CharDivText"/>
        </w:rPr>
        <w:t> </w:t>
      </w:r>
      <w:r>
        <w:rPr>
          <w:rStyle w:val="CharPartText"/>
        </w:rPr>
        <w:t>Tickets</w:t>
      </w:r>
      <w:bookmarkEnd w:id="35"/>
      <w:bookmarkEnd w:id="36"/>
      <w:bookmarkEnd w:id="37"/>
      <w:bookmarkEnd w:id="38"/>
      <w:bookmarkEnd w:id="39"/>
      <w:bookmarkEnd w:id="40"/>
    </w:p>
    <w:p>
      <w:pPr>
        <w:pStyle w:val="Heading5"/>
      </w:pPr>
      <w:bookmarkStart w:id="41" w:name="_Toc191980363"/>
      <w:bookmarkStart w:id="42" w:name="_Toc4977389"/>
      <w:bookmarkStart w:id="43" w:name="_Toc8460542"/>
      <w:bookmarkStart w:id="44" w:name="_Toc34197516"/>
      <w:bookmarkStart w:id="45" w:name="_Toc41812375"/>
      <w:bookmarkStart w:id="46" w:name="_Toc43771802"/>
      <w:bookmarkStart w:id="47" w:name="_Toc156097655"/>
      <w:bookmarkStart w:id="48" w:name="_Toc171051266"/>
      <w:r>
        <w:rPr>
          <w:rStyle w:val="CharSectno"/>
        </w:rPr>
        <w:t>5</w:t>
      </w:r>
      <w:r>
        <w:t>.</w:t>
      </w:r>
      <w:r>
        <w:tab/>
        <w:t>Invalid ticket</w:t>
      </w:r>
      <w:bookmarkEnd w:id="41"/>
      <w:bookmarkEnd w:id="42"/>
      <w:bookmarkEnd w:id="43"/>
      <w:bookmarkEnd w:id="44"/>
      <w:bookmarkEnd w:id="45"/>
      <w:bookmarkEnd w:id="46"/>
      <w:bookmarkEnd w:id="47"/>
      <w:bookmarkEnd w:id="48"/>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9" w:name="_Hlt41894948"/>
      <w:bookmarkStart w:id="50" w:name="_Toc191980364"/>
      <w:bookmarkStart w:id="51" w:name="_Toc41812376"/>
      <w:bookmarkStart w:id="52" w:name="_Toc43771803"/>
      <w:bookmarkStart w:id="53" w:name="_Toc156097656"/>
      <w:bookmarkStart w:id="54" w:name="_Toc171051267"/>
      <w:bookmarkEnd w:id="49"/>
      <w:r>
        <w:rPr>
          <w:rStyle w:val="CharSectno"/>
        </w:rPr>
        <w:t>6</w:t>
      </w:r>
      <w:r>
        <w:t>.</w:t>
      </w:r>
      <w:r>
        <w:tab/>
        <w:t>Using a public passenger transport service without a valid ticket</w:t>
      </w:r>
      <w:bookmarkEnd w:id="50"/>
      <w:bookmarkEnd w:id="51"/>
      <w:bookmarkEnd w:id="52"/>
      <w:bookmarkEnd w:id="53"/>
      <w:bookmarkEnd w:id="54"/>
    </w:p>
    <w:p>
      <w:pPr>
        <w:pStyle w:val="Subsection"/>
      </w:pPr>
      <w:bookmarkStart w:id="55" w:name="_Hlt514649955"/>
      <w:bookmarkEnd w:id="55"/>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56" w:name="_Toc191980365"/>
      <w:bookmarkStart w:id="57" w:name="_Toc95806821"/>
      <w:bookmarkStart w:id="58" w:name="_Toc95877691"/>
      <w:bookmarkStart w:id="59" w:name="_Toc156097657"/>
      <w:bookmarkStart w:id="60" w:name="_Toc156097813"/>
      <w:bookmarkStart w:id="61" w:name="_Toc171051268"/>
      <w:r>
        <w:rPr>
          <w:rStyle w:val="CharPartNo"/>
        </w:rPr>
        <w:t>Part 3</w:t>
      </w:r>
      <w:r>
        <w:rPr>
          <w:rStyle w:val="CharDivNo"/>
        </w:rPr>
        <w:t> </w:t>
      </w:r>
      <w:r>
        <w:t>—</w:t>
      </w:r>
      <w:r>
        <w:rPr>
          <w:rStyle w:val="CharDivText"/>
        </w:rPr>
        <w:t> </w:t>
      </w:r>
      <w:r>
        <w:rPr>
          <w:rStyle w:val="CharPartText"/>
        </w:rPr>
        <w:t>Conduct in relation to Authority property</w:t>
      </w:r>
      <w:bookmarkEnd w:id="56"/>
      <w:bookmarkEnd w:id="57"/>
      <w:bookmarkEnd w:id="58"/>
      <w:bookmarkEnd w:id="59"/>
      <w:bookmarkEnd w:id="60"/>
      <w:bookmarkEnd w:id="61"/>
    </w:p>
    <w:p>
      <w:pPr>
        <w:pStyle w:val="Heading5"/>
      </w:pPr>
      <w:bookmarkStart w:id="62" w:name="_Hlt43280037"/>
      <w:bookmarkStart w:id="63" w:name="_Toc191980366"/>
      <w:bookmarkStart w:id="64" w:name="_Toc41812377"/>
      <w:bookmarkStart w:id="65" w:name="_Toc43771804"/>
      <w:bookmarkStart w:id="66" w:name="_Toc156097658"/>
      <w:bookmarkStart w:id="67" w:name="_Toc171051269"/>
      <w:bookmarkEnd w:id="62"/>
      <w:r>
        <w:rPr>
          <w:rStyle w:val="CharSectno"/>
        </w:rPr>
        <w:t>7</w:t>
      </w:r>
      <w:r>
        <w:t>.</w:t>
      </w:r>
      <w:r>
        <w:tab/>
        <w:t>Interference with property</w:t>
      </w:r>
      <w:bookmarkEnd w:id="63"/>
      <w:bookmarkEnd w:id="64"/>
      <w:bookmarkEnd w:id="65"/>
      <w:bookmarkEnd w:id="66"/>
      <w:bookmarkEnd w:id="67"/>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68" w:name="_Hlt43280043"/>
      <w:bookmarkStart w:id="69" w:name="_Toc41812378"/>
      <w:bookmarkStart w:id="70" w:name="_Toc191980367"/>
      <w:bookmarkStart w:id="71" w:name="_Toc43771805"/>
      <w:bookmarkStart w:id="72" w:name="_Toc156097659"/>
      <w:bookmarkStart w:id="73" w:name="_Toc171051270"/>
      <w:bookmarkEnd w:id="68"/>
      <w:r>
        <w:rPr>
          <w:rStyle w:val="CharSectno"/>
        </w:rPr>
        <w:t>8</w:t>
      </w:r>
      <w:r>
        <w:t>.</w:t>
      </w:r>
      <w:r>
        <w:tab/>
        <w:t>Travelling on part of</w:t>
      </w:r>
      <w:bookmarkEnd w:id="69"/>
      <w:r>
        <w:t xml:space="preserve"> conveyance not intended for conveyance of passengers</w:t>
      </w:r>
      <w:bookmarkEnd w:id="70"/>
      <w:bookmarkEnd w:id="71"/>
      <w:bookmarkEnd w:id="72"/>
      <w:bookmarkEnd w:id="73"/>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74" w:name="_Toc191980368"/>
      <w:bookmarkStart w:id="75" w:name="_Toc41812379"/>
      <w:bookmarkStart w:id="76" w:name="_Toc43771806"/>
      <w:bookmarkStart w:id="77" w:name="_Toc156097660"/>
      <w:bookmarkStart w:id="78" w:name="_Toc171051271"/>
      <w:r>
        <w:rPr>
          <w:rStyle w:val="CharSectno"/>
        </w:rPr>
        <w:t>9</w:t>
      </w:r>
      <w:r>
        <w:t>.</w:t>
      </w:r>
      <w:r>
        <w:tab/>
        <w:t>Entering or leaving a conveyance other than through a door</w:t>
      </w:r>
      <w:bookmarkEnd w:id="74"/>
      <w:bookmarkEnd w:id="75"/>
      <w:bookmarkEnd w:id="76"/>
      <w:bookmarkEnd w:id="77"/>
      <w:bookmarkEnd w:id="78"/>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79" w:name="_Toc191980369"/>
      <w:bookmarkStart w:id="80" w:name="_Toc41812380"/>
      <w:bookmarkStart w:id="81" w:name="_Toc43771807"/>
      <w:bookmarkStart w:id="82" w:name="_Toc156097661"/>
      <w:bookmarkStart w:id="83" w:name="_Toc171051272"/>
      <w:r>
        <w:rPr>
          <w:rStyle w:val="CharSectno"/>
        </w:rPr>
        <w:t>10</w:t>
      </w:r>
      <w:r>
        <w:t>.</w:t>
      </w:r>
      <w:r>
        <w:tab/>
        <w:t>No standing allowed in certain areas on a conveyance</w:t>
      </w:r>
      <w:bookmarkEnd w:id="79"/>
      <w:bookmarkEnd w:id="80"/>
      <w:bookmarkEnd w:id="81"/>
      <w:bookmarkEnd w:id="82"/>
      <w:bookmarkEnd w:id="83"/>
    </w:p>
    <w:p>
      <w:pPr>
        <w:pStyle w:val="Subsection"/>
      </w:pPr>
      <w:bookmarkStart w:id="84" w:name="_Hlt514649992"/>
      <w:bookmarkEnd w:id="84"/>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85" w:name="_Toc191980370"/>
      <w:bookmarkStart w:id="86" w:name="_Toc41812381"/>
      <w:bookmarkStart w:id="87" w:name="_Toc43771808"/>
      <w:bookmarkStart w:id="88" w:name="_Toc156097662"/>
      <w:bookmarkStart w:id="89" w:name="_Toc171051273"/>
      <w:r>
        <w:rPr>
          <w:rStyle w:val="CharSectno"/>
        </w:rPr>
        <w:t>11</w:t>
      </w:r>
      <w:r>
        <w:t>.</w:t>
      </w:r>
      <w:r>
        <w:tab/>
        <w:t>Smoking prohibited</w:t>
      </w:r>
      <w:bookmarkEnd w:id="85"/>
      <w:bookmarkEnd w:id="86"/>
      <w:bookmarkEnd w:id="87"/>
      <w:bookmarkEnd w:id="88"/>
      <w:bookmarkEnd w:id="89"/>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90" w:name="_Hlt43280191"/>
      <w:bookmarkStart w:id="91" w:name="_Toc191980371"/>
      <w:bookmarkStart w:id="92" w:name="_Toc41812382"/>
      <w:bookmarkStart w:id="93" w:name="_Toc43771809"/>
      <w:bookmarkStart w:id="94" w:name="_Toc156097663"/>
      <w:bookmarkStart w:id="95" w:name="_Toc171051274"/>
      <w:bookmarkEnd w:id="90"/>
      <w:r>
        <w:rPr>
          <w:rStyle w:val="CharSectno"/>
        </w:rPr>
        <w:t>12</w:t>
      </w:r>
      <w:r>
        <w:t>.</w:t>
      </w:r>
      <w:r>
        <w:tab/>
        <w:t>Consumption of alcohol</w:t>
      </w:r>
      <w:bookmarkEnd w:id="91"/>
      <w:bookmarkEnd w:id="92"/>
      <w:bookmarkEnd w:id="93"/>
      <w:bookmarkEnd w:id="94"/>
      <w:bookmarkEnd w:id="95"/>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pPr>
      <w:bookmarkStart w:id="96" w:name="_Toc191980372"/>
      <w:bookmarkStart w:id="97" w:name="_Toc4977394"/>
      <w:bookmarkStart w:id="98" w:name="_Toc8460547"/>
      <w:bookmarkStart w:id="99" w:name="_Toc34197521"/>
      <w:bookmarkStart w:id="100" w:name="_Toc41812383"/>
      <w:bookmarkStart w:id="101" w:name="_Toc43771810"/>
      <w:bookmarkStart w:id="102" w:name="_Toc156097664"/>
      <w:bookmarkStart w:id="103" w:name="_Toc171051275"/>
      <w:r>
        <w:rPr>
          <w:rStyle w:val="CharSectno"/>
        </w:rPr>
        <w:t>13</w:t>
      </w:r>
      <w:r>
        <w:t>.</w:t>
      </w:r>
      <w:r>
        <w:tab/>
        <w:t>Nuisance</w:t>
      </w:r>
      <w:bookmarkEnd w:id="96"/>
      <w:bookmarkEnd w:id="97"/>
      <w:bookmarkEnd w:id="98"/>
      <w:bookmarkEnd w:id="99"/>
      <w:bookmarkEnd w:id="100"/>
      <w:bookmarkEnd w:id="101"/>
      <w:bookmarkEnd w:id="102"/>
      <w:bookmarkEnd w:id="103"/>
    </w:p>
    <w:p>
      <w:pPr>
        <w:pStyle w:val="Subsection"/>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pPr>
      <w:bookmarkStart w:id="104" w:name="_Toc191980373"/>
      <w:bookmarkStart w:id="105" w:name="_Toc4977395"/>
      <w:bookmarkStart w:id="106" w:name="_Toc8460548"/>
      <w:bookmarkStart w:id="107" w:name="_Toc34197522"/>
      <w:bookmarkStart w:id="108" w:name="_Toc41812384"/>
      <w:bookmarkStart w:id="109" w:name="_Toc43771811"/>
      <w:bookmarkStart w:id="110" w:name="_Toc156097665"/>
      <w:bookmarkStart w:id="111" w:name="_Toc171051276"/>
      <w:r>
        <w:rPr>
          <w:rStyle w:val="CharSectno"/>
        </w:rPr>
        <w:t>14</w:t>
      </w:r>
      <w:r>
        <w:t>.</w:t>
      </w:r>
      <w:r>
        <w:tab/>
        <w:t>Begging and busking prohibited</w:t>
      </w:r>
      <w:bookmarkEnd w:id="104"/>
      <w:bookmarkEnd w:id="105"/>
      <w:bookmarkEnd w:id="106"/>
      <w:bookmarkEnd w:id="107"/>
      <w:bookmarkEnd w:id="108"/>
      <w:bookmarkEnd w:id="109"/>
      <w:bookmarkEnd w:id="110"/>
      <w:bookmarkEnd w:id="111"/>
    </w:p>
    <w:p>
      <w:pPr>
        <w:pStyle w:val="Subsection"/>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pPr>
      <w:bookmarkStart w:id="112" w:name="_Toc4977396"/>
      <w:bookmarkStart w:id="113" w:name="_Toc8460549"/>
      <w:bookmarkStart w:id="114" w:name="_Toc34197523"/>
      <w:bookmarkStart w:id="115" w:name="_Toc41812385"/>
      <w:bookmarkStart w:id="116" w:name="_Toc191980374"/>
      <w:bookmarkStart w:id="117" w:name="_Toc43771812"/>
      <w:bookmarkStart w:id="118" w:name="_Toc156097666"/>
      <w:bookmarkStart w:id="119" w:name="_Toc171051277"/>
      <w:r>
        <w:rPr>
          <w:rStyle w:val="CharSectno"/>
        </w:rPr>
        <w:t>15</w:t>
      </w:r>
      <w:r>
        <w:t>.</w:t>
      </w:r>
      <w:r>
        <w:tab/>
      </w:r>
      <w:bookmarkEnd w:id="112"/>
      <w:bookmarkEnd w:id="113"/>
      <w:bookmarkEnd w:id="114"/>
      <w:bookmarkEnd w:id="115"/>
      <w:r>
        <w:t>Damage to a conveyance or facility</w:t>
      </w:r>
      <w:bookmarkEnd w:id="116"/>
      <w:bookmarkEnd w:id="117"/>
      <w:bookmarkEnd w:id="118"/>
      <w:bookmarkEnd w:id="119"/>
    </w:p>
    <w:p>
      <w:pPr>
        <w:pStyle w:val="Subsection"/>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pPr>
      <w:bookmarkStart w:id="120" w:name="_Toc191980375"/>
      <w:bookmarkStart w:id="121" w:name="_Toc4977397"/>
      <w:bookmarkStart w:id="122" w:name="_Toc8460550"/>
      <w:bookmarkStart w:id="123" w:name="_Toc34197524"/>
      <w:bookmarkStart w:id="124" w:name="_Toc41812386"/>
      <w:bookmarkStart w:id="125" w:name="_Toc43771813"/>
      <w:bookmarkStart w:id="126" w:name="_Toc156097667"/>
      <w:bookmarkStart w:id="127" w:name="_Toc171051278"/>
      <w:r>
        <w:rPr>
          <w:rStyle w:val="CharSectno"/>
        </w:rPr>
        <w:t>16</w:t>
      </w:r>
      <w:r>
        <w:t>.</w:t>
      </w:r>
      <w:r>
        <w:tab/>
        <w:t>Audible devices</w:t>
      </w:r>
      <w:bookmarkEnd w:id="120"/>
      <w:bookmarkEnd w:id="121"/>
      <w:bookmarkEnd w:id="122"/>
      <w:bookmarkEnd w:id="123"/>
      <w:bookmarkEnd w:id="124"/>
      <w:bookmarkEnd w:id="125"/>
      <w:bookmarkEnd w:id="126"/>
      <w:bookmarkEnd w:id="127"/>
    </w:p>
    <w:p>
      <w:pPr>
        <w:pStyle w:val="Subsection"/>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28" w:name="_Toc191980376"/>
      <w:bookmarkStart w:id="129" w:name="_Toc4977398"/>
      <w:bookmarkStart w:id="130" w:name="_Toc8460551"/>
      <w:bookmarkStart w:id="131" w:name="_Toc34197525"/>
      <w:bookmarkStart w:id="132" w:name="_Toc41812387"/>
      <w:bookmarkStart w:id="133" w:name="_Toc43771814"/>
      <w:bookmarkStart w:id="134" w:name="_Toc156097668"/>
      <w:bookmarkStart w:id="135" w:name="_Toc171051279"/>
      <w:r>
        <w:rPr>
          <w:rStyle w:val="CharSectno"/>
        </w:rPr>
        <w:t>17</w:t>
      </w:r>
      <w:r>
        <w:t>.</w:t>
      </w:r>
      <w:r>
        <w:tab/>
        <w:t>Selling things or services or distributing handbills etc. prohibited</w:t>
      </w:r>
      <w:bookmarkEnd w:id="128"/>
      <w:bookmarkEnd w:id="129"/>
      <w:bookmarkEnd w:id="130"/>
      <w:bookmarkEnd w:id="131"/>
      <w:bookmarkEnd w:id="132"/>
      <w:bookmarkEnd w:id="133"/>
      <w:bookmarkEnd w:id="134"/>
      <w:bookmarkEnd w:id="135"/>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36" w:name="_Toc191980377"/>
      <w:bookmarkStart w:id="137" w:name="_Toc4977399"/>
      <w:bookmarkStart w:id="138" w:name="_Toc8460552"/>
      <w:bookmarkStart w:id="139" w:name="_Toc34197526"/>
      <w:bookmarkStart w:id="140" w:name="_Toc41812388"/>
      <w:bookmarkStart w:id="141" w:name="_Toc43771815"/>
      <w:bookmarkStart w:id="142" w:name="_Toc156097669"/>
      <w:bookmarkStart w:id="143" w:name="_Toc171051280"/>
      <w:r>
        <w:rPr>
          <w:rStyle w:val="CharSectno"/>
        </w:rPr>
        <w:t>18</w:t>
      </w:r>
      <w:r>
        <w:t>.</w:t>
      </w:r>
      <w:r>
        <w:tab/>
        <w:t>Food and drink</w:t>
      </w:r>
      <w:bookmarkEnd w:id="136"/>
      <w:bookmarkEnd w:id="137"/>
      <w:bookmarkEnd w:id="138"/>
      <w:bookmarkEnd w:id="139"/>
      <w:bookmarkEnd w:id="140"/>
      <w:bookmarkEnd w:id="141"/>
      <w:bookmarkEnd w:id="142"/>
      <w:bookmarkEnd w:id="143"/>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44" w:name="_Toc191980378"/>
      <w:bookmarkStart w:id="145" w:name="_Toc4977400"/>
      <w:bookmarkStart w:id="146" w:name="_Toc8460553"/>
      <w:bookmarkStart w:id="147" w:name="_Toc34197527"/>
      <w:bookmarkStart w:id="148" w:name="_Toc41812389"/>
      <w:bookmarkStart w:id="149" w:name="_Toc43771816"/>
      <w:bookmarkStart w:id="150" w:name="_Toc156097670"/>
      <w:bookmarkStart w:id="151" w:name="_Toc171051281"/>
      <w:r>
        <w:rPr>
          <w:rStyle w:val="CharSectno"/>
        </w:rPr>
        <w:t>19</w:t>
      </w:r>
      <w:r>
        <w:t>.</w:t>
      </w:r>
      <w:r>
        <w:tab/>
        <w:t>Feet not to be placed on seats</w:t>
      </w:r>
      <w:bookmarkEnd w:id="144"/>
      <w:bookmarkEnd w:id="145"/>
      <w:bookmarkEnd w:id="146"/>
      <w:bookmarkEnd w:id="147"/>
      <w:bookmarkEnd w:id="148"/>
      <w:bookmarkEnd w:id="149"/>
      <w:bookmarkEnd w:id="150"/>
      <w:bookmarkEnd w:id="151"/>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52" w:name="_Toc191980379"/>
      <w:bookmarkStart w:id="153" w:name="_Toc4977401"/>
      <w:bookmarkStart w:id="154" w:name="_Toc8460554"/>
      <w:bookmarkStart w:id="155" w:name="_Toc34197528"/>
      <w:bookmarkStart w:id="156" w:name="_Toc41812390"/>
      <w:bookmarkStart w:id="157" w:name="_Toc43771817"/>
      <w:bookmarkStart w:id="158" w:name="_Toc156097671"/>
      <w:bookmarkStart w:id="159" w:name="_Toc171051282"/>
      <w:r>
        <w:rPr>
          <w:rStyle w:val="CharSectno"/>
        </w:rPr>
        <w:t>20</w:t>
      </w:r>
      <w:r>
        <w:t>.</w:t>
      </w:r>
      <w:r>
        <w:tab/>
        <w:t>Luggage not to obstruct or endanger passengers</w:t>
      </w:r>
      <w:bookmarkEnd w:id="152"/>
      <w:bookmarkEnd w:id="153"/>
      <w:bookmarkEnd w:id="154"/>
      <w:bookmarkEnd w:id="155"/>
      <w:bookmarkEnd w:id="156"/>
      <w:bookmarkEnd w:id="157"/>
      <w:bookmarkEnd w:id="158"/>
      <w:bookmarkEnd w:id="159"/>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60" w:name="_Hlt43280195"/>
      <w:bookmarkStart w:id="161" w:name="_Hlt43280070"/>
      <w:bookmarkStart w:id="162" w:name="_Toc191980380"/>
      <w:bookmarkStart w:id="163" w:name="_Toc41812392"/>
      <w:bookmarkStart w:id="164" w:name="_Toc43771818"/>
      <w:bookmarkStart w:id="165" w:name="_Toc156097672"/>
      <w:bookmarkStart w:id="166" w:name="_Toc171051283"/>
      <w:bookmarkEnd w:id="160"/>
      <w:bookmarkEnd w:id="161"/>
      <w:r>
        <w:rPr>
          <w:rStyle w:val="CharSectno"/>
        </w:rPr>
        <w:t>21</w:t>
      </w:r>
      <w:r>
        <w:t>.</w:t>
      </w:r>
      <w:r>
        <w:tab/>
        <w:t>Possessing certain things prohibited</w:t>
      </w:r>
      <w:bookmarkEnd w:id="162"/>
      <w:bookmarkEnd w:id="163"/>
      <w:bookmarkEnd w:id="164"/>
      <w:bookmarkEnd w:id="165"/>
      <w:bookmarkEnd w:id="166"/>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67" w:name="_Hlt43280199"/>
      <w:bookmarkStart w:id="168" w:name="_Toc191980381"/>
      <w:bookmarkStart w:id="169" w:name="_Toc4977403"/>
      <w:bookmarkStart w:id="170" w:name="_Toc8460556"/>
      <w:bookmarkStart w:id="171" w:name="_Toc34197530"/>
      <w:bookmarkStart w:id="172" w:name="_Toc41812393"/>
      <w:bookmarkStart w:id="173" w:name="_Toc43771819"/>
      <w:bookmarkStart w:id="174" w:name="_Toc156097673"/>
      <w:bookmarkStart w:id="175" w:name="_Toc171051284"/>
      <w:bookmarkEnd w:id="167"/>
      <w:r>
        <w:rPr>
          <w:rStyle w:val="CharSectno"/>
        </w:rPr>
        <w:t>22</w:t>
      </w:r>
      <w:r>
        <w:t>.</w:t>
      </w:r>
      <w:r>
        <w:tab/>
        <w:t>Goods likely to spill, stain, or damage a conveyance</w:t>
      </w:r>
      <w:bookmarkEnd w:id="168"/>
      <w:bookmarkEnd w:id="169"/>
      <w:bookmarkEnd w:id="170"/>
      <w:bookmarkEnd w:id="171"/>
      <w:bookmarkEnd w:id="172"/>
      <w:bookmarkEnd w:id="173"/>
      <w:bookmarkEnd w:id="174"/>
      <w:bookmarkEnd w:id="175"/>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76" w:name="_Hlt43280048"/>
      <w:bookmarkStart w:id="177" w:name="_Toc4977404"/>
      <w:bookmarkStart w:id="178" w:name="_Toc8460557"/>
      <w:bookmarkStart w:id="179" w:name="_Toc34197531"/>
      <w:bookmarkStart w:id="180" w:name="_Toc191980382"/>
      <w:bookmarkStart w:id="181" w:name="_Toc41812394"/>
      <w:bookmarkStart w:id="182" w:name="_Toc43771820"/>
      <w:bookmarkStart w:id="183" w:name="_Toc156097674"/>
      <w:bookmarkStart w:id="184" w:name="_Toc171051285"/>
      <w:bookmarkEnd w:id="176"/>
      <w:r>
        <w:rPr>
          <w:rStyle w:val="CharSectno"/>
        </w:rPr>
        <w:t>23</w:t>
      </w:r>
      <w:r>
        <w:t>.</w:t>
      </w:r>
      <w:r>
        <w:tab/>
        <w:t xml:space="preserve">Persons to stay inside </w:t>
      </w:r>
      <w:bookmarkEnd w:id="177"/>
      <w:bookmarkEnd w:id="178"/>
      <w:bookmarkEnd w:id="179"/>
      <w:r>
        <w:t>conveyance</w:t>
      </w:r>
      <w:bookmarkEnd w:id="180"/>
      <w:bookmarkEnd w:id="181"/>
      <w:bookmarkEnd w:id="182"/>
      <w:bookmarkEnd w:id="183"/>
      <w:bookmarkEnd w:id="184"/>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85" w:name="_Toc191980383"/>
      <w:bookmarkStart w:id="186" w:name="_Toc95806839"/>
      <w:bookmarkStart w:id="187" w:name="_Toc95877709"/>
      <w:bookmarkStart w:id="188" w:name="_Toc156097675"/>
      <w:bookmarkStart w:id="189" w:name="_Toc156097831"/>
      <w:bookmarkStart w:id="190" w:name="_Toc171051286"/>
      <w:r>
        <w:rPr>
          <w:rStyle w:val="CharPartNo"/>
        </w:rPr>
        <w:t>Part 4</w:t>
      </w:r>
      <w:r>
        <w:rPr>
          <w:rStyle w:val="CharDivNo"/>
        </w:rPr>
        <w:t> </w:t>
      </w:r>
      <w:r>
        <w:t>—</w:t>
      </w:r>
      <w:r>
        <w:rPr>
          <w:rStyle w:val="CharDivText"/>
        </w:rPr>
        <w:t> </w:t>
      </w:r>
      <w:r>
        <w:rPr>
          <w:rStyle w:val="CharPartText"/>
        </w:rPr>
        <w:t>Regulation of persons and vehicles on Authority property</w:t>
      </w:r>
      <w:bookmarkEnd w:id="185"/>
      <w:bookmarkEnd w:id="186"/>
      <w:bookmarkEnd w:id="187"/>
      <w:bookmarkEnd w:id="188"/>
      <w:bookmarkEnd w:id="189"/>
      <w:bookmarkEnd w:id="190"/>
    </w:p>
    <w:p>
      <w:pPr>
        <w:pStyle w:val="Heading5"/>
      </w:pPr>
      <w:bookmarkStart w:id="191" w:name="_Toc191980384"/>
      <w:bookmarkStart w:id="192" w:name="_Toc43771821"/>
      <w:bookmarkStart w:id="193" w:name="_Toc156097676"/>
      <w:bookmarkStart w:id="194" w:name="_Toc171051287"/>
      <w:r>
        <w:rPr>
          <w:rStyle w:val="CharSectno"/>
        </w:rPr>
        <w:t>24</w:t>
      </w:r>
      <w:r>
        <w:t>.</w:t>
      </w:r>
      <w:r>
        <w:tab/>
        <w:t>Terms used in this Part</w:t>
      </w:r>
      <w:bookmarkEnd w:id="191"/>
      <w:bookmarkEnd w:id="192"/>
      <w:bookmarkEnd w:id="193"/>
      <w:bookmarkEnd w:id="194"/>
    </w:p>
    <w:p>
      <w:pPr>
        <w:pStyle w:val="Subsection"/>
      </w:pPr>
      <w:r>
        <w:tab/>
      </w:r>
      <w:r>
        <w:tab/>
        <w:t xml:space="preserve">In this Part, unless the contrary intention appears — </w:t>
      </w:r>
    </w:p>
    <w:p>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pPr>
        <w:pStyle w:val="Defstart"/>
      </w:pPr>
      <w:r>
        <w:rPr>
          <w:b/>
        </w:rPr>
        <w:tab/>
        <w:t>“</w:t>
      </w:r>
      <w:r>
        <w:rPr>
          <w:rStyle w:val="CharDefText"/>
        </w:rPr>
        <w:t>designated</w:t>
      </w:r>
      <w:r>
        <w:rPr>
          <w:b/>
        </w:rPr>
        <w:t>”</w:t>
      </w:r>
      <w:r>
        <w:t xml:space="preserve"> means designated by signs or markings under regulation 25 or 29;</w:t>
      </w:r>
    </w:p>
    <w:p>
      <w:pPr>
        <w:pStyle w:val="Defstart"/>
      </w:pPr>
      <w:r>
        <w:rPr>
          <w:b/>
        </w:rPr>
        <w:tab/>
        <w:t>“</w:t>
      </w:r>
      <w:r>
        <w:rPr>
          <w:rStyle w:val="CharDefText"/>
        </w:rPr>
        <w:t>driver</w:t>
      </w:r>
      <w:r>
        <w:rPr>
          <w:b/>
        </w:rPr>
        <w:t>”</w:t>
      </w:r>
      <w:r>
        <w:t xml:space="preserve"> means any person driving or in control of a vehicle;</w:t>
      </w:r>
    </w:p>
    <w:p>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95" w:name="_Hlt43278681"/>
      <w:bookmarkStart w:id="196" w:name="_Toc191980385"/>
      <w:bookmarkStart w:id="197" w:name="_Toc156097677"/>
      <w:bookmarkStart w:id="198" w:name="_Toc171051288"/>
      <w:bookmarkStart w:id="199" w:name="_Toc4977409"/>
      <w:bookmarkStart w:id="200" w:name="_Toc8460562"/>
      <w:bookmarkStart w:id="201" w:name="_Toc34197536"/>
      <w:bookmarkStart w:id="202" w:name="_Toc41812396"/>
      <w:bookmarkStart w:id="203" w:name="_Toc43771822"/>
      <w:bookmarkEnd w:id="195"/>
      <w:r>
        <w:rPr>
          <w:rStyle w:val="CharSectno"/>
        </w:rPr>
        <w:t>24A</w:t>
      </w:r>
      <w:r>
        <w:t>.</w:t>
      </w:r>
      <w:r>
        <w:tab/>
        <w:t>Government railways parking stations</w:t>
      </w:r>
      <w:bookmarkEnd w:id="196"/>
      <w:bookmarkEnd w:id="197"/>
      <w:bookmarkEnd w:id="198"/>
    </w:p>
    <w:p>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204" w:name="_Toc191980386"/>
      <w:bookmarkStart w:id="205" w:name="_Toc156097678"/>
      <w:bookmarkStart w:id="206" w:name="_Toc171051289"/>
      <w:r>
        <w:rPr>
          <w:rStyle w:val="CharSectno"/>
        </w:rPr>
        <w:t>25</w:t>
      </w:r>
      <w:r>
        <w:t>.</w:t>
      </w:r>
      <w:r>
        <w:tab/>
        <w:t>Regulation of persons and vehicles on Authority property</w:t>
      </w:r>
      <w:bookmarkEnd w:id="204"/>
      <w:bookmarkEnd w:id="199"/>
      <w:bookmarkEnd w:id="200"/>
      <w:bookmarkEnd w:id="201"/>
      <w:bookmarkEnd w:id="202"/>
      <w:bookmarkEnd w:id="203"/>
      <w:bookmarkEnd w:id="205"/>
      <w:bookmarkEnd w:id="206"/>
    </w:p>
    <w:p>
      <w:pPr>
        <w:pStyle w:val="Subsection"/>
      </w:pPr>
      <w:r>
        <w:tab/>
        <w:t>(1)</w:t>
      </w:r>
      <w:r>
        <w:tab/>
        <w:t>The Authority may erect or create signs or markings in or on Authority property or remove or modify those signs or markings.</w:t>
      </w:r>
    </w:p>
    <w:p>
      <w:pPr>
        <w:pStyle w:val="Subsection"/>
      </w:pPr>
      <w:r>
        <w:tab/>
        <w:t>(2)</w:t>
      </w:r>
      <w:r>
        <w:tab/>
        <w:t>Signs or markings in or on Authority property immediately before the coming into operation of these regulations are to be taken to have been erected or created under subregulation (1).</w:t>
      </w:r>
    </w:p>
    <w:p>
      <w:pPr>
        <w:pStyle w:val="Subsection"/>
      </w:pPr>
      <w:r>
        <w:tab/>
        <w:t>(3)</w:t>
      </w:r>
      <w:r>
        <w:tab/>
        <w:t>The inscription on a sign or marking operates according to its tenor.</w:t>
      </w:r>
    </w:p>
    <w:p>
      <w:pPr>
        <w:pStyle w:val="Subsection"/>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207" w:name="_Toc191980387"/>
      <w:bookmarkStart w:id="208" w:name="_Toc43771823"/>
      <w:bookmarkStart w:id="209" w:name="_Toc156097679"/>
      <w:bookmarkStart w:id="210" w:name="_Toc171051290"/>
      <w:r>
        <w:rPr>
          <w:rStyle w:val="CharSectno"/>
        </w:rPr>
        <w:t>26</w:t>
      </w:r>
      <w:r>
        <w:t>.</w:t>
      </w:r>
      <w:r>
        <w:tab/>
        <w:t>Obstruction</w:t>
      </w:r>
      <w:bookmarkEnd w:id="207"/>
      <w:bookmarkEnd w:id="208"/>
      <w:bookmarkEnd w:id="209"/>
      <w:bookmarkEnd w:id="210"/>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211" w:name="_Toc191980388"/>
      <w:bookmarkStart w:id="212" w:name="_Toc43771824"/>
      <w:bookmarkStart w:id="213" w:name="_Toc156097680"/>
      <w:bookmarkStart w:id="214" w:name="_Toc171051291"/>
      <w:r>
        <w:rPr>
          <w:rStyle w:val="CharSectno"/>
        </w:rPr>
        <w:t>27</w:t>
      </w:r>
      <w:r>
        <w:t>.</w:t>
      </w:r>
      <w:r>
        <w:tab/>
        <w:t>Direction not to park in area</w:t>
      </w:r>
      <w:bookmarkEnd w:id="211"/>
      <w:bookmarkEnd w:id="212"/>
      <w:bookmarkEnd w:id="213"/>
      <w:bookmarkEnd w:id="214"/>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215" w:name="_Hlt43278688"/>
      <w:bookmarkStart w:id="216" w:name="_Toc191980389"/>
      <w:bookmarkStart w:id="217" w:name="_Toc156097681"/>
      <w:bookmarkStart w:id="218" w:name="_Toc171051292"/>
      <w:bookmarkStart w:id="219" w:name="_Toc43771826"/>
      <w:bookmarkEnd w:id="215"/>
      <w:r>
        <w:rPr>
          <w:rStyle w:val="CharSectno"/>
        </w:rPr>
        <w:t>28</w:t>
      </w:r>
      <w:r>
        <w:t>.</w:t>
      </w:r>
      <w:r>
        <w:tab/>
        <w:t>Loading zone</w:t>
      </w:r>
      <w:bookmarkEnd w:id="216"/>
      <w:bookmarkEnd w:id="217"/>
      <w:bookmarkEnd w:id="218"/>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220" w:name="_Toc191980390"/>
      <w:bookmarkStart w:id="221" w:name="_Toc156097682"/>
      <w:bookmarkStart w:id="222" w:name="_Toc171051293"/>
      <w:r>
        <w:rPr>
          <w:rStyle w:val="CharSectno"/>
        </w:rPr>
        <w:t>29</w:t>
      </w:r>
      <w:r>
        <w:t>.</w:t>
      </w:r>
      <w:r>
        <w:tab/>
      </w:r>
      <w:r>
        <w:rPr>
          <w:snapToGrid w:val="0"/>
        </w:rPr>
        <w:t>Designation of parking spaces for vehicles of disabled persons</w:t>
      </w:r>
      <w:bookmarkEnd w:id="220"/>
      <w:bookmarkEnd w:id="219"/>
      <w:bookmarkEnd w:id="221"/>
      <w:bookmarkEnd w:id="222"/>
    </w:p>
    <w:p>
      <w:pPr>
        <w:pStyle w:val="Subsection"/>
      </w:pPr>
      <w:r>
        <w:tab/>
      </w:r>
      <w:r>
        <w:tab/>
      </w:r>
      <w:r>
        <w:rPr>
          <w:snapToGrid w:val="0"/>
        </w:rPr>
        <w:t xml:space="preserve">A parking space in or on Authority property for the parking of vehicles of disabled persons is to be designated by — </w:t>
      </w:r>
    </w:p>
    <w:p>
      <w:pPr>
        <w:pStyle w:val="Indenta"/>
      </w:pPr>
      <w:r>
        <w:tab/>
        <w:t>(a)</w:t>
      </w:r>
      <w:r>
        <w:tab/>
      </w:r>
      <w:r>
        <w:rPr>
          <w:snapToGrid w:val="0"/>
        </w:rPr>
        <w:t>the words “Disabled Parking Only” clearly written on the ground within the limits of the parking space; and</w:t>
      </w:r>
    </w:p>
    <w:p>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rPr>
          <w:snapToGrid w:val="0"/>
        </w:rPr>
      </w:pPr>
      <w:bookmarkStart w:id="223" w:name="_Toc191980391"/>
      <w:bookmarkStart w:id="224" w:name="_Toc43771827"/>
      <w:bookmarkStart w:id="225" w:name="_Toc156097683"/>
      <w:bookmarkStart w:id="226" w:name="_Toc171051294"/>
      <w:r>
        <w:rPr>
          <w:rStyle w:val="CharSectno"/>
        </w:rPr>
        <w:t>30</w:t>
      </w:r>
      <w:r>
        <w:t>.</w:t>
      </w:r>
      <w:r>
        <w:tab/>
      </w:r>
      <w:r>
        <w:rPr>
          <w:snapToGrid w:val="0"/>
        </w:rPr>
        <w:t>Disabled parking</w:t>
      </w:r>
      <w:bookmarkEnd w:id="223"/>
      <w:bookmarkEnd w:id="224"/>
      <w:bookmarkEnd w:id="225"/>
      <w:bookmarkEnd w:id="226"/>
    </w:p>
    <w:p>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pPr>
        <w:pStyle w:val="Indenta"/>
      </w:pPr>
      <w:r>
        <w:tab/>
        <w:t>(a)</w:t>
      </w:r>
      <w:r>
        <w:tab/>
        <w:t xml:space="preserve">a </w:t>
      </w:r>
      <w:r>
        <w:rPr>
          <w:snapToGrid w:val="0"/>
        </w:rPr>
        <w:t>disabled</w:t>
      </w:r>
      <w:r>
        <w:t xml:space="preserve"> person is the driver of or a passenger in the vehicle; and</w:t>
      </w:r>
    </w:p>
    <w:p>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pPr>
      <w:bookmarkStart w:id="227" w:name="_Toc191980392"/>
      <w:bookmarkStart w:id="228" w:name="_Toc43771828"/>
      <w:bookmarkStart w:id="229" w:name="_Toc156097684"/>
      <w:bookmarkStart w:id="230" w:name="_Toc171051295"/>
      <w:r>
        <w:rPr>
          <w:rStyle w:val="CharSectno"/>
        </w:rPr>
        <w:t>31</w:t>
      </w:r>
      <w:r>
        <w:t>.</w:t>
      </w:r>
      <w:r>
        <w:tab/>
      </w:r>
      <w:r>
        <w:rPr>
          <w:snapToGrid w:val="0"/>
        </w:rPr>
        <w:t>Vehicles</w:t>
      </w:r>
      <w:r>
        <w:t xml:space="preserve"> and parking</w:t>
      </w:r>
      <w:bookmarkEnd w:id="227"/>
      <w:bookmarkEnd w:id="228"/>
      <w:bookmarkEnd w:id="229"/>
      <w:bookmarkEnd w:id="230"/>
    </w:p>
    <w:p>
      <w:pPr>
        <w:pStyle w:val="Subsection"/>
      </w:pPr>
      <w:r>
        <w:tab/>
      </w:r>
      <w:r>
        <w:tab/>
        <w:t xml:space="preserve">A person </w:t>
      </w:r>
      <w:r>
        <w:rPr>
          <w:snapToGrid w:val="0"/>
        </w:rPr>
        <w:t>must</w:t>
      </w:r>
      <w:r>
        <w:t xml:space="preserve"> not, without permission of an authorised person — </w:t>
      </w:r>
    </w:p>
    <w:p>
      <w:pPr>
        <w:pStyle w:val="Indenta"/>
      </w:pPr>
      <w:r>
        <w:tab/>
        <w:t>(a)</w:t>
      </w:r>
      <w:r>
        <w:tab/>
        <w:t>park a vehicle in or on any part of Authority property other than a part designated for the time being for the parking of vehicles; or</w:t>
      </w:r>
    </w:p>
    <w:p>
      <w:pPr>
        <w:pStyle w:val="Indenta"/>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231" w:name="_Hlt43198652"/>
      <w:bookmarkStart w:id="232" w:name="_Toc191980393"/>
      <w:bookmarkStart w:id="233" w:name="_Toc43771829"/>
      <w:bookmarkStart w:id="234" w:name="_Toc156097685"/>
      <w:bookmarkStart w:id="235" w:name="_Toc171051296"/>
      <w:bookmarkEnd w:id="231"/>
      <w:r>
        <w:rPr>
          <w:rStyle w:val="CharSectno"/>
        </w:rPr>
        <w:t>32</w:t>
      </w:r>
      <w:r>
        <w:t>.</w:t>
      </w:r>
      <w:r>
        <w:tab/>
        <w:t>Parking charges</w:t>
      </w:r>
      <w:bookmarkEnd w:id="232"/>
      <w:bookmarkEnd w:id="233"/>
      <w:bookmarkEnd w:id="234"/>
      <w:bookmarkEnd w:id="235"/>
    </w:p>
    <w:p>
      <w:pPr>
        <w:pStyle w:val="Subsection"/>
      </w:pPr>
      <w:r>
        <w:tab/>
      </w:r>
      <w:r>
        <w:tab/>
        <w:t>If an area of Authority property is designated for parking subject to the payment of a charge set out in Schedule 1 item </w:t>
      </w:r>
      <w:bookmarkStart w:id="236" w:name="_Hlt43185135"/>
      <w:r>
        <w:t>1</w:t>
      </w:r>
      <w:bookmarkEnd w:id="236"/>
      <w:r>
        <w:t xml:space="preserve">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237" w:name="_Hlt43198656"/>
      <w:bookmarkStart w:id="238" w:name="_Toc191980394"/>
      <w:bookmarkStart w:id="239" w:name="_Toc43771830"/>
      <w:bookmarkStart w:id="240" w:name="_Toc156097686"/>
      <w:bookmarkStart w:id="241" w:name="_Toc171051297"/>
      <w:bookmarkEnd w:id="237"/>
      <w:r>
        <w:rPr>
          <w:rStyle w:val="CharSectno"/>
        </w:rPr>
        <w:t>33</w:t>
      </w:r>
      <w:r>
        <w:t>.</w:t>
      </w:r>
      <w:r>
        <w:tab/>
        <w:t>Removing vehicle from secured parking facility</w:t>
      </w:r>
      <w:bookmarkEnd w:id="238"/>
      <w:bookmarkEnd w:id="239"/>
      <w:bookmarkEnd w:id="240"/>
      <w:bookmarkEnd w:id="241"/>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rPr>
          <w:rStyle w:val="CharPartText"/>
        </w:rPr>
      </w:pPr>
      <w:bookmarkStart w:id="242" w:name="_Toc191980395"/>
      <w:bookmarkStart w:id="243" w:name="_Toc95806851"/>
      <w:bookmarkStart w:id="244" w:name="_Toc95877721"/>
      <w:bookmarkStart w:id="245" w:name="_Toc156097687"/>
      <w:bookmarkStart w:id="246" w:name="_Toc156097843"/>
      <w:bookmarkStart w:id="247" w:name="_Toc171051298"/>
      <w:r>
        <w:rPr>
          <w:rStyle w:val="CharPartNo"/>
        </w:rPr>
        <w:t>Part 4A</w:t>
      </w:r>
      <w:r>
        <w:rPr>
          <w:b w:val="0"/>
        </w:rPr>
        <w:t> </w:t>
      </w:r>
      <w:r>
        <w:t>—</w:t>
      </w:r>
      <w:r>
        <w:rPr>
          <w:b w:val="0"/>
        </w:rPr>
        <w:t> </w:t>
      </w:r>
      <w:r>
        <w:rPr>
          <w:rStyle w:val="CharPartText"/>
        </w:rPr>
        <w:t>Bicycles on passenger trains</w:t>
      </w:r>
      <w:bookmarkEnd w:id="242"/>
      <w:bookmarkEnd w:id="243"/>
      <w:bookmarkEnd w:id="244"/>
      <w:bookmarkEnd w:id="245"/>
      <w:bookmarkEnd w:id="246"/>
      <w:bookmarkEnd w:id="247"/>
    </w:p>
    <w:p>
      <w:pPr>
        <w:pStyle w:val="Footnoteheading"/>
      </w:pPr>
      <w:r>
        <w:tab/>
        <w:t>[Heading inserted in Gazette 11 Feb 2005 p. 697.]</w:t>
      </w:r>
    </w:p>
    <w:p>
      <w:pPr>
        <w:pStyle w:val="Heading5"/>
      </w:pPr>
      <w:bookmarkStart w:id="248" w:name="_Toc191980396"/>
      <w:bookmarkStart w:id="249" w:name="_Toc156097688"/>
      <w:bookmarkStart w:id="250" w:name="_Toc171051299"/>
      <w:r>
        <w:rPr>
          <w:rStyle w:val="CharSectno"/>
        </w:rPr>
        <w:t>33A</w:t>
      </w:r>
      <w:r>
        <w:t>.</w:t>
      </w:r>
      <w:r>
        <w:tab/>
        <w:t>Interpretation</w:t>
      </w:r>
      <w:bookmarkEnd w:id="248"/>
      <w:bookmarkEnd w:id="249"/>
      <w:bookmarkEnd w:id="250"/>
    </w:p>
    <w:p>
      <w:pPr>
        <w:pStyle w:val="Subsection"/>
      </w:pPr>
      <w:r>
        <w:tab/>
      </w:r>
      <w:r>
        <w:tab/>
        <w:t xml:space="preserve">In this Part — </w:t>
      </w:r>
    </w:p>
    <w:p>
      <w:pPr>
        <w:pStyle w:val="Defstart"/>
      </w:pPr>
      <w:r>
        <w:rPr>
          <w:b/>
        </w:rPr>
        <w:tab/>
        <w:t>“</w:t>
      </w:r>
      <w:r>
        <w:rPr>
          <w:rStyle w:val="CharDefText"/>
        </w:rPr>
        <w:t>counter flow direction</w:t>
      </w:r>
      <w:r>
        <w:rPr>
          <w:b/>
        </w:rPr>
        <w:t>”</w:t>
      </w:r>
      <w:r>
        <w:t xml:space="preserve"> means — </w:t>
      </w:r>
    </w:p>
    <w:p>
      <w:pPr>
        <w:pStyle w:val="Defpara"/>
      </w:pPr>
      <w:r>
        <w:tab/>
        <w:t>(a)</w:t>
      </w:r>
      <w:r>
        <w:tab/>
        <w:t>away from the Perth CBD in the morning; or</w:t>
      </w:r>
    </w:p>
    <w:p>
      <w:pPr>
        <w:pStyle w:val="Defpara"/>
      </w:pPr>
      <w:r>
        <w:tab/>
        <w:t>(b)</w:t>
      </w:r>
      <w:r>
        <w:tab/>
        <w:t>towards the Perth CBD in the afternoon or evening;</w:t>
      </w:r>
    </w:p>
    <w:p>
      <w:pPr>
        <w:pStyle w:val="Defstart"/>
      </w:pPr>
      <w:r>
        <w:rPr>
          <w:b/>
        </w:rPr>
        <w:tab/>
        <w:t>“</w:t>
      </w:r>
      <w:r>
        <w:rPr>
          <w:rStyle w:val="CharDefText"/>
        </w:rPr>
        <w:t>peak time</w:t>
      </w:r>
      <w:r>
        <w:rPr>
          <w:b/>
        </w:rPr>
        <w:t>”</w:t>
      </w:r>
      <w:r>
        <w:t xml:space="preserve"> means 7.00 a.m. to 9.00 a.m., and 4.30 p.m. to 6.30 p.m.;</w:t>
      </w:r>
    </w:p>
    <w:p>
      <w:pPr>
        <w:pStyle w:val="Defstart"/>
        <w:rPr>
          <w:bCs/>
        </w:rPr>
      </w:pPr>
      <w:r>
        <w:rPr>
          <w:b/>
        </w:rPr>
        <w:tab/>
        <w:t>“</w:t>
      </w:r>
      <w:r>
        <w:rPr>
          <w:rStyle w:val="CharDefText"/>
        </w:rPr>
        <w:t>peak flow direction</w:t>
      </w:r>
      <w:r>
        <w:rPr>
          <w:b/>
        </w:rPr>
        <w:t>”</w:t>
      </w:r>
      <w:r>
        <w:rPr>
          <w:bCs/>
        </w:rPr>
        <w:t xml:space="preserve"> means — </w:t>
      </w:r>
    </w:p>
    <w:p>
      <w:pPr>
        <w:pStyle w:val="Defpara"/>
      </w:pPr>
      <w:r>
        <w:tab/>
        <w:t>(a)</w:t>
      </w:r>
      <w:r>
        <w:tab/>
        <w:t>towards the Perth CBD in the morning; or</w:t>
      </w:r>
    </w:p>
    <w:p>
      <w:pPr>
        <w:pStyle w:val="Defpara"/>
      </w:pPr>
      <w:r>
        <w:tab/>
        <w:t>(b)</w:t>
      </w:r>
      <w:r>
        <w:tab/>
        <w:t>away from the Perth CBD in the afternoon or evening;</w:t>
      </w:r>
    </w:p>
    <w:p>
      <w:pPr>
        <w:pStyle w:val="Defstart"/>
      </w:pPr>
      <w:r>
        <w:rPr>
          <w:b/>
        </w:rPr>
        <w:tab/>
        <w:t>“</w:t>
      </w:r>
      <w:r>
        <w:rPr>
          <w:rStyle w:val="CharDefText"/>
        </w:rPr>
        <w:t>working day</w:t>
      </w:r>
      <w:r>
        <w:rPr>
          <w:b/>
        </w:rPr>
        <w:t>”</w:t>
      </w:r>
      <w:r>
        <w:t xml:space="preserve"> means a weekday that is not a public holiday for the Perth metropolitan area.</w:t>
      </w:r>
    </w:p>
    <w:p>
      <w:pPr>
        <w:pStyle w:val="Footnotesection"/>
      </w:pPr>
      <w:r>
        <w:tab/>
        <w:t>[Regulation 33A inserted in Gazette 11 Feb 2005 p. 697.]</w:t>
      </w:r>
    </w:p>
    <w:p>
      <w:pPr>
        <w:pStyle w:val="Heading5"/>
      </w:pPr>
      <w:bookmarkStart w:id="251" w:name="_Toc191980397"/>
      <w:bookmarkStart w:id="252" w:name="_Toc156097689"/>
      <w:bookmarkStart w:id="253" w:name="_Toc171051300"/>
      <w:r>
        <w:rPr>
          <w:rStyle w:val="CharSectno"/>
        </w:rPr>
        <w:t>33B</w:t>
      </w:r>
      <w:r>
        <w:t>.</w:t>
      </w:r>
      <w:r>
        <w:tab/>
        <w:t>Bikes on trains generally</w:t>
      </w:r>
      <w:bookmarkEnd w:id="251"/>
      <w:bookmarkEnd w:id="252"/>
      <w:bookmarkEnd w:id="253"/>
    </w:p>
    <w:p>
      <w:pPr>
        <w:pStyle w:val="Subsection"/>
      </w:pPr>
      <w:r>
        <w:tab/>
        <w:t>(1)</w:t>
      </w:r>
      <w:r>
        <w:tab/>
        <w:t>Subject to regulation 33D, a person may travel with a bicycle on a passenger train on a day that is not a working day, at any time.</w:t>
      </w:r>
    </w:p>
    <w:p>
      <w:pPr>
        <w:pStyle w:val="Subsection"/>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pPr>
      <w:bookmarkStart w:id="254" w:name="_Toc191980398"/>
      <w:bookmarkStart w:id="255" w:name="_Toc156097690"/>
      <w:bookmarkStart w:id="256" w:name="_Toc171051301"/>
      <w:r>
        <w:rPr>
          <w:rStyle w:val="CharSectno"/>
        </w:rPr>
        <w:t>33C</w:t>
      </w:r>
      <w:r>
        <w:t>.</w:t>
      </w:r>
      <w:r>
        <w:tab/>
        <w:t>Bikes on trains in peak times</w:t>
      </w:r>
      <w:bookmarkEnd w:id="254"/>
      <w:bookmarkEnd w:id="255"/>
      <w:bookmarkEnd w:id="256"/>
    </w:p>
    <w:p>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57" w:name="_Toc191980399"/>
      <w:bookmarkStart w:id="258" w:name="_Toc156097691"/>
      <w:bookmarkStart w:id="259" w:name="_Toc171051302"/>
      <w:r>
        <w:rPr>
          <w:rStyle w:val="CharSectno"/>
        </w:rPr>
        <w:t>33D</w:t>
      </w:r>
      <w:r>
        <w:t>.</w:t>
      </w:r>
      <w:r>
        <w:tab/>
        <w:t>Special events</w:t>
      </w:r>
      <w:bookmarkEnd w:id="257"/>
      <w:bookmarkEnd w:id="258"/>
      <w:bookmarkEnd w:id="259"/>
    </w:p>
    <w:p>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60" w:name="_Toc191980400"/>
      <w:bookmarkStart w:id="261" w:name="_Toc95806856"/>
      <w:bookmarkStart w:id="262" w:name="_Toc95877726"/>
      <w:bookmarkStart w:id="263" w:name="_Toc156097692"/>
      <w:bookmarkStart w:id="264" w:name="_Toc156097848"/>
      <w:bookmarkStart w:id="265" w:name="_Toc171051303"/>
      <w:r>
        <w:rPr>
          <w:rStyle w:val="CharPartNo"/>
        </w:rPr>
        <w:t>Part 5</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p>
    <w:p>
      <w:pPr>
        <w:pStyle w:val="Heading5"/>
      </w:pPr>
      <w:bookmarkStart w:id="266" w:name="_Toc191980401"/>
      <w:bookmarkStart w:id="267" w:name="_Toc41812397"/>
      <w:bookmarkStart w:id="268" w:name="_Toc43771831"/>
      <w:bookmarkStart w:id="269" w:name="_Toc156097693"/>
      <w:bookmarkStart w:id="270" w:name="_Toc171051304"/>
      <w:r>
        <w:rPr>
          <w:rStyle w:val="CharSectno"/>
        </w:rPr>
        <w:t>34</w:t>
      </w:r>
      <w:r>
        <w:t>.</w:t>
      </w:r>
      <w:r>
        <w:tab/>
        <w:t>Secondary functions: section 12(3) of the Act</w:t>
      </w:r>
      <w:bookmarkEnd w:id="266"/>
      <w:bookmarkEnd w:id="267"/>
      <w:bookmarkEnd w:id="268"/>
      <w:bookmarkEnd w:id="269"/>
      <w:bookmarkEnd w:id="270"/>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71" w:name="_Toc191980402"/>
      <w:bookmarkStart w:id="272" w:name="_Toc41812398"/>
      <w:bookmarkStart w:id="273" w:name="_Toc43771832"/>
      <w:bookmarkStart w:id="274" w:name="_Toc156097694"/>
      <w:bookmarkStart w:id="275" w:name="_Toc171051305"/>
      <w:r>
        <w:rPr>
          <w:rStyle w:val="CharSectno"/>
        </w:rPr>
        <w:t>35</w:t>
      </w:r>
      <w:r>
        <w:t>.</w:t>
      </w:r>
      <w:r>
        <w:tab/>
        <w:t>Criteria for Minister’s approval not being required under section 15 of the Act</w:t>
      </w:r>
      <w:bookmarkEnd w:id="271"/>
      <w:bookmarkEnd w:id="272"/>
      <w:bookmarkEnd w:id="273"/>
      <w:bookmarkEnd w:id="274"/>
      <w:bookmarkEnd w:id="275"/>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76" w:name="_Toc191980403"/>
      <w:bookmarkStart w:id="277" w:name="_Toc41812399"/>
      <w:bookmarkStart w:id="278" w:name="_Toc43771833"/>
      <w:bookmarkStart w:id="279" w:name="_Toc156097695"/>
      <w:bookmarkStart w:id="280" w:name="_Toc171051306"/>
      <w:r>
        <w:rPr>
          <w:rStyle w:val="CharSectno"/>
        </w:rPr>
        <w:t>36</w:t>
      </w:r>
      <w:r>
        <w:t>.</w:t>
      </w:r>
      <w:r>
        <w:tab/>
        <w:t>Disposal of an estate in land other than Crown land without the Minister’s approval: section 16 of the Act</w:t>
      </w:r>
      <w:bookmarkEnd w:id="276"/>
      <w:bookmarkEnd w:id="277"/>
      <w:bookmarkEnd w:id="278"/>
      <w:bookmarkEnd w:id="279"/>
      <w:bookmarkEnd w:id="280"/>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81" w:name="_Toc191980404"/>
      <w:bookmarkStart w:id="282" w:name="_Toc41812400"/>
      <w:bookmarkStart w:id="283" w:name="_Toc43771834"/>
      <w:bookmarkStart w:id="284" w:name="_Toc156097696"/>
      <w:bookmarkStart w:id="285" w:name="_Toc171051307"/>
      <w:r>
        <w:rPr>
          <w:rStyle w:val="CharSectno"/>
        </w:rPr>
        <w:t>37</w:t>
      </w:r>
      <w:r>
        <w:t>.</w:t>
      </w:r>
      <w:r>
        <w:tab/>
        <w:t>Crossings by traction engines and large vehicles</w:t>
      </w:r>
      <w:bookmarkEnd w:id="281"/>
      <w:bookmarkEnd w:id="282"/>
      <w:bookmarkEnd w:id="283"/>
      <w:bookmarkEnd w:id="284"/>
      <w:bookmarkEnd w:id="285"/>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86" w:name="_Toc41812401"/>
      <w:bookmarkStart w:id="287" w:name="_Toc191980405"/>
      <w:bookmarkStart w:id="288" w:name="_Toc43771835"/>
      <w:bookmarkStart w:id="289" w:name="_Toc156097697"/>
      <w:bookmarkStart w:id="290" w:name="_Toc171051308"/>
      <w:r>
        <w:rPr>
          <w:rStyle w:val="CharSectno"/>
        </w:rPr>
        <w:t>38</w:t>
      </w:r>
      <w:r>
        <w:t>.</w:t>
      </w:r>
      <w:r>
        <w:tab/>
      </w:r>
      <w:bookmarkEnd w:id="286"/>
      <w:r>
        <w:t>Sewage etc.</w:t>
      </w:r>
      <w:bookmarkEnd w:id="287"/>
      <w:bookmarkEnd w:id="288"/>
      <w:bookmarkEnd w:id="289"/>
      <w:bookmarkEnd w:id="290"/>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91" w:name="_Toc191980406"/>
      <w:bookmarkStart w:id="292" w:name="_Toc41812402"/>
      <w:bookmarkStart w:id="293" w:name="_Toc43771836"/>
      <w:bookmarkStart w:id="294" w:name="_Toc156097698"/>
      <w:bookmarkStart w:id="295" w:name="_Toc171051309"/>
      <w:r>
        <w:rPr>
          <w:rStyle w:val="CharSectno"/>
        </w:rPr>
        <w:t>39</w:t>
      </w:r>
      <w:r>
        <w:t>.</w:t>
      </w:r>
      <w:r>
        <w:tab/>
        <w:t>Animals</w:t>
      </w:r>
      <w:bookmarkEnd w:id="291"/>
      <w:bookmarkEnd w:id="292"/>
      <w:bookmarkEnd w:id="293"/>
      <w:bookmarkEnd w:id="294"/>
      <w:bookmarkEnd w:id="295"/>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96" w:name="_Toc191980407"/>
      <w:bookmarkStart w:id="297" w:name="_Toc41812403"/>
      <w:bookmarkStart w:id="298" w:name="_Toc43771837"/>
      <w:bookmarkStart w:id="299" w:name="_Toc156097699"/>
      <w:bookmarkStart w:id="300" w:name="_Toc171051310"/>
      <w:r>
        <w:rPr>
          <w:rStyle w:val="CharSectno"/>
        </w:rPr>
        <w:t>40</w:t>
      </w:r>
      <w:r>
        <w:t>.</w:t>
      </w:r>
      <w:r>
        <w:tab/>
        <w:t>Obstructing an authorised person</w:t>
      </w:r>
      <w:bookmarkEnd w:id="296"/>
      <w:bookmarkEnd w:id="297"/>
      <w:bookmarkEnd w:id="298"/>
      <w:bookmarkEnd w:id="299"/>
      <w:bookmarkEnd w:id="300"/>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301" w:name="_Hlt514661085"/>
      <w:bookmarkStart w:id="302" w:name="_Toc191980408"/>
      <w:bookmarkStart w:id="303" w:name="_Toc4977407"/>
      <w:bookmarkStart w:id="304" w:name="_Toc8460560"/>
      <w:bookmarkStart w:id="305" w:name="_Toc34197534"/>
      <w:bookmarkStart w:id="306" w:name="_Toc41812405"/>
      <w:bookmarkStart w:id="307" w:name="_Toc43771838"/>
      <w:bookmarkStart w:id="308" w:name="_Toc156097700"/>
      <w:bookmarkStart w:id="309" w:name="_Toc171051311"/>
      <w:bookmarkEnd w:id="301"/>
      <w:r>
        <w:rPr>
          <w:rStyle w:val="CharSectno"/>
        </w:rPr>
        <w:t>41</w:t>
      </w:r>
      <w:r>
        <w:t>.</w:t>
      </w:r>
      <w:r>
        <w:tab/>
        <w:t>Refusal of passage</w:t>
      </w:r>
      <w:bookmarkEnd w:id="302"/>
      <w:bookmarkEnd w:id="303"/>
      <w:bookmarkEnd w:id="304"/>
      <w:bookmarkEnd w:id="305"/>
      <w:bookmarkEnd w:id="306"/>
      <w:bookmarkEnd w:id="307"/>
      <w:bookmarkEnd w:id="308"/>
      <w:bookmarkEnd w:id="309"/>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w:t>
      </w:r>
      <w:bookmarkStart w:id="310" w:name="_Hlt43280034"/>
      <w:r>
        <w:t>7</w:t>
      </w:r>
      <w:bookmarkEnd w:id="310"/>
      <w:r>
        <w:t>;</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w:t>
      </w:r>
      <w:bookmarkStart w:id="311" w:name="_Hlt43280066"/>
      <w:r>
        <w:t>21</w:t>
      </w:r>
      <w:bookmarkEnd w:id="311"/>
      <w:r>
        <w:t>;</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312" w:name="_Toc191980409"/>
      <w:bookmarkStart w:id="313" w:name="_Toc4977408"/>
      <w:bookmarkStart w:id="314" w:name="_Toc8460561"/>
      <w:bookmarkStart w:id="315" w:name="_Toc34197535"/>
      <w:bookmarkStart w:id="316" w:name="_Toc41812406"/>
      <w:bookmarkStart w:id="317" w:name="_Toc43771839"/>
      <w:bookmarkStart w:id="318" w:name="_Toc156097701"/>
      <w:bookmarkStart w:id="319" w:name="_Toc171051312"/>
      <w:r>
        <w:rPr>
          <w:rStyle w:val="CharSectno"/>
        </w:rPr>
        <w:t>42</w:t>
      </w:r>
      <w:r>
        <w:t>.</w:t>
      </w:r>
      <w:r>
        <w:tab/>
        <w:t>Failure to comply with refusal of travel</w:t>
      </w:r>
      <w:bookmarkEnd w:id="312"/>
      <w:bookmarkEnd w:id="313"/>
      <w:bookmarkEnd w:id="314"/>
      <w:bookmarkEnd w:id="315"/>
      <w:bookmarkEnd w:id="316"/>
      <w:bookmarkEnd w:id="317"/>
      <w:bookmarkEnd w:id="318"/>
      <w:bookmarkEnd w:id="319"/>
    </w:p>
    <w:p>
      <w:pPr>
        <w:pStyle w:val="Subsection"/>
      </w:pPr>
      <w:r>
        <w:tab/>
      </w:r>
      <w:r>
        <w:tab/>
        <w:t>If a person has been advised under regulation </w:t>
      </w:r>
      <w:bookmarkStart w:id="320" w:name="_Hlt43280078"/>
      <w:r>
        <w:t>41</w:t>
      </w:r>
      <w:bookmarkEnd w:id="320"/>
      <w:r>
        <w:t xml:space="preserve">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321" w:name="_Toc191980410"/>
      <w:bookmarkStart w:id="322" w:name="_Toc41812407"/>
      <w:bookmarkStart w:id="323" w:name="_Toc43771840"/>
      <w:bookmarkStart w:id="324" w:name="_Toc156097702"/>
      <w:bookmarkStart w:id="325" w:name="_Toc171051313"/>
      <w:r>
        <w:rPr>
          <w:rStyle w:val="CharSectno"/>
        </w:rPr>
        <w:t>43</w:t>
      </w:r>
      <w:r>
        <w:t>.</w:t>
      </w:r>
      <w:r>
        <w:tab/>
        <w:t>Ejecting people from Authority property: section 65 of the Act</w:t>
      </w:r>
      <w:bookmarkEnd w:id="321"/>
      <w:bookmarkEnd w:id="322"/>
      <w:bookmarkEnd w:id="323"/>
      <w:bookmarkEnd w:id="324"/>
      <w:bookmarkEnd w:id="325"/>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w:t>
      </w:r>
      <w:ins w:id="326" w:author="Master Repository Process" w:date="2021-09-11T15:54:00Z">
        <w:r>
          <w:t xml:space="preserve"> or</w:t>
        </w:r>
      </w:ins>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w:t>
      </w:r>
      <w:ins w:id="327" w:author="Master Repository Process" w:date="2021-09-11T15:54:00Z">
        <w:r>
          <w:t xml:space="preserve"> or</w:t>
        </w:r>
      </w:ins>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w:t>
      </w:r>
      <w:ins w:id="328" w:author="Master Repository Process" w:date="2021-09-11T15:54:00Z">
        <w:r>
          <w:t xml:space="preserve"> or</w:t>
        </w:r>
      </w:ins>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w:t>
      </w:r>
      <w:ins w:id="329" w:author="Master Repository Process" w:date="2021-09-11T15:54:00Z">
        <w:r>
          <w:t xml:space="preserve"> or</w:t>
        </w:r>
      </w:ins>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w:t>
      </w:r>
      <w:ins w:id="330" w:author="Master Repository Process" w:date="2021-09-11T15:54:00Z">
        <w:r>
          <w:t xml:space="preserve"> or</w:t>
        </w:r>
      </w:ins>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pPr>
        <w:pStyle w:val="Indenta"/>
      </w:pPr>
      <w:r>
        <w:tab/>
        <w:t>(fa)</w:t>
      </w:r>
      <w:r>
        <w:tab/>
        <w:t>the person has been given a direction under regulation 33C(3), 33C(4), 33D(1) or 33D(2) and the person does not obey that direction;</w:t>
      </w:r>
      <w:ins w:id="331" w:author="Master Repository Process" w:date="2021-09-11T15:54:00Z">
        <w:r>
          <w:t xml:space="preserve"> or</w:t>
        </w:r>
      </w:ins>
    </w:p>
    <w:p>
      <w:pPr>
        <w:pStyle w:val="Indenta"/>
      </w:pPr>
      <w:r>
        <w:tab/>
        <w:t>(g)</w:t>
      </w:r>
      <w:r>
        <w:tab/>
        <w:t>the person has been advised under regulation 41 that he or she must not travel on or remain on a conveyance;</w:t>
      </w:r>
      <w:ins w:id="332" w:author="Master Repository Process" w:date="2021-09-11T15:54:00Z">
        <w:r>
          <w:t xml:space="preserve"> or</w:t>
        </w:r>
      </w:ins>
    </w:p>
    <w:p>
      <w:pPr>
        <w:pStyle w:val="Indenta"/>
        <w:rPr>
          <w:ins w:id="333" w:author="Master Repository Process" w:date="2021-09-11T15:54:00Z"/>
        </w:rPr>
      </w:pPr>
      <w:ins w:id="334" w:author="Master Repository Process" w:date="2021-09-11T15:54:00Z">
        <w:r>
          <w:tab/>
          <w:t>(ga)</w:t>
        </w:r>
        <w:r>
          <w:tab/>
          <w:t>the person is in or on Authority property, without reasonable excuse, in contravention of a prohibition order given to the person under regulation 43A(4); or</w:t>
        </w:r>
      </w:ins>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w:t>
      </w:r>
      <w:ins w:id="335" w:author="Master Repository Process" w:date="2021-09-11T15:54:00Z">
        <w:r>
          <w:t>699; 29 Feb 2008 p. </w:t>
        </w:r>
      </w:ins>
      <w:r>
        <w:t>699.]</w:t>
      </w:r>
    </w:p>
    <w:p>
      <w:pPr>
        <w:pStyle w:val="Heading5"/>
        <w:rPr>
          <w:ins w:id="336" w:author="Master Repository Process" w:date="2021-09-11T15:54:00Z"/>
        </w:rPr>
      </w:pPr>
      <w:bookmarkStart w:id="337" w:name="_Toc191980411"/>
      <w:ins w:id="338" w:author="Master Repository Process" w:date="2021-09-11T15:54:00Z">
        <w:r>
          <w:rPr>
            <w:rStyle w:val="CharSectno"/>
          </w:rPr>
          <w:t>43A</w:t>
        </w:r>
        <w:r>
          <w:t>.</w:t>
        </w:r>
        <w:r>
          <w:tab/>
          <w:t>Prohibiting people from being on or in a conveyance or facility</w:t>
        </w:r>
        <w:bookmarkEnd w:id="337"/>
      </w:ins>
    </w:p>
    <w:p>
      <w:pPr>
        <w:pStyle w:val="Subsection"/>
        <w:rPr>
          <w:ins w:id="339" w:author="Master Repository Process" w:date="2021-09-11T15:54:00Z"/>
        </w:rPr>
      </w:pPr>
      <w:ins w:id="340" w:author="Master Repository Process" w:date="2021-09-11T15:54:00Z">
        <w:r>
          <w:tab/>
          <w:t>(1)</w:t>
        </w:r>
        <w:r>
          <w:tab/>
          <w:t>For the purposes of this regulation, an offence is a relevant offence if it is an offence specified in subregulation (2).</w:t>
        </w:r>
      </w:ins>
    </w:p>
    <w:p>
      <w:pPr>
        <w:pStyle w:val="Subsection"/>
        <w:rPr>
          <w:ins w:id="341" w:author="Master Repository Process" w:date="2021-09-11T15:54:00Z"/>
        </w:rPr>
      </w:pPr>
      <w:ins w:id="342" w:author="Master Repository Process" w:date="2021-09-11T15:54:00Z">
        <w:r>
          <w:tab/>
          <w:t>(2)</w:t>
        </w:r>
        <w:r>
          <w:tab/>
          <w:t xml:space="preserve">The specified offences are — </w:t>
        </w:r>
      </w:ins>
    </w:p>
    <w:p>
      <w:pPr>
        <w:pStyle w:val="Indenta"/>
        <w:rPr>
          <w:ins w:id="343" w:author="Master Repository Process" w:date="2021-09-11T15:54:00Z"/>
        </w:rPr>
      </w:pPr>
      <w:ins w:id="344" w:author="Master Repository Process" w:date="2021-09-11T15:54:00Z">
        <w:r>
          <w:tab/>
          <w:t>(a)</w:t>
        </w:r>
        <w:r>
          <w:tab/>
          <w:t xml:space="preserve">an offence under </w:t>
        </w:r>
        <w:r>
          <w:rPr>
            <w:i/>
          </w:rPr>
          <w:t>The Criminal Code</w:t>
        </w:r>
        <w:r>
          <w:t xml:space="preserve"> section 313, 317 or 318(1)(d) or (g) committed on or in a conveyance or facility;</w:t>
        </w:r>
      </w:ins>
    </w:p>
    <w:p>
      <w:pPr>
        <w:pStyle w:val="Indenta"/>
        <w:rPr>
          <w:ins w:id="345" w:author="Master Repository Process" w:date="2021-09-11T15:54:00Z"/>
        </w:rPr>
      </w:pPr>
      <w:ins w:id="346" w:author="Master Repository Process" w:date="2021-09-11T15:54:00Z">
        <w:r>
          <w:tab/>
          <w:t>(b)</w:t>
        </w:r>
        <w:r>
          <w:tab/>
          <w:t xml:space="preserve">an offence under </w:t>
        </w:r>
        <w:r>
          <w:rPr>
            <w:i/>
          </w:rPr>
          <w:t>The Criminal Code</w:t>
        </w:r>
        <w:r>
          <w:t xml:space="preserve"> section 444 committed in relation to Authority property, a conveyance or a facility;</w:t>
        </w:r>
      </w:ins>
    </w:p>
    <w:p>
      <w:pPr>
        <w:pStyle w:val="Indenta"/>
        <w:rPr>
          <w:ins w:id="347" w:author="Master Repository Process" w:date="2021-09-11T15:54:00Z"/>
        </w:rPr>
      </w:pPr>
      <w:ins w:id="348" w:author="Master Repository Process" w:date="2021-09-11T15:54:00Z">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ins>
    </w:p>
    <w:p>
      <w:pPr>
        <w:pStyle w:val="Indenta"/>
        <w:rPr>
          <w:ins w:id="349" w:author="Master Repository Process" w:date="2021-09-11T15:54:00Z"/>
        </w:rPr>
      </w:pPr>
      <w:ins w:id="350" w:author="Master Repository Process" w:date="2021-09-11T15:54:00Z">
        <w:r>
          <w:tab/>
          <w:t>(d)</w:t>
        </w:r>
        <w:r>
          <w:tab/>
          <w:t>an offence under regulation 40;</w:t>
        </w:r>
      </w:ins>
    </w:p>
    <w:p>
      <w:pPr>
        <w:pStyle w:val="Indenta"/>
        <w:rPr>
          <w:ins w:id="351" w:author="Master Repository Process" w:date="2021-09-11T15:54:00Z"/>
        </w:rPr>
      </w:pPr>
      <w:ins w:id="352" w:author="Master Repository Process" w:date="2021-09-11T15:54:00Z">
        <w:r>
          <w:tab/>
          <w:t>(e)</w:t>
        </w:r>
        <w:r>
          <w:tab/>
          <w:t>an offence under regulation 42 committed when regulation 41(g) was the paragraph relevant to the belief on the grounds of which the offender was advised.</w:t>
        </w:r>
      </w:ins>
    </w:p>
    <w:p>
      <w:pPr>
        <w:pStyle w:val="Subsection"/>
        <w:rPr>
          <w:ins w:id="353" w:author="Master Repository Process" w:date="2021-09-11T15:54:00Z"/>
        </w:rPr>
      </w:pPr>
      <w:ins w:id="354" w:author="Master Repository Process" w:date="2021-09-11T15:54:00Z">
        <w:r>
          <w:tab/>
          <w:t>(3)</w:t>
        </w:r>
        <w:r>
          <w:tab/>
          <w:t xml:space="preserve">If the chief executive officer proposes to give a person a prohibition order under subregulation (4), the chief executive officer must, by written notice, give the offender 14 days beginning on the date of the notice to show cause — </w:t>
        </w:r>
      </w:ins>
    </w:p>
    <w:p>
      <w:pPr>
        <w:pStyle w:val="Indenta"/>
        <w:rPr>
          <w:ins w:id="355" w:author="Master Repository Process" w:date="2021-09-11T15:54:00Z"/>
        </w:rPr>
      </w:pPr>
      <w:ins w:id="356" w:author="Master Repository Process" w:date="2021-09-11T15:54:00Z">
        <w:r>
          <w:tab/>
          <w:t>(a)</w:t>
        </w:r>
        <w:r>
          <w:tab/>
          <w:t>why the order should not be given to the offender; and</w:t>
        </w:r>
      </w:ins>
    </w:p>
    <w:p>
      <w:pPr>
        <w:pStyle w:val="Indenta"/>
        <w:rPr>
          <w:ins w:id="357" w:author="Master Repository Process" w:date="2021-09-11T15:54:00Z"/>
        </w:rPr>
      </w:pPr>
      <w:ins w:id="358" w:author="Master Repository Process" w:date="2021-09-11T15:54:00Z">
        <w:r>
          <w:tab/>
          <w:t>(b)</w:t>
        </w:r>
        <w:r>
          <w:tab/>
          <w:t xml:space="preserve">why the order should specify circumstances (an </w:t>
        </w:r>
        <w:r>
          <w:rPr>
            <w:b/>
          </w:rPr>
          <w:t>“</w:t>
        </w:r>
        <w:r>
          <w:rPr>
            <w:rStyle w:val="CharDefText"/>
          </w:rPr>
          <w:t>exception</w:t>
        </w:r>
        <w:r>
          <w:rPr>
            <w:b/>
          </w:rPr>
          <w:t>”</w:t>
        </w:r>
        <w:r>
          <w:t>) in which the offender may be on or in a conveyance or facility despite the person being prohibited from being on or in a conveyance or facility for the period specified in the order.</w:t>
        </w:r>
      </w:ins>
    </w:p>
    <w:p>
      <w:pPr>
        <w:pStyle w:val="Subsection"/>
        <w:rPr>
          <w:ins w:id="359" w:author="Master Repository Process" w:date="2021-09-11T15:54:00Z"/>
        </w:rPr>
      </w:pPr>
      <w:ins w:id="360" w:author="Master Repository Process" w:date="2021-09-11T15:54:00Z">
        <w:r>
          <w:tab/>
          <w:t>(4)</w:t>
        </w:r>
        <w:r>
          <w:tab/>
          <w:t xml:space="preserve">If a person has been found guilty of or pleaded guilty to — </w:t>
        </w:r>
      </w:ins>
    </w:p>
    <w:p>
      <w:pPr>
        <w:pStyle w:val="Indenta"/>
        <w:rPr>
          <w:ins w:id="361" w:author="Master Repository Process" w:date="2021-09-11T15:54:00Z"/>
        </w:rPr>
      </w:pPr>
      <w:ins w:id="362" w:author="Master Repository Process" w:date="2021-09-11T15:54:00Z">
        <w:r>
          <w:tab/>
          <w:t>(a)</w:t>
        </w:r>
        <w:r>
          <w:tab/>
          <w:t>at least 2 relevant offences committed within a period of 12 months beginning on the day on which the first offence was committed; or</w:t>
        </w:r>
      </w:ins>
    </w:p>
    <w:p>
      <w:pPr>
        <w:pStyle w:val="Indenta"/>
        <w:rPr>
          <w:ins w:id="363" w:author="Master Repository Process" w:date="2021-09-11T15:54:00Z"/>
        </w:rPr>
      </w:pPr>
      <w:ins w:id="364" w:author="Master Repository Process" w:date="2021-09-11T15:54:00Z">
        <w:r>
          <w:tab/>
          <w:t>(b)</w:t>
        </w:r>
        <w:r>
          <w:tab/>
          <w:t>3 or more relevant offences committed within a period of 18 months beginning on the day on which the first offence was committed,</w:t>
        </w:r>
      </w:ins>
    </w:p>
    <w:p>
      <w:pPr>
        <w:pStyle w:val="Subsection"/>
        <w:rPr>
          <w:ins w:id="365" w:author="Master Repository Process" w:date="2021-09-11T15:54:00Z"/>
        </w:rPr>
      </w:pPr>
      <w:ins w:id="366" w:author="Master Repository Process" w:date="2021-09-11T15:54:00Z">
        <w:r>
          <w:tab/>
        </w:r>
        <w:r>
          <w:tab/>
          <w:t xml:space="preserve">and the offences do not arise from the same acts or circumstances, the chief executive officer may give the person (the </w:t>
        </w:r>
        <w:r>
          <w:rPr>
            <w:b/>
          </w:rPr>
          <w:t>“</w:t>
        </w:r>
        <w:r>
          <w:rPr>
            <w:rStyle w:val="CharDefText"/>
          </w:rPr>
          <w:t>offender</w:t>
        </w:r>
        <w:r>
          <w:rPr>
            <w:b/>
          </w:rPr>
          <w:t>”</w:t>
        </w:r>
        <w:r>
          <w:t xml:space="preserve">) an order (a </w:t>
        </w:r>
        <w:r>
          <w:rPr>
            <w:b/>
          </w:rPr>
          <w:t>“</w:t>
        </w:r>
        <w:r>
          <w:rPr>
            <w:rStyle w:val="CharDefText"/>
          </w:rPr>
          <w:t>prohibition order</w:t>
        </w:r>
        <w:r>
          <w:rPr>
            <w:b/>
          </w:rPr>
          <w:t>”</w:t>
        </w:r>
        <w:r>
          <w:t>), in a form approved in writing by the chief executive officer, prohibiting the offender from being on or in a conveyance or facility for the period and subject to any exception specified in the order.</w:t>
        </w:r>
      </w:ins>
    </w:p>
    <w:p>
      <w:pPr>
        <w:pStyle w:val="Subsection"/>
        <w:rPr>
          <w:ins w:id="367" w:author="Master Repository Process" w:date="2021-09-11T15:54:00Z"/>
        </w:rPr>
      </w:pPr>
      <w:ins w:id="368" w:author="Master Repository Process" w:date="2021-09-11T15:54:00Z">
        <w:r>
          <w:tab/>
          <w:t>(5)</w:t>
        </w:r>
        <w:r>
          <w:tab/>
          <w:t>The period specified in the order —</w:t>
        </w:r>
      </w:ins>
    </w:p>
    <w:p>
      <w:pPr>
        <w:pStyle w:val="Indenta"/>
        <w:rPr>
          <w:ins w:id="369" w:author="Master Repository Process" w:date="2021-09-11T15:54:00Z"/>
        </w:rPr>
      </w:pPr>
      <w:ins w:id="370" w:author="Master Repository Process" w:date="2021-09-11T15:54:00Z">
        <w:r>
          <w:tab/>
          <w:t>(a)</w:t>
        </w:r>
        <w:r>
          <w:tab/>
          <w:t>must not exceed one month if the offender has been found guilty of or pleaded guilty to not more than 2 relevant offences committed within a period of 12 months beginning on the day on which the first offence was committed; and</w:t>
        </w:r>
      </w:ins>
    </w:p>
    <w:p>
      <w:pPr>
        <w:pStyle w:val="Indenta"/>
        <w:rPr>
          <w:ins w:id="371" w:author="Master Repository Process" w:date="2021-09-11T15:54:00Z"/>
        </w:rPr>
      </w:pPr>
      <w:ins w:id="372" w:author="Master Repository Process" w:date="2021-09-11T15:54:00Z">
        <w:r>
          <w:tab/>
          <w:t>(b)</w:t>
        </w:r>
        <w:r>
          <w:tab/>
          <w:t>must not exceed 3 months if the offender has been found guilty of or pleaded guilty to more than 2 relevant offences committed within a period of 18 months beginning on the day on which the first offence was committed.</w:t>
        </w:r>
      </w:ins>
    </w:p>
    <w:p>
      <w:pPr>
        <w:pStyle w:val="Subsection"/>
        <w:rPr>
          <w:ins w:id="373" w:author="Master Repository Process" w:date="2021-09-11T15:54:00Z"/>
        </w:rPr>
      </w:pPr>
      <w:ins w:id="374" w:author="Master Repository Process" w:date="2021-09-11T15:54:00Z">
        <w:r>
          <w:tab/>
          <w:t>(6)</w:t>
        </w:r>
        <w:r>
          <w:tab/>
          <w:t xml:space="preserve">On the application of an offender the subject of a prohibition order, the chief executive officer may — </w:t>
        </w:r>
      </w:ins>
    </w:p>
    <w:p>
      <w:pPr>
        <w:pStyle w:val="Indenta"/>
        <w:rPr>
          <w:ins w:id="375" w:author="Master Repository Process" w:date="2021-09-11T15:54:00Z"/>
        </w:rPr>
      </w:pPr>
      <w:ins w:id="376" w:author="Master Repository Process" w:date="2021-09-11T15:54:00Z">
        <w:r>
          <w:tab/>
          <w:t>(a)</w:t>
        </w:r>
        <w:r>
          <w:tab/>
          <w:t>revoke the order; or</w:t>
        </w:r>
      </w:ins>
    </w:p>
    <w:p>
      <w:pPr>
        <w:pStyle w:val="Indenta"/>
        <w:rPr>
          <w:ins w:id="377" w:author="Master Repository Process" w:date="2021-09-11T15:54:00Z"/>
        </w:rPr>
      </w:pPr>
      <w:ins w:id="378" w:author="Master Repository Process" w:date="2021-09-11T15:54:00Z">
        <w:r>
          <w:tab/>
          <w:t>(b)</w:t>
        </w:r>
        <w:r>
          <w:tab/>
          <w:t>make the order subject to an exception; or</w:t>
        </w:r>
      </w:ins>
    </w:p>
    <w:p>
      <w:pPr>
        <w:pStyle w:val="Indenta"/>
        <w:rPr>
          <w:ins w:id="379" w:author="Master Repository Process" w:date="2021-09-11T15:54:00Z"/>
        </w:rPr>
      </w:pPr>
      <w:ins w:id="380" w:author="Master Repository Process" w:date="2021-09-11T15:54:00Z">
        <w:r>
          <w:tab/>
          <w:t>(c)</w:t>
        </w:r>
        <w:r>
          <w:tab/>
          <w:t>amend any exception to which the order is subject.</w:t>
        </w:r>
      </w:ins>
    </w:p>
    <w:p>
      <w:pPr>
        <w:pStyle w:val="Footnotesection"/>
        <w:rPr>
          <w:ins w:id="381" w:author="Master Repository Process" w:date="2021-09-11T15:54:00Z"/>
        </w:rPr>
      </w:pPr>
      <w:ins w:id="382" w:author="Master Repository Process" w:date="2021-09-11T15:54:00Z">
        <w:r>
          <w:tab/>
          <w:t>[Regulation 43A inserted in Gazette 29 Feb 2008 p. 699</w:t>
        </w:r>
        <w:r>
          <w:noBreakHyphen/>
          <w:t>700.]</w:t>
        </w:r>
      </w:ins>
    </w:p>
    <w:p>
      <w:pPr>
        <w:pStyle w:val="Heading5"/>
        <w:rPr>
          <w:ins w:id="383" w:author="Master Repository Process" w:date="2021-09-11T15:54:00Z"/>
        </w:rPr>
      </w:pPr>
      <w:bookmarkStart w:id="384" w:name="_Toc191980412"/>
      <w:ins w:id="385" w:author="Master Repository Process" w:date="2021-09-11T15:54:00Z">
        <w:r>
          <w:rPr>
            <w:rStyle w:val="CharSectno"/>
          </w:rPr>
          <w:t>43B</w:t>
        </w:r>
        <w:r>
          <w:t>.</w:t>
        </w:r>
        <w:r>
          <w:tab/>
          <w:t>Contravention of prohibition order</w:t>
        </w:r>
        <w:bookmarkEnd w:id="384"/>
      </w:ins>
    </w:p>
    <w:p>
      <w:pPr>
        <w:pStyle w:val="Subsection"/>
        <w:rPr>
          <w:ins w:id="386" w:author="Master Repository Process" w:date="2021-09-11T15:54:00Z"/>
        </w:rPr>
      </w:pPr>
      <w:ins w:id="387" w:author="Master Repository Process" w:date="2021-09-11T15:54:00Z">
        <w:r>
          <w:tab/>
        </w:r>
        <w:r>
          <w:tab/>
          <w:t>A person who, without reasonable excuse, contravenes a prohibition order given to the person under regulation 43A(4) commits an offence.</w:t>
        </w:r>
      </w:ins>
    </w:p>
    <w:p>
      <w:pPr>
        <w:pStyle w:val="Penstart"/>
        <w:rPr>
          <w:ins w:id="388" w:author="Master Repository Process" w:date="2021-09-11T15:54:00Z"/>
        </w:rPr>
      </w:pPr>
      <w:ins w:id="389" w:author="Master Repository Process" w:date="2021-09-11T15:54:00Z">
        <w:r>
          <w:tab/>
          <w:t>Penalty: a fine of $2 000.</w:t>
        </w:r>
      </w:ins>
    </w:p>
    <w:p>
      <w:pPr>
        <w:pStyle w:val="Footnotesection"/>
        <w:rPr>
          <w:ins w:id="390" w:author="Master Repository Process" w:date="2021-09-11T15:54:00Z"/>
        </w:rPr>
      </w:pPr>
      <w:ins w:id="391" w:author="Master Repository Process" w:date="2021-09-11T15:54:00Z">
        <w:r>
          <w:tab/>
          <w:t>[Regulation 43B inserted in Gazette 29 Feb 2008 p. 700.]</w:t>
        </w:r>
      </w:ins>
    </w:p>
    <w:p>
      <w:pPr>
        <w:pStyle w:val="Heading5"/>
      </w:pPr>
      <w:bookmarkStart w:id="392" w:name="_Toc191980413"/>
      <w:bookmarkStart w:id="393" w:name="_Toc4977413"/>
      <w:bookmarkStart w:id="394" w:name="_Toc8460566"/>
      <w:bookmarkStart w:id="395" w:name="_Toc34197539"/>
      <w:bookmarkStart w:id="396" w:name="_Toc41812408"/>
      <w:bookmarkStart w:id="397" w:name="_Toc43771841"/>
      <w:bookmarkStart w:id="398" w:name="_Toc156097703"/>
      <w:bookmarkStart w:id="399" w:name="_Toc171051314"/>
      <w:r>
        <w:rPr>
          <w:rStyle w:val="CharSectno"/>
        </w:rPr>
        <w:t>44</w:t>
      </w:r>
      <w:r>
        <w:t>.</w:t>
      </w:r>
      <w:r>
        <w:tab/>
        <w:t>Recording information printed on a ticket or retention of ticket</w:t>
      </w:r>
      <w:bookmarkEnd w:id="392"/>
      <w:bookmarkEnd w:id="393"/>
      <w:bookmarkEnd w:id="394"/>
      <w:bookmarkEnd w:id="395"/>
      <w:bookmarkEnd w:id="396"/>
      <w:bookmarkEnd w:id="397"/>
      <w:bookmarkEnd w:id="398"/>
      <w:bookmarkEnd w:id="399"/>
    </w:p>
    <w:p>
      <w:pPr>
        <w:pStyle w:val="Subsection"/>
      </w:pPr>
      <w:r>
        <w:tab/>
        <w:t>(1)</w:t>
      </w:r>
      <w:r>
        <w:tab/>
        <w:t>If a person produces a ticket to an authorised person under regulation </w:t>
      </w:r>
      <w:bookmarkStart w:id="400" w:name="_Hlt41797042"/>
      <w:r>
        <w:t>6</w:t>
      </w:r>
      <w:bookmarkEnd w:id="400"/>
      <w:r>
        <w:t>,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401" w:name="_Hlt43280384"/>
      <w:bookmarkStart w:id="402" w:name="_Toc191980414"/>
      <w:bookmarkStart w:id="403" w:name="_Toc4977415"/>
      <w:bookmarkStart w:id="404" w:name="_Toc8460568"/>
      <w:bookmarkStart w:id="405" w:name="_Toc34197541"/>
      <w:bookmarkStart w:id="406" w:name="_Toc41812410"/>
      <w:bookmarkStart w:id="407" w:name="_Toc43771842"/>
      <w:bookmarkStart w:id="408" w:name="_Toc156097704"/>
      <w:bookmarkStart w:id="409" w:name="_Toc171051315"/>
      <w:bookmarkEnd w:id="401"/>
      <w:r>
        <w:rPr>
          <w:rStyle w:val="CharSectno"/>
        </w:rPr>
        <w:t>45</w:t>
      </w:r>
      <w:r>
        <w:t>.</w:t>
      </w:r>
      <w:r>
        <w:tab/>
        <w:t>Infringement notice</w:t>
      </w:r>
      <w:bookmarkEnd w:id="402"/>
      <w:bookmarkEnd w:id="403"/>
      <w:bookmarkEnd w:id="404"/>
      <w:bookmarkEnd w:id="405"/>
      <w:bookmarkEnd w:id="406"/>
      <w:bookmarkEnd w:id="407"/>
      <w:bookmarkEnd w:id="408"/>
      <w:bookmarkEnd w:id="409"/>
    </w:p>
    <w:p>
      <w:pPr>
        <w:pStyle w:val="Subsection"/>
      </w:pPr>
      <w:r>
        <w:tab/>
      </w:r>
      <w:r>
        <w:tab/>
        <w:t>Schedule </w:t>
      </w:r>
      <w:bookmarkStart w:id="410" w:name="_Hlt43280212"/>
      <w:r>
        <w:t>2</w:t>
      </w:r>
      <w:bookmarkEnd w:id="410"/>
      <w:r>
        <w:t xml:space="preserve"> Form 1 is prescribed, under section 45(1) of the Act, as the form of infringement notice.</w:t>
      </w:r>
    </w:p>
    <w:p>
      <w:pPr>
        <w:pStyle w:val="Heading5"/>
      </w:pPr>
      <w:bookmarkStart w:id="411" w:name="_Toc191980415"/>
      <w:bookmarkStart w:id="412" w:name="_Toc4977416"/>
      <w:bookmarkStart w:id="413" w:name="_Toc8460569"/>
      <w:bookmarkStart w:id="414" w:name="_Toc34197542"/>
      <w:bookmarkStart w:id="415" w:name="_Toc41812411"/>
      <w:bookmarkStart w:id="416" w:name="_Toc43771843"/>
      <w:bookmarkStart w:id="417" w:name="_Toc156097705"/>
      <w:bookmarkStart w:id="418" w:name="_Toc171051316"/>
      <w:r>
        <w:rPr>
          <w:rStyle w:val="CharSectno"/>
        </w:rPr>
        <w:t>46</w:t>
      </w:r>
      <w:r>
        <w:t>.</w:t>
      </w:r>
      <w:r>
        <w:tab/>
        <w:t>Withdrawal of infringement notice</w:t>
      </w:r>
      <w:bookmarkEnd w:id="411"/>
      <w:bookmarkEnd w:id="412"/>
      <w:bookmarkEnd w:id="413"/>
      <w:bookmarkEnd w:id="414"/>
      <w:bookmarkEnd w:id="415"/>
      <w:bookmarkEnd w:id="416"/>
      <w:bookmarkEnd w:id="417"/>
      <w:bookmarkEnd w:id="418"/>
    </w:p>
    <w:p>
      <w:pPr>
        <w:pStyle w:val="Subsection"/>
      </w:pPr>
      <w:r>
        <w:tab/>
      </w:r>
      <w:r>
        <w:tab/>
        <w:t>Schedule 2 Form 2 is prescribed, under section 47(1) of the Act, as the form of notice of withdrawal of infringement notice.</w:t>
      </w:r>
    </w:p>
    <w:p>
      <w:pPr>
        <w:pStyle w:val="Heading5"/>
        <w:rPr>
          <w:snapToGrid w:val="0"/>
        </w:rPr>
      </w:pPr>
      <w:bookmarkStart w:id="419" w:name="_Toc191980416"/>
      <w:bookmarkStart w:id="420" w:name="_Toc423332724"/>
      <w:bookmarkStart w:id="421" w:name="_Toc425219443"/>
      <w:bookmarkStart w:id="422" w:name="_Toc426249310"/>
      <w:bookmarkStart w:id="423" w:name="_Toc449924706"/>
      <w:bookmarkStart w:id="424" w:name="_Toc449947724"/>
      <w:bookmarkStart w:id="425" w:name="_Toc454185715"/>
      <w:bookmarkStart w:id="426" w:name="_Toc41812413"/>
      <w:bookmarkStart w:id="427" w:name="_Toc43771844"/>
      <w:bookmarkStart w:id="428" w:name="_Toc156097706"/>
      <w:bookmarkStart w:id="429" w:name="_Toc171051317"/>
      <w:r>
        <w:rPr>
          <w:rStyle w:val="CharSectno"/>
        </w:rPr>
        <w:t>47</w:t>
      </w:r>
      <w:r>
        <w:t>.</w:t>
      </w:r>
      <w:r>
        <w:tab/>
      </w:r>
      <w:r>
        <w:rPr>
          <w:snapToGrid w:val="0"/>
        </w:rPr>
        <w:t>The regulations repealed</w:t>
      </w:r>
      <w:bookmarkEnd w:id="419"/>
      <w:bookmarkEnd w:id="420"/>
      <w:bookmarkEnd w:id="421"/>
      <w:bookmarkEnd w:id="422"/>
      <w:bookmarkEnd w:id="423"/>
      <w:bookmarkEnd w:id="424"/>
      <w:bookmarkEnd w:id="425"/>
      <w:bookmarkEnd w:id="426"/>
      <w:bookmarkEnd w:id="427"/>
      <w:bookmarkEnd w:id="428"/>
      <w:bookmarkEnd w:id="429"/>
    </w:p>
    <w:p>
      <w:pPr>
        <w:pStyle w:val="Subsection"/>
      </w:pPr>
      <w:r>
        <w:tab/>
      </w:r>
      <w:r>
        <w:tab/>
        <w:t xml:space="preserve">The following regulations are repealed — </w:t>
      </w:r>
    </w:p>
    <w:p>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pPr>
        <w:pStyle w:val="Indenta"/>
      </w:pPr>
      <w:r>
        <w:tab/>
        <w:t>(b)</w:t>
      </w:r>
      <w:r>
        <w:tab/>
        <w:t xml:space="preserve">the </w:t>
      </w:r>
      <w:r>
        <w:rPr>
          <w:i/>
        </w:rPr>
        <w:t>Perth (Passenger) Transport Regulations 2002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30" w:name="_Toc43771845"/>
    </w:p>
    <w:p>
      <w:pPr>
        <w:pStyle w:val="yScheduleHeading"/>
      </w:pPr>
      <w:bookmarkStart w:id="431" w:name="_Toc191980417"/>
      <w:bookmarkStart w:id="432" w:name="_Toc156097707"/>
      <w:bookmarkStart w:id="433" w:name="_Toc156097863"/>
      <w:bookmarkStart w:id="434" w:name="_Toc171051318"/>
      <w:r>
        <w:rPr>
          <w:rStyle w:val="CharSchNo"/>
        </w:rPr>
        <w:t>Schedule 1</w:t>
      </w:r>
      <w:r>
        <w:t> — </w:t>
      </w:r>
      <w:r>
        <w:rPr>
          <w:rStyle w:val="CharSchText"/>
        </w:rPr>
        <w:t>Charges</w:t>
      </w:r>
      <w:bookmarkEnd w:id="431"/>
      <w:bookmarkEnd w:id="430"/>
      <w:bookmarkEnd w:id="432"/>
      <w:bookmarkEnd w:id="433"/>
      <w:bookmarkEnd w:id="434"/>
    </w:p>
    <w:p>
      <w:pPr>
        <w:pStyle w:val="yShoulderClause"/>
      </w:pPr>
      <w:r>
        <w:t>[r. </w:t>
      </w:r>
      <w:bookmarkStart w:id="435" w:name="_Hlt43185155"/>
      <w:r>
        <w:t>32</w:t>
      </w:r>
      <w:bookmarkEnd w:id="435"/>
      <w:r>
        <w:t>,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436" w:name="_Hlt43280301"/>
      <w:bookmarkStart w:id="437" w:name="_Toc191980418"/>
      <w:bookmarkStart w:id="438" w:name="_Toc43771846"/>
      <w:bookmarkStart w:id="439" w:name="_Toc156097708"/>
      <w:bookmarkStart w:id="440" w:name="_Toc156097864"/>
      <w:bookmarkStart w:id="441" w:name="_Toc171051319"/>
      <w:bookmarkEnd w:id="436"/>
      <w:r>
        <w:rPr>
          <w:rStyle w:val="CharSchNo"/>
        </w:rPr>
        <w:t xml:space="preserve">Schedule </w:t>
      </w:r>
      <w:bookmarkStart w:id="442" w:name="_Hlt43280222"/>
      <w:bookmarkEnd w:id="442"/>
      <w:r>
        <w:rPr>
          <w:rStyle w:val="CharSchNo"/>
        </w:rPr>
        <w:t>2</w:t>
      </w:r>
      <w:r>
        <w:t> — </w:t>
      </w:r>
      <w:r>
        <w:rPr>
          <w:rStyle w:val="CharSchText"/>
        </w:rPr>
        <w:t>Forms</w:t>
      </w:r>
      <w:bookmarkEnd w:id="437"/>
      <w:bookmarkEnd w:id="438"/>
      <w:bookmarkEnd w:id="439"/>
      <w:bookmarkEnd w:id="440"/>
      <w:bookmarkEnd w:id="441"/>
    </w:p>
    <w:p>
      <w:pPr>
        <w:pStyle w:val="yShoulderClause"/>
      </w:pPr>
      <w:r>
        <w:t>[r. </w:t>
      </w:r>
      <w:bookmarkStart w:id="443" w:name="_Hlt43280381"/>
      <w:r>
        <w:t>45</w:t>
      </w:r>
      <w:bookmarkEnd w:id="443"/>
      <w:r>
        <w:t>,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ind w:right="-108"/>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44" w:name="_Toc191980419"/>
      <w:bookmarkStart w:id="445" w:name="_Toc95806873"/>
      <w:bookmarkStart w:id="446" w:name="_Toc95877743"/>
      <w:bookmarkStart w:id="447" w:name="_Toc156097709"/>
      <w:bookmarkStart w:id="448" w:name="_Toc156097865"/>
      <w:bookmarkStart w:id="449" w:name="_Toc171051320"/>
      <w:r>
        <w:t>Notes</w:t>
      </w:r>
      <w:bookmarkEnd w:id="444"/>
      <w:bookmarkEnd w:id="445"/>
      <w:bookmarkEnd w:id="446"/>
      <w:bookmarkEnd w:id="447"/>
      <w:bookmarkEnd w:id="448"/>
      <w:bookmarkEnd w:id="449"/>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pPr>
        <w:pStyle w:val="nHeading3"/>
      </w:pPr>
      <w:bookmarkStart w:id="450" w:name="_Toc191980420"/>
      <w:bookmarkStart w:id="451" w:name="_Toc511102520"/>
      <w:bookmarkStart w:id="452" w:name="_Toc513888953"/>
      <w:bookmarkStart w:id="453" w:name="_Toc516991868"/>
      <w:bookmarkStart w:id="454" w:name="_Toc156097710"/>
      <w:bookmarkStart w:id="455" w:name="_Toc171051321"/>
      <w:r>
        <w:t>Compilation table</w:t>
      </w:r>
      <w:bookmarkEnd w:id="450"/>
      <w:bookmarkEnd w:id="451"/>
      <w:bookmarkEnd w:id="452"/>
      <w:bookmarkEnd w:id="453"/>
      <w:bookmarkEnd w:id="454"/>
      <w:bookmarkEnd w:id="4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Public Transport Authority Regulations 2003</w:t>
            </w:r>
          </w:p>
        </w:tc>
        <w:tc>
          <w:tcPr>
            <w:tcW w:w="1276" w:type="dxa"/>
            <w:tcBorders>
              <w:top w:val="single" w:sz="8" w:space="0" w:color="auto"/>
            </w:tcBorders>
          </w:tcPr>
          <w:p>
            <w:pPr>
              <w:pStyle w:val="nTable"/>
              <w:rPr>
                <w:sz w:val="19"/>
              </w:rPr>
            </w:pPr>
            <w:r>
              <w:rPr>
                <w:sz w:val="19"/>
              </w:rPr>
              <w:t>27 Jun 2003 p. 2465-97</w:t>
            </w:r>
          </w:p>
        </w:tc>
        <w:tc>
          <w:tcPr>
            <w:tcW w:w="2693" w:type="dxa"/>
            <w:tcBorders>
              <w:top w:val="single" w:sz="8" w:space="0" w:color="auto"/>
            </w:tcBorders>
          </w:tcPr>
          <w:p>
            <w:pPr>
              <w:pStyle w:val="nTable"/>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rPr>
                <w:i/>
                <w:sz w:val="19"/>
              </w:rPr>
            </w:pPr>
            <w:r>
              <w:rPr>
                <w:i/>
                <w:sz w:val="19"/>
              </w:rPr>
              <w:t>Public Transport Authority Amendment Regulations 2003</w:t>
            </w:r>
          </w:p>
        </w:tc>
        <w:tc>
          <w:tcPr>
            <w:tcW w:w="1276" w:type="dxa"/>
          </w:tcPr>
          <w:p>
            <w:pPr>
              <w:pStyle w:val="nTable"/>
              <w:rPr>
                <w:sz w:val="19"/>
              </w:rPr>
            </w:pPr>
            <w:r>
              <w:rPr>
                <w:sz w:val="19"/>
              </w:rPr>
              <w:t>12 Dec 2003 p. 5040-1</w:t>
            </w:r>
          </w:p>
        </w:tc>
        <w:tc>
          <w:tcPr>
            <w:tcW w:w="2693" w:type="dxa"/>
          </w:tcPr>
          <w:p>
            <w:pPr>
              <w:pStyle w:val="nTable"/>
              <w:rPr>
                <w:sz w:val="19"/>
              </w:rPr>
            </w:pPr>
            <w:r>
              <w:rPr>
                <w:sz w:val="19"/>
              </w:rPr>
              <w:t>12 Dec 2003</w:t>
            </w:r>
          </w:p>
        </w:tc>
      </w:tr>
      <w:tr>
        <w:tc>
          <w:tcPr>
            <w:tcW w:w="3119" w:type="dxa"/>
          </w:tcPr>
          <w:p>
            <w:pPr>
              <w:pStyle w:val="nTable"/>
              <w:rPr>
                <w:i/>
                <w:sz w:val="19"/>
              </w:rPr>
            </w:pPr>
            <w:r>
              <w:rPr>
                <w:i/>
                <w:sz w:val="19"/>
              </w:rPr>
              <w:t>Public Transport Authority Amendment Regulations 2005</w:t>
            </w:r>
          </w:p>
        </w:tc>
        <w:tc>
          <w:tcPr>
            <w:tcW w:w="1276" w:type="dxa"/>
          </w:tcPr>
          <w:p>
            <w:pPr>
              <w:pStyle w:val="nTable"/>
              <w:rPr>
                <w:sz w:val="19"/>
              </w:rPr>
            </w:pPr>
            <w:r>
              <w:rPr>
                <w:sz w:val="19"/>
              </w:rPr>
              <w:t>11 Feb 2005 p. 696</w:t>
            </w:r>
            <w:r>
              <w:rPr>
                <w:sz w:val="19"/>
              </w:rPr>
              <w:noBreakHyphen/>
              <w:t>9</w:t>
            </w:r>
          </w:p>
        </w:tc>
        <w:tc>
          <w:tcPr>
            <w:tcW w:w="2693" w:type="dxa"/>
          </w:tcPr>
          <w:p>
            <w:pPr>
              <w:pStyle w:val="nTable"/>
              <w:rPr>
                <w:sz w:val="19"/>
              </w:rPr>
            </w:pPr>
            <w:r>
              <w:rPr>
                <w:sz w:val="19"/>
              </w:rPr>
              <w:t>11 Feb 2005</w:t>
            </w:r>
          </w:p>
        </w:tc>
      </w:tr>
      <w:tr>
        <w:tc>
          <w:tcPr>
            <w:tcW w:w="3119" w:type="dxa"/>
          </w:tcPr>
          <w:p>
            <w:pPr>
              <w:pStyle w:val="nTable"/>
              <w:rPr>
                <w:i/>
                <w:sz w:val="19"/>
              </w:rPr>
            </w:pPr>
            <w:r>
              <w:rPr>
                <w:i/>
                <w:sz w:val="19"/>
              </w:rPr>
              <w:t>Public Transport Authority Amendment Regulations 2007</w:t>
            </w:r>
          </w:p>
        </w:tc>
        <w:tc>
          <w:tcPr>
            <w:tcW w:w="1276" w:type="dxa"/>
          </w:tcPr>
          <w:p>
            <w:pPr>
              <w:pStyle w:val="nTable"/>
              <w:rPr>
                <w:sz w:val="19"/>
              </w:rPr>
            </w:pPr>
            <w:r>
              <w:rPr>
                <w:sz w:val="19"/>
              </w:rPr>
              <w:t>9 Jan 2007 p. 27</w:t>
            </w:r>
            <w:r>
              <w:rPr>
                <w:sz w:val="19"/>
              </w:rPr>
              <w:noBreakHyphen/>
              <w:t>8</w:t>
            </w:r>
          </w:p>
        </w:tc>
        <w:tc>
          <w:tcPr>
            <w:tcW w:w="2693" w:type="dxa"/>
          </w:tcPr>
          <w:p>
            <w:pPr>
              <w:pStyle w:val="nTable"/>
              <w:rPr>
                <w:sz w:val="19"/>
              </w:rPr>
            </w:pPr>
            <w:r>
              <w:rPr>
                <w:sz w:val="19"/>
              </w:rPr>
              <w:t>9 Jan 2007</w:t>
            </w:r>
          </w:p>
        </w:tc>
      </w:tr>
      <w:tr>
        <w:tc>
          <w:tcPr>
            <w:tcW w:w="3119" w:type="dxa"/>
          </w:tcPr>
          <w:p>
            <w:pPr>
              <w:pStyle w:val="nTable"/>
              <w:rPr>
                <w:i/>
                <w:sz w:val="19"/>
              </w:rPr>
            </w:pPr>
            <w:r>
              <w:rPr>
                <w:i/>
                <w:sz w:val="19"/>
              </w:rPr>
              <w:t>Public Transport Authority Amendment Regulations (No. 3) 2007</w:t>
            </w:r>
          </w:p>
        </w:tc>
        <w:tc>
          <w:tcPr>
            <w:tcW w:w="1276" w:type="dxa"/>
          </w:tcPr>
          <w:p>
            <w:pPr>
              <w:pStyle w:val="nTable"/>
              <w:rPr>
                <w:sz w:val="19"/>
              </w:rPr>
            </w:pPr>
            <w:r>
              <w:rPr>
                <w:sz w:val="19"/>
              </w:rPr>
              <w:t>26 Jun 2007 p. 3058-9</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rPr>
          <w:ins w:id="456" w:author="Master Repository Process" w:date="2021-09-11T15:54:00Z"/>
        </w:trPr>
        <w:tc>
          <w:tcPr>
            <w:tcW w:w="3119" w:type="dxa"/>
            <w:tcBorders>
              <w:bottom w:val="single" w:sz="8" w:space="0" w:color="auto"/>
            </w:tcBorders>
          </w:tcPr>
          <w:p>
            <w:pPr>
              <w:pStyle w:val="nTable"/>
              <w:rPr>
                <w:ins w:id="457" w:author="Master Repository Process" w:date="2021-09-11T15:54:00Z"/>
                <w:i/>
                <w:sz w:val="19"/>
              </w:rPr>
            </w:pPr>
            <w:ins w:id="458" w:author="Master Repository Process" w:date="2021-09-11T15:54:00Z">
              <w:r>
                <w:rPr>
                  <w:i/>
                  <w:sz w:val="19"/>
                </w:rPr>
                <w:t>Public Transport Authority Amendment Regulations 2008</w:t>
              </w:r>
            </w:ins>
          </w:p>
        </w:tc>
        <w:tc>
          <w:tcPr>
            <w:tcW w:w="1276" w:type="dxa"/>
            <w:tcBorders>
              <w:bottom w:val="single" w:sz="8" w:space="0" w:color="auto"/>
            </w:tcBorders>
          </w:tcPr>
          <w:p>
            <w:pPr>
              <w:pStyle w:val="nTable"/>
              <w:rPr>
                <w:ins w:id="459" w:author="Master Repository Process" w:date="2021-09-11T15:54:00Z"/>
                <w:sz w:val="19"/>
              </w:rPr>
            </w:pPr>
            <w:ins w:id="460" w:author="Master Repository Process" w:date="2021-09-11T15:54:00Z">
              <w:r>
                <w:rPr>
                  <w:sz w:val="19"/>
                </w:rPr>
                <w:t>29 Feb 2008 p. 698</w:t>
              </w:r>
              <w:r>
                <w:rPr>
                  <w:sz w:val="19"/>
                </w:rPr>
                <w:noBreakHyphen/>
                <w:t>700</w:t>
              </w:r>
            </w:ins>
          </w:p>
        </w:tc>
        <w:tc>
          <w:tcPr>
            <w:tcW w:w="2693" w:type="dxa"/>
            <w:tcBorders>
              <w:bottom w:val="single" w:sz="8" w:space="0" w:color="auto"/>
            </w:tcBorders>
          </w:tcPr>
          <w:p>
            <w:pPr>
              <w:pStyle w:val="nTable"/>
              <w:rPr>
                <w:ins w:id="461" w:author="Master Repository Process" w:date="2021-09-11T15:54:00Z"/>
                <w:sz w:val="19"/>
              </w:rPr>
            </w:pPr>
            <w:ins w:id="462" w:author="Master Repository Process" w:date="2021-09-11T15:54:00Z">
              <w:r>
                <w:rPr>
                  <w:snapToGrid w:val="0"/>
                  <w:sz w:val="19"/>
                  <w:lang w:val="en-US"/>
                </w:rPr>
                <w:t>r. 1 and 2: 29 Feb 2008 (see </w:t>
              </w:r>
              <w:bookmarkStart w:id="463" w:name="UpToHere"/>
              <w:bookmarkEnd w:id="463"/>
              <w:r>
                <w:rPr>
                  <w:snapToGrid w:val="0"/>
                  <w:sz w:val="19"/>
                  <w:lang w:val="en-US"/>
                </w:rPr>
                <w:t>r. 2(a));</w:t>
              </w:r>
              <w:r>
                <w:rPr>
                  <w:snapToGrid w:val="0"/>
                  <w:sz w:val="19"/>
                  <w:lang w:val="en-US"/>
                </w:rPr>
                <w:br/>
                <w:t>Regulations other than r. 1 and 2: 1 Mar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5EB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04B3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8248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AE2E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D2FF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681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6DB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DCC2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B26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C46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28CD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82D3A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49"/>
    <w:docVar w:name="WAFER_20151209123949" w:val="RemoveTrackChanges"/>
    <w:docVar w:name="WAFER_20151209123949_GUID" w:val="8920b2f5-adc3-41bc-8269-17baeec3d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C2696B-98E9-4AC4-8F12-9E834F6B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6250</Words>
  <Characters>31125</Characters>
  <Application>Microsoft Office Word</Application>
  <DocSecurity>0</DocSecurity>
  <Lines>889</Lines>
  <Paragraphs>574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Manager/>
  <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00-d0-02 - 00-e0-02</dc:title>
  <dc:subject/>
  <dc:creator/>
  <cp:keywords/>
  <dc:description/>
  <cp:lastModifiedBy>Master Repository Process</cp:lastModifiedBy>
  <cp:revision>2</cp:revision>
  <cp:lastPrinted>2003-06-26T06:36:00Z</cp:lastPrinted>
  <dcterms:created xsi:type="dcterms:W3CDTF">2021-09-11T07:54:00Z</dcterms:created>
  <dcterms:modified xsi:type="dcterms:W3CDTF">2021-09-11T07:54:00Z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33768</vt:i4>
  </property>
  <property fmtid="{D5CDD505-2E9C-101B-9397-08002B2CF9AE}" pid="6" name="FromSuffix">
    <vt:lpwstr>00-d0-02</vt:lpwstr>
  </property>
  <property fmtid="{D5CDD505-2E9C-101B-9397-08002B2CF9AE}" pid="7" name="FromAsAtDate">
    <vt:lpwstr>01 Jul 2007</vt:lpwstr>
  </property>
  <property fmtid="{D5CDD505-2E9C-101B-9397-08002B2CF9AE}" pid="8" name="ToSuffix">
    <vt:lpwstr>00-e0-02</vt:lpwstr>
  </property>
  <property fmtid="{D5CDD505-2E9C-101B-9397-08002B2CF9AE}" pid="9" name="ToAsAtDate">
    <vt:lpwstr>01 Mar 2008</vt:lpwstr>
  </property>
</Properties>
</file>