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15785166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6" w:name="_Toc415988491"/>
      <w:bookmarkStart w:id="7" w:name="_Toc528570964"/>
      <w:bookmarkStart w:id="8" w:name="_Toc529934353"/>
      <w:bookmarkStart w:id="9" w:name="_Toc102725966"/>
      <w:bookmarkStart w:id="10" w:name="_Toc15785166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1" w:name="_Toc415988493"/>
      <w:bookmarkStart w:id="12" w:name="_Toc528570965"/>
      <w:bookmarkStart w:id="13" w:name="_Toc529934354"/>
      <w:bookmarkStart w:id="14" w:name="_Toc102725967"/>
      <w:bookmarkStart w:id="15" w:name="_Toc157851664"/>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9A;</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employee</w:t>
      </w:r>
      <w:r>
        <w:rPr>
          <w:b/>
        </w:rPr>
        <w:t>”</w:t>
      </w:r>
      <w:r>
        <w:t xml:space="preserve"> includes a person seeking employment and a person sought for employment;</w:t>
      </w:r>
    </w:p>
    <w:p>
      <w:pPr>
        <w:pStyle w:val="Defstart"/>
        <w:keepNext/>
        <w:keepLines/>
      </w:pPr>
      <w:r>
        <w:rPr>
          <w:b/>
        </w:rPr>
        <w:tab/>
        <w:t>“</w:t>
      </w:r>
      <w:r>
        <w:rPr>
          <w:rStyle w:val="CharDefText"/>
        </w:rPr>
        <w:t>employment</w:t>
      </w:r>
      <w:r>
        <w:rPr>
          <w:b/>
        </w:rPr>
        <w: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t>“</w:t>
      </w:r>
      <w:r>
        <w:rPr>
          <w:rStyle w:val="CharDefText"/>
        </w:rPr>
        <w:t>engagement</w:t>
      </w:r>
      <w:r>
        <w:rPr>
          <w:b/>
        </w:rPr>
        <w:t>”</w:t>
      </w:r>
      <w:r>
        <w:t xml:space="preserve"> means an employment which has been entered into by the employee;</w:t>
      </w:r>
    </w:p>
    <w:p>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t>“</w:t>
      </w:r>
      <w:r>
        <w:rPr>
          <w:rStyle w:val="CharDefText"/>
        </w:rPr>
        <w:t>licence</w:t>
      </w:r>
      <w:r>
        <w:rPr>
          <w:b/>
        </w:rPr>
        <w:t>”</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16" w:name="_Toc415988494"/>
      <w:bookmarkStart w:id="17" w:name="_Toc528570966"/>
      <w:bookmarkStart w:id="18" w:name="_Toc529934355"/>
      <w:bookmarkStart w:id="19" w:name="_Toc102725968"/>
      <w:bookmarkStart w:id="20" w:name="_Toc157851665"/>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1" w:name="_Toc415988496"/>
      <w:bookmarkStart w:id="22" w:name="_Toc528570967"/>
      <w:bookmarkStart w:id="23" w:name="_Toc529934356"/>
      <w:bookmarkStart w:id="24" w:name="_Toc102725969"/>
      <w:bookmarkStart w:id="25" w:name="_Toc157851666"/>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26" w:name="_Toc415988497"/>
      <w:bookmarkStart w:id="27" w:name="_Toc528570968"/>
      <w:bookmarkStart w:id="28" w:name="_Toc529934357"/>
      <w:bookmarkStart w:id="29" w:name="_Toc102725970"/>
      <w:bookmarkStart w:id="30" w:name="_Toc157851667"/>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31" w:name="_Toc415988498"/>
      <w:bookmarkStart w:id="32" w:name="_Toc528570969"/>
      <w:bookmarkStart w:id="33" w:name="_Toc529934358"/>
      <w:bookmarkStart w:id="34" w:name="_Toc102725971"/>
      <w:bookmarkStart w:id="35" w:name="_Toc157851668"/>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36" w:name="_Toc138750805"/>
      <w:bookmarkStart w:id="37" w:name="_Toc139166546"/>
      <w:bookmarkStart w:id="38" w:name="_Toc139266266"/>
      <w:bookmarkStart w:id="39" w:name="_Toc157851669"/>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44" w:name="_Toc157851670"/>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45" w:name="_Toc415988500"/>
      <w:bookmarkStart w:id="46" w:name="_Toc528570971"/>
      <w:bookmarkStart w:id="47" w:name="_Toc529934360"/>
      <w:bookmarkStart w:id="48" w:name="_Toc102725973"/>
      <w:bookmarkStart w:id="49" w:name="_Toc157851671"/>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Repealed by No. 55 of 2004 s. 278.]</w:t>
      </w:r>
    </w:p>
    <w:p>
      <w:pPr>
        <w:pStyle w:val="Heading5"/>
        <w:rPr>
          <w:snapToGrid w:val="0"/>
        </w:rPr>
      </w:pPr>
      <w:bookmarkStart w:id="50" w:name="_Toc415988502"/>
      <w:bookmarkStart w:id="51" w:name="_Toc528570973"/>
      <w:bookmarkStart w:id="52" w:name="_Toc529934362"/>
      <w:bookmarkStart w:id="53" w:name="_Toc102725974"/>
      <w:bookmarkStart w:id="54" w:name="_Toc157851672"/>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pPr>
        <w:pStyle w:val="Heading5"/>
        <w:rPr>
          <w:snapToGrid w:val="0"/>
        </w:rPr>
      </w:pPr>
      <w:bookmarkStart w:id="58" w:name="_Toc102725975"/>
      <w:bookmarkStart w:id="59" w:name="_Toc157851673"/>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60" w:name="_Toc415988507"/>
      <w:bookmarkStart w:id="61" w:name="_Toc528570978"/>
      <w:bookmarkStart w:id="62" w:name="_Toc529934367"/>
      <w:bookmarkStart w:id="63" w:name="_Toc102725976"/>
      <w:bookmarkStart w:id="64" w:name="_Toc157851674"/>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65" w:name="_Toc415988508"/>
      <w:bookmarkStart w:id="66" w:name="_Toc528570979"/>
      <w:bookmarkStart w:id="67" w:name="_Toc529934368"/>
      <w:bookmarkStart w:id="68" w:name="_Toc102725977"/>
      <w:bookmarkStart w:id="69" w:name="_Toc157851675"/>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70" w:name="_Toc415988509"/>
      <w:bookmarkStart w:id="71" w:name="_Toc528570980"/>
      <w:bookmarkStart w:id="72" w:name="_Toc529934369"/>
      <w:bookmarkStart w:id="73" w:name="_Toc102725978"/>
      <w:bookmarkStart w:id="74" w:name="_Toc157851676"/>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75" w:name="_Toc415988510"/>
      <w:bookmarkStart w:id="76" w:name="_Toc528570981"/>
      <w:bookmarkStart w:id="77" w:name="_Toc529934370"/>
      <w:bookmarkStart w:id="78" w:name="_Toc102725979"/>
      <w:bookmarkStart w:id="79" w:name="_Toc157851677"/>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80" w:name="_Toc415988511"/>
      <w:bookmarkStart w:id="81" w:name="_Toc528570982"/>
      <w:bookmarkStart w:id="82" w:name="_Toc529934371"/>
      <w:bookmarkStart w:id="83" w:name="_Toc102725980"/>
      <w:bookmarkStart w:id="84" w:name="_Toc157851678"/>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85" w:name="_Toc415988512"/>
      <w:bookmarkStart w:id="86" w:name="_Toc528570983"/>
      <w:bookmarkStart w:id="87" w:name="_Toc529934372"/>
      <w:bookmarkStart w:id="88" w:name="_Toc102725981"/>
      <w:bookmarkStart w:id="89" w:name="_Toc157851679"/>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90" w:name="_Toc415988513"/>
      <w:bookmarkStart w:id="91" w:name="_Toc528570984"/>
      <w:bookmarkStart w:id="92" w:name="_Toc529934373"/>
      <w:bookmarkStart w:id="93" w:name="_Toc102725982"/>
      <w:bookmarkStart w:id="94" w:name="_Toc157851680"/>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95" w:name="_Toc415988514"/>
      <w:bookmarkStart w:id="96" w:name="_Toc528570985"/>
      <w:bookmarkStart w:id="97" w:name="_Toc529934374"/>
      <w:r>
        <w:tab/>
        <w:t>[Section 18 amended by No. 55 of 2004 s. 294.]</w:t>
      </w:r>
    </w:p>
    <w:p>
      <w:pPr>
        <w:pStyle w:val="Heading5"/>
        <w:spacing w:before="200"/>
        <w:rPr>
          <w:snapToGrid w:val="0"/>
        </w:rPr>
      </w:pPr>
      <w:bookmarkStart w:id="98" w:name="_Toc102725983"/>
      <w:bookmarkStart w:id="99" w:name="_Toc157851681"/>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00" w:name="_Toc415988515"/>
      <w:bookmarkStart w:id="101" w:name="_Toc528570986"/>
      <w:bookmarkStart w:id="102" w:name="_Toc529934375"/>
      <w:bookmarkStart w:id="103" w:name="_Toc102725984"/>
      <w:bookmarkStart w:id="104" w:name="_Toc157851682"/>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05" w:name="_Toc415988516"/>
      <w:bookmarkStart w:id="106" w:name="_Toc528570987"/>
      <w:bookmarkStart w:id="107" w:name="_Toc529934376"/>
      <w:bookmarkStart w:id="108" w:name="_Toc102725985"/>
      <w:bookmarkStart w:id="109" w:name="_Toc157851683"/>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10" w:name="_Toc415988517"/>
      <w:bookmarkStart w:id="111" w:name="_Toc528570988"/>
      <w:bookmarkStart w:id="112" w:name="_Toc529934377"/>
      <w:bookmarkStart w:id="113" w:name="_Toc102725986"/>
      <w:bookmarkStart w:id="114" w:name="_Toc157851684"/>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15"/>
    <w:bookmarkEnd w:id="116"/>
    <w:bookmarkEnd w:id="117"/>
    <w:p>
      <w:pPr>
        <w:pStyle w:val="Ednotesection"/>
      </w:pPr>
      <w:r>
        <w:t>[</w:t>
      </w:r>
      <w:r>
        <w:rPr>
          <w:b/>
          <w:bCs/>
        </w:rPr>
        <w:t>23, 24.</w:t>
      </w:r>
      <w:r>
        <w:tab/>
        <w:t>Repealed by No. 55 of 2004 s. 284.]</w:t>
      </w:r>
    </w:p>
    <w:p>
      <w:pPr>
        <w:pStyle w:val="Heading5"/>
        <w:rPr>
          <w:snapToGrid w:val="0"/>
        </w:rPr>
      </w:pPr>
      <w:bookmarkStart w:id="118" w:name="_Toc415988520"/>
      <w:bookmarkStart w:id="119" w:name="_Toc528570991"/>
      <w:bookmarkStart w:id="120" w:name="_Toc529934380"/>
      <w:bookmarkStart w:id="121" w:name="_Toc102725987"/>
      <w:bookmarkStart w:id="122" w:name="_Toc157851685"/>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23" w:name="_Toc415988521"/>
      <w:bookmarkStart w:id="124" w:name="_Toc528570992"/>
      <w:bookmarkStart w:id="125" w:name="_Toc529934381"/>
      <w:r>
        <w:tab/>
        <w:t>[Section 25 amended by No. 55 of 2004 s. 285.]</w:t>
      </w:r>
    </w:p>
    <w:p>
      <w:pPr>
        <w:pStyle w:val="Heading5"/>
        <w:rPr>
          <w:snapToGrid w:val="0"/>
        </w:rPr>
      </w:pPr>
      <w:bookmarkStart w:id="126" w:name="_Toc102725988"/>
      <w:bookmarkStart w:id="127" w:name="_Toc157851686"/>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28" w:name="_Toc415988522"/>
      <w:bookmarkStart w:id="129" w:name="_Toc528570993"/>
      <w:bookmarkStart w:id="130" w:name="_Toc529934382"/>
      <w:bookmarkStart w:id="131" w:name="_Toc102725989"/>
      <w:bookmarkStart w:id="132" w:name="_Toc157851687"/>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33" w:name="_Toc102725990"/>
      <w:bookmarkStart w:id="134" w:name="_Toc157851688"/>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38" w:name="_Toc102725991"/>
      <w:bookmarkStart w:id="139" w:name="_Toc157851689"/>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40" w:name="_Toc415988525"/>
      <w:bookmarkStart w:id="141" w:name="_Toc528570996"/>
      <w:bookmarkStart w:id="142" w:name="_Toc529934385"/>
      <w:bookmarkStart w:id="143" w:name="_Toc102725992"/>
      <w:bookmarkStart w:id="144" w:name="_Toc157851690"/>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45" w:name="_Toc415988526"/>
      <w:bookmarkStart w:id="146" w:name="_Toc528570997"/>
      <w:bookmarkStart w:id="147" w:name="_Toc529934386"/>
      <w:r>
        <w:tab/>
        <w:t>[Section 30 amended by No. 55 of 2004 s. 287.]</w:t>
      </w:r>
    </w:p>
    <w:p>
      <w:pPr>
        <w:pStyle w:val="Heading5"/>
        <w:rPr>
          <w:snapToGrid w:val="0"/>
        </w:rPr>
      </w:pPr>
      <w:bookmarkStart w:id="148" w:name="_Toc102725993"/>
      <w:bookmarkStart w:id="149" w:name="_Toc157851691"/>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w:t>
      </w:r>
    </w:p>
    <w:p>
      <w:pPr>
        <w:pStyle w:val="Heading5"/>
        <w:spacing w:before="180"/>
        <w:rPr>
          <w:snapToGrid w:val="0"/>
        </w:rPr>
      </w:pPr>
      <w:bookmarkStart w:id="150" w:name="_Toc415988527"/>
      <w:bookmarkStart w:id="151" w:name="_Toc528570998"/>
      <w:bookmarkStart w:id="152" w:name="_Toc529934387"/>
      <w:bookmarkStart w:id="153" w:name="_Toc102725994"/>
      <w:bookmarkStart w:id="154" w:name="_Toc157851692"/>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55" w:name="_Toc415988528"/>
      <w:bookmarkStart w:id="156" w:name="_Toc528570999"/>
      <w:bookmarkStart w:id="157" w:name="_Toc529934388"/>
      <w:bookmarkStart w:id="158" w:name="_Toc102725995"/>
      <w:bookmarkStart w:id="159" w:name="_Toc157851693"/>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60" w:name="_Toc415988529"/>
      <w:bookmarkStart w:id="161" w:name="_Toc528571000"/>
      <w:bookmarkStart w:id="162" w:name="_Toc529934389"/>
      <w:bookmarkStart w:id="163" w:name="_Toc102725996"/>
      <w:bookmarkStart w:id="164" w:name="_Toc157851694"/>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65" w:name="_Toc415988530"/>
      <w:bookmarkStart w:id="166" w:name="_Toc528571001"/>
      <w:bookmarkStart w:id="167" w:name="_Toc529934390"/>
      <w:bookmarkStart w:id="168" w:name="_Toc102725997"/>
      <w:bookmarkStart w:id="169" w:name="_Toc157851695"/>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70" w:name="_Toc415988531"/>
      <w:bookmarkStart w:id="171" w:name="_Toc528571002"/>
      <w:bookmarkStart w:id="172" w:name="_Toc529934391"/>
      <w:bookmarkStart w:id="173" w:name="_Toc102725998"/>
      <w:bookmarkStart w:id="174" w:name="_Toc157851696"/>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75" w:name="_Toc415988532"/>
      <w:bookmarkStart w:id="176" w:name="_Toc528571003"/>
      <w:bookmarkStart w:id="177" w:name="_Toc529934392"/>
      <w:bookmarkStart w:id="178" w:name="_Toc102725999"/>
      <w:bookmarkStart w:id="179" w:name="_Toc157851697"/>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80" w:name="_Toc415988533"/>
      <w:bookmarkStart w:id="181" w:name="_Toc528571004"/>
      <w:bookmarkStart w:id="182" w:name="_Toc529934393"/>
      <w:bookmarkStart w:id="183" w:name="_Toc102726000"/>
      <w:bookmarkStart w:id="184" w:name="_Toc157851698"/>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185" w:name="_Toc415988534"/>
      <w:bookmarkStart w:id="186" w:name="_Toc528571005"/>
      <w:bookmarkStart w:id="187" w:name="_Toc529934394"/>
      <w:bookmarkStart w:id="188" w:name="_Toc102726001"/>
      <w:bookmarkStart w:id="189" w:name="_Toc157851699"/>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190" w:name="_Toc415988535"/>
      <w:bookmarkStart w:id="191" w:name="_Toc528571006"/>
      <w:bookmarkStart w:id="192" w:name="_Toc529934395"/>
      <w:bookmarkStart w:id="193" w:name="_Toc102726002"/>
      <w:bookmarkStart w:id="194" w:name="_Toc157851700"/>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Heading5"/>
        <w:rPr>
          <w:snapToGrid w:val="0"/>
        </w:rPr>
      </w:pPr>
      <w:bookmarkStart w:id="195" w:name="_Toc415988536"/>
      <w:bookmarkStart w:id="196" w:name="_Toc528571007"/>
      <w:bookmarkStart w:id="197" w:name="_Toc529934396"/>
      <w:bookmarkStart w:id="198" w:name="_Toc102726003"/>
      <w:bookmarkStart w:id="199" w:name="_Toc157851701"/>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00" w:name="_Toc415988537"/>
      <w:bookmarkStart w:id="201" w:name="_Toc528571008"/>
      <w:bookmarkStart w:id="202" w:name="_Toc529934397"/>
      <w:bookmarkStart w:id="203" w:name="_Toc102726004"/>
      <w:bookmarkStart w:id="204" w:name="_Toc157851702"/>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05" w:name="_Toc415988538"/>
      <w:bookmarkStart w:id="206" w:name="_Toc528571009"/>
      <w:bookmarkStart w:id="207" w:name="_Toc529934398"/>
      <w:bookmarkStart w:id="208" w:name="_Toc102726005"/>
      <w:bookmarkStart w:id="209" w:name="_Toc157851703"/>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10" w:name="_Toc415988539"/>
      <w:bookmarkStart w:id="211" w:name="_Toc528571010"/>
      <w:bookmarkStart w:id="212" w:name="_Toc529934399"/>
      <w:bookmarkStart w:id="213" w:name="_Toc102726006"/>
      <w:bookmarkStart w:id="214" w:name="_Toc157851704"/>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15" w:name="_Toc415988540"/>
      <w:bookmarkStart w:id="216" w:name="_Toc528571011"/>
      <w:bookmarkStart w:id="217" w:name="_Toc529934400"/>
      <w:bookmarkStart w:id="218" w:name="_Toc102726007"/>
      <w:bookmarkStart w:id="219" w:name="_Toc157851705"/>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20" w:name="_Toc415988541"/>
      <w:bookmarkStart w:id="221" w:name="_Toc528571012"/>
      <w:bookmarkStart w:id="222" w:name="_Toc529934401"/>
      <w:r>
        <w:tab/>
        <w:t>[Section 45 amended by No. 55 of 2004 s. 294.]</w:t>
      </w:r>
    </w:p>
    <w:p>
      <w:pPr>
        <w:pStyle w:val="Heading5"/>
        <w:rPr>
          <w:snapToGrid w:val="0"/>
        </w:rPr>
      </w:pPr>
      <w:bookmarkStart w:id="223" w:name="_Toc102726008"/>
      <w:bookmarkStart w:id="224" w:name="_Toc157851706"/>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repealed]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25" w:name="_Toc415988542"/>
      <w:bookmarkStart w:id="226" w:name="_Toc528571013"/>
      <w:bookmarkStart w:id="227" w:name="_Toc529934402"/>
      <w:bookmarkStart w:id="228" w:name="_Toc102726009"/>
      <w:bookmarkStart w:id="229" w:name="_Toc157851707"/>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repealed]</w:t>
      </w:r>
    </w:p>
    <w:p>
      <w:pPr>
        <w:pStyle w:val="Footnotesection"/>
      </w:pPr>
      <w:r>
        <w:tab/>
        <w:t xml:space="preserve">[Section 47 amended by No. 70 of 1990 s. 6; No. 55 of 2004 s. 290.] </w:t>
      </w:r>
    </w:p>
    <w:p>
      <w:pPr>
        <w:pStyle w:val="Heading5"/>
      </w:pPr>
      <w:bookmarkStart w:id="230" w:name="_Toc138750807"/>
      <w:bookmarkStart w:id="231" w:name="_Toc139166548"/>
      <w:bookmarkStart w:id="232" w:name="_Toc139266268"/>
      <w:bookmarkStart w:id="233" w:name="_Toc157851708"/>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48 inserted by No. 28 of 2006 s. 94.]</w:t>
      </w:r>
    </w:p>
    <w:p>
      <w:pPr>
        <w:pStyle w:val="Heading5"/>
      </w:pPr>
      <w:bookmarkStart w:id="238" w:name="_Toc138750808"/>
      <w:bookmarkStart w:id="239" w:name="_Toc139166549"/>
      <w:bookmarkStart w:id="240" w:name="_Toc139266269"/>
      <w:bookmarkStart w:id="241" w:name="_Toc157851709"/>
      <w:r>
        <w:rPr>
          <w:rStyle w:val="CharSectno"/>
        </w:rPr>
        <w:t>48A</w:t>
      </w:r>
      <w:r>
        <w:t>.</w:t>
      </w:r>
      <w:r>
        <w:tab/>
        <w:t>Delegation by Commissioner</w:t>
      </w:r>
      <w:bookmarkEnd w:id="238"/>
      <w:bookmarkEnd w:id="239"/>
      <w:bookmarkEnd w:id="240"/>
      <w:bookmarkEnd w:id="24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42" w:name="_Toc157851710"/>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43" w:name="_Toc138750810"/>
      <w:bookmarkStart w:id="244" w:name="_Toc139166551"/>
      <w:bookmarkStart w:id="245" w:name="_Toc139266271"/>
      <w:bookmarkStart w:id="246" w:name="_Toc157851711"/>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251" w:name="_Toc157851712"/>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52" w:name="_Toc415988546"/>
      <w:bookmarkStart w:id="253" w:name="_Toc528571017"/>
      <w:bookmarkStart w:id="254" w:name="_Toc529934406"/>
      <w:bookmarkStart w:id="255" w:name="_Toc102726013"/>
      <w:bookmarkStart w:id="256" w:name="_Toc157851713"/>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57" w:name="_Toc415988547"/>
      <w:bookmarkStart w:id="258" w:name="_Toc528571018"/>
      <w:bookmarkStart w:id="259" w:name="_Toc529934407"/>
      <w:bookmarkStart w:id="260" w:name="_Toc102726014"/>
      <w:bookmarkStart w:id="261" w:name="_Toc157851714"/>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 w:name="_Toc157851716"/>
      <w:r>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bCs/>
                <w:sz w:val="19"/>
              </w:rPr>
            </w:pPr>
            <w:r>
              <w:rPr>
                <w:snapToGrid w:val="0"/>
                <w:sz w:val="19"/>
                <w:lang w:val="en-US"/>
              </w:rPr>
              <w:t>59 of 2004</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Borders>
              <w:bottom w:val="single" w:sz="4" w:space="0" w:color="auto"/>
            </w:tcBorders>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81" w:name="_Hlt507390729"/>
      <w:bookmarkEnd w:id="2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2" w:name="_Toc157851717"/>
      <w:r>
        <w:rPr>
          <w:snapToGrid w:val="0"/>
        </w:rPr>
        <w:t>Provisions that have not come into operation</w:t>
      </w:r>
      <w:bookmarkEnd w:id="28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9</w:t>
            </w:r>
          </w:p>
        </w:tc>
        <w:tc>
          <w:tcPr>
            <w:tcW w:w="1133"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napToGrid w:val="0"/>
                <w:sz w:val="19"/>
                <w:lang w:val="en-US"/>
              </w:rPr>
            </w:pPr>
            <w:r>
              <w:rPr>
                <w:sz w:val="19"/>
              </w:rPr>
              <w:t>12 Mar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283" w:name="_Hlt63842594"/>
      <w:bookmarkEnd w:id="283"/>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 xml:space="preserve">On the date as at which this compilation </w:t>
      </w:r>
      <w:bookmarkStart w:id="284" w:name="UpToHere"/>
      <w:bookmarkEnd w:id="284"/>
      <w:r>
        <w:rPr>
          <w:snapToGrid w:val="0"/>
        </w:rPr>
        <w:t xml:space="preserve">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17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17.</w:t>
      </w:r>
      <w:r>
        <w:tab/>
      </w:r>
      <w:r>
        <w:rPr>
          <w:i/>
        </w:rPr>
        <w:t>Employment Agents Act 1976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4(1)</w:t>
            </w:r>
            <w:r>
              <w:rPr>
                <w:i/>
              </w:rPr>
              <w:t> </w:t>
            </w:r>
            <w:r>
              <w:rPr>
                <w:snapToGrid w:val="0"/>
                <w:vertAlign w:val="superscript"/>
              </w:rPr>
              <w:t>8</w:t>
            </w:r>
          </w:p>
        </w:tc>
        <w:tc>
          <w:tcPr>
            <w:tcW w:w="4536" w:type="dxa"/>
          </w:tcPr>
          <w:p>
            <w:pPr>
              <w:pStyle w:val="nzTable"/>
            </w:pPr>
            <w:r>
              <w:t xml:space="preserve">In the definition of “licensing officer”, delete “a court of summary jurisdiction” and insert instead — </w:t>
            </w:r>
          </w:p>
          <w:p>
            <w:pPr>
              <w:pStyle w:val="nzTable"/>
            </w:pPr>
            <w:r>
              <w:t>“    the Magistrates Court    ”.</w:t>
            </w:r>
          </w:p>
        </w:tc>
      </w:tr>
      <w:tr>
        <w:trPr>
          <w:cantSplit/>
        </w:trPr>
        <w:tc>
          <w:tcPr>
            <w:tcW w:w="1134" w:type="dxa"/>
          </w:tcPr>
          <w:p>
            <w:pPr>
              <w:pStyle w:val="nzTable"/>
            </w:pPr>
            <w:r>
              <w:t>s. 22(3) </w:t>
            </w:r>
            <w:r>
              <w:rPr>
                <w:snapToGrid w:val="0"/>
                <w:vertAlign w:val="superscript"/>
              </w:rPr>
              <w:t>8</w:t>
            </w:r>
          </w:p>
        </w:tc>
        <w:tc>
          <w:tcPr>
            <w:tcW w:w="4536" w:type="dxa"/>
          </w:tcPr>
          <w:p>
            <w:pPr>
              <w:pStyle w:val="nzTable"/>
            </w:pPr>
            <w:r>
              <w:t xml:space="preserve">Delete “the clerk of the Court of Petty Sessions” and insert instead — </w:t>
            </w:r>
          </w:p>
          <w:p>
            <w:pPr>
              <w:pStyle w:val="nzTable"/>
            </w:pPr>
            <w:r>
              <w:t>“    a clerk of the Magistrates Court at the place    ”.</w:t>
            </w:r>
          </w:p>
        </w:tc>
      </w:tr>
      <w:tr>
        <w:trPr>
          <w:cantSplit/>
        </w:trPr>
        <w:tc>
          <w:tcPr>
            <w:tcW w:w="1134" w:type="dxa"/>
          </w:tcPr>
          <w:p>
            <w:pPr>
              <w:pStyle w:val="nzTable"/>
            </w:pPr>
            <w:r>
              <w:t>s. 23</w:t>
            </w:r>
            <w:r>
              <w:rPr>
                <w:i/>
              </w:rPr>
              <w:t> </w:t>
            </w:r>
            <w:r>
              <w:rPr>
                <w:snapToGrid w:val="0"/>
                <w:vertAlign w:val="superscript"/>
              </w:rPr>
              <w:t>8</w:t>
            </w:r>
          </w:p>
        </w:tc>
        <w:tc>
          <w:tcPr>
            <w:tcW w:w="4536" w:type="dxa"/>
          </w:tcPr>
          <w:p>
            <w:pPr>
              <w:pStyle w:val="nzTable"/>
            </w:pPr>
            <w:r>
              <w:t xml:space="preserve">Delete “A Court of Petty Sessions constituted by a Stipendiary Magistrate sitting alone” and insert instead — </w:t>
            </w:r>
          </w:p>
          <w:p>
            <w:pPr>
              <w:pStyle w:val="nzTable"/>
              <w:ind w:left="317" w:hanging="317"/>
            </w:pPr>
            <w:r>
              <w:t>“</w:t>
            </w:r>
          </w:p>
          <w:p>
            <w:pPr>
              <w:pStyle w:val="nzTable"/>
              <w:ind w:left="374" w:hanging="34"/>
            </w:pPr>
            <w:r>
              <w:t>The Magistrates Court, constituted by a magistrate,</w:t>
            </w:r>
          </w:p>
          <w:p>
            <w:pPr>
              <w:pStyle w:val="nzTable"/>
              <w:ind w:left="317" w:hanging="317"/>
              <w:jc w:val="right"/>
            </w:pPr>
            <w:r>
              <w:t>”.</w:t>
            </w:r>
          </w:p>
        </w:tc>
      </w:tr>
      <w:tr>
        <w:trPr>
          <w:cantSplit/>
        </w:trPr>
        <w:tc>
          <w:tcPr>
            <w:tcW w:w="1134" w:type="dxa"/>
          </w:tcPr>
          <w:p>
            <w:pPr>
              <w:pStyle w:val="nzTable"/>
            </w:pPr>
            <w:r>
              <w:t>s. 24(1)</w:t>
            </w:r>
            <w:r>
              <w:rPr>
                <w:i/>
              </w:rPr>
              <w:t> </w:t>
            </w:r>
            <w:r>
              <w:rPr>
                <w:snapToGrid w:val="0"/>
                <w:vertAlign w:val="superscript"/>
              </w:rPr>
              <w:t>8</w:t>
            </w:r>
          </w:p>
        </w:tc>
        <w:tc>
          <w:tcPr>
            <w:tcW w:w="4536" w:type="dxa"/>
          </w:tcPr>
          <w:p>
            <w:pPr>
              <w:pStyle w:val="nzTable"/>
            </w:pPr>
            <w:r>
              <w:t xml:space="preserve">Delete “a Court of Petty Sessions” and insert instead — </w:t>
            </w:r>
          </w:p>
          <w:p>
            <w:pPr>
              <w:pStyle w:val="nzTable"/>
            </w:pPr>
            <w:r>
              <w:t>“    the Magistrates Court    ”.</w:t>
            </w:r>
          </w:p>
        </w:tc>
      </w:tr>
      <w:tr>
        <w:trPr>
          <w:cantSplit/>
        </w:trPr>
        <w:tc>
          <w:tcPr>
            <w:tcW w:w="1134" w:type="dxa"/>
          </w:tcPr>
          <w:p>
            <w:pPr>
              <w:pStyle w:val="nzTable"/>
            </w:pPr>
            <w:r>
              <w:t>s. 25(1)</w:t>
            </w:r>
            <w:r>
              <w:rPr>
                <w:i/>
              </w:rPr>
              <w:t> </w:t>
            </w:r>
            <w:r>
              <w:rPr>
                <w:snapToGrid w:val="0"/>
                <w:vertAlign w:val="superscript"/>
              </w:rPr>
              <w:t>8</w:t>
            </w:r>
          </w:p>
        </w:tc>
        <w:tc>
          <w:tcPr>
            <w:tcW w:w="4536"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 xml:space="preserve">If the licensing officer, or a person authorised by him, is of the opinion that a person, firm or body corporate to which this section applies — </w:t>
            </w:r>
          </w:p>
          <w:p>
            <w:pPr>
              <w:pStyle w:val="nzTable"/>
              <w:tabs>
                <w:tab w:val="left" w:pos="1026"/>
              </w:tabs>
              <w:ind w:left="1593" w:hanging="1593"/>
            </w:pPr>
            <w:r>
              <w:tab/>
              <w:t>(a)</w:t>
            </w:r>
            <w:r>
              <w:tab/>
              <w:t>has been guilty of improper conduct in relation to the carrying on of the business of an employment agent; or</w:t>
            </w:r>
          </w:p>
          <w:p>
            <w:pPr>
              <w:pStyle w:val="nzTable"/>
              <w:tabs>
                <w:tab w:val="left" w:pos="1026"/>
              </w:tabs>
              <w:ind w:left="1593" w:hanging="1593"/>
            </w:pPr>
            <w:r>
              <w:tab/>
              <w:t>(b)</w:t>
            </w:r>
            <w:r>
              <w:tab/>
              <w:t>has been guilty of any offence involving dishonest or fraudulent conduct, or of an offence under this Act,</w:t>
            </w:r>
          </w:p>
          <w:p>
            <w:pPr>
              <w:pStyle w:val="nzTable"/>
              <w:tabs>
                <w:tab w:val="left" w:pos="317"/>
              </w:tabs>
              <w:ind w:left="884" w:hanging="884"/>
            </w:pPr>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pPr>
              <w:pStyle w:val="nzTable"/>
              <w:jc w:val="right"/>
            </w:pPr>
            <w:r>
              <w:t>”.</w:t>
            </w:r>
          </w:p>
        </w:tc>
      </w:tr>
      <w:tr>
        <w:trPr>
          <w:cantSplit/>
        </w:trPr>
        <w:tc>
          <w:tcPr>
            <w:tcW w:w="1134" w:type="dxa"/>
          </w:tcPr>
          <w:p>
            <w:pPr>
              <w:pStyle w:val="nzTable"/>
            </w:pPr>
            <w:r>
              <w:t>s. 25(3)</w:t>
            </w:r>
            <w:r>
              <w:rPr>
                <w:i/>
              </w:rPr>
              <w:t> </w:t>
            </w:r>
            <w:r>
              <w:rPr>
                <w:snapToGrid w:val="0"/>
                <w:vertAlign w:val="superscript"/>
              </w:rPr>
              <w:t>8</w:t>
            </w:r>
          </w:p>
        </w:tc>
        <w:tc>
          <w:tcPr>
            <w:tcW w:w="4536" w:type="dxa"/>
          </w:tcPr>
          <w:p>
            <w:pPr>
              <w:pStyle w:val="nzTable"/>
            </w:pPr>
            <w:r>
              <w:t xml:space="preserve">Delete “a court” in the 2 places where it occurs and in each place insert instead — </w:t>
            </w:r>
          </w:p>
          <w:p>
            <w:pPr>
              <w:pStyle w:val="nzTable"/>
            </w:pPr>
            <w:r>
              <w:t>“    the court    ”.</w:t>
            </w:r>
          </w:p>
        </w:tc>
      </w:tr>
    </w:tbl>
    <w:p>
      <w:pPr>
        <w:pStyle w:val="MiscClose"/>
      </w:pPr>
      <w:r>
        <w:t>”.</w:t>
      </w:r>
    </w:p>
    <w:p>
      <w:pPr>
        <w:pStyle w:val="nSubsection"/>
      </w:pPr>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85" w:name="_Toc192051043"/>
      <w:bookmarkStart w:id="286" w:name="_Toc193093691"/>
      <w:r>
        <w:rPr>
          <w:rStyle w:val="CharSectno"/>
        </w:rPr>
        <w:t>77</w:t>
      </w:r>
      <w:r>
        <w:t>.</w:t>
      </w:r>
      <w:r>
        <w:tab/>
      </w:r>
      <w:r>
        <w:rPr>
          <w:i/>
          <w:iCs/>
        </w:rPr>
        <w:t xml:space="preserve">Courts Legislation Amendment and Repeal Act 2004 </w:t>
      </w:r>
      <w:r>
        <w:t>amended</w:t>
      </w:r>
      <w:bookmarkEnd w:id="285"/>
      <w:bookmarkEnd w:id="286"/>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10974</Words>
  <Characters>51580</Characters>
  <Application>Microsoft Office Word</Application>
  <DocSecurity>0</DocSecurity>
  <Lines>1394</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02-b0-04 - 02-c0-01</dc:title>
  <dc:subject/>
  <dc:creator/>
  <cp:keywords/>
  <dc:description/>
  <cp:lastModifiedBy>svcMRProcess</cp:lastModifiedBy>
  <cp:revision>2</cp:revision>
  <cp:lastPrinted>2006-08-16T00:11:00Z</cp:lastPrinted>
  <dcterms:created xsi:type="dcterms:W3CDTF">2015-10-29T03:08:00Z</dcterms:created>
  <dcterms:modified xsi:type="dcterms:W3CDTF">2015-10-29T03:08:00Z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250</vt:i4>
  </property>
  <property fmtid="{D5CDD505-2E9C-101B-9397-08002B2CF9AE}" pid="6" name="FromSuffix">
    <vt:lpwstr>02-b0-04</vt:lpwstr>
  </property>
  <property fmtid="{D5CDD505-2E9C-101B-9397-08002B2CF9AE}" pid="7" name="FromAsAtDate">
    <vt:lpwstr>01 Feb 2007</vt:lpwstr>
  </property>
  <property fmtid="{D5CDD505-2E9C-101B-9397-08002B2CF9AE}" pid="8" name="ToSuffix">
    <vt:lpwstr>02-c0-01</vt:lpwstr>
  </property>
  <property fmtid="{D5CDD505-2E9C-101B-9397-08002B2CF9AE}" pid="9" name="ToAsAtDate">
    <vt:lpwstr>12 Mar 2008</vt:lpwstr>
  </property>
</Properties>
</file>