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Oct 2007</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200"/>
      </w:pPr>
      <w:r>
        <w:t xml:space="preserve">Taxi Act 1994 </w:t>
      </w:r>
    </w:p>
    <w:p>
      <w:pPr>
        <w:pStyle w:val="LongTitle"/>
        <w:rPr>
          <w:snapToGrid w:val="0"/>
        </w:rPr>
      </w:pPr>
      <w:r>
        <w:rPr>
          <w:snapToGrid w:val="0"/>
        </w:rPr>
        <w:t>A</w:t>
      </w:r>
      <w:bookmarkStart w:id="0" w:name="_GoBack"/>
      <w:bookmarkEnd w:id="0"/>
      <w:r>
        <w:rPr>
          <w:snapToGrid w:val="0"/>
        </w:rPr>
        <w:t xml:space="preserve">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1" w:name="_Toc89758967"/>
      <w:bookmarkStart w:id="2" w:name="_Toc91321510"/>
      <w:bookmarkStart w:id="3" w:name="_Toc92772382"/>
      <w:bookmarkStart w:id="4" w:name="_Toc96919140"/>
      <w:bookmarkStart w:id="5" w:name="_Toc103072724"/>
      <w:bookmarkStart w:id="6" w:name="_Toc107910887"/>
      <w:bookmarkStart w:id="7" w:name="_Toc123640041"/>
      <w:bookmarkStart w:id="8" w:name="_Toc131835848"/>
      <w:bookmarkStart w:id="9" w:name="_Toc135106937"/>
      <w:bookmarkStart w:id="10" w:name="_Toc135109245"/>
      <w:bookmarkStart w:id="11" w:name="_Toc137357707"/>
      <w:bookmarkStart w:id="12" w:name="_Toc138561418"/>
      <w:bookmarkStart w:id="13" w:name="_Toc139429329"/>
      <w:bookmarkStart w:id="14" w:name="_Toc139429453"/>
      <w:bookmarkStart w:id="15" w:name="_Toc140398386"/>
      <w:bookmarkStart w:id="16" w:name="_Toc142703844"/>
      <w:bookmarkStart w:id="17" w:name="_Toc143336041"/>
      <w:bookmarkStart w:id="18" w:name="_Toc156985682"/>
      <w:bookmarkStart w:id="19" w:name="_Toc158020871"/>
      <w:bookmarkStart w:id="20" w:name="_Toc180318962"/>
      <w:bookmarkStart w:id="21" w:name="_Toc180319051"/>
      <w:bookmarkStart w:id="22" w:name="_Toc180319115"/>
      <w:bookmarkStart w:id="23" w:name="_Toc18037382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03945998"/>
      <w:bookmarkStart w:id="25" w:name="_Toc12345114"/>
      <w:bookmarkStart w:id="26" w:name="_Toc131835849"/>
      <w:bookmarkStart w:id="27" w:name="_Toc143336042"/>
      <w:bookmarkStart w:id="28" w:name="_Toc180373827"/>
      <w:r>
        <w:rPr>
          <w:rStyle w:val="CharSectno"/>
        </w:rPr>
        <w:t>1</w:t>
      </w:r>
      <w:r>
        <w:rPr>
          <w:snapToGrid w:val="0"/>
        </w:rPr>
        <w:t>.</w:t>
      </w:r>
      <w:r>
        <w:rPr>
          <w:snapToGrid w:val="0"/>
        </w:rPr>
        <w:tab/>
        <w:t>Short title</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29" w:name="_Toc403945999"/>
      <w:bookmarkStart w:id="30" w:name="_Toc12345115"/>
      <w:bookmarkStart w:id="31" w:name="_Toc131835850"/>
      <w:bookmarkStart w:id="32" w:name="_Toc143336043"/>
      <w:bookmarkStart w:id="33" w:name="_Toc180373828"/>
      <w:r>
        <w:rPr>
          <w:rStyle w:val="CharSectno"/>
        </w:rPr>
        <w:t>2</w:t>
      </w:r>
      <w:r>
        <w:rPr>
          <w:snapToGrid w:val="0"/>
        </w:rPr>
        <w:t>.</w:t>
      </w:r>
      <w:r>
        <w:rPr>
          <w:snapToGrid w:val="0"/>
        </w:rPr>
        <w:tab/>
        <w:t>Commencement</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34" w:name="_Toc403946000"/>
      <w:bookmarkStart w:id="35" w:name="_Toc12345116"/>
      <w:bookmarkStart w:id="36" w:name="_Toc131835851"/>
      <w:bookmarkStart w:id="37" w:name="_Toc143336044"/>
      <w:bookmarkStart w:id="38" w:name="_Toc180373829"/>
      <w:r>
        <w:rPr>
          <w:rStyle w:val="CharSectno"/>
        </w:rPr>
        <w:t>3</w:t>
      </w:r>
      <w:r>
        <w:rPr>
          <w:snapToGrid w:val="0"/>
        </w:rPr>
        <w:t>.</w:t>
      </w:r>
      <w:r>
        <w:rPr>
          <w:snapToGrid w:val="0"/>
        </w:rPr>
        <w:tab/>
        <w:t>Interpretation</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Director General;</w:t>
      </w:r>
    </w:p>
    <w:p>
      <w:pPr>
        <w:pStyle w:val="Defstart"/>
      </w:pPr>
      <w:r>
        <w:rPr>
          <w:b/>
        </w:rPr>
        <w:tab/>
        <w:t>“</w:t>
      </w:r>
      <w:r>
        <w:rPr>
          <w:rStyle w:val="CharDefText"/>
        </w:rPr>
        <w:t>authorised officer</w:t>
      </w:r>
      <w:r>
        <w:rPr>
          <w:b/>
        </w:rPr>
        <w:t>”</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t>“</w:t>
      </w:r>
      <w:r>
        <w:rPr>
          <w:rStyle w:val="CharDefText"/>
        </w:rPr>
        <w:t>Board</w:t>
      </w:r>
      <w:r>
        <w:rPr>
          <w:b/>
        </w:rPr>
        <w:t>”</w:t>
      </w:r>
      <w:r>
        <w:t xml:space="preserve"> means the Taxi Industry Board established under section 8;</w:t>
      </w:r>
    </w:p>
    <w:p>
      <w:pPr>
        <w:pStyle w:val="Defstart"/>
      </w:pPr>
      <w:r>
        <w:rPr>
          <w:b/>
        </w:rPr>
        <w:tab/>
        <w:t>“</w:t>
      </w:r>
      <w:r>
        <w:rPr>
          <w:rStyle w:val="CharDefText"/>
        </w:rPr>
        <w:t>commencement day</w:t>
      </w:r>
      <w:r>
        <w:rPr>
          <w:b/>
        </w:rPr>
        <w:t>”</w:t>
      </w:r>
      <w:r>
        <w:t xml:space="preserve"> means the day on which this Act comes into operation;</w:t>
      </w:r>
    </w:p>
    <w:p>
      <w:pPr>
        <w:pStyle w:val="Defstart"/>
      </w:pPr>
      <w:r>
        <w:rPr>
          <w:b/>
        </w:rPr>
        <w:tab/>
        <w:t>“</w:t>
      </w:r>
      <w:r>
        <w:rPr>
          <w:rStyle w:val="CharDefText"/>
        </w:rPr>
        <w:t>control area</w:t>
      </w:r>
      <w:r>
        <w:rPr>
          <w:b/>
        </w:rPr>
        <w:t>”</w:t>
      </w:r>
      <w:r>
        <w:t xml:space="preserve"> means a part of the State which is prescribed as a control area;</w:t>
      </w:r>
    </w:p>
    <w:p>
      <w:pPr>
        <w:pStyle w:val="Defstart"/>
      </w:pPr>
      <w:r>
        <w:rPr>
          <w:b/>
        </w:rPr>
        <w:tab/>
        <w:t>“</w:t>
      </w:r>
      <w:r>
        <w:rPr>
          <w:rStyle w:val="CharDefText"/>
        </w:rPr>
        <w:t>conventional taxi plates</w:t>
      </w:r>
      <w:r>
        <w:rPr>
          <w:b/>
        </w:rPr>
        <w:t>”</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t>“</w:t>
      </w:r>
      <w:r>
        <w:rPr>
          <w:rStyle w:val="CharDefText"/>
        </w:rPr>
        <w:t>department</w:t>
      </w:r>
      <w:r>
        <w:rPr>
          <w:b/>
        </w:rPr>
        <w:t>”</w:t>
      </w:r>
      <w:r>
        <w:t xml:space="preserve"> means the department of the Public Service of the State principally assisting the Minister with the administration of this Act; </w:t>
      </w:r>
    </w:p>
    <w:p>
      <w:pPr>
        <w:pStyle w:val="Defstart"/>
      </w:pPr>
      <w:r>
        <w:tab/>
      </w:r>
      <w:r>
        <w:rPr>
          <w:b/>
        </w:rPr>
        <w:t>“</w:t>
      </w:r>
      <w:r>
        <w:rPr>
          <w:rStyle w:val="CharDefText"/>
        </w:rPr>
        <w:t>Director General</w:t>
      </w:r>
      <w:r>
        <w:rPr>
          <w:b/>
        </w:rPr>
        <w:t>”</w:t>
      </w:r>
      <w:r>
        <w:t xml:space="preserve"> means the chief executive officer of the department;</w:t>
      </w:r>
    </w:p>
    <w:p>
      <w:pPr>
        <w:pStyle w:val="Defstart"/>
      </w:pPr>
      <w:r>
        <w:rPr>
          <w:b/>
        </w:rPr>
        <w:lastRenderedPageBreak/>
        <w:tab/>
        <w:t>“</w:t>
      </w:r>
      <w:r>
        <w:rPr>
          <w:rStyle w:val="CharDefText"/>
        </w:rPr>
        <w:t>lease</w:t>
      </w:r>
      <w:r>
        <w:rPr>
          <w:b/>
        </w:rPr>
        <w:t>”</w:t>
      </w:r>
      <w:r>
        <w:t xml:space="preserve">, in relation to taxi plates, means to acquire — </w:t>
      </w:r>
    </w:p>
    <w:p>
      <w:pPr>
        <w:pStyle w:val="Defpara"/>
        <w:spacing w:before="60"/>
      </w:pPr>
      <w:r>
        <w:tab/>
        <w:t>(a)</w:t>
      </w:r>
      <w:r>
        <w:tab/>
        <w:t>by virtue of a successful application under section 16(2), the right to use the plates for a period specified by the Director General; or</w:t>
      </w:r>
    </w:p>
    <w:p>
      <w:pPr>
        <w:pStyle w:val="Defpara"/>
        <w:spacing w:before="60"/>
      </w:pPr>
      <w:r>
        <w:tab/>
        <w:t>(b)</w:t>
      </w:r>
      <w:r>
        <w:tab/>
        <w:t>the right to use the plates for a period under Part 3 Division 3;</w:t>
      </w:r>
    </w:p>
    <w:p>
      <w:pPr>
        <w:pStyle w:val="Defstart"/>
      </w:pPr>
      <w:r>
        <w:tab/>
      </w:r>
      <w:r>
        <w:rPr>
          <w:b/>
        </w:rPr>
        <w:t>“</w:t>
      </w:r>
      <w:r>
        <w:rPr>
          <w:rStyle w:val="CharDefText"/>
        </w:rPr>
        <w:t>lessee</w:t>
      </w:r>
      <w:r>
        <w:rPr>
          <w:b/>
        </w:rPr>
        <w:t>”</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t>“</w:t>
      </w:r>
      <w:r>
        <w:rPr>
          <w:rStyle w:val="CharDefText"/>
        </w:rPr>
        <w:t>operate</w:t>
      </w:r>
      <w:r>
        <w:rPr>
          <w:b/>
        </w:rPr>
        <w:t>”</w:t>
      </w:r>
      <w:r>
        <w:t xml:space="preserve"> means — </w:t>
      </w:r>
    </w:p>
    <w:p>
      <w:pPr>
        <w:pStyle w:val="Defpara"/>
      </w:pPr>
      <w:r>
        <w:tab/>
        <w:t>(a)</w:t>
      </w:r>
      <w:r>
        <w:tab/>
        <w:t>to drive a vehicle as a taxi;</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t>“</w:t>
      </w:r>
      <w:r>
        <w:rPr>
          <w:rStyle w:val="CharDefText"/>
        </w:rPr>
        <w:t>operator</w:t>
      </w:r>
      <w:r>
        <w:rPr>
          <w:b/>
        </w:rPr>
        <w:t>”</w:t>
      </w:r>
      <w:r>
        <w:t xml:space="preserve"> means a person who operates a vehicle as a taxi;</w:t>
      </w:r>
    </w:p>
    <w:p>
      <w:pPr>
        <w:pStyle w:val="Defstart"/>
      </w:pPr>
      <w:r>
        <w:rPr>
          <w:b/>
        </w:rPr>
        <w:tab/>
        <w:t>“</w:t>
      </w:r>
      <w:r>
        <w:rPr>
          <w:rStyle w:val="CharDefText"/>
        </w:rPr>
        <w:t>plate holder</w:t>
      </w:r>
      <w:r>
        <w:rPr>
          <w:b/>
        </w:rPr>
        <w:t>”</w:t>
      </w:r>
      <w:r>
        <w:t xml:space="preserve"> means the owner or lessee of taxi plates;</w:t>
      </w:r>
    </w:p>
    <w:p>
      <w:pPr>
        <w:pStyle w:val="Defstart"/>
      </w:pPr>
      <w:r>
        <w:rPr>
          <w:b/>
        </w:rPr>
        <w:tab/>
        <w:t>“</w:t>
      </w:r>
      <w:r>
        <w:rPr>
          <w:rStyle w:val="CharDefText"/>
        </w:rPr>
        <w:t>plate owner’s lease</w:t>
      </w:r>
      <w:r>
        <w:rPr>
          <w:b/>
        </w:rPr>
        <w:t>”</w:t>
      </w:r>
      <w:r>
        <w:t xml:space="preserve"> means the right acquired from the owner of taxi plates to use the plates for a specified period of time;</w:t>
      </w:r>
    </w:p>
    <w:p>
      <w:pPr>
        <w:pStyle w:val="Defstart"/>
      </w:pPr>
      <w:r>
        <w:rPr>
          <w:b/>
        </w:rPr>
        <w:tab/>
        <w:t>“</w:t>
      </w:r>
      <w:r>
        <w:rPr>
          <w:rStyle w:val="CharDefText"/>
        </w:rPr>
        <w:t>registration</w:t>
      </w:r>
      <w:r>
        <w:rPr>
          <w:b/>
        </w:rPr>
        <w:t>”</w:t>
      </w:r>
      <w:r>
        <w:t xml:space="preserve"> means registration as the provider of a taxi dispatch service under section 28;</w:t>
      </w:r>
    </w:p>
    <w:p>
      <w:pPr>
        <w:pStyle w:val="Defstart"/>
      </w:pPr>
      <w:r>
        <w:rPr>
          <w:b/>
        </w:rPr>
        <w:tab/>
        <w:t>“</w:t>
      </w:r>
      <w:r>
        <w:rPr>
          <w:rStyle w:val="CharDefText"/>
        </w:rPr>
        <w:t>repealed Act</w:t>
      </w:r>
      <w:r>
        <w:rPr>
          <w:b/>
        </w:rPr>
        <w:t>”</w:t>
      </w:r>
      <w:r>
        <w:t xml:space="preserve"> means the </w:t>
      </w:r>
      <w:r>
        <w:rPr>
          <w:i/>
        </w:rPr>
        <w:t>Taxi</w:t>
      </w:r>
      <w:r>
        <w:rPr>
          <w:i/>
        </w:rPr>
        <w:noBreakHyphen/>
        <w:t>car Control Act 1985</w:t>
      </w:r>
      <w:r>
        <w:t xml:space="preserve">; </w:t>
      </w:r>
    </w:p>
    <w:p>
      <w:pPr>
        <w:pStyle w:val="Defstart"/>
      </w:pPr>
      <w:r>
        <w:rPr>
          <w:b/>
        </w:rPr>
        <w:tab/>
        <w:t>“</w:t>
      </w:r>
      <w:r>
        <w:rPr>
          <w:rStyle w:val="CharDefText"/>
        </w:rPr>
        <w:t>taxi</w:t>
      </w:r>
      <w:r>
        <w:rPr>
          <w:b/>
        </w:rPr>
        <w:t>”</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t>“</w:t>
      </w:r>
      <w:r>
        <w:rPr>
          <w:rStyle w:val="CharDefText"/>
        </w:rPr>
        <w:t>taxi dispatch service</w:t>
      </w:r>
      <w:r>
        <w:rPr>
          <w:b/>
        </w:rPr>
        <w:t>”</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r>
      <w:r>
        <w:tab/>
        <w:t>for the purpose of arranging for a person who requests a taxi to be provided with one;</w:t>
      </w:r>
    </w:p>
    <w:p>
      <w:pPr>
        <w:pStyle w:val="Defstart"/>
      </w:pPr>
      <w:r>
        <w:tab/>
      </w:r>
      <w:r>
        <w:rPr>
          <w:b/>
        </w:rPr>
        <w:t>“</w:t>
      </w:r>
      <w:r>
        <w:rPr>
          <w:rStyle w:val="CharDefText"/>
        </w:rPr>
        <w:t>Taxi Industry Development Account</w:t>
      </w:r>
      <w:r>
        <w:rPr>
          <w:b/>
        </w:rPr>
        <w:t>”</w:t>
      </w:r>
      <w:r>
        <w:t xml:space="preserve"> means the account established as required by section 41(1);</w:t>
      </w:r>
    </w:p>
    <w:p>
      <w:pPr>
        <w:pStyle w:val="Defstart"/>
      </w:pPr>
      <w:r>
        <w:rPr>
          <w:b/>
        </w:rPr>
        <w:tab/>
        <w:t>“</w:t>
      </w:r>
      <w:r>
        <w:rPr>
          <w:rStyle w:val="CharDefText"/>
        </w:rPr>
        <w:t>taxi plates</w:t>
      </w:r>
      <w:r>
        <w:rPr>
          <w:b/>
        </w:rPr>
        <w:t>”</w:t>
      </w:r>
      <w:r>
        <w:t xml:space="preserve"> means a set of taxi number plates issued under section 18 or 30I(2)(b);</w:t>
      </w:r>
    </w:p>
    <w:p>
      <w:pPr>
        <w:pStyle w:val="Defstart"/>
      </w:pPr>
      <w:r>
        <w:rPr>
          <w:b/>
        </w:rPr>
        <w:tab/>
        <w:t>“</w:t>
      </w:r>
      <w:r>
        <w:rPr>
          <w:rStyle w:val="CharDefText"/>
        </w:rPr>
        <w:t>use</w:t>
      </w:r>
      <w:r>
        <w:rPr>
          <w:b/>
        </w:rPr>
        <w:t>”</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w:t>
      </w:r>
    </w:p>
    <w:p>
      <w:pPr>
        <w:pStyle w:val="Indenta"/>
        <w:rPr>
          <w:snapToGrid w:val="0"/>
        </w:rPr>
      </w:pPr>
      <w:r>
        <w:rPr>
          <w:snapToGrid w:val="0"/>
        </w:rPr>
        <w:tab/>
        <w:t>(b)</w:t>
      </w:r>
      <w:r>
        <w:rPr>
          <w:snapToGrid w:val="0"/>
        </w:rPr>
        <w:tab/>
        <w:t xml:space="preserve">the term </w:t>
      </w:r>
      <w:r>
        <w:rPr>
          <w:b/>
          <w:snapToGrid w:val="0"/>
        </w:rPr>
        <w:t>“</w:t>
      </w:r>
      <w:r>
        <w:rPr>
          <w:rStyle w:val="CharDefText"/>
        </w:rPr>
        <w:t>corporation</w:t>
      </w:r>
      <w:r>
        <w:rPr>
          <w:b/>
          <w:snapToGrid w:val="0"/>
        </w:rPr>
        <w:t>”</w:t>
      </w:r>
      <w:r>
        <w:rPr>
          <w:snapToGrid w:val="0"/>
        </w:rPr>
        <w:t xml:space="preserve"> includes a company within the meaning of the </w:t>
      </w:r>
      <w:r>
        <w:rPr>
          <w:i/>
          <w:snapToGrid w:val="0"/>
        </w:rPr>
        <w:t>Companies (Co</w:t>
      </w:r>
      <w:r>
        <w:rPr>
          <w:i/>
          <w:snapToGrid w:val="0"/>
        </w:rPr>
        <w:noBreakHyphen/>
        <w:t>operative) Act 1943</w:t>
      </w:r>
      <w:r>
        <w:rPr>
          <w:snapToGrid w:val="0"/>
        </w:rPr>
        <w:t>; and</w:t>
      </w:r>
    </w:p>
    <w:p>
      <w:pPr>
        <w:pStyle w:val="Indenta"/>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w:t>
      </w:r>
    </w:p>
    <w:p>
      <w:pPr>
        <w:pStyle w:val="Heading5"/>
        <w:spacing w:before="260"/>
        <w:rPr>
          <w:snapToGrid w:val="0"/>
        </w:rPr>
      </w:pPr>
      <w:bookmarkStart w:id="39" w:name="_Toc403946001"/>
      <w:bookmarkStart w:id="40" w:name="_Toc12345117"/>
      <w:bookmarkStart w:id="41" w:name="_Toc131835852"/>
      <w:bookmarkStart w:id="42" w:name="_Toc143336045"/>
      <w:bookmarkStart w:id="43" w:name="_Toc180373830"/>
      <w:r>
        <w:rPr>
          <w:rStyle w:val="CharSectno"/>
        </w:rPr>
        <w:t>4</w:t>
      </w:r>
      <w:r>
        <w:rPr>
          <w:snapToGrid w:val="0"/>
        </w:rPr>
        <w:t>.</w:t>
      </w:r>
      <w:r>
        <w:rPr>
          <w:snapToGrid w:val="0"/>
        </w:rPr>
        <w:tab/>
        <w:t>Operations within control area</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44" w:name="_Toc89758972"/>
      <w:bookmarkStart w:id="45" w:name="_Toc91321515"/>
      <w:bookmarkStart w:id="46" w:name="_Toc92772387"/>
      <w:bookmarkStart w:id="47" w:name="_Toc96919145"/>
      <w:bookmarkStart w:id="48" w:name="_Toc103072729"/>
      <w:bookmarkStart w:id="49" w:name="_Toc107910892"/>
      <w:bookmarkStart w:id="50" w:name="_Toc123640046"/>
      <w:bookmarkStart w:id="51" w:name="_Toc131835853"/>
      <w:bookmarkStart w:id="52" w:name="_Toc135106942"/>
      <w:bookmarkStart w:id="53" w:name="_Toc135109250"/>
      <w:bookmarkStart w:id="54" w:name="_Toc137357712"/>
      <w:bookmarkStart w:id="55" w:name="_Toc138561423"/>
      <w:bookmarkStart w:id="56" w:name="_Toc139429334"/>
      <w:bookmarkStart w:id="57" w:name="_Toc139429458"/>
      <w:bookmarkStart w:id="58" w:name="_Toc140398391"/>
      <w:bookmarkStart w:id="59" w:name="_Toc142703849"/>
      <w:bookmarkStart w:id="60" w:name="_Toc143336046"/>
      <w:bookmarkStart w:id="61" w:name="_Toc156985687"/>
      <w:bookmarkStart w:id="62" w:name="_Toc158020876"/>
      <w:bookmarkStart w:id="63" w:name="_Toc180318967"/>
      <w:bookmarkStart w:id="64" w:name="_Toc180319056"/>
      <w:bookmarkStart w:id="65" w:name="_Toc180319120"/>
      <w:bookmarkStart w:id="66" w:name="_Toc180373831"/>
      <w:r>
        <w:rPr>
          <w:rStyle w:val="CharPartNo"/>
        </w:rPr>
        <w:t>Part 2</w:t>
      </w:r>
      <w:r>
        <w:rPr>
          <w:rStyle w:val="CharDivNo"/>
        </w:rPr>
        <w:t> </w:t>
      </w:r>
      <w:r>
        <w:t>—</w:t>
      </w:r>
      <w:r>
        <w:rPr>
          <w:rStyle w:val="CharDivText"/>
        </w:rPr>
        <w:t> </w:t>
      </w:r>
      <w:r>
        <w:rPr>
          <w:rStyle w:val="CharPartText"/>
        </w:rPr>
        <w:t>Administration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5"/>
        <w:rPr>
          <w:snapToGrid w:val="0"/>
        </w:rPr>
      </w:pPr>
      <w:bookmarkStart w:id="67" w:name="_Toc403946002"/>
      <w:bookmarkStart w:id="68" w:name="_Toc12345118"/>
      <w:bookmarkStart w:id="69" w:name="_Toc131835854"/>
      <w:bookmarkStart w:id="70" w:name="_Toc143336047"/>
      <w:bookmarkStart w:id="71" w:name="_Toc180373832"/>
      <w:r>
        <w:rPr>
          <w:rStyle w:val="CharSectno"/>
        </w:rPr>
        <w:t>5</w:t>
      </w:r>
      <w:r>
        <w:rPr>
          <w:snapToGrid w:val="0"/>
        </w:rPr>
        <w:t>.</w:t>
      </w:r>
      <w:r>
        <w:rPr>
          <w:snapToGrid w:val="0"/>
        </w:rPr>
        <w:tab/>
        <w:t>Directions</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 17.]</w:t>
      </w:r>
    </w:p>
    <w:p>
      <w:pPr>
        <w:pStyle w:val="Heading5"/>
        <w:rPr>
          <w:snapToGrid w:val="0"/>
        </w:rPr>
      </w:pPr>
      <w:bookmarkStart w:id="72" w:name="_Toc403946003"/>
      <w:bookmarkStart w:id="73" w:name="_Toc12345119"/>
      <w:bookmarkStart w:id="74" w:name="_Toc131835855"/>
      <w:bookmarkStart w:id="75" w:name="_Toc143336048"/>
      <w:bookmarkStart w:id="76" w:name="_Toc180373833"/>
      <w:r>
        <w:rPr>
          <w:rStyle w:val="CharSectno"/>
        </w:rPr>
        <w:t>6</w:t>
      </w:r>
      <w:r>
        <w:rPr>
          <w:snapToGrid w:val="0"/>
        </w:rPr>
        <w:t>.</w:t>
      </w:r>
      <w:r>
        <w:rPr>
          <w:snapToGrid w:val="0"/>
        </w:rPr>
        <w:tab/>
        <w:t>Delegatory power of Minister and Director General</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77" w:name="_Toc403946004"/>
      <w:bookmarkStart w:id="78" w:name="_Toc12345120"/>
      <w:bookmarkStart w:id="79" w:name="_Toc131835856"/>
      <w:bookmarkStart w:id="80" w:name="_Toc143336049"/>
      <w:bookmarkStart w:id="81" w:name="_Toc180373834"/>
      <w:r>
        <w:rPr>
          <w:rStyle w:val="CharSectno"/>
        </w:rPr>
        <w:t>7</w:t>
      </w:r>
      <w:r>
        <w:rPr>
          <w:snapToGrid w:val="0"/>
        </w:rPr>
        <w:t>.</w:t>
      </w:r>
      <w:r>
        <w:rPr>
          <w:snapToGrid w:val="0"/>
        </w:rPr>
        <w:tab/>
        <w:t>Director General to advise Minister</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82" w:name="_Toc403946005"/>
      <w:bookmarkStart w:id="83" w:name="_Toc12345121"/>
      <w:bookmarkStart w:id="84" w:name="_Toc131835857"/>
      <w:bookmarkStart w:id="85" w:name="_Toc143336050"/>
      <w:bookmarkStart w:id="86" w:name="_Toc180373835"/>
      <w:r>
        <w:rPr>
          <w:rStyle w:val="CharSectno"/>
        </w:rPr>
        <w:t>8</w:t>
      </w:r>
      <w:r>
        <w:rPr>
          <w:snapToGrid w:val="0"/>
        </w:rPr>
        <w:t>.</w:t>
      </w:r>
      <w:r>
        <w:rPr>
          <w:snapToGrid w:val="0"/>
        </w:rPr>
        <w:tab/>
        <w:t>Taxi Industry Board</w:t>
      </w:r>
      <w:bookmarkEnd w:id="82"/>
      <w:bookmarkEnd w:id="83"/>
      <w:bookmarkEnd w:id="84"/>
      <w:bookmarkEnd w:id="85"/>
      <w:bookmarkEnd w:id="86"/>
      <w:r>
        <w:rPr>
          <w:snapToGrid w:val="0"/>
        </w:rPr>
        <w:t xml:space="preserve"> </w:t>
      </w:r>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87" w:name="_Toc403946006"/>
      <w:bookmarkStart w:id="88" w:name="_Toc12345122"/>
      <w:bookmarkStart w:id="89" w:name="_Toc131835858"/>
      <w:bookmarkStart w:id="90" w:name="_Toc143336051"/>
      <w:bookmarkStart w:id="91" w:name="_Toc180373836"/>
      <w:r>
        <w:rPr>
          <w:rStyle w:val="CharSectno"/>
        </w:rPr>
        <w:t>9</w:t>
      </w:r>
      <w:r>
        <w:rPr>
          <w:snapToGrid w:val="0"/>
        </w:rPr>
        <w:t>.</w:t>
      </w:r>
      <w:r>
        <w:rPr>
          <w:snapToGrid w:val="0"/>
        </w:rPr>
        <w:tab/>
        <w:t>Tenure of office</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92" w:name="_Toc403946007"/>
      <w:bookmarkStart w:id="93" w:name="_Toc12345123"/>
      <w:bookmarkStart w:id="94" w:name="_Toc131835859"/>
      <w:bookmarkStart w:id="95" w:name="_Toc143336052"/>
      <w:bookmarkStart w:id="96" w:name="_Toc180373837"/>
      <w:r>
        <w:rPr>
          <w:rStyle w:val="CharSectno"/>
        </w:rPr>
        <w:t>10</w:t>
      </w:r>
      <w:r>
        <w:rPr>
          <w:snapToGrid w:val="0"/>
        </w:rPr>
        <w:t>.</w:t>
      </w:r>
      <w:r>
        <w:rPr>
          <w:snapToGrid w:val="0"/>
        </w:rPr>
        <w:tab/>
        <w:t>Chairperson</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97" w:name="_Toc403946008"/>
      <w:bookmarkStart w:id="98" w:name="_Toc12345124"/>
      <w:bookmarkStart w:id="99" w:name="_Toc131835860"/>
      <w:bookmarkStart w:id="100" w:name="_Toc143336053"/>
      <w:bookmarkStart w:id="101" w:name="_Toc180373838"/>
      <w:r>
        <w:rPr>
          <w:rStyle w:val="CharSectno"/>
        </w:rPr>
        <w:t>11</w:t>
      </w:r>
      <w:r>
        <w:rPr>
          <w:snapToGrid w:val="0"/>
        </w:rPr>
        <w:t>.</w:t>
      </w:r>
      <w:r>
        <w:rPr>
          <w:snapToGrid w:val="0"/>
        </w:rPr>
        <w:tab/>
        <w:t>Meetings</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02" w:name="_Toc403946009"/>
      <w:bookmarkStart w:id="103" w:name="_Toc12345125"/>
      <w:bookmarkStart w:id="104" w:name="_Toc131835861"/>
      <w:bookmarkStart w:id="105" w:name="_Toc143336054"/>
      <w:bookmarkStart w:id="106" w:name="_Toc180373839"/>
      <w:r>
        <w:rPr>
          <w:rStyle w:val="CharSectno"/>
        </w:rPr>
        <w:t>12</w:t>
      </w:r>
      <w:r>
        <w:rPr>
          <w:snapToGrid w:val="0"/>
        </w:rPr>
        <w:t>.</w:t>
      </w:r>
      <w:r>
        <w:rPr>
          <w:snapToGrid w:val="0"/>
        </w:rPr>
        <w:tab/>
        <w:t>Remuneration and allowances</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 Minister for Public Sector Management.</w:t>
      </w:r>
    </w:p>
    <w:p>
      <w:pPr>
        <w:pStyle w:val="Heading5"/>
        <w:rPr>
          <w:snapToGrid w:val="0"/>
        </w:rPr>
      </w:pPr>
      <w:bookmarkStart w:id="107" w:name="_Toc403946010"/>
      <w:bookmarkStart w:id="108" w:name="_Toc12345126"/>
      <w:bookmarkStart w:id="109" w:name="_Toc131835862"/>
      <w:bookmarkStart w:id="110" w:name="_Toc143336055"/>
      <w:bookmarkStart w:id="111" w:name="_Toc180373840"/>
      <w:r>
        <w:rPr>
          <w:rStyle w:val="CharSectno"/>
        </w:rPr>
        <w:t>13</w:t>
      </w:r>
      <w:r>
        <w:rPr>
          <w:snapToGrid w:val="0"/>
        </w:rPr>
        <w:t>.</w:t>
      </w:r>
      <w:r>
        <w:rPr>
          <w:snapToGrid w:val="0"/>
        </w:rPr>
        <w:tab/>
        <w:t>Funding of Board</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12" w:name="_Toc403946011"/>
      <w:bookmarkStart w:id="113" w:name="_Toc12345127"/>
      <w:bookmarkStart w:id="114" w:name="_Toc131835863"/>
      <w:bookmarkStart w:id="115" w:name="_Toc143336056"/>
      <w:bookmarkStart w:id="116" w:name="_Toc180373841"/>
      <w:r>
        <w:rPr>
          <w:rStyle w:val="CharSectno"/>
        </w:rPr>
        <w:t>14</w:t>
      </w:r>
      <w:r>
        <w:rPr>
          <w:snapToGrid w:val="0"/>
        </w:rPr>
        <w:t>.</w:t>
      </w:r>
      <w:r>
        <w:rPr>
          <w:snapToGrid w:val="0"/>
        </w:rPr>
        <w:tab/>
        <w:t>Functions of Board</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17" w:name="_Toc89758983"/>
      <w:bookmarkStart w:id="118" w:name="_Toc91321526"/>
      <w:bookmarkStart w:id="119" w:name="_Toc92772398"/>
      <w:bookmarkStart w:id="120" w:name="_Toc96919156"/>
      <w:bookmarkStart w:id="121" w:name="_Toc103072740"/>
      <w:bookmarkStart w:id="122" w:name="_Toc107910903"/>
      <w:bookmarkStart w:id="123" w:name="_Toc123640057"/>
      <w:bookmarkStart w:id="124" w:name="_Toc131835864"/>
      <w:bookmarkStart w:id="125" w:name="_Toc135106953"/>
      <w:bookmarkStart w:id="126" w:name="_Toc135109261"/>
      <w:bookmarkStart w:id="127" w:name="_Toc137357723"/>
      <w:bookmarkStart w:id="128" w:name="_Toc138561434"/>
      <w:bookmarkStart w:id="129" w:name="_Toc139429345"/>
      <w:bookmarkStart w:id="130" w:name="_Toc139429469"/>
      <w:bookmarkStart w:id="131" w:name="_Toc140398402"/>
      <w:bookmarkStart w:id="132" w:name="_Toc142703860"/>
      <w:bookmarkStart w:id="133" w:name="_Toc143336057"/>
      <w:bookmarkStart w:id="134" w:name="_Toc156985698"/>
      <w:bookmarkStart w:id="135" w:name="_Toc158020887"/>
      <w:bookmarkStart w:id="136" w:name="_Toc180318978"/>
      <w:bookmarkStart w:id="137" w:name="_Toc180319067"/>
      <w:bookmarkStart w:id="138" w:name="_Toc180319131"/>
      <w:bookmarkStart w:id="139" w:name="_Toc180373842"/>
      <w:r>
        <w:rPr>
          <w:rStyle w:val="CharPartNo"/>
        </w:rPr>
        <w:t>Part 3</w:t>
      </w:r>
      <w:r>
        <w:t> — </w:t>
      </w:r>
      <w:r>
        <w:rPr>
          <w:rStyle w:val="CharPartText"/>
        </w:rPr>
        <w:t>Operation of taxis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PartText"/>
        </w:rPr>
        <w:t xml:space="preserve"> </w:t>
      </w:r>
    </w:p>
    <w:p>
      <w:pPr>
        <w:pStyle w:val="Heading3"/>
        <w:rPr>
          <w:snapToGrid w:val="0"/>
        </w:rPr>
      </w:pPr>
      <w:bookmarkStart w:id="140" w:name="_Toc89758984"/>
      <w:bookmarkStart w:id="141" w:name="_Toc91321527"/>
      <w:bookmarkStart w:id="142" w:name="_Toc92772399"/>
      <w:bookmarkStart w:id="143" w:name="_Toc96919157"/>
      <w:bookmarkStart w:id="144" w:name="_Toc103072741"/>
      <w:bookmarkStart w:id="145" w:name="_Toc107910904"/>
      <w:bookmarkStart w:id="146" w:name="_Toc123640058"/>
      <w:bookmarkStart w:id="147" w:name="_Toc131835865"/>
      <w:bookmarkStart w:id="148" w:name="_Toc135106954"/>
      <w:bookmarkStart w:id="149" w:name="_Toc135109262"/>
      <w:bookmarkStart w:id="150" w:name="_Toc137357724"/>
      <w:bookmarkStart w:id="151" w:name="_Toc138561435"/>
      <w:bookmarkStart w:id="152" w:name="_Toc139429346"/>
      <w:bookmarkStart w:id="153" w:name="_Toc139429470"/>
      <w:bookmarkStart w:id="154" w:name="_Toc140398403"/>
      <w:bookmarkStart w:id="155" w:name="_Toc142703861"/>
      <w:bookmarkStart w:id="156" w:name="_Toc143336058"/>
      <w:bookmarkStart w:id="157" w:name="_Toc156985699"/>
      <w:bookmarkStart w:id="158" w:name="_Toc158020888"/>
      <w:bookmarkStart w:id="159" w:name="_Toc180318979"/>
      <w:bookmarkStart w:id="160" w:name="_Toc180319068"/>
      <w:bookmarkStart w:id="161" w:name="_Toc180319132"/>
      <w:bookmarkStart w:id="162" w:name="_Toc180373843"/>
      <w:r>
        <w:rPr>
          <w:rStyle w:val="CharDivNo"/>
        </w:rPr>
        <w:t>Division 1</w:t>
      </w:r>
      <w:r>
        <w:rPr>
          <w:snapToGrid w:val="0"/>
        </w:rPr>
        <w:t> — </w:t>
      </w:r>
      <w:r>
        <w:rPr>
          <w:rStyle w:val="CharDivText"/>
        </w:rPr>
        <w:t>Taxi plates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Heading5"/>
        <w:rPr>
          <w:snapToGrid w:val="0"/>
        </w:rPr>
      </w:pPr>
      <w:bookmarkStart w:id="163" w:name="_Toc403946012"/>
      <w:bookmarkStart w:id="164" w:name="_Toc12345128"/>
      <w:bookmarkStart w:id="165" w:name="_Toc131835866"/>
      <w:bookmarkStart w:id="166" w:name="_Toc143336059"/>
      <w:bookmarkStart w:id="167" w:name="_Toc180373844"/>
      <w:r>
        <w:rPr>
          <w:rStyle w:val="CharSectno"/>
        </w:rPr>
        <w:t>15</w:t>
      </w:r>
      <w:r>
        <w:rPr>
          <w:snapToGrid w:val="0"/>
        </w:rPr>
        <w:t>.</w:t>
      </w:r>
      <w:r>
        <w:rPr>
          <w:snapToGrid w:val="0"/>
        </w:rPr>
        <w:tab/>
        <w:t>Taxi plates</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w:t>
      </w:r>
    </w:p>
    <w:p>
      <w:pPr>
        <w:pStyle w:val="Indenta"/>
        <w:rPr>
          <w:snapToGrid w:val="0"/>
        </w:rPr>
      </w:pPr>
      <w:r>
        <w:rPr>
          <w:snapToGrid w:val="0"/>
        </w:rPr>
        <w:tab/>
        <w:t>(b)</w:t>
      </w:r>
      <w:r>
        <w:rPr>
          <w:snapToGrid w:val="0"/>
        </w:rPr>
        <w:tab/>
        <w:t>the driver of the vehicle;</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168" w:name="_Toc403946013"/>
      <w:bookmarkStart w:id="169" w:name="_Toc12345129"/>
      <w:bookmarkStart w:id="170" w:name="_Toc131835867"/>
      <w:bookmarkStart w:id="171" w:name="_Toc143336060"/>
      <w:bookmarkStart w:id="172" w:name="_Toc180373845"/>
      <w:r>
        <w:rPr>
          <w:rStyle w:val="CharSectno"/>
        </w:rPr>
        <w:t>16</w:t>
      </w:r>
      <w:r>
        <w:rPr>
          <w:snapToGrid w:val="0"/>
        </w:rPr>
        <w:t>.</w:t>
      </w:r>
      <w:r>
        <w:rPr>
          <w:snapToGrid w:val="0"/>
        </w:rPr>
        <w:tab/>
        <w:t>Taxi plates offered for sale or lease</w:t>
      </w:r>
      <w:bookmarkEnd w:id="168"/>
      <w:bookmarkEnd w:id="169"/>
      <w:bookmarkEnd w:id="170"/>
      <w:bookmarkEnd w:id="171"/>
      <w:bookmarkEnd w:id="172"/>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173" w:name="_Toc403946014"/>
      <w:bookmarkStart w:id="174"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w:t>
      </w:r>
    </w:p>
    <w:p>
      <w:pPr>
        <w:pStyle w:val="Indenta"/>
        <w:keepNext/>
      </w:pPr>
      <w:r>
        <w:tab/>
        <w:t>(b)</w:t>
      </w:r>
      <w:r>
        <w:tab/>
        <w:t>the period for which the plates are offered for lease;</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w:t>
      </w:r>
    </w:p>
    <w:p>
      <w:pPr>
        <w:pStyle w:val="Indenta"/>
      </w:pPr>
      <w:r>
        <w:tab/>
        <w:t>(b)</w:t>
      </w:r>
      <w:r>
        <w:tab/>
        <w:t>subject to subsection (7), 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b/>
        </w:rPr>
        <w:t>“</w:t>
      </w:r>
      <w:r>
        <w:rPr>
          <w:rStyle w:val="CharDefText"/>
        </w:rPr>
        <w:t>owner</w:t>
      </w:r>
      <w:r>
        <w:rPr>
          <w:rStyle w:val="CharDefText"/>
        </w:rPr>
        <w:noBreakHyphen/>
        <w:t>driver</w:t>
      </w:r>
      <w:r>
        <w:rPr>
          <w:b/>
        </w:rPr>
        <w:t>”</w:t>
      </w:r>
      <w:r>
        <w:t>);</w:t>
      </w:r>
    </w:p>
    <w:p>
      <w:pPr>
        <w:pStyle w:val="Indenta"/>
      </w:pPr>
      <w:r>
        <w:tab/>
        <w:t>(b)</w:t>
      </w:r>
      <w:r>
        <w:tab/>
        <w:t>each member of the partnership is an individual;</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Subsection"/>
        <w:spacing w:before="120"/>
      </w:pPr>
      <w:r>
        <w:tab/>
        <w:t>(6)</w:t>
      </w:r>
      <w:r>
        <w:tab/>
        <w:t xml:space="preserve">Without limiting subsection (2)(a), taxi plates may be leased by a corporation only if the Director General is satisfied that — </w:t>
      </w:r>
    </w:p>
    <w:p>
      <w:pPr>
        <w:pStyle w:val="Indenta"/>
        <w:spacing w:before="70"/>
      </w:pPr>
      <w:r>
        <w:tab/>
        <w:t>(a)</w:t>
      </w:r>
      <w:r>
        <w:tab/>
        <w:t xml:space="preserve">a director or other person concerned in the management of the corporation, or a shareholder of the corporation, will be the owner and principal driver of the vehicle operated as a taxi using the plates (the </w:t>
      </w:r>
      <w:r>
        <w:rPr>
          <w:b/>
        </w:rPr>
        <w:t>“</w:t>
      </w:r>
      <w:r>
        <w:rPr>
          <w:rStyle w:val="CharDefText"/>
        </w:rPr>
        <w:t>owner</w:t>
      </w:r>
      <w:r>
        <w:rPr>
          <w:rStyle w:val="CharDefText"/>
        </w:rPr>
        <w:noBreakHyphen/>
        <w:t>driver</w:t>
      </w:r>
      <w:r>
        <w:rPr>
          <w:b/>
        </w:rPr>
        <w:t>”</w:t>
      </w:r>
      <w:r>
        <w:t>);</w:t>
      </w:r>
    </w:p>
    <w:p>
      <w:pPr>
        <w:pStyle w:val="Indenta"/>
        <w:spacing w:before="70"/>
      </w:pPr>
      <w:r>
        <w:tab/>
        <w:t>(b)</w:t>
      </w:r>
      <w:r>
        <w:tab/>
        <w:t>each shareholder of the corporation is an individual;</w:t>
      </w:r>
    </w:p>
    <w:p>
      <w:pPr>
        <w:pStyle w:val="Indenta"/>
        <w:spacing w:before="70"/>
      </w:pPr>
      <w:r>
        <w:tab/>
        <w:t>(c)</w:t>
      </w:r>
      <w:r>
        <w:tab/>
        <w:t>each director or other person concerned in the management of the corporation, and each shareholder of the corporation, is related to the owner</w:t>
      </w:r>
      <w:r>
        <w:noBreakHyphen/>
        <w:t>driver;</w:t>
      </w:r>
    </w:p>
    <w:p>
      <w:pPr>
        <w:pStyle w:val="Indenta"/>
        <w:spacing w:before="70"/>
      </w:pPr>
      <w:r>
        <w:tab/>
        <w:t>(d)</w:t>
      </w:r>
      <w:r>
        <w:tab/>
        <w:t xml:space="preserve">the corporation — </w:t>
      </w:r>
    </w:p>
    <w:p>
      <w:pPr>
        <w:pStyle w:val="Indenti"/>
        <w:spacing w:before="70"/>
      </w:pPr>
      <w:r>
        <w:tab/>
        <w:t>(i)</w:t>
      </w:r>
      <w:r>
        <w:tab/>
        <w:t>is not the owner, and has no interest in the ownership, of taxi plates; and</w:t>
      </w:r>
    </w:p>
    <w:p>
      <w:pPr>
        <w:pStyle w:val="Indenti"/>
        <w:spacing w:before="70"/>
      </w:pPr>
      <w:r>
        <w:tab/>
        <w:t>(ii)</w:t>
      </w:r>
      <w:r>
        <w:tab/>
        <w:t>is not the lessee of taxi plates;</w:t>
      </w:r>
    </w:p>
    <w:p>
      <w:pPr>
        <w:pStyle w:val="Indenta"/>
        <w:spacing w:before="70"/>
      </w:pPr>
      <w:r>
        <w:tab/>
      </w:r>
      <w:r>
        <w:tab/>
        <w:t>and</w:t>
      </w:r>
    </w:p>
    <w:p>
      <w:pPr>
        <w:pStyle w:val="Indenta"/>
        <w:spacing w:before="70"/>
      </w:pPr>
      <w:r>
        <w:tab/>
        <w:t>(e)</w:t>
      </w:r>
      <w:r>
        <w:tab/>
        <w:t xml:space="preserve">no director or other person concerned in the management of the corporation, or shareholder of the corporation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Ednotesubsection"/>
        <w:spacing w:before="120"/>
      </w:pPr>
      <w:r>
        <w:tab/>
        <w:t>[(7)</w:t>
      </w:r>
      <w:r>
        <w:tab/>
        <w:t>repealed]</w:t>
      </w:r>
    </w:p>
    <w:p>
      <w:pPr>
        <w:pStyle w:val="Subsection"/>
        <w:spacing w:before="120"/>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spacing w:before="60"/>
      </w:pPr>
      <w:r>
        <w:tab/>
        <w:t>(a)</w:t>
      </w:r>
      <w:r>
        <w:tab/>
        <w:t>the extent of an applicant’s experience as a taxi driver;</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b/>
        </w:rPr>
        <w:t>“</w:t>
      </w:r>
      <w:r>
        <w:rPr>
          <w:rStyle w:val="CharDefText"/>
        </w:rPr>
        <w:t>owner</w:t>
      </w:r>
      <w:r>
        <w:rPr>
          <w:b/>
        </w:rPr>
        <w:t>”</w:t>
      </w:r>
      <w:r>
        <w:t xml:space="preserve">, in relation to a vehicle, has the same meaning as that given in section 5(1) of the </w:t>
      </w:r>
      <w:r>
        <w:rPr>
          <w:i/>
        </w:rPr>
        <w:t>Road Traffic Act 1974</w:t>
      </w:r>
      <w:r>
        <w:t>;</w:t>
      </w:r>
    </w:p>
    <w:p>
      <w:pPr>
        <w:pStyle w:val="Defstart"/>
      </w:pPr>
      <w:r>
        <w:tab/>
      </w:r>
      <w:r>
        <w:rPr>
          <w:b/>
        </w:rPr>
        <w:t>“</w:t>
      </w:r>
      <w:r>
        <w:rPr>
          <w:rStyle w:val="CharDefText"/>
        </w:rPr>
        <w:t>related</w:t>
      </w:r>
      <w:r>
        <w:rPr>
          <w:b/>
        </w:rPr>
        <w:t>”</w:t>
      </w:r>
      <w:r>
        <w:t>, in relation to an owner</w:t>
      </w:r>
      <w:r>
        <w:noBreakHyphen/>
        <w:t xml:space="preserve">driver, means related by virtue of being — </w:t>
      </w:r>
    </w:p>
    <w:p>
      <w:pPr>
        <w:pStyle w:val="Defpara"/>
      </w:pPr>
      <w:r>
        <w:tab/>
        <w:t>(a)</w:t>
      </w:r>
      <w:r>
        <w:tab/>
        <w:t>the spouse or de facto partner of the owner</w:t>
      </w:r>
      <w:r>
        <w:noBreakHyphen/>
        <w:t>driver;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b/>
        </w:rPr>
        <w:t>“</w:t>
      </w:r>
      <w:r>
        <w:rPr>
          <w:rStyle w:val="CharDefText"/>
        </w:rPr>
        <w:t>relevant percentage</w:t>
      </w:r>
      <w:r>
        <w:rPr>
          <w:b/>
        </w:rPr>
        <w:t>”</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w:t>
      </w:r>
    </w:p>
    <w:p>
      <w:pPr>
        <w:pStyle w:val="Heading5"/>
        <w:rPr>
          <w:snapToGrid w:val="0"/>
        </w:rPr>
      </w:pPr>
      <w:bookmarkStart w:id="175" w:name="_Toc131835868"/>
      <w:bookmarkStart w:id="176" w:name="_Toc143336061"/>
      <w:bookmarkStart w:id="177" w:name="_Toc180373846"/>
      <w:r>
        <w:rPr>
          <w:rStyle w:val="CharSectno"/>
        </w:rPr>
        <w:t>17</w:t>
      </w:r>
      <w:r>
        <w:rPr>
          <w:snapToGrid w:val="0"/>
        </w:rPr>
        <w:t>.</w:t>
      </w:r>
      <w:r>
        <w:rPr>
          <w:snapToGrid w:val="0"/>
        </w:rPr>
        <w:tab/>
        <w:t>Tender</w:t>
      </w:r>
      <w:bookmarkEnd w:id="173"/>
      <w:bookmarkEnd w:id="174"/>
      <w:bookmarkEnd w:id="175"/>
      <w:r>
        <w:rPr>
          <w:snapToGrid w:val="0"/>
        </w:rPr>
        <w:t>s and applications</w:t>
      </w:r>
      <w:bookmarkEnd w:id="176"/>
      <w:bookmarkEnd w:id="177"/>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178" w:name="_Toc403946015"/>
      <w:bookmarkStart w:id="179" w:name="_Toc12345131"/>
      <w:r>
        <w:tab/>
        <w:t>[Section 17 amended by No. 72 of 2003 s. 6.]</w:t>
      </w:r>
    </w:p>
    <w:p>
      <w:pPr>
        <w:pStyle w:val="Heading5"/>
        <w:spacing w:before="260"/>
        <w:rPr>
          <w:snapToGrid w:val="0"/>
        </w:rPr>
      </w:pPr>
      <w:bookmarkStart w:id="180" w:name="_Toc131835869"/>
      <w:bookmarkStart w:id="181" w:name="_Toc143336062"/>
      <w:bookmarkStart w:id="182" w:name="_Toc180373847"/>
      <w:r>
        <w:rPr>
          <w:rStyle w:val="CharSectno"/>
        </w:rPr>
        <w:t>18</w:t>
      </w:r>
      <w:r>
        <w:rPr>
          <w:snapToGrid w:val="0"/>
        </w:rPr>
        <w:t>.</w:t>
      </w:r>
      <w:r>
        <w:rPr>
          <w:snapToGrid w:val="0"/>
        </w:rPr>
        <w:tab/>
        <w:t>Issue of taxi plates</w:t>
      </w:r>
      <w:bookmarkEnd w:id="178"/>
      <w:bookmarkEnd w:id="179"/>
      <w:bookmarkEnd w:id="180"/>
      <w:bookmarkEnd w:id="181"/>
      <w:bookmarkEnd w:id="182"/>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w:t>
      </w:r>
    </w:p>
    <w:p>
      <w:pPr>
        <w:pStyle w:val="Indenta"/>
        <w:rPr>
          <w:snapToGrid w:val="0"/>
        </w:rPr>
      </w:pPr>
      <w:r>
        <w:rPr>
          <w:snapToGrid w:val="0"/>
        </w:rPr>
        <w:tab/>
        <w:t>(b)</w:t>
      </w:r>
      <w:r>
        <w:rPr>
          <w:snapToGrid w:val="0"/>
        </w:rPr>
        <w:tab/>
        <w:t xml:space="preserve">that all the criteria specified in the invitation to tender or apply have been met; </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183" w:name="_Toc403946016"/>
      <w:bookmarkStart w:id="184" w:name="_Toc12345132"/>
      <w:r>
        <w:tab/>
        <w:t>[Section 18 amended by No. 72 of 2003 s. 7; No. 4 of 2006 s. 8; No. 26 of 2007 s. 6.]</w:t>
      </w:r>
    </w:p>
    <w:p>
      <w:pPr>
        <w:pStyle w:val="Heading5"/>
        <w:rPr>
          <w:snapToGrid w:val="0"/>
        </w:rPr>
      </w:pPr>
      <w:bookmarkStart w:id="185" w:name="_Toc131835870"/>
      <w:bookmarkStart w:id="186" w:name="_Toc143336063"/>
      <w:bookmarkStart w:id="187" w:name="_Toc180373848"/>
      <w:r>
        <w:rPr>
          <w:rStyle w:val="CharSectno"/>
        </w:rPr>
        <w:t>19</w:t>
      </w:r>
      <w:r>
        <w:rPr>
          <w:snapToGrid w:val="0"/>
        </w:rPr>
        <w:t>.</w:t>
      </w:r>
      <w:r>
        <w:rPr>
          <w:snapToGrid w:val="0"/>
        </w:rPr>
        <w:tab/>
        <w:t>Annual fees for taxi plates</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188" w:name="_Toc403946017"/>
      <w:bookmarkStart w:id="189" w:name="_Toc12345133"/>
      <w:r>
        <w:tab/>
        <w:t>[Section 19 amended by No. 72 of 2003 s. 8 and 18.]</w:t>
      </w:r>
    </w:p>
    <w:p>
      <w:pPr>
        <w:pStyle w:val="Heading5"/>
      </w:pPr>
      <w:bookmarkStart w:id="190" w:name="_Toc131835871"/>
      <w:bookmarkStart w:id="191" w:name="_Toc143336064"/>
      <w:bookmarkStart w:id="192" w:name="_Toc180373849"/>
      <w:r>
        <w:rPr>
          <w:rStyle w:val="CharSectno"/>
        </w:rPr>
        <w:t>19A</w:t>
      </w:r>
      <w:r>
        <w:t>.</w:t>
      </w:r>
      <w:r>
        <w:tab/>
        <w:t>Periodic payments for leased taxi plates</w:t>
      </w:r>
      <w:bookmarkEnd w:id="190"/>
      <w:bookmarkEnd w:id="191"/>
      <w:bookmarkEnd w:id="192"/>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193" w:name="_Toc131835872"/>
      <w:bookmarkStart w:id="194" w:name="_Toc143336065"/>
      <w:bookmarkStart w:id="195" w:name="_Toc180373850"/>
      <w:r>
        <w:rPr>
          <w:rStyle w:val="CharSectno"/>
        </w:rPr>
        <w:t>20</w:t>
      </w:r>
      <w:r>
        <w:rPr>
          <w:snapToGrid w:val="0"/>
        </w:rPr>
        <w:t>.</w:t>
      </w:r>
      <w:r>
        <w:rPr>
          <w:snapToGrid w:val="0"/>
        </w:rPr>
        <w:tab/>
        <w:t>Conditions</w:t>
      </w:r>
      <w:bookmarkEnd w:id="188"/>
      <w:bookmarkEnd w:id="189"/>
      <w:bookmarkEnd w:id="193"/>
      <w:bookmarkEnd w:id="194"/>
      <w:bookmarkEnd w:id="195"/>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w:t>
      </w:r>
    </w:p>
    <w:p>
      <w:pPr>
        <w:pStyle w:val="Indenta"/>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repealed]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196" w:name="_Toc403946018"/>
      <w:bookmarkStart w:id="197" w:name="_Toc12345134"/>
      <w:bookmarkStart w:id="198" w:name="_Toc131835873"/>
      <w:bookmarkStart w:id="199" w:name="_Toc143336066"/>
      <w:bookmarkStart w:id="200" w:name="_Toc180373851"/>
      <w:r>
        <w:rPr>
          <w:rStyle w:val="CharSectno"/>
        </w:rPr>
        <w:t>21</w:t>
      </w:r>
      <w:r>
        <w:rPr>
          <w:snapToGrid w:val="0"/>
        </w:rPr>
        <w:t>.</w:t>
      </w:r>
      <w:r>
        <w:rPr>
          <w:snapToGrid w:val="0"/>
        </w:rPr>
        <w:tab/>
        <w:t>Use of taxi plates</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b/>
          <w:szCs w:val="22"/>
        </w:rPr>
        <w:t>“</w:t>
      </w:r>
      <w:r>
        <w:rPr>
          <w:rStyle w:val="CharDefText"/>
          <w:szCs w:val="22"/>
        </w:rPr>
        <w:t>divestment period</w:t>
      </w:r>
      <w:r>
        <w:rPr>
          <w:b/>
          <w:szCs w:val="22"/>
        </w:rPr>
        <w:t>”</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t>“</w:t>
      </w:r>
      <w:r>
        <w:rPr>
          <w:rStyle w:val="CharDefText"/>
          <w:szCs w:val="22"/>
        </w:rPr>
        <w:t>plate holder</w:t>
      </w:r>
      <w:r>
        <w:rPr>
          <w:b/>
        </w:rPr>
        <w:t>”</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201" w:name="_Toc403946019"/>
      <w:bookmarkStart w:id="202" w:name="_Toc12345135"/>
      <w:bookmarkStart w:id="203" w:name="_Toc131835874"/>
      <w:bookmarkStart w:id="204" w:name="_Toc143336067"/>
      <w:bookmarkStart w:id="205" w:name="_Toc180373852"/>
      <w:r>
        <w:rPr>
          <w:rStyle w:val="CharSectno"/>
        </w:rPr>
        <w:t>22</w:t>
      </w:r>
      <w:r>
        <w:rPr>
          <w:snapToGrid w:val="0"/>
        </w:rPr>
        <w:t>.</w:t>
      </w:r>
      <w:r>
        <w:rPr>
          <w:snapToGrid w:val="0"/>
        </w:rPr>
        <w:tab/>
        <w:t>Variation of conditions</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206" w:name="_Toc403946020"/>
      <w:bookmarkStart w:id="207" w:name="_Toc12345136"/>
      <w:bookmarkStart w:id="208" w:name="_Toc131835875"/>
      <w:bookmarkStart w:id="209" w:name="_Toc143336068"/>
      <w:bookmarkStart w:id="210" w:name="_Toc180373853"/>
      <w:r>
        <w:rPr>
          <w:rStyle w:val="CharSectno"/>
        </w:rPr>
        <w:t>23</w:t>
      </w:r>
      <w:r>
        <w:rPr>
          <w:snapToGrid w:val="0"/>
        </w:rPr>
        <w:t>.</w:t>
      </w:r>
      <w:r>
        <w:rPr>
          <w:snapToGrid w:val="0"/>
        </w:rPr>
        <w:tab/>
        <w:t>Divesting and forfeiture of taxi plates</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b/>
        </w:rPr>
        <w:t>“</w:t>
      </w:r>
      <w:r>
        <w:rPr>
          <w:rStyle w:val="CharDefText"/>
        </w:rPr>
        <w:t>divestment period</w:t>
      </w:r>
      <w:r>
        <w:rPr>
          <w:b/>
        </w:rPr>
        <w:t>”</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bookmarkStart w:id="211" w:name="_Toc403946021"/>
      <w:bookmarkStart w:id="212" w:name="_Toc12345137"/>
      <w:r>
        <w:tab/>
        <w:t>[Section 23 amended by No. 72 of 2003 s. 11 and 18; No. 55 of 2004 s. 1187.]</w:t>
      </w:r>
    </w:p>
    <w:p>
      <w:pPr>
        <w:pStyle w:val="Heading5"/>
      </w:pPr>
      <w:bookmarkStart w:id="213" w:name="_Toc131835876"/>
      <w:bookmarkStart w:id="214" w:name="_Toc143336069"/>
      <w:bookmarkStart w:id="215" w:name="_Toc180373854"/>
      <w:r>
        <w:rPr>
          <w:rStyle w:val="CharSectno"/>
        </w:rPr>
        <w:t>23A</w:t>
      </w:r>
      <w:r>
        <w:t>.</w:t>
      </w:r>
      <w:r>
        <w:tab/>
        <w:t>Forfeiture of leased taxi plates</w:t>
      </w:r>
      <w:bookmarkEnd w:id="213"/>
      <w:bookmarkEnd w:id="214"/>
      <w:bookmarkEnd w:id="215"/>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216" w:name="_Toc131835877"/>
      <w:bookmarkStart w:id="217" w:name="_Toc143336070"/>
      <w:bookmarkStart w:id="218" w:name="_Toc180373855"/>
      <w:r>
        <w:rPr>
          <w:rStyle w:val="CharSectno"/>
        </w:rPr>
        <w:t>24</w:t>
      </w:r>
      <w:r>
        <w:rPr>
          <w:snapToGrid w:val="0"/>
        </w:rPr>
        <w:t>.</w:t>
      </w:r>
      <w:r>
        <w:rPr>
          <w:snapToGrid w:val="0"/>
        </w:rPr>
        <w:tab/>
        <w:t>Transfer of taxi plates</w:t>
      </w:r>
      <w:bookmarkEnd w:id="211"/>
      <w:bookmarkEnd w:id="212"/>
      <w:bookmarkEnd w:id="216"/>
      <w:bookmarkEnd w:id="217"/>
      <w:bookmarkEnd w:id="218"/>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219" w:name="_Toc403946022"/>
      <w:bookmarkStart w:id="220" w:name="_Toc12345138"/>
      <w:r>
        <w:tab/>
        <w:t>(5)</w:t>
      </w:r>
      <w:r>
        <w:tab/>
        <w:t>Taxi plates that are leased are not transferable.</w:t>
      </w:r>
    </w:p>
    <w:p>
      <w:pPr>
        <w:pStyle w:val="Subsection"/>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221" w:name="_Toc131835878"/>
      <w:bookmarkStart w:id="222" w:name="_Toc143336071"/>
      <w:bookmarkStart w:id="223" w:name="_Toc180373856"/>
      <w:r>
        <w:rPr>
          <w:rStyle w:val="CharSectno"/>
        </w:rPr>
        <w:t>25</w:t>
      </w:r>
      <w:r>
        <w:rPr>
          <w:snapToGrid w:val="0"/>
        </w:rPr>
        <w:t>.</w:t>
      </w:r>
      <w:r>
        <w:rPr>
          <w:snapToGrid w:val="0"/>
        </w:rPr>
        <w:tab/>
        <w:t>Return of taxi plates</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spacing w:before="80"/>
        <w:ind w:left="890" w:hanging="890"/>
      </w:pPr>
      <w:r>
        <w:tab/>
        <w:t>[Section 25 amended by No. 72 of 2003 s. 14 and 18; No. 4 of 2006 s. 5(3); No. 26 of 2007 s. 9.]</w:t>
      </w:r>
    </w:p>
    <w:p>
      <w:pPr>
        <w:pStyle w:val="Heading3"/>
        <w:rPr>
          <w:snapToGrid w:val="0"/>
        </w:rPr>
      </w:pPr>
      <w:bookmarkStart w:id="224" w:name="_Toc89758998"/>
      <w:bookmarkStart w:id="225" w:name="_Toc91321541"/>
      <w:bookmarkStart w:id="226" w:name="_Toc92772413"/>
      <w:bookmarkStart w:id="227" w:name="_Toc96919171"/>
      <w:bookmarkStart w:id="228" w:name="_Toc103072755"/>
      <w:bookmarkStart w:id="229" w:name="_Toc107910918"/>
      <w:bookmarkStart w:id="230" w:name="_Toc123640072"/>
      <w:bookmarkStart w:id="231" w:name="_Toc131835879"/>
      <w:bookmarkStart w:id="232" w:name="_Toc135106968"/>
      <w:bookmarkStart w:id="233" w:name="_Toc135109276"/>
      <w:bookmarkStart w:id="234" w:name="_Toc137357738"/>
      <w:bookmarkStart w:id="235" w:name="_Toc138561449"/>
      <w:bookmarkStart w:id="236" w:name="_Toc139429360"/>
      <w:bookmarkStart w:id="237" w:name="_Toc139429484"/>
      <w:bookmarkStart w:id="238" w:name="_Toc140398417"/>
      <w:bookmarkStart w:id="239" w:name="_Toc142703875"/>
      <w:bookmarkStart w:id="240" w:name="_Toc143336072"/>
      <w:bookmarkStart w:id="241" w:name="_Toc156985713"/>
      <w:bookmarkStart w:id="242" w:name="_Toc158020902"/>
      <w:bookmarkStart w:id="243" w:name="_Toc180318993"/>
      <w:bookmarkStart w:id="244" w:name="_Toc180319082"/>
      <w:bookmarkStart w:id="245" w:name="_Toc180319146"/>
      <w:bookmarkStart w:id="246" w:name="_Toc180373857"/>
      <w:r>
        <w:rPr>
          <w:rStyle w:val="CharDivNo"/>
        </w:rPr>
        <w:t>Division 2</w:t>
      </w:r>
      <w:r>
        <w:rPr>
          <w:snapToGrid w:val="0"/>
        </w:rPr>
        <w:t> — </w:t>
      </w:r>
      <w:r>
        <w:rPr>
          <w:rStyle w:val="CharDivText"/>
        </w:rPr>
        <w:t>Registration of providers of taxi dispatch services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DivText"/>
        </w:rPr>
        <w:t xml:space="preserve"> </w:t>
      </w:r>
    </w:p>
    <w:p>
      <w:pPr>
        <w:pStyle w:val="Heading5"/>
        <w:rPr>
          <w:snapToGrid w:val="0"/>
        </w:rPr>
      </w:pPr>
      <w:bookmarkStart w:id="247" w:name="_Toc403946023"/>
      <w:bookmarkStart w:id="248" w:name="_Toc12345139"/>
      <w:bookmarkStart w:id="249" w:name="_Toc131835880"/>
      <w:bookmarkStart w:id="250" w:name="_Toc143336073"/>
      <w:bookmarkStart w:id="251" w:name="_Toc180373858"/>
      <w:r>
        <w:rPr>
          <w:rStyle w:val="CharSectno"/>
        </w:rPr>
        <w:t>26</w:t>
      </w:r>
      <w:r>
        <w:rPr>
          <w:snapToGrid w:val="0"/>
        </w:rPr>
        <w:t>.</w:t>
      </w:r>
      <w:r>
        <w:rPr>
          <w:snapToGrid w:val="0"/>
        </w:rPr>
        <w:tab/>
        <w:t>Taxi dispatch service</w:t>
      </w:r>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252" w:name="_Toc403946024"/>
      <w:bookmarkStart w:id="253" w:name="_Toc12345140"/>
      <w:bookmarkStart w:id="254" w:name="_Toc131835881"/>
      <w:bookmarkStart w:id="255" w:name="_Toc143336074"/>
      <w:bookmarkStart w:id="256" w:name="_Toc180373859"/>
      <w:r>
        <w:rPr>
          <w:rStyle w:val="CharSectno"/>
        </w:rPr>
        <w:t>27</w:t>
      </w:r>
      <w:r>
        <w:rPr>
          <w:snapToGrid w:val="0"/>
        </w:rPr>
        <w:t>.</w:t>
      </w:r>
      <w:r>
        <w:rPr>
          <w:snapToGrid w:val="0"/>
        </w:rPr>
        <w:tab/>
        <w:t>Application for registration</w:t>
      </w:r>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w:t>
      </w:r>
    </w:p>
    <w:p>
      <w:pPr>
        <w:pStyle w:val="Indenta"/>
        <w:rPr>
          <w:snapToGrid w:val="0"/>
        </w:rPr>
      </w:pPr>
      <w:r>
        <w:rPr>
          <w:snapToGrid w:val="0"/>
        </w:rPr>
        <w:tab/>
        <w:t>(b)</w:t>
      </w:r>
      <w:r>
        <w:rPr>
          <w:snapToGrid w:val="0"/>
        </w:rPr>
        <w:tab/>
        <w:t>where the application is made by a partnership, disclose the name and address of each member of the partnership;</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257" w:name="_Toc403946025"/>
      <w:bookmarkStart w:id="258" w:name="_Toc12345141"/>
      <w:bookmarkStart w:id="259" w:name="_Toc131835882"/>
      <w:bookmarkStart w:id="260" w:name="_Toc143336075"/>
      <w:bookmarkStart w:id="261" w:name="_Toc180373860"/>
      <w:r>
        <w:rPr>
          <w:rStyle w:val="CharSectno"/>
        </w:rPr>
        <w:t>28</w:t>
      </w:r>
      <w:r>
        <w:rPr>
          <w:snapToGrid w:val="0"/>
        </w:rPr>
        <w:t>.</w:t>
      </w:r>
      <w:r>
        <w:rPr>
          <w:snapToGrid w:val="0"/>
        </w:rPr>
        <w:tab/>
        <w:t>Registration</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If the Director General is satisfied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262" w:name="_Toc403946026"/>
      <w:bookmarkStart w:id="263" w:name="_Toc12345142"/>
      <w:bookmarkStart w:id="264" w:name="_Toc131835883"/>
      <w:bookmarkStart w:id="265" w:name="_Toc143336076"/>
      <w:bookmarkStart w:id="266" w:name="_Toc180373861"/>
      <w:r>
        <w:rPr>
          <w:rStyle w:val="CharSectno"/>
        </w:rPr>
        <w:t>29</w:t>
      </w:r>
      <w:r>
        <w:rPr>
          <w:snapToGrid w:val="0"/>
        </w:rPr>
        <w:t>.</w:t>
      </w:r>
      <w:r>
        <w:rPr>
          <w:snapToGrid w:val="0"/>
        </w:rPr>
        <w:tab/>
        <w:t>Conditions</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rPr>
          <w:snapToGrid w:val="0"/>
        </w:rPr>
      </w:pPr>
      <w:bookmarkStart w:id="267" w:name="_Toc403946027"/>
      <w:bookmarkStart w:id="268" w:name="_Toc12345143"/>
      <w:bookmarkStart w:id="269" w:name="_Toc131835884"/>
      <w:bookmarkStart w:id="270" w:name="_Toc143336077"/>
      <w:bookmarkStart w:id="271" w:name="_Toc180373862"/>
      <w:r>
        <w:rPr>
          <w:rStyle w:val="CharSectno"/>
        </w:rPr>
        <w:t>30</w:t>
      </w:r>
      <w:r>
        <w:rPr>
          <w:snapToGrid w:val="0"/>
        </w:rPr>
        <w:t>.</w:t>
      </w:r>
      <w:r>
        <w:rPr>
          <w:snapToGrid w:val="0"/>
        </w:rPr>
        <w:tab/>
        <w:t>Cancellation of registration</w:t>
      </w:r>
      <w:bookmarkEnd w:id="267"/>
      <w:bookmarkEnd w:id="268"/>
      <w:bookmarkEnd w:id="269"/>
      <w:bookmarkEnd w:id="270"/>
      <w:bookmarkEnd w:id="271"/>
      <w:r>
        <w:rPr>
          <w:snapToGrid w:val="0"/>
        </w:rPr>
        <w:t xml:space="preserve"> </w:t>
      </w:r>
    </w:p>
    <w:p>
      <w:pPr>
        <w:pStyle w:val="Subsection"/>
        <w:spacing w:before="180"/>
        <w:rPr>
          <w:snapToGrid w:val="0"/>
        </w:rPr>
      </w:pPr>
      <w:r>
        <w:rPr>
          <w:snapToGrid w:val="0"/>
        </w:rPr>
        <w:tab/>
        <w:t>(1)</w:t>
      </w:r>
      <w:r>
        <w:rPr>
          <w:snapToGrid w:val="0"/>
        </w:rPr>
        <w:tab/>
        <w:t>Where the Director General believes that the provider of a taxi dispatch service — </w:t>
      </w:r>
    </w:p>
    <w:p>
      <w:pPr>
        <w:pStyle w:val="Indenta"/>
        <w:rPr>
          <w:snapToGrid w:val="0"/>
        </w:rPr>
      </w:pPr>
      <w:r>
        <w:rPr>
          <w:snapToGrid w:val="0"/>
        </w:rPr>
        <w:tab/>
        <w:t>(a)</w:t>
      </w:r>
      <w:r>
        <w:rPr>
          <w:snapToGrid w:val="0"/>
        </w:rPr>
        <w:tab/>
        <w:t>is no longer fit to be registered as such;</w:t>
      </w:r>
    </w:p>
    <w:p>
      <w:pPr>
        <w:pStyle w:val="Indenta"/>
        <w:rPr>
          <w:snapToGrid w:val="0"/>
        </w:rPr>
      </w:pPr>
      <w:r>
        <w:rPr>
          <w:snapToGrid w:val="0"/>
        </w:rPr>
        <w:tab/>
        <w:t>(b)</w:t>
      </w:r>
      <w:r>
        <w:rPr>
          <w:snapToGrid w:val="0"/>
        </w:rPr>
        <w:tab/>
        <w:t>is no longer capable of providing an efficient and reliable taxi dispatch service;</w:t>
      </w:r>
    </w:p>
    <w:p>
      <w:pPr>
        <w:pStyle w:val="Indenta"/>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rPr>
          <w:snapToGrid w:val="0"/>
        </w:rPr>
      </w:pPr>
      <w:r>
        <w:rPr>
          <w:snapToGrid w:val="0"/>
        </w:rPr>
        <w:tab/>
        <w:t>(d)</w:t>
      </w:r>
      <w:r>
        <w:rPr>
          <w:snapToGrid w:val="0"/>
        </w:rPr>
        <w:tab/>
        <w:t>obtained registration by fraud or misrepresentation,</w:t>
      </w:r>
    </w:p>
    <w:p>
      <w:pPr>
        <w:pStyle w:val="Subsection"/>
        <w:spacing w:before="18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8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rPr>
          <w:snapToGrid w:val="0"/>
        </w:rPr>
      </w:pPr>
      <w:r>
        <w:rPr>
          <w:snapToGrid w:val="0"/>
        </w:rPr>
        <w:tab/>
        <w:t>(a)</w:t>
      </w:r>
      <w:r>
        <w:rPr>
          <w:snapToGrid w:val="0"/>
        </w:rPr>
        <w:tab/>
        <w:t>of the provisions of subsection (3); and</w:t>
      </w:r>
    </w:p>
    <w:p>
      <w:pPr>
        <w:pStyle w:val="Indenta"/>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8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80"/>
      </w:pPr>
      <w:r>
        <w:tab/>
        <w:t>[(4)</w:t>
      </w:r>
      <w:r>
        <w:tab/>
        <w:t>repealed]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272" w:name="_Toc132099347"/>
      <w:bookmarkStart w:id="273" w:name="_Toc135106974"/>
      <w:bookmarkStart w:id="274" w:name="_Toc135109282"/>
      <w:bookmarkStart w:id="275" w:name="_Toc137357744"/>
      <w:bookmarkStart w:id="276" w:name="_Toc138561455"/>
      <w:bookmarkStart w:id="277" w:name="_Toc139429366"/>
      <w:bookmarkStart w:id="278" w:name="_Toc139429490"/>
      <w:bookmarkStart w:id="279" w:name="_Toc140398423"/>
      <w:bookmarkStart w:id="280" w:name="_Toc142703881"/>
      <w:bookmarkStart w:id="281" w:name="_Toc143336078"/>
      <w:bookmarkStart w:id="282" w:name="_Toc156985719"/>
      <w:bookmarkStart w:id="283" w:name="_Toc158020908"/>
      <w:bookmarkStart w:id="284" w:name="_Toc180318999"/>
      <w:bookmarkStart w:id="285" w:name="_Toc180319088"/>
      <w:bookmarkStart w:id="286" w:name="_Toc180319152"/>
      <w:bookmarkStart w:id="287" w:name="_Toc180373863"/>
      <w:bookmarkStart w:id="288" w:name="_Toc89759004"/>
      <w:bookmarkStart w:id="289" w:name="_Toc91321547"/>
      <w:bookmarkStart w:id="290" w:name="_Toc92772419"/>
      <w:bookmarkStart w:id="291" w:name="_Toc96919177"/>
      <w:bookmarkStart w:id="292" w:name="_Toc103072761"/>
      <w:bookmarkStart w:id="293" w:name="_Toc107910924"/>
      <w:bookmarkStart w:id="294" w:name="_Toc123640078"/>
      <w:bookmarkStart w:id="295"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pPr>
      <w:r>
        <w:tab/>
        <w:t>[Heading inserted by No. 4 of 2006 s. 4.]</w:t>
      </w:r>
    </w:p>
    <w:p>
      <w:pPr>
        <w:pStyle w:val="Heading5"/>
      </w:pPr>
      <w:bookmarkStart w:id="296" w:name="_Toc132099348"/>
      <w:bookmarkStart w:id="297" w:name="_Toc143336079"/>
      <w:bookmarkStart w:id="298" w:name="_Toc180373864"/>
      <w:r>
        <w:rPr>
          <w:rStyle w:val="CharSectno"/>
        </w:rPr>
        <w:t>30A</w:t>
      </w:r>
      <w:r>
        <w:t>.</w:t>
      </w:r>
      <w:r>
        <w:tab/>
        <w:t>Interpretation and application</w:t>
      </w:r>
      <w:bookmarkEnd w:id="296"/>
      <w:bookmarkEnd w:id="297"/>
      <w:bookmarkEnd w:id="298"/>
    </w:p>
    <w:p>
      <w:pPr>
        <w:pStyle w:val="Subsection"/>
      </w:pPr>
      <w:r>
        <w:tab/>
        <w:t>(1)</w:t>
      </w:r>
      <w:r>
        <w:tab/>
        <w:t xml:space="preserve">In this Division — </w:t>
      </w:r>
    </w:p>
    <w:p>
      <w:pPr>
        <w:pStyle w:val="Defstart"/>
      </w:pPr>
      <w:r>
        <w:rPr>
          <w:rStyle w:val="CharDefText"/>
          <w:b w:val="0"/>
        </w:rPr>
        <w:tab/>
      </w:r>
      <w:r>
        <w:rPr>
          <w:b/>
        </w:rPr>
        <w:t>“</w:t>
      </w:r>
      <w:r>
        <w:rPr>
          <w:rStyle w:val="CharDefText"/>
        </w:rPr>
        <w:t>buy</w:t>
      </w:r>
      <w:r>
        <w:rPr>
          <w:rStyle w:val="CharDefText"/>
        </w:rPr>
        <w:noBreakHyphen/>
        <w:t>back agreement</w:t>
      </w:r>
      <w:r>
        <w:rPr>
          <w:b/>
        </w:rPr>
        <w:t>”</w:t>
      </w:r>
      <w:r>
        <w:rPr>
          <w:rStyle w:val="CharDefText"/>
        </w:rPr>
        <w:t xml:space="preserve"> </w:t>
      </w:r>
      <w:r>
        <w:t>means an agreement under section 30B;</w:t>
      </w:r>
    </w:p>
    <w:p>
      <w:pPr>
        <w:pStyle w:val="Defstart"/>
      </w:pPr>
      <w:r>
        <w:rPr>
          <w:b/>
        </w:rPr>
        <w:tab/>
        <w:t>“</w:t>
      </w:r>
      <w:r>
        <w:rPr>
          <w:rStyle w:val="CharDefText"/>
        </w:rPr>
        <w:t>eligible operator</w:t>
      </w:r>
      <w:r>
        <w:rPr>
          <w:b/>
        </w:rPr>
        <w:t>”</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t>“</w:t>
      </w:r>
      <w:r>
        <w:rPr>
          <w:rStyle w:val="CharDefText"/>
        </w:rPr>
        <w:t>MPT investor</w:t>
      </w:r>
      <w:r>
        <w:rPr>
          <w:rStyle w:val="CharDefText"/>
        </w:rPr>
        <w:noBreakHyphen/>
        <w:t>owner</w:t>
      </w:r>
      <w:r>
        <w:rPr>
          <w:b/>
        </w:rPr>
        <w:t>”</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t>“</w:t>
      </w:r>
      <w:r>
        <w:rPr>
          <w:rStyle w:val="CharDefText"/>
        </w:rPr>
        <w:t>MPT owner</w:t>
      </w:r>
      <w:r>
        <w:rPr>
          <w:rStyle w:val="CharDefText"/>
        </w:rPr>
        <w:noBreakHyphen/>
        <w:t>driver</w:t>
      </w:r>
      <w:r>
        <w:rPr>
          <w:b/>
        </w:rPr>
        <w:t>”</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t>“</w:t>
      </w:r>
      <w:r>
        <w:rPr>
          <w:rStyle w:val="CharDefText"/>
        </w:rPr>
        <w:t>multi</w:t>
      </w:r>
      <w:r>
        <w:rPr>
          <w:rStyle w:val="CharDefText"/>
        </w:rPr>
        <w:noBreakHyphen/>
        <w:t>purpose taxi</w:t>
      </w:r>
      <w:r>
        <w:rPr>
          <w:b/>
        </w:rPr>
        <w:t>”</w:t>
      </w:r>
      <w:r>
        <w:t xml:space="preserve"> or </w:t>
      </w:r>
      <w:r>
        <w:rPr>
          <w:b/>
        </w:rPr>
        <w:t>“</w:t>
      </w:r>
      <w:r>
        <w:rPr>
          <w:rStyle w:val="CharDefText"/>
        </w:rPr>
        <w:t>MPT</w:t>
      </w:r>
      <w:r>
        <w:rPr>
          <w:b/>
        </w:rPr>
        <w:t>”</w:t>
      </w:r>
      <w:r>
        <w:t xml:space="preserve"> means a taxi that is intended principally for the transport of persons who have a disability and any wheelchairs or other aids required by those persons;</w:t>
      </w:r>
    </w:p>
    <w:p>
      <w:pPr>
        <w:pStyle w:val="Defstart"/>
        <w:keepNext/>
      </w:pPr>
      <w:r>
        <w:rPr>
          <w:b/>
        </w:rPr>
        <w:tab/>
        <w:t>“</w:t>
      </w:r>
      <w:r>
        <w:rPr>
          <w:rStyle w:val="CharDefText"/>
        </w:rPr>
        <w:t>transferable MPT plates</w:t>
      </w:r>
      <w:r>
        <w:rPr>
          <w:b/>
        </w:rPr>
        <w:t>”</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299" w:name="_Toc132099349"/>
      <w:bookmarkStart w:id="300" w:name="_Toc143336080"/>
      <w:bookmarkStart w:id="301" w:name="_Toc180373865"/>
      <w:r>
        <w:rPr>
          <w:rStyle w:val="CharSectno"/>
        </w:rPr>
        <w:t>30B</w:t>
      </w:r>
      <w:r>
        <w:t>.</w:t>
      </w:r>
      <w:r>
        <w:tab/>
        <w:t>Buy</w:t>
      </w:r>
      <w:r>
        <w:noBreakHyphen/>
        <w:t>back agreements</w:t>
      </w:r>
      <w:bookmarkEnd w:id="299"/>
      <w:bookmarkEnd w:id="300"/>
      <w:bookmarkEnd w:id="301"/>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302" w:name="_Toc132099350"/>
      <w:bookmarkStart w:id="303" w:name="_Toc143336081"/>
      <w:bookmarkStart w:id="304" w:name="_Toc180373866"/>
      <w:r>
        <w:rPr>
          <w:rStyle w:val="CharSectno"/>
        </w:rPr>
        <w:t>30C</w:t>
      </w:r>
      <w:r>
        <w:t>.</w:t>
      </w:r>
      <w:r>
        <w:tab/>
        <w:t>Operation of sections 30D to 30G to be subject to conditions</w:t>
      </w:r>
      <w:bookmarkEnd w:id="302"/>
      <w:bookmarkEnd w:id="303"/>
      <w:bookmarkEnd w:id="304"/>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305" w:name="_Toc132099351"/>
      <w:bookmarkStart w:id="306" w:name="_Toc143336082"/>
      <w:bookmarkStart w:id="307" w:name="_Toc180373867"/>
      <w:r>
        <w:rPr>
          <w:rStyle w:val="CharSectno"/>
        </w:rPr>
        <w:t>30D</w:t>
      </w:r>
      <w:r>
        <w:t>.</w:t>
      </w:r>
      <w:r>
        <w:tab/>
        <w:t>Certain MPT owner</w:t>
      </w:r>
      <w:r>
        <w:noBreakHyphen/>
        <w:t>drivers and eligible operators to be offered leases of taxi plates for multi</w:t>
      </w:r>
      <w:r>
        <w:noBreakHyphen/>
        <w:t>purpose taxis</w:t>
      </w:r>
      <w:bookmarkEnd w:id="305"/>
      <w:bookmarkEnd w:id="306"/>
      <w:bookmarkEnd w:id="307"/>
    </w:p>
    <w:p>
      <w:pPr>
        <w:pStyle w:val="Subsection"/>
      </w:pPr>
      <w:r>
        <w:rPr>
          <w:rStyle w:val="CharDefText"/>
          <w:b w:val="0"/>
        </w:rPr>
        <w:tab/>
        <w:t>(1)</w:t>
      </w:r>
      <w:r>
        <w:rPr>
          <w:rStyle w:val="CharDefText"/>
          <w:b w:val="0"/>
        </w:rPr>
        <w:tab/>
      </w:r>
      <w:r>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308" w:name="_Toc132099352"/>
      <w:bookmarkStart w:id="309" w:name="_Toc143336083"/>
      <w:bookmarkStart w:id="310" w:name="_Toc180373868"/>
      <w:r>
        <w:rPr>
          <w:rStyle w:val="CharSectno"/>
        </w:rPr>
        <w:t>30E</w:t>
      </w:r>
      <w:r>
        <w:t>.</w:t>
      </w:r>
      <w:r>
        <w:tab/>
        <w:t>Leases by eligible operators of taxi plates for multi</w:t>
      </w:r>
      <w:r>
        <w:noBreakHyphen/>
        <w:t>purpose taxis</w:t>
      </w:r>
      <w:bookmarkEnd w:id="308"/>
      <w:bookmarkEnd w:id="309"/>
      <w:bookmarkEnd w:id="310"/>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311" w:name="_Toc132099353"/>
      <w:bookmarkStart w:id="312" w:name="_Toc143336084"/>
      <w:bookmarkStart w:id="313" w:name="_Toc180373869"/>
      <w:r>
        <w:rPr>
          <w:rStyle w:val="CharSectno"/>
        </w:rPr>
        <w:t>30F</w:t>
      </w:r>
      <w:r>
        <w:t>.</w:t>
      </w:r>
      <w:r>
        <w:tab/>
        <w:t>Leases by certain MPT owner</w:t>
      </w:r>
      <w:r>
        <w:noBreakHyphen/>
        <w:t>drivers and others of taxi plates for multi</w:t>
      </w:r>
      <w:r>
        <w:noBreakHyphen/>
        <w:t>purpose taxis</w:t>
      </w:r>
      <w:bookmarkEnd w:id="311"/>
      <w:bookmarkEnd w:id="312"/>
      <w:bookmarkEnd w:id="313"/>
    </w:p>
    <w:p>
      <w:pPr>
        <w:pStyle w:val="Subsection"/>
      </w:pPr>
      <w:r>
        <w:tab/>
        <w:t>(1)</w:t>
      </w:r>
      <w:r>
        <w:tab/>
        <w:t>If an MPT owner</w:t>
      </w:r>
      <w:r>
        <w:noBreakHyphen/>
        <w:t xml:space="preserve">driver — </w:t>
      </w:r>
    </w:p>
    <w:p>
      <w:pPr>
        <w:pStyle w:val="Indenta"/>
      </w:pPr>
      <w:r>
        <w:tab/>
        <w:t>(a)</w:t>
      </w:r>
      <w:r>
        <w:tab/>
        <w:t>is a party to a buy</w:t>
      </w:r>
      <w:r>
        <w:noBreakHyphen/>
        <w:t>back agreement;</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314" w:name="_Toc132099354"/>
      <w:bookmarkStart w:id="315" w:name="_Toc143336085"/>
      <w:bookmarkStart w:id="316" w:name="_Toc180373870"/>
      <w:r>
        <w:rPr>
          <w:rStyle w:val="CharSectno"/>
        </w:rPr>
        <w:t>30G</w:t>
      </w:r>
      <w:r>
        <w:t>.</w:t>
      </w:r>
      <w:r>
        <w:tab/>
        <w:t>Payment of compensation to certain parties to buy</w:t>
      </w:r>
      <w:r>
        <w:noBreakHyphen/>
        <w:t>back agreements</w:t>
      </w:r>
      <w:bookmarkEnd w:id="314"/>
      <w:bookmarkEnd w:id="315"/>
      <w:bookmarkEnd w:id="316"/>
    </w:p>
    <w:p>
      <w:pPr>
        <w:pStyle w:val="Subsection"/>
      </w:pPr>
      <w:r>
        <w:tab/>
        <w:t>(1)</w:t>
      </w:r>
      <w:r>
        <w:tab/>
        <w:t xml:space="preserve">In this section — </w:t>
      </w:r>
    </w:p>
    <w:p>
      <w:pPr>
        <w:pStyle w:val="Defstart"/>
      </w:pPr>
      <w:r>
        <w:rPr>
          <w:b/>
        </w:rPr>
        <w:tab/>
        <w:t>“</w:t>
      </w:r>
      <w:r>
        <w:rPr>
          <w:rStyle w:val="CharDefText"/>
        </w:rPr>
        <w:t>member of the pool</w:t>
      </w:r>
      <w:r>
        <w:rPr>
          <w:b/>
        </w:rPr>
        <w:t>”</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317" w:name="_Toc132099355"/>
      <w:r>
        <w:tab/>
        <w:t>[Section 30G inserted by No. 4 of 2006 s. 4.]</w:t>
      </w:r>
    </w:p>
    <w:p>
      <w:pPr>
        <w:pStyle w:val="Heading5"/>
      </w:pPr>
      <w:bookmarkStart w:id="318" w:name="_Toc143336086"/>
      <w:bookmarkStart w:id="319" w:name="_Toc180373871"/>
      <w:r>
        <w:rPr>
          <w:rStyle w:val="CharSectno"/>
        </w:rPr>
        <w:t>30H</w:t>
      </w:r>
      <w:r>
        <w:t>.</w:t>
      </w:r>
      <w:r>
        <w:tab/>
        <w:t>Consolidated Account charged with payment for plates</w:t>
      </w:r>
      <w:bookmarkEnd w:id="317"/>
      <w:bookmarkEnd w:id="318"/>
      <w:bookmarkEnd w:id="319"/>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320" w:name="_Toc159915513"/>
      <w:bookmarkStart w:id="321" w:name="_Toc159915700"/>
      <w:bookmarkStart w:id="322" w:name="_Toc161052284"/>
      <w:bookmarkStart w:id="323" w:name="_Toc161052959"/>
      <w:bookmarkStart w:id="324" w:name="_Toc161222330"/>
      <w:bookmarkStart w:id="325" w:name="_Toc161222600"/>
      <w:bookmarkStart w:id="326" w:name="_Toc161466394"/>
      <w:bookmarkStart w:id="327" w:name="_Toc161466694"/>
      <w:bookmarkStart w:id="328" w:name="_Toc161468176"/>
      <w:bookmarkStart w:id="329" w:name="_Toc162159889"/>
      <w:bookmarkStart w:id="330" w:name="_Toc162166451"/>
      <w:bookmarkStart w:id="331" w:name="_Toc162173208"/>
      <w:bookmarkStart w:id="332" w:name="_Toc162173425"/>
      <w:bookmarkStart w:id="333" w:name="_Toc162173517"/>
      <w:bookmarkStart w:id="334" w:name="_Toc162235541"/>
      <w:bookmarkStart w:id="335" w:name="_Toc162240817"/>
      <w:bookmarkStart w:id="336" w:name="_Toc162247045"/>
      <w:bookmarkStart w:id="337" w:name="_Toc162251817"/>
      <w:bookmarkStart w:id="338" w:name="_Toc162251848"/>
      <w:bookmarkStart w:id="339" w:name="_Toc162253367"/>
      <w:bookmarkStart w:id="340" w:name="_Toc162255675"/>
      <w:bookmarkStart w:id="341" w:name="_Toc162321110"/>
      <w:bookmarkStart w:id="342" w:name="_Toc162321353"/>
      <w:bookmarkStart w:id="343" w:name="_Toc166569916"/>
      <w:bookmarkStart w:id="344" w:name="_Toc166570097"/>
      <w:bookmarkStart w:id="345" w:name="_Toc179272735"/>
      <w:bookmarkStart w:id="346" w:name="_Toc179272752"/>
      <w:bookmarkStart w:id="347" w:name="_Toc179685736"/>
      <w:bookmarkStart w:id="348" w:name="_Toc180316616"/>
      <w:bookmarkStart w:id="349" w:name="_Toc180319008"/>
      <w:bookmarkStart w:id="350" w:name="_Toc180319097"/>
      <w:bookmarkStart w:id="351" w:name="_Toc180319161"/>
      <w:bookmarkStart w:id="352" w:name="_Toc180373872"/>
      <w:r>
        <w:rPr>
          <w:rStyle w:val="CharDivNo"/>
        </w:rPr>
        <w:t>Division 4</w:t>
      </w:r>
      <w:r>
        <w:t> — </w:t>
      </w:r>
      <w:r>
        <w:rPr>
          <w:rStyle w:val="CharDivText"/>
        </w:rPr>
        <w:t>Exchange of restricted hours taxi plates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Footnoteheading"/>
      </w:pPr>
      <w:r>
        <w:tab/>
        <w:t>[Heading inserted No. 26 of 2007 s. 11.]</w:t>
      </w:r>
    </w:p>
    <w:p>
      <w:pPr>
        <w:pStyle w:val="Heading5"/>
      </w:pPr>
      <w:bookmarkStart w:id="353" w:name="_Toc179685737"/>
      <w:bookmarkStart w:id="354" w:name="_Toc180316617"/>
      <w:bookmarkStart w:id="355" w:name="_Toc180373873"/>
      <w:r>
        <w:rPr>
          <w:rStyle w:val="CharSectno"/>
        </w:rPr>
        <w:t>30I</w:t>
      </w:r>
      <w:r>
        <w:t>.</w:t>
      </w:r>
      <w:r>
        <w:tab/>
        <w:t>Restricted hours taxi plates may be exchanged for conventional taxi plates</w:t>
      </w:r>
      <w:bookmarkEnd w:id="353"/>
      <w:bookmarkEnd w:id="354"/>
      <w:bookmarkEnd w:id="355"/>
    </w:p>
    <w:p>
      <w:pPr>
        <w:pStyle w:val="Subsection"/>
      </w:pPr>
      <w:r>
        <w:tab/>
        <w:t>(1)</w:t>
      </w:r>
      <w:r>
        <w:tab/>
        <w:t xml:space="preserve">In this section — </w:t>
      </w:r>
    </w:p>
    <w:p>
      <w:pPr>
        <w:pStyle w:val="Defstart"/>
      </w:pPr>
      <w:r>
        <w:rPr>
          <w:b/>
        </w:rPr>
        <w:tab/>
        <w:t>“</w:t>
      </w:r>
      <w:r>
        <w:rPr>
          <w:rStyle w:val="CharDefText"/>
        </w:rPr>
        <w:t>restricted hours taxi</w:t>
      </w:r>
      <w:r>
        <w:rPr>
          <w:b/>
        </w:rPr>
        <w:t>”</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t>“</w:t>
      </w:r>
      <w:r>
        <w:rPr>
          <w:rStyle w:val="CharDefText"/>
        </w:rPr>
        <w:t>RHT owner</w:t>
      </w:r>
      <w:r>
        <w:rPr>
          <w:b/>
        </w:rPr>
        <w:t>”</w:t>
      </w:r>
      <w:r>
        <w:t xml:space="preserve"> means a person who is the owner, or has an interest in the ownership, of RHT plates;</w:t>
      </w:r>
    </w:p>
    <w:p>
      <w:pPr>
        <w:pStyle w:val="Defstart"/>
      </w:pPr>
      <w:r>
        <w:rPr>
          <w:b/>
        </w:rPr>
        <w:tab/>
        <w:t>“</w:t>
      </w:r>
      <w:r>
        <w:rPr>
          <w:rStyle w:val="CharDefText"/>
        </w:rPr>
        <w:t>RHT plates</w:t>
      </w:r>
      <w:r>
        <w:rPr>
          <w:b/>
        </w:rPr>
        <w:t>”</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356" w:name="_Toc135106983"/>
      <w:bookmarkStart w:id="357" w:name="_Toc135109291"/>
      <w:bookmarkStart w:id="358" w:name="_Toc137357753"/>
      <w:bookmarkStart w:id="359" w:name="_Toc138561464"/>
      <w:bookmarkStart w:id="360" w:name="_Toc139429375"/>
      <w:bookmarkStart w:id="361" w:name="_Toc139429499"/>
      <w:bookmarkStart w:id="362" w:name="_Toc140398432"/>
      <w:bookmarkStart w:id="363" w:name="_Toc142703890"/>
      <w:bookmarkStart w:id="364" w:name="_Toc143336087"/>
      <w:bookmarkStart w:id="365" w:name="_Toc156985728"/>
      <w:bookmarkStart w:id="366" w:name="_Toc158020917"/>
      <w:bookmarkStart w:id="367" w:name="_Toc180319010"/>
      <w:bookmarkStart w:id="368" w:name="_Toc180319099"/>
      <w:bookmarkStart w:id="369" w:name="_Toc180319163"/>
      <w:bookmarkStart w:id="370" w:name="_Toc180373874"/>
      <w:r>
        <w:rPr>
          <w:rStyle w:val="CharPartNo"/>
        </w:rPr>
        <w:t>Part 4</w:t>
      </w:r>
      <w:r>
        <w:rPr>
          <w:rStyle w:val="CharDivNo"/>
        </w:rPr>
        <w:t> </w:t>
      </w:r>
      <w:r>
        <w:t>—</w:t>
      </w:r>
      <w:r>
        <w:rPr>
          <w:rStyle w:val="CharDivText"/>
        </w:rPr>
        <w:t> </w:t>
      </w:r>
      <w:r>
        <w:rPr>
          <w:rStyle w:val="CharPartText"/>
        </w:rPr>
        <w:t>General</w:t>
      </w:r>
      <w:bookmarkEnd w:id="288"/>
      <w:bookmarkEnd w:id="289"/>
      <w:bookmarkEnd w:id="290"/>
      <w:bookmarkEnd w:id="291"/>
      <w:bookmarkEnd w:id="292"/>
      <w:bookmarkEnd w:id="293"/>
      <w:bookmarkEnd w:id="294"/>
      <w:bookmarkEnd w:id="29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PartText"/>
        </w:rPr>
        <w:t xml:space="preserve"> </w:t>
      </w:r>
    </w:p>
    <w:p>
      <w:pPr>
        <w:pStyle w:val="Heading5"/>
        <w:rPr>
          <w:snapToGrid w:val="0"/>
        </w:rPr>
      </w:pPr>
      <w:bookmarkStart w:id="371" w:name="_Toc403946028"/>
      <w:bookmarkStart w:id="372" w:name="_Toc12345144"/>
      <w:bookmarkStart w:id="373" w:name="_Toc131835886"/>
      <w:bookmarkStart w:id="374" w:name="_Toc143336088"/>
      <w:bookmarkStart w:id="375" w:name="_Toc180373875"/>
      <w:r>
        <w:rPr>
          <w:rStyle w:val="CharSectno"/>
        </w:rPr>
        <w:t>31</w:t>
      </w:r>
      <w:r>
        <w:rPr>
          <w:snapToGrid w:val="0"/>
        </w:rPr>
        <w:t>.</w:t>
      </w:r>
      <w:r>
        <w:rPr>
          <w:snapToGrid w:val="0"/>
        </w:rPr>
        <w:tab/>
        <w:t>Authorised officers</w:t>
      </w:r>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376" w:name="_Toc403946029"/>
      <w:bookmarkStart w:id="377" w:name="_Toc12345145"/>
      <w:bookmarkStart w:id="378" w:name="_Toc131835887"/>
      <w:bookmarkStart w:id="379" w:name="_Toc143336089"/>
      <w:bookmarkStart w:id="380" w:name="_Toc180373876"/>
      <w:r>
        <w:rPr>
          <w:rStyle w:val="CharSectno"/>
        </w:rPr>
        <w:t>32</w:t>
      </w:r>
      <w:r>
        <w:rPr>
          <w:snapToGrid w:val="0"/>
        </w:rPr>
        <w:t>.</w:t>
      </w:r>
      <w:r>
        <w:rPr>
          <w:snapToGrid w:val="0"/>
        </w:rPr>
        <w:tab/>
        <w:t>Powers of authorised officers</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xml:space="preserve">; </w:t>
      </w:r>
    </w:p>
    <w:p>
      <w:pPr>
        <w:pStyle w:val="Indenta"/>
        <w:rPr>
          <w:snapToGrid w:val="0"/>
        </w:rPr>
      </w:pPr>
      <w:r>
        <w:rPr>
          <w:snapToGrid w:val="0"/>
        </w:rPr>
        <w:tab/>
        <w:t>(c)</w:t>
      </w:r>
      <w:r>
        <w:rPr>
          <w:snapToGrid w:val="0"/>
        </w:rPr>
        <w:tab/>
        <w:t>direct any person to alight from, or not to enter, the vehicle;</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381" w:name="_Toc403946030"/>
      <w:bookmarkStart w:id="382" w:name="_Toc12345146"/>
      <w:bookmarkStart w:id="383" w:name="_Toc131835888"/>
      <w:bookmarkStart w:id="384" w:name="_Toc143336090"/>
      <w:bookmarkStart w:id="385" w:name="_Toc180373877"/>
      <w:r>
        <w:rPr>
          <w:rStyle w:val="CharSectno"/>
        </w:rPr>
        <w:t>33</w:t>
      </w:r>
      <w:r>
        <w:rPr>
          <w:snapToGrid w:val="0"/>
        </w:rPr>
        <w:t>.</w:t>
      </w:r>
      <w:r>
        <w:rPr>
          <w:snapToGrid w:val="0"/>
        </w:rPr>
        <w:tab/>
        <w:t>Averments</w:t>
      </w:r>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w:t>
      </w:r>
    </w:p>
    <w:p>
      <w:pPr>
        <w:pStyle w:val="Indenta"/>
        <w:rPr>
          <w:snapToGrid w:val="0"/>
        </w:rPr>
      </w:pPr>
      <w:r>
        <w:rPr>
          <w:snapToGrid w:val="0"/>
        </w:rPr>
        <w:tab/>
        <w:t>(b)</w:t>
      </w:r>
      <w:r>
        <w:rPr>
          <w:snapToGrid w:val="0"/>
        </w:rPr>
        <w:tab/>
        <w:t>a person is, or was, a</w:t>
      </w:r>
      <w:r>
        <w:t xml:space="preserve"> plate holder</w:t>
      </w:r>
      <w:r>
        <w:rPr>
          <w:snapToGrid w:val="0"/>
        </w:rPr>
        <w:t>;</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Repealed by No. 10 of 1999 s. 9.]</w:t>
      </w:r>
    </w:p>
    <w:p>
      <w:pPr>
        <w:pStyle w:val="Heading5"/>
        <w:rPr>
          <w:snapToGrid w:val="0"/>
        </w:rPr>
      </w:pPr>
      <w:bookmarkStart w:id="386" w:name="_Toc403946033"/>
      <w:bookmarkStart w:id="387" w:name="_Toc12345147"/>
      <w:bookmarkStart w:id="388" w:name="_Toc131835889"/>
      <w:bookmarkStart w:id="389" w:name="_Toc143336091"/>
      <w:bookmarkStart w:id="390" w:name="_Toc180373878"/>
      <w:r>
        <w:rPr>
          <w:rStyle w:val="CharSectno"/>
        </w:rPr>
        <w:t>36</w:t>
      </w:r>
      <w:r>
        <w:rPr>
          <w:snapToGrid w:val="0"/>
        </w:rPr>
        <w:t>.</w:t>
      </w:r>
      <w:r>
        <w:rPr>
          <w:snapToGrid w:val="0"/>
        </w:rPr>
        <w:tab/>
        <w:t>Bonds held by operators</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bond</w:t>
      </w:r>
      <w:r>
        <w:rPr>
          <w:b/>
        </w:rPr>
        <w:t>”</w:t>
      </w:r>
      <w:r>
        <w:t xml:space="preserve"> means an amount of money paid or payable by a driver to an operator as security for payment of any amount which is, or may become payable by the driver to the operator;</w:t>
      </w:r>
    </w:p>
    <w:p>
      <w:pPr>
        <w:pStyle w:val="Defstart"/>
      </w:pPr>
      <w:r>
        <w:rPr>
          <w:b/>
        </w:rPr>
        <w:tab/>
        <w:t>“</w:t>
      </w:r>
      <w:r>
        <w:rPr>
          <w:rStyle w:val="CharDefText"/>
        </w:rPr>
        <w:t>operator</w:t>
      </w:r>
      <w:r>
        <w:rPr>
          <w:b/>
        </w:rPr>
        <w:t>”</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391" w:name="_Toc403946034"/>
      <w:bookmarkStart w:id="392" w:name="_Toc12345148"/>
      <w:bookmarkStart w:id="393" w:name="_Toc131835890"/>
      <w:bookmarkStart w:id="394" w:name="_Toc143336092"/>
      <w:bookmarkStart w:id="395" w:name="_Toc180373879"/>
      <w:r>
        <w:rPr>
          <w:rStyle w:val="CharSectno"/>
        </w:rPr>
        <w:t>37</w:t>
      </w:r>
      <w:r>
        <w:rPr>
          <w:snapToGrid w:val="0"/>
        </w:rPr>
        <w:t>.</w:t>
      </w:r>
      <w:r>
        <w:rPr>
          <w:snapToGrid w:val="0"/>
        </w:rPr>
        <w:tab/>
        <w:t>Applications for review of certain decisions</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bookmarkStart w:id="396" w:name="_Toc403946035"/>
      <w:bookmarkStart w:id="397" w:name="_Toc12345149"/>
      <w:r>
        <w:tab/>
        <w:t>[Section 37 amended by No. 72 of 2003 s. 16; No. 55 of 2004 s. 1189.]</w:t>
      </w:r>
    </w:p>
    <w:p>
      <w:pPr>
        <w:pStyle w:val="Ednotesection"/>
      </w:pPr>
      <w:bookmarkStart w:id="398" w:name="_Toc403946036"/>
      <w:bookmarkStart w:id="399" w:name="_Toc12345150"/>
      <w:bookmarkEnd w:id="396"/>
      <w:bookmarkEnd w:id="397"/>
      <w:r>
        <w:t>[</w:t>
      </w:r>
      <w:r>
        <w:rPr>
          <w:b/>
        </w:rPr>
        <w:t>38.</w:t>
      </w:r>
      <w:r>
        <w:tab/>
        <w:t>Repealed by No. 55 of 2004 s. 1190.]</w:t>
      </w:r>
    </w:p>
    <w:p>
      <w:pPr>
        <w:pStyle w:val="Heading5"/>
        <w:rPr>
          <w:snapToGrid w:val="0"/>
        </w:rPr>
      </w:pPr>
      <w:bookmarkStart w:id="400" w:name="_Toc131835891"/>
      <w:bookmarkStart w:id="401" w:name="_Toc143336093"/>
      <w:bookmarkStart w:id="402" w:name="_Toc180373880"/>
      <w:r>
        <w:rPr>
          <w:rStyle w:val="CharSectno"/>
        </w:rPr>
        <w:t>39</w:t>
      </w:r>
      <w:r>
        <w:rPr>
          <w:snapToGrid w:val="0"/>
        </w:rPr>
        <w:t>.</w:t>
      </w:r>
      <w:r>
        <w:rPr>
          <w:snapToGrid w:val="0"/>
        </w:rPr>
        <w:tab/>
        <w:t>Infringement notices</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403" w:name="_Toc403946037"/>
      <w:bookmarkStart w:id="404" w:name="_Toc12345151"/>
      <w:bookmarkStart w:id="405" w:name="_Toc131835892"/>
      <w:bookmarkStart w:id="406" w:name="_Toc143336094"/>
      <w:bookmarkStart w:id="407" w:name="_Toc180373881"/>
      <w:r>
        <w:rPr>
          <w:rStyle w:val="CharSectno"/>
        </w:rPr>
        <w:t>40</w:t>
      </w:r>
      <w:r>
        <w:rPr>
          <w:snapToGrid w:val="0"/>
        </w:rPr>
        <w:t>.</w:t>
      </w:r>
      <w:r>
        <w:rPr>
          <w:snapToGrid w:val="0"/>
        </w:rPr>
        <w:tab/>
        <w:t>Regulations</w:t>
      </w:r>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408" w:name="_Toc403946038"/>
      <w:bookmarkStart w:id="409" w:name="_Toc12345152"/>
      <w:bookmarkStart w:id="410" w:name="_Toc131835893"/>
      <w:bookmarkStart w:id="411" w:name="_Toc143336095"/>
      <w:bookmarkStart w:id="412" w:name="_Toc180373882"/>
      <w:r>
        <w:rPr>
          <w:rStyle w:val="CharSectno"/>
        </w:rPr>
        <w:t>41</w:t>
      </w:r>
      <w:r>
        <w:rPr>
          <w:snapToGrid w:val="0"/>
        </w:rPr>
        <w:t>.</w:t>
      </w:r>
      <w:r>
        <w:rPr>
          <w:snapToGrid w:val="0"/>
        </w:rPr>
        <w:tab/>
      </w:r>
      <w:bookmarkEnd w:id="408"/>
      <w:r>
        <w:t>Taxi Industry Development Account</w:t>
      </w:r>
      <w:bookmarkEnd w:id="409"/>
      <w:bookmarkEnd w:id="410"/>
      <w:bookmarkEnd w:id="411"/>
      <w:bookmarkEnd w:id="412"/>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w:t>
      </w:r>
    </w:p>
    <w:p>
      <w:pPr>
        <w:pStyle w:val="Indenta"/>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repealed]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funds referred to in section 13;</w:t>
      </w:r>
    </w:p>
    <w:p>
      <w:pPr>
        <w:pStyle w:val="Indenta"/>
        <w:rPr>
          <w:snapToGrid w:val="0"/>
        </w:rPr>
      </w:pPr>
      <w:r>
        <w:rPr>
          <w:snapToGrid w:val="0"/>
        </w:rPr>
        <w:tab/>
        <w:t>(c)</w:t>
      </w:r>
      <w:r>
        <w:rPr>
          <w:snapToGrid w:val="0"/>
        </w:rPr>
        <w:tab/>
        <w:t>grants made under subsection (4);</w:t>
      </w:r>
    </w:p>
    <w:p>
      <w:pPr>
        <w:pStyle w:val="Indenta"/>
        <w:rPr>
          <w:snapToGrid w:val="0"/>
        </w:rPr>
      </w:pPr>
      <w:r>
        <w:rPr>
          <w:snapToGrid w:val="0"/>
        </w:rPr>
        <w:tab/>
        <w:t>(d)</w:t>
      </w:r>
      <w:r>
        <w:rPr>
          <w:snapToGrid w:val="0"/>
        </w:rPr>
        <w:tab/>
        <w:t xml:space="preserve">the amounts payable for any taxi plates surrendered to the Minister under section 43; </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 17; No. 26 of 2007 s. 12.] </w:t>
      </w:r>
    </w:p>
    <w:p>
      <w:pPr>
        <w:pStyle w:val="Ednotesection"/>
      </w:pPr>
      <w:bookmarkStart w:id="413" w:name="_Toc403946040"/>
      <w:r>
        <w:t>[</w:t>
      </w:r>
      <w:r>
        <w:rPr>
          <w:b/>
        </w:rPr>
        <w:t>42.</w:t>
      </w:r>
      <w:r>
        <w:tab/>
        <w:t>Repealed by No. 7 of 2002 s. 33.]</w:t>
      </w:r>
    </w:p>
    <w:p>
      <w:pPr>
        <w:pStyle w:val="Heading5"/>
        <w:rPr>
          <w:snapToGrid w:val="0"/>
        </w:rPr>
      </w:pPr>
      <w:bookmarkStart w:id="414" w:name="_Toc12345153"/>
      <w:bookmarkStart w:id="415" w:name="_Toc131835894"/>
      <w:bookmarkStart w:id="416" w:name="_Toc143336096"/>
      <w:bookmarkStart w:id="417" w:name="_Toc180373883"/>
      <w:r>
        <w:rPr>
          <w:rStyle w:val="CharSectno"/>
        </w:rPr>
        <w:t>43</w:t>
      </w:r>
      <w:r>
        <w:rPr>
          <w:snapToGrid w:val="0"/>
        </w:rPr>
        <w:t>.</w:t>
      </w:r>
      <w:r>
        <w:rPr>
          <w:snapToGrid w:val="0"/>
        </w:rPr>
        <w:tab/>
        <w:t>Surrender of certain taxi plates</w:t>
      </w:r>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keepNext/>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418" w:name="_Toc403946042"/>
      <w:r>
        <w:t>[</w:t>
      </w:r>
      <w:r>
        <w:rPr>
          <w:b/>
        </w:rPr>
        <w:t>44.</w:t>
      </w:r>
      <w:r>
        <w:tab/>
        <w:t>Repealed by No. 7 of 2002 s. 34.]</w:t>
      </w:r>
    </w:p>
    <w:p>
      <w:pPr>
        <w:pStyle w:val="Heading5"/>
        <w:rPr>
          <w:snapToGrid w:val="0"/>
        </w:rPr>
      </w:pPr>
      <w:bookmarkStart w:id="419" w:name="_Toc12345154"/>
      <w:bookmarkStart w:id="420" w:name="_Toc131835895"/>
      <w:bookmarkStart w:id="421" w:name="_Toc143336097"/>
      <w:bookmarkStart w:id="422" w:name="_Toc180373884"/>
      <w:r>
        <w:rPr>
          <w:rStyle w:val="CharSectno"/>
        </w:rPr>
        <w:t>45</w:t>
      </w:r>
      <w:r>
        <w:rPr>
          <w:snapToGrid w:val="0"/>
        </w:rPr>
        <w:t>.</w:t>
      </w:r>
      <w:r>
        <w:rPr>
          <w:snapToGrid w:val="0"/>
        </w:rPr>
        <w:tab/>
        <w:t>Review of Act</w:t>
      </w:r>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department in relation to this Act;</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423" w:name="_Toc89759016"/>
      <w:bookmarkStart w:id="424" w:name="_Toc91321559"/>
      <w:bookmarkStart w:id="425" w:name="_Toc92772430"/>
      <w:bookmarkStart w:id="426" w:name="_Toc96919188"/>
      <w:bookmarkStart w:id="427" w:name="_Toc103072772"/>
      <w:bookmarkStart w:id="428" w:name="_Toc107910935"/>
      <w:bookmarkStart w:id="429" w:name="_Toc123640089"/>
      <w:bookmarkStart w:id="430" w:name="_Toc131835896"/>
      <w:bookmarkStart w:id="431" w:name="_Toc135106994"/>
      <w:bookmarkStart w:id="432" w:name="_Toc135109302"/>
      <w:bookmarkStart w:id="433" w:name="_Toc137357764"/>
      <w:bookmarkStart w:id="434" w:name="_Toc138561475"/>
      <w:bookmarkStart w:id="435" w:name="_Toc139429386"/>
      <w:bookmarkStart w:id="436" w:name="_Toc139429510"/>
      <w:bookmarkStart w:id="437" w:name="_Toc140398443"/>
      <w:bookmarkStart w:id="438" w:name="_Toc142703901"/>
      <w:bookmarkStart w:id="439" w:name="_Toc143336098"/>
      <w:bookmarkStart w:id="440" w:name="_Toc156985739"/>
      <w:bookmarkStart w:id="441" w:name="_Toc158020928"/>
      <w:bookmarkStart w:id="442" w:name="_Toc180319021"/>
      <w:bookmarkStart w:id="443" w:name="_Toc180319110"/>
      <w:bookmarkStart w:id="444" w:name="_Toc180319174"/>
      <w:bookmarkStart w:id="445" w:name="_Toc180373885"/>
      <w:r>
        <w:rPr>
          <w:rStyle w:val="CharPartNo"/>
        </w:rPr>
        <w:t>Part 5</w:t>
      </w:r>
      <w:r>
        <w:rPr>
          <w:rStyle w:val="CharDivNo"/>
        </w:rPr>
        <w:t> </w:t>
      </w:r>
      <w:r>
        <w:t>—</w:t>
      </w:r>
      <w:r>
        <w:rPr>
          <w:rStyle w:val="CharDivText"/>
        </w:rPr>
        <w:t> </w:t>
      </w:r>
      <w:r>
        <w:rPr>
          <w:rStyle w:val="CharPartText"/>
        </w:rPr>
        <w:t>Repeal and transitional provisions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PartText"/>
        </w:rPr>
        <w:t xml:space="preserve"> </w:t>
      </w:r>
    </w:p>
    <w:p>
      <w:pPr>
        <w:pStyle w:val="Ednotesection"/>
        <w:spacing w:before="260"/>
        <w:ind w:left="890" w:hanging="890"/>
      </w:pPr>
      <w:bookmarkStart w:id="446" w:name="_Toc403946043"/>
      <w:bookmarkStart w:id="447" w:name="_Toc12345155"/>
      <w:bookmarkStart w:id="448" w:name="_Toc131835897"/>
      <w:r>
        <w:t>[</w:t>
      </w:r>
      <w:r>
        <w:rPr>
          <w:b/>
        </w:rPr>
        <w:t>46.</w:t>
      </w:r>
      <w:r>
        <w:tab/>
      </w:r>
      <w:bookmarkEnd w:id="446"/>
      <w:bookmarkEnd w:id="447"/>
      <w:bookmarkEnd w:id="448"/>
      <w:r>
        <w:t>Omitted under the Reprints Act 1984 s. 7(4)(f).]</w:t>
      </w:r>
    </w:p>
    <w:p>
      <w:pPr>
        <w:pStyle w:val="Heading5"/>
        <w:spacing w:before="260"/>
        <w:rPr>
          <w:snapToGrid w:val="0"/>
        </w:rPr>
      </w:pPr>
      <w:bookmarkStart w:id="449" w:name="_Toc403946044"/>
      <w:bookmarkStart w:id="450" w:name="_Toc12345156"/>
      <w:bookmarkStart w:id="451" w:name="_Toc131835898"/>
      <w:bookmarkStart w:id="452" w:name="_Toc143336099"/>
      <w:bookmarkStart w:id="453" w:name="_Toc180373886"/>
      <w:r>
        <w:rPr>
          <w:rStyle w:val="CharSectno"/>
        </w:rPr>
        <w:t>47</w:t>
      </w:r>
      <w:r>
        <w:rPr>
          <w:snapToGrid w:val="0"/>
        </w:rPr>
        <w:t>.</w:t>
      </w:r>
      <w:r>
        <w:rPr>
          <w:snapToGrid w:val="0"/>
        </w:rPr>
        <w:tab/>
        <w:t>Transitional</w:t>
      </w:r>
      <w:bookmarkEnd w:id="449"/>
      <w:bookmarkEnd w:id="450"/>
      <w:bookmarkEnd w:id="451"/>
      <w:bookmarkEnd w:id="452"/>
      <w:bookmarkEnd w:id="453"/>
      <w:r>
        <w:rPr>
          <w:snapToGrid w:val="0"/>
        </w:rPr>
        <w:t xml:space="preserve"> </w:t>
      </w:r>
    </w:p>
    <w:p>
      <w:pPr>
        <w:pStyle w:val="Subsection"/>
        <w:spacing w:before="200"/>
        <w:rPr>
          <w:snapToGrid w:val="0"/>
        </w:rPr>
      </w:pPr>
      <w:r>
        <w:rPr>
          <w:snapToGrid w:val="0"/>
        </w:rPr>
        <w:tab/>
        <w:t>(1)</w:t>
      </w:r>
      <w:r>
        <w:rPr>
          <w:snapToGrid w:val="0"/>
        </w:rPr>
        <w:tab/>
        <w:t xml:space="preserve">In this section, unless the contrary intention appears </w:t>
      </w:r>
      <w:r>
        <w:rPr>
          <w:b/>
          <w:snapToGrid w:val="0"/>
        </w:rPr>
        <w:t>“</w:t>
      </w:r>
      <w:r>
        <w:rPr>
          <w:rStyle w:val="CharDefText"/>
        </w:rPr>
        <w:t>former Board</w:t>
      </w:r>
      <w:r>
        <w:rPr>
          <w:b/>
          <w:snapToGrid w:val="0"/>
        </w:rPr>
        <w:t>”</w:t>
      </w:r>
      <w:r>
        <w:rPr>
          <w:snapToGrid w:val="0"/>
        </w:rPr>
        <w:t xml:space="preserve"> means the Taxi Control Board preserved and continued by section 6 of the repealed Act.</w:t>
      </w:r>
    </w:p>
    <w:p>
      <w:pPr>
        <w:pStyle w:val="Subsection"/>
        <w:spacing w:before="200"/>
        <w:rPr>
          <w:snapToGrid w:val="0"/>
        </w:rPr>
      </w:pPr>
      <w:r>
        <w:rPr>
          <w:snapToGrid w:val="0"/>
        </w:rPr>
        <w:tab/>
        <w:t>(2)</w:t>
      </w:r>
      <w:r>
        <w:rPr>
          <w:snapToGrid w:val="0"/>
        </w:rPr>
        <w:tab/>
        <w:t>On the commencement day, by virtue of this section — </w:t>
      </w:r>
    </w:p>
    <w:p>
      <w:pPr>
        <w:pStyle w:val="Indenta"/>
        <w:spacing w:before="90"/>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(c)</w:t>
      </w:r>
      <w:r>
        <w:rPr>
          <w:snapToGrid w:val="0"/>
        </w:rPr>
        <w:tab/>
        <w:t>number plates issued under section 37 of the repealed Act are deemed to be taxi plates under this Act;</w:t>
      </w:r>
    </w:p>
    <w:p>
      <w:pPr>
        <w:pStyle w:val="Indenta"/>
        <w:spacing w:before="90"/>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w:t>
      </w:r>
    </w:p>
    <w:p>
      <w:pPr>
        <w:pStyle w:val="Indenta"/>
        <w:spacing w:before="90"/>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w:t>
      </w:r>
    </w:p>
    <w:p>
      <w:pPr>
        <w:pStyle w:val="Indenta"/>
        <w:keepNext/>
        <w:spacing w:before="90"/>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spacing w:before="0"/>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t>(g)</w:t>
      </w:r>
      <w:r>
        <w:rPr>
          <w:snapToGrid w:val="0"/>
        </w:rPr>
        <w:tab/>
        <w:t>all rights and liabilities of the former Board, including contingent liabilities, become rights and liabilities of the Minister;</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200"/>
      </w:pPr>
      <w:r>
        <w:t>[Part 6 omitted under the Reprints Act 1984 s. 7(4)(e).]</w:t>
      </w:r>
    </w:p>
    <w:p>
      <w:pPr>
        <w:pStyle w:val="yEdnoteschedule"/>
        <w:spacing w:before="200"/>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454" w:name="_Toc89759019"/>
      <w:bookmarkStart w:id="455" w:name="_Toc91321562"/>
      <w:bookmarkStart w:id="456" w:name="_Toc92772433"/>
      <w:bookmarkStart w:id="457" w:name="_Toc96919191"/>
      <w:bookmarkStart w:id="458" w:name="_Toc103072775"/>
      <w:bookmarkStart w:id="459" w:name="_Toc107910938"/>
      <w:bookmarkStart w:id="460" w:name="_Toc123640092"/>
      <w:bookmarkStart w:id="461" w:name="_Toc131835899"/>
      <w:bookmarkStart w:id="462" w:name="_Toc135106997"/>
      <w:bookmarkStart w:id="463" w:name="_Toc135109305"/>
      <w:bookmarkStart w:id="464" w:name="_Toc137357767"/>
      <w:bookmarkStart w:id="465" w:name="_Toc138561478"/>
      <w:bookmarkStart w:id="466" w:name="_Toc139429388"/>
      <w:bookmarkStart w:id="467" w:name="_Toc139429512"/>
      <w:bookmarkStart w:id="468" w:name="_Toc140398445"/>
      <w:bookmarkStart w:id="469" w:name="_Toc142703903"/>
      <w:bookmarkStart w:id="470" w:name="_Toc143336100"/>
      <w:bookmarkStart w:id="471" w:name="_Toc156985741"/>
      <w:bookmarkStart w:id="472" w:name="_Toc158020930"/>
      <w:bookmarkStart w:id="473" w:name="_Toc180319023"/>
      <w:bookmarkStart w:id="474" w:name="_Toc180319112"/>
      <w:bookmarkStart w:id="475" w:name="_Toc180319176"/>
      <w:bookmarkStart w:id="476" w:name="_Toc180373887"/>
      <w:r>
        <w:t>Notes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77" w:name="_Toc143336101"/>
      <w:bookmarkStart w:id="478" w:name="_Toc180373888"/>
      <w:r>
        <w:t>Compilation table</w:t>
      </w:r>
      <w:bookmarkEnd w:id="477"/>
      <w:bookmarkEnd w:id="478"/>
    </w:p>
    <w:tbl>
      <w:tblPr>
        <w:tblW w:w="0" w:type="auto"/>
        <w:tblInd w:w="28" w:type="dxa"/>
        <w:tblLayout w:type="fixed"/>
        <w:tblCellMar>
          <w:left w:w="56" w:type="dxa"/>
          <w:right w:w="56" w:type="dxa"/>
        </w:tblCellMar>
        <w:tblLook w:val="0000" w:firstRow="0" w:lastRow="0" w:firstColumn="0" w:lastColumn="0" w:noHBand="0" w:noVBand="0"/>
      </w:tblPr>
      <w:tblGrid>
        <w:gridCol w:w="2245"/>
        <w:gridCol w:w="9"/>
        <w:gridCol w:w="9"/>
        <w:gridCol w:w="1111"/>
        <w:gridCol w:w="24"/>
        <w:gridCol w:w="1110"/>
        <w:gridCol w:w="23"/>
        <w:gridCol w:w="2515"/>
        <w:gridCol w:w="35"/>
        <w:gridCol w:w="6"/>
      </w:tblGrid>
      <w:tr>
        <w:trPr>
          <w:gridAfter w:val="2"/>
          <w:wAfter w:w="41" w:type="dxa"/>
          <w:tblHeader/>
        </w:trPr>
        <w:tc>
          <w:tcPr>
            <w:tcW w:w="2245"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41" w:type="dxa"/>
        </w:trPr>
        <w:tc>
          <w:tcPr>
            <w:tcW w:w="2245" w:type="dxa"/>
          </w:tcPr>
          <w:p>
            <w:pPr>
              <w:pStyle w:val="nTable"/>
              <w:spacing w:after="40"/>
              <w:rPr>
                <w:sz w:val="19"/>
              </w:rPr>
            </w:pPr>
            <w:r>
              <w:rPr>
                <w:i/>
                <w:sz w:val="19"/>
              </w:rPr>
              <w:t>Taxi Act 1994</w:t>
            </w:r>
          </w:p>
        </w:tc>
        <w:tc>
          <w:tcPr>
            <w:tcW w:w="1129"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Act other than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rPr>
          <w:gridAfter w:val="2"/>
          <w:wAfter w:w="41" w:type="dxa"/>
        </w:trPr>
        <w:tc>
          <w:tcPr>
            <w:tcW w:w="2245" w:type="dxa"/>
          </w:tcPr>
          <w:p>
            <w:pPr>
              <w:pStyle w:val="nTable"/>
              <w:spacing w:after="40"/>
              <w:rPr>
                <w:sz w:val="19"/>
              </w:rPr>
            </w:pPr>
            <w:r>
              <w:rPr>
                <w:i/>
                <w:sz w:val="19"/>
              </w:rPr>
              <w:t>Sentencing (Consequential Provisions) Act 1995</w:t>
            </w:r>
            <w:r>
              <w:rPr>
                <w:sz w:val="19"/>
              </w:rPr>
              <w:t xml:space="preserve"> Pt. 76</w:t>
            </w:r>
          </w:p>
        </w:tc>
        <w:tc>
          <w:tcPr>
            <w:tcW w:w="1129"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41" w:type="dxa"/>
        </w:trPr>
        <w:tc>
          <w:tcPr>
            <w:tcW w:w="2245" w:type="dxa"/>
          </w:tcPr>
          <w:p>
            <w:pPr>
              <w:pStyle w:val="nTable"/>
              <w:spacing w:after="40"/>
              <w:rPr>
                <w:sz w:val="19"/>
              </w:rPr>
            </w:pPr>
            <w:r>
              <w:rPr>
                <w:i/>
                <w:sz w:val="19"/>
              </w:rPr>
              <w:t>Financial Legislation Amendment Act 1996</w:t>
            </w:r>
            <w:r>
              <w:rPr>
                <w:sz w:val="19"/>
              </w:rPr>
              <w:t xml:space="preserve"> s. 64</w:t>
            </w:r>
          </w:p>
        </w:tc>
        <w:tc>
          <w:tcPr>
            <w:tcW w:w="1129" w:type="dxa"/>
            <w:gridSpan w:val="3"/>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2(1))</w:t>
            </w:r>
          </w:p>
        </w:tc>
      </w:tr>
      <w:tr>
        <w:trPr>
          <w:gridAfter w:val="2"/>
          <w:wAfter w:w="41" w:type="dxa"/>
        </w:trPr>
        <w:tc>
          <w:tcPr>
            <w:tcW w:w="2245" w:type="dxa"/>
          </w:tcPr>
          <w:p>
            <w:pPr>
              <w:pStyle w:val="nTable"/>
              <w:spacing w:after="40"/>
              <w:rPr>
                <w:i/>
                <w:sz w:val="19"/>
              </w:rPr>
            </w:pPr>
            <w:r>
              <w:rPr>
                <w:i/>
                <w:sz w:val="19"/>
              </w:rPr>
              <w:t>Taxi Amendment Act 1998</w:t>
            </w:r>
          </w:p>
        </w:tc>
        <w:tc>
          <w:tcPr>
            <w:tcW w:w="1129" w:type="dxa"/>
            <w:gridSpan w:val="3"/>
          </w:tcPr>
          <w:p>
            <w:pPr>
              <w:pStyle w:val="nTable"/>
              <w:spacing w:after="40"/>
              <w:rPr>
                <w:sz w:val="19"/>
              </w:rPr>
            </w:pPr>
            <w:r>
              <w:rPr>
                <w:sz w:val="19"/>
              </w:rPr>
              <w:t>44 of 1998</w:t>
            </w:r>
          </w:p>
        </w:tc>
        <w:tc>
          <w:tcPr>
            <w:tcW w:w="1134" w:type="dxa"/>
            <w:gridSpan w:val="2"/>
          </w:tcPr>
          <w:p>
            <w:pPr>
              <w:pStyle w:val="nTable"/>
              <w:spacing w:after="40"/>
              <w:rPr>
                <w:sz w:val="19"/>
              </w:rPr>
            </w:pPr>
            <w:r>
              <w:rPr>
                <w:sz w:val="19"/>
              </w:rPr>
              <w:t>19 Nov 1998</w:t>
            </w:r>
          </w:p>
        </w:tc>
        <w:tc>
          <w:tcPr>
            <w:tcW w:w="2538" w:type="dxa"/>
            <w:gridSpan w:val="2"/>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rPr>
          <w:gridAfter w:val="2"/>
          <w:wAfter w:w="41" w:type="dxa"/>
        </w:trPr>
        <w:tc>
          <w:tcPr>
            <w:tcW w:w="2245" w:type="dxa"/>
          </w:tcPr>
          <w:p>
            <w:pPr>
              <w:pStyle w:val="nTable"/>
              <w:spacing w:after="40"/>
              <w:rPr>
                <w:sz w:val="19"/>
              </w:rPr>
            </w:pPr>
            <w:r>
              <w:rPr>
                <w:i/>
                <w:sz w:val="19"/>
              </w:rPr>
              <w:t>Acts Amendment (Criminal Procedure) Act 1999</w:t>
            </w:r>
            <w:r>
              <w:rPr>
                <w:sz w:val="19"/>
              </w:rPr>
              <w:t xml:space="preserve"> s. 9</w:t>
            </w:r>
          </w:p>
        </w:tc>
        <w:tc>
          <w:tcPr>
            <w:tcW w:w="1129" w:type="dxa"/>
            <w:gridSpan w:val="3"/>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38" w:type="dxa"/>
            <w:gridSpan w:val="2"/>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gridAfter w:val="2"/>
          <w:wAfter w:w="41" w:type="dxa"/>
        </w:trPr>
        <w:tc>
          <w:tcPr>
            <w:tcW w:w="2245"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p>
        </w:tc>
        <w:tc>
          <w:tcPr>
            <w:tcW w:w="1129" w:type="dxa"/>
            <w:gridSpan w:val="3"/>
          </w:tcPr>
          <w:p>
            <w:pPr>
              <w:pStyle w:val="nTable"/>
              <w:spacing w:after="40"/>
              <w:rPr>
                <w:sz w:val="19"/>
              </w:rPr>
            </w:pPr>
            <w:r>
              <w:rPr>
                <w:snapToGrid w:val="0"/>
                <w:sz w:val="19"/>
              </w:rPr>
              <w:t>7 of 2002</w:t>
            </w:r>
          </w:p>
        </w:tc>
        <w:tc>
          <w:tcPr>
            <w:tcW w:w="1134" w:type="dxa"/>
            <w:gridSpan w:val="2"/>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41" w:type="dxa"/>
          <w:cantSplit/>
        </w:trPr>
        <w:tc>
          <w:tcPr>
            <w:tcW w:w="7046" w:type="dxa"/>
            <w:gridSpan w:val="8"/>
          </w:tcPr>
          <w:p>
            <w:pPr>
              <w:pStyle w:val="nTable"/>
              <w:spacing w:after="4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gridAfter w:val="2"/>
          <w:wAfter w:w="41" w:type="dxa"/>
          <w:cantSplit/>
        </w:trPr>
        <w:tc>
          <w:tcPr>
            <w:tcW w:w="2245" w:type="dxa"/>
          </w:tcPr>
          <w:p>
            <w:pPr>
              <w:pStyle w:val="nTable"/>
              <w:spacing w:after="40"/>
              <w:rPr>
                <w:i/>
                <w:sz w:val="19"/>
              </w:rPr>
            </w:pPr>
            <w:r>
              <w:rPr>
                <w:i/>
                <w:sz w:val="19"/>
              </w:rPr>
              <w:t>Taxi Amendment Act 2003</w:t>
            </w:r>
          </w:p>
        </w:tc>
        <w:tc>
          <w:tcPr>
            <w:tcW w:w="1129" w:type="dxa"/>
            <w:gridSpan w:val="3"/>
          </w:tcPr>
          <w:p>
            <w:pPr>
              <w:pStyle w:val="nTable"/>
              <w:spacing w:after="40"/>
              <w:rPr>
                <w:sz w:val="19"/>
              </w:rPr>
            </w:pPr>
            <w:r>
              <w:rPr>
                <w:sz w:val="19"/>
              </w:rPr>
              <w:t>72 of 2003</w:t>
            </w:r>
          </w:p>
        </w:tc>
        <w:tc>
          <w:tcPr>
            <w:tcW w:w="1134" w:type="dxa"/>
            <w:gridSpan w:val="2"/>
          </w:tcPr>
          <w:p>
            <w:pPr>
              <w:pStyle w:val="nTable"/>
              <w:spacing w:after="40"/>
              <w:rPr>
                <w:sz w:val="19"/>
              </w:rPr>
            </w:pPr>
            <w:r>
              <w:rPr>
                <w:sz w:val="19"/>
              </w:rPr>
              <w:t>15 Dec 2003</w:t>
            </w:r>
          </w:p>
        </w:tc>
        <w:tc>
          <w:tcPr>
            <w:tcW w:w="2538" w:type="dxa"/>
            <w:gridSpan w:val="2"/>
          </w:tcPr>
          <w:p>
            <w:pPr>
              <w:pStyle w:val="nTable"/>
              <w:spacing w:after="40"/>
              <w:rPr>
                <w:sz w:val="19"/>
              </w:rPr>
            </w:pPr>
            <w:r>
              <w:rPr>
                <w:sz w:val="19"/>
              </w:rPr>
              <w:t>15 Dec 2003 (see s. 2)</w:t>
            </w:r>
          </w:p>
        </w:tc>
      </w:tr>
      <w:tr>
        <w:trPr>
          <w:gridAfter w:val="1"/>
          <w:wAfter w:w="6" w:type="dxa"/>
          <w:cantSplit/>
        </w:trPr>
        <w:tc>
          <w:tcPr>
            <w:tcW w:w="2254" w:type="dxa"/>
            <w:gridSpan w:val="2"/>
          </w:tcPr>
          <w:p>
            <w:pPr>
              <w:pStyle w:val="nTable"/>
              <w:spacing w:after="40"/>
              <w:rPr>
                <w:i/>
                <w:sz w:val="19"/>
              </w:rPr>
            </w:pPr>
            <w:r>
              <w:rPr>
                <w:i/>
                <w:sz w:val="19"/>
              </w:rPr>
              <w:t>State Administrative Tribunal (Conferral of Jurisdiction) Amendment and Repeal Act 2004</w:t>
            </w:r>
            <w:r>
              <w:rPr>
                <w:sz w:val="19"/>
              </w:rPr>
              <w:t xml:space="preserve"> Pt. 2 Div. 125</w:t>
            </w:r>
            <w:r>
              <w:rPr>
                <w:sz w:val="19"/>
                <w:vertAlign w:val="superscript"/>
              </w:rPr>
              <w:t xml:space="preserve"> 4</w:t>
            </w:r>
          </w:p>
        </w:tc>
        <w:tc>
          <w:tcPr>
            <w:tcW w:w="1144"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2254"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44" w:type="dxa"/>
            <w:gridSpan w:val="3"/>
          </w:tcPr>
          <w:p>
            <w:pPr>
              <w:pStyle w:val="nTable"/>
              <w:spacing w:after="40"/>
              <w:rPr>
                <w:sz w:val="19"/>
              </w:rPr>
            </w:pPr>
            <w:r>
              <w:rPr>
                <w:snapToGrid w:val="0"/>
                <w:sz w:val="19"/>
                <w:lang w:val="en-US"/>
              </w:rPr>
              <w:t>84 of 2004</w:t>
            </w:r>
          </w:p>
        </w:tc>
        <w:tc>
          <w:tcPr>
            <w:tcW w:w="1133" w:type="dxa"/>
            <w:gridSpan w:val="2"/>
          </w:tcPr>
          <w:p>
            <w:pPr>
              <w:pStyle w:val="nTable"/>
              <w:spacing w:after="40"/>
              <w:rPr>
                <w:sz w:val="19"/>
              </w:rPr>
            </w:pPr>
            <w:r>
              <w:rPr>
                <w:sz w:val="19"/>
              </w:rPr>
              <w:t>16 Dec 2004</w:t>
            </w:r>
          </w:p>
        </w:tc>
        <w:tc>
          <w:tcPr>
            <w:tcW w:w="2550"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44</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3" w:type="dxa"/>
            <w:gridSpan w:val="2"/>
            <w:tcBorders>
              <w:top w:val="nil"/>
              <w:bottom w:val="nil"/>
            </w:tcBorders>
          </w:tcPr>
          <w:p>
            <w:pPr>
              <w:pStyle w:val="nTable"/>
              <w:spacing w:after="40"/>
              <w:ind w:left="12"/>
              <w:rPr>
                <w:snapToGrid w:val="0"/>
                <w:sz w:val="19"/>
                <w:lang w:val="en-US"/>
              </w:rPr>
            </w:pPr>
            <w:r>
              <w:rPr>
                <w:sz w:val="19"/>
              </w:rPr>
              <w:t>27 Jun 2005</w:t>
            </w:r>
          </w:p>
        </w:tc>
        <w:tc>
          <w:tcPr>
            <w:tcW w:w="2550"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nil"/>
            </w:tcBorders>
          </w:tcPr>
          <w:p>
            <w:pPr>
              <w:pStyle w:val="nTable"/>
              <w:spacing w:after="40"/>
              <w:rPr>
                <w:snapToGrid w:val="0"/>
                <w:sz w:val="19"/>
                <w:lang w:val="en-US"/>
              </w:rPr>
            </w:pPr>
            <w:r>
              <w:rPr>
                <w:i/>
                <w:snapToGrid w:val="0"/>
                <w:sz w:val="19"/>
                <w:lang w:val="en-US"/>
              </w:rPr>
              <w:t>Taxi Amendment Act 2006</w:t>
            </w:r>
            <w:r>
              <w:rPr>
                <w:snapToGrid w:val="0"/>
                <w:sz w:val="19"/>
                <w:lang w:val="en-US"/>
              </w:rPr>
              <w:t xml:space="preserve"> </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4 of 2006</w:t>
            </w:r>
          </w:p>
        </w:tc>
        <w:tc>
          <w:tcPr>
            <w:tcW w:w="1133" w:type="dxa"/>
            <w:gridSpan w:val="2"/>
            <w:tcBorders>
              <w:top w:val="nil"/>
              <w:bottom w:val="nil"/>
            </w:tcBorders>
          </w:tcPr>
          <w:p>
            <w:pPr>
              <w:pStyle w:val="nTable"/>
              <w:spacing w:after="40"/>
              <w:ind w:left="12"/>
              <w:rPr>
                <w:sz w:val="19"/>
              </w:rPr>
            </w:pPr>
            <w:r>
              <w:rPr>
                <w:sz w:val="19"/>
              </w:rPr>
              <w:t>30 Mar 2006</w:t>
            </w:r>
          </w:p>
        </w:tc>
        <w:tc>
          <w:tcPr>
            <w:tcW w:w="2550" w:type="dxa"/>
            <w:gridSpan w:val="2"/>
            <w:tcBorders>
              <w:top w:val="nil"/>
              <w:bottom w:val="nil"/>
            </w:tcBorders>
          </w:tcPr>
          <w:p>
            <w:pPr>
              <w:pStyle w:val="nTable"/>
              <w:spacing w:after="40"/>
              <w:ind w:right="-106"/>
              <w:rPr>
                <w:snapToGrid w:val="0"/>
                <w:sz w:val="19"/>
                <w:lang w:val="en-US"/>
              </w:rPr>
            </w:pPr>
            <w:r>
              <w:rPr>
                <w:sz w:val="19"/>
              </w:rPr>
              <w:t>Act other than Pt. 2: 30 Mar 2006 (see s. 2(1));</w:t>
            </w:r>
            <w:r>
              <w:rPr>
                <w:sz w:val="19"/>
              </w:rPr>
              <w:br/>
              <w:t xml:space="preserve">Pt. 2: 11 May 2006 (see s. 2(2) and (3) and </w:t>
            </w:r>
            <w:r>
              <w:rPr>
                <w:i/>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trPr>
        <w:tc>
          <w:tcPr>
            <w:tcW w:w="7087" w:type="dxa"/>
            <w:gridSpan w:val="10"/>
            <w:tcBorders>
              <w:top w:val="nil"/>
              <w:bottom w:val="nil"/>
            </w:tcBorders>
          </w:tcPr>
          <w:p>
            <w:pPr>
              <w:pStyle w:val="nTable"/>
              <w:spacing w:after="40"/>
              <w:rPr>
                <w:sz w:val="19"/>
              </w:rPr>
            </w:pPr>
            <w:r>
              <w:rPr>
                <w:b/>
                <w:sz w:val="19"/>
              </w:rPr>
              <w:t xml:space="preserve">Reprint 2:  The </w:t>
            </w:r>
            <w:r>
              <w:rPr>
                <w:b/>
                <w:i/>
                <w:sz w:val="19"/>
              </w:rPr>
              <w:t>Taxi Act 1994</w:t>
            </w:r>
            <w:r>
              <w:rPr>
                <w:b/>
                <w:sz w:val="19"/>
              </w:rPr>
              <w:t xml:space="preserve"> as at 4 Aug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nil"/>
            </w:tcBorders>
          </w:tcPr>
          <w:p>
            <w:pPr>
              <w:pStyle w:val="nTable"/>
              <w:spacing w:after="40"/>
              <w:rPr>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77 of 2006</w:t>
            </w:r>
          </w:p>
        </w:tc>
        <w:tc>
          <w:tcPr>
            <w:tcW w:w="1133" w:type="dxa"/>
            <w:gridSpan w:val="2"/>
            <w:tcBorders>
              <w:top w:val="nil"/>
              <w:bottom w:val="nil"/>
            </w:tcBorders>
          </w:tcPr>
          <w:p>
            <w:pPr>
              <w:pStyle w:val="nTable"/>
              <w:spacing w:after="40"/>
              <w:ind w:left="12"/>
              <w:rPr>
                <w:sz w:val="19"/>
              </w:rPr>
            </w:pPr>
            <w:r>
              <w:rPr>
                <w:sz w:val="19"/>
              </w:rPr>
              <w:t>21 Dec 2006</w:t>
            </w:r>
          </w:p>
        </w:tc>
        <w:tc>
          <w:tcPr>
            <w:tcW w:w="2550" w:type="dxa"/>
            <w:gridSpan w:val="2"/>
            <w:tcBorders>
              <w:top w:val="nil"/>
              <w:bottom w:val="nil"/>
            </w:tcBorders>
          </w:tcPr>
          <w:p>
            <w:pPr>
              <w:pStyle w:val="nTable"/>
              <w:spacing w:after="40"/>
              <w:ind w:right="-106"/>
              <w:rPr>
                <w:snapToGrid w:val="0"/>
                <w:sz w:val="19"/>
                <w:lang w:val="en-US"/>
              </w:rPr>
            </w:pPr>
            <w:r>
              <w:rPr>
                <w:sz w:val="19"/>
              </w:rPr>
              <w:t xml:space="preserve">1 Feb 2007 (see s. 2(1) and </w:t>
            </w:r>
            <w:r>
              <w:rPr>
                <w:i/>
                <w:sz w:val="19"/>
              </w:rPr>
              <w:t>Gazette</w:t>
            </w:r>
            <w:r>
              <w:rPr>
                <w:sz w:val="19"/>
              </w:rPr>
              <w:t xml:space="preserve"> 19 Jan 2007 p. 137)</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single" w:sz="4" w:space="0" w:color="auto"/>
            </w:tcBorders>
          </w:tcPr>
          <w:p>
            <w:pPr>
              <w:pStyle w:val="nTable"/>
              <w:spacing w:after="40"/>
              <w:rPr>
                <w:i/>
                <w:snapToGrid w:val="0"/>
                <w:sz w:val="19"/>
                <w:lang w:val="en-US"/>
              </w:rPr>
            </w:pPr>
            <w:r>
              <w:rPr>
                <w:i/>
                <w:snapToGrid w:val="0"/>
                <w:sz w:val="19"/>
                <w:lang w:val="en-US"/>
              </w:rPr>
              <w:t>Taxi Amendment Act 2007</w:t>
            </w:r>
          </w:p>
        </w:tc>
        <w:tc>
          <w:tcPr>
            <w:tcW w:w="1135" w:type="dxa"/>
            <w:gridSpan w:val="2"/>
            <w:tcBorders>
              <w:top w:val="nil"/>
              <w:bottom w:val="single" w:sz="4" w:space="0" w:color="auto"/>
            </w:tcBorders>
          </w:tcPr>
          <w:p>
            <w:pPr>
              <w:pStyle w:val="nTable"/>
              <w:spacing w:after="40"/>
              <w:rPr>
                <w:snapToGrid w:val="0"/>
                <w:sz w:val="19"/>
                <w:lang w:val="en-US"/>
              </w:rPr>
            </w:pPr>
            <w:r>
              <w:rPr>
                <w:snapToGrid w:val="0"/>
                <w:sz w:val="19"/>
                <w:lang w:val="en-US"/>
              </w:rPr>
              <w:t>26 of 2007</w:t>
            </w:r>
          </w:p>
        </w:tc>
        <w:tc>
          <w:tcPr>
            <w:tcW w:w="1133" w:type="dxa"/>
            <w:gridSpan w:val="2"/>
            <w:tcBorders>
              <w:top w:val="nil"/>
              <w:bottom w:val="single" w:sz="4" w:space="0" w:color="auto"/>
            </w:tcBorders>
          </w:tcPr>
          <w:p>
            <w:pPr>
              <w:pStyle w:val="nTable"/>
              <w:spacing w:after="40"/>
              <w:ind w:left="12"/>
              <w:rPr>
                <w:sz w:val="19"/>
              </w:rPr>
            </w:pPr>
            <w:r>
              <w:rPr>
                <w:sz w:val="19"/>
              </w:rPr>
              <w:t>16 Oct 2007</w:t>
            </w:r>
          </w:p>
        </w:tc>
        <w:tc>
          <w:tcPr>
            <w:tcW w:w="2550" w:type="dxa"/>
            <w:gridSpan w:val="2"/>
            <w:tcBorders>
              <w:top w:val="nil"/>
              <w:bottom w:val="single" w:sz="4" w:space="0" w:color="auto"/>
            </w:tcBorders>
          </w:tcPr>
          <w:p>
            <w:pPr>
              <w:pStyle w:val="nTable"/>
              <w:spacing w:after="40"/>
              <w:ind w:right="-106"/>
              <w:rPr>
                <w:sz w:val="19"/>
              </w:rPr>
            </w:pPr>
            <w:r>
              <w:rPr>
                <w:sz w:val="19"/>
              </w:rPr>
              <w:t>s. 1 and 2: 16 Oct 2007 (see s. 2(a));</w:t>
            </w:r>
            <w:r>
              <w:rPr>
                <w:sz w:val="19"/>
              </w:rPr>
              <w:br/>
              <w:t>Act other than s. 1 and 2: 17 Oct 2007 (see s. 2(b))</w:t>
            </w:r>
          </w:p>
        </w:tc>
      </w:tr>
    </w:tbl>
    <w:p>
      <w:pPr>
        <w:pStyle w:val="nSubsection"/>
        <w:spacing w:before="360"/>
        <w:ind w:left="482" w:hanging="482"/>
      </w:pPr>
      <w:r>
        <w:rPr>
          <w:vertAlign w:val="superscript"/>
        </w:rPr>
        <w:t>1a</w:t>
      </w:r>
      <w:r>
        <w:tab/>
        <w:t>On the date as at which thi</w:t>
      </w:r>
      <w:bookmarkStart w:id="479" w:name="_Hlt507390729"/>
      <w:bookmarkEnd w:id="47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80" w:name="_Toc131835901"/>
      <w:bookmarkStart w:id="481" w:name="_Toc143336102"/>
      <w:bookmarkStart w:id="482" w:name="_Toc180373889"/>
      <w:r>
        <w:t>Provisions that have not come into operation</w:t>
      </w:r>
      <w:bookmarkEnd w:id="480"/>
      <w:bookmarkEnd w:id="481"/>
      <w:bookmarkEnd w:id="482"/>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5</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w:t>
            </w:r>
            <w:ins w:id="483" w:author="svcMRProcess" w:date="2018-09-09T10:58:00Z">
              <w:r>
                <w:rPr>
                  <w:snapToGrid w:val="0"/>
                  <w:sz w:val="19"/>
                  <w:lang w:val="en-US"/>
                </w:rPr>
                <w:t xml:space="preserve"> (as amended by No. 2 of 2008 s. 77(13))</w:t>
              </w:r>
            </w:ins>
          </w:p>
        </w:tc>
        <w:tc>
          <w:tcPr>
            <w:tcW w:w="1134" w:type="dxa"/>
            <w:tcBorders>
              <w:top w:val="single" w:sz="8" w:space="0" w:color="auto"/>
              <w:bottom w:val="nil"/>
            </w:tcBorders>
          </w:tcPr>
          <w:p>
            <w:pPr>
              <w:pStyle w:val="nTable"/>
              <w:spacing w:after="40"/>
              <w:rPr>
                <w:snapToGrid w:val="0"/>
                <w:sz w:val="19"/>
                <w:lang w:val="en-US"/>
              </w:rPr>
            </w:pPr>
            <w:r>
              <w:rPr>
                <w:sz w:val="19"/>
              </w:rPr>
              <w:t>23 Nov 2004</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ins w:id="484" w:author="svcMRProcess" w:date="2018-09-09T10:58:00Z"/>
        </w:trPr>
        <w:tc>
          <w:tcPr>
            <w:tcW w:w="2268" w:type="dxa"/>
            <w:tcBorders>
              <w:top w:val="nil"/>
              <w:bottom w:val="single" w:sz="4" w:space="0" w:color="auto"/>
            </w:tcBorders>
          </w:tcPr>
          <w:p>
            <w:pPr>
              <w:pStyle w:val="nTable"/>
              <w:spacing w:after="40"/>
              <w:rPr>
                <w:ins w:id="485" w:author="svcMRProcess" w:date="2018-09-09T10:58:00Z"/>
                <w:i/>
                <w:snapToGrid w:val="0"/>
                <w:sz w:val="19"/>
                <w:lang w:val="en-US"/>
              </w:rPr>
            </w:pPr>
            <w:ins w:id="486" w:author="svcMRProcess" w:date="2018-09-09T10:58:00Z">
              <w:r>
                <w:rPr>
                  <w:i/>
                  <w:snapToGrid w:val="0"/>
                </w:rPr>
                <w:t>Criminal Law and Evidence Amendment Act 2008</w:t>
              </w:r>
              <w:r>
                <w:rPr>
                  <w:iCs/>
                  <w:snapToGrid w:val="0"/>
                </w:rPr>
                <w:t xml:space="preserve"> s. 77(13) </w:t>
              </w:r>
              <w:r>
                <w:rPr>
                  <w:iCs/>
                  <w:snapToGrid w:val="0"/>
                  <w:vertAlign w:val="superscript"/>
                </w:rPr>
                <w:t>7</w:t>
              </w:r>
            </w:ins>
          </w:p>
        </w:tc>
        <w:tc>
          <w:tcPr>
            <w:tcW w:w="1134" w:type="dxa"/>
            <w:tcBorders>
              <w:top w:val="nil"/>
              <w:bottom w:val="single" w:sz="4" w:space="0" w:color="auto"/>
            </w:tcBorders>
          </w:tcPr>
          <w:p>
            <w:pPr>
              <w:pStyle w:val="nTable"/>
              <w:spacing w:after="40"/>
              <w:rPr>
                <w:ins w:id="487" w:author="svcMRProcess" w:date="2018-09-09T10:58:00Z"/>
                <w:snapToGrid w:val="0"/>
                <w:sz w:val="19"/>
                <w:lang w:val="en-US"/>
              </w:rPr>
            </w:pPr>
            <w:ins w:id="488" w:author="svcMRProcess" w:date="2018-09-09T10:58:00Z">
              <w:r>
                <w:rPr>
                  <w:sz w:val="19"/>
                </w:rPr>
                <w:t>2 of 2008</w:t>
              </w:r>
            </w:ins>
          </w:p>
        </w:tc>
        <w:tc>
          <w:tcPr>
            <w:tcW w:w="1134" w:type="dxa"/>
            <w:tcBorders>
              <w:top w:val="nil"/>
              <w:bottom w:val="single" w:sz="4" w:space="0" w:color="auto"/>
            </w:tcBorders>
          </w:tcPr>
          <w:p>
            <w:pPr>
              <w:pStyle w:val="nTable"/>
              <w:spacing w:after="40"/>
              <w:rPr>
                <w:ins w:id="489" w:author="svcMRProcess" w:date="2018-09-09T10:58:00Z"/>
                <w:sz w:val="19"/>
              </w:rPr>
            </w:pPr>
            <w:ins w:id="490" w:author="svcMRProcess" w:date="2018-09-09T10:58:00Z">
              <w:r>
                <w:rPr>
                  <w:sz w:val="19"/>
                </w:rPr>
                <w:t>12 Mar 2008</w:t>
              </w:r>
            </w:ins>
          </w:p>
        </w:tc>
        <w:tc>
          <w:tcPr>
            <w:tcW w:w="2552" w:type="dxa"/>
            <w:tcBorders>
              <w:top w:val="nil"/>
              <w:bottom w:val="single" w:sz="4" w:space="0" w:color="auto"/>
            </w:tcBorders>
          </w:tcPr>
          <w:p>
            <w:pPr>
              <w:pStyle w:val="nTable"/>
              <w:spacing w:after="40"/>
              <w:rPr>
                <w:ins w:id="491" w:author="svcMRProcess" w:date="2018-09-09T10:58:00Z"/>
                <w:snapToGrid w:val="0"/>
                <w:sz w:val="19"/>
                <w:lang w:val="en-US"/>
              </w:rPr>
            </w:pPr>
            <w:ins w:id="492" w:author="svcMRProcess" w:date="2018-09-09T10:58:00Z">
              <w:r>
                <w:rPr>
                  <w:snapToGrid w:val="0"/>
                  <w:sz w:val="19"/>
                  <w:lang w:val="en-US"/>
                </w:rPr>
                <w:t>To be proclaimed (see s. 2)</w:t>
              </w:r>
            </w:ins>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Taxi-car Control Act 1985</w:t>
      </w:r>
      <w:r>
        <w:rPr>
          <w:snapToGrid w:val="0"/>
        </w:rPr>
        <w:t xml:space="preserve"> has been omitted under s. 7(4)(f) of the </w:t>
      </w:r>
      <w:r>
        <w:rPr>
          <w:i/>
          <w:snapToGrid w:val="0"/>
        </w:rPr>
        <w:t>Reprints Act 1984</w:t>
      </w:r>
      <w:r>
        <w:rPr>
          <w:snapToGrid w:val="0"/>
        </w:rPr>
        <w:t>.</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keepLines w:val="0"/>
        <w:rPr>
          <w:snapToGrid w:val="0"/>
        </w:rPr>
      </w:pPr>
      <w:r>
        <w:rPr>
          <w:snapToGrid w:val="0"/>
        </w:rPr>
        <w:t>“</w:t>
      </w:r>
    </w:p>
    <w:p>
      <w:pPr>
        <w:pStyle w:val="nzHeading5"/>
        <w:keepLines w:val="0"/>
      </w:pPr>
      <w:bookmarkStart w:id="493" w:name="_Toc88630545"/>
      <w:r>
        <w:rPr>
          <w:rStyle w:val="CharSectno"/>
        </w:rPr>
        <w:t>142</w:t>
      </w:r>
      <w:r>
        <w:t>.</w:t>
      </w:r>
      <w:r>
        <w:tab/>
        <w:t>Other amendments to various Acts</w:t>
      </w:r>
      <w:bookmarkEnd w:id="493"/>
    </w:p>
    <w:p>
      <w:pPr>
        <w:pStyle w:val="nzSubsection"/>
      </w:pPr>
      <w:r>
        <w:tab/>
      </w:r>
      <w:r>
        <w:tab/>
        <w:t>Each Act listed in Schedule 2 is amended as set out in that Schedule immediately below the short title of the Act.</w:t>
      </w:r>
    </w:p>
    <w:p>
      <w:pPr>
        <w:pStyle w:val="MiscClose"/>
        <w:keepLines w:val="0"/>
        <w:rPr>
          <w:snapToGrid w:val="0"/>
        </w:rPr>
      </w:pPr>
      <w:r>
        <w:rPr>
          <w:snapToGrid w:val="0"/>
        </w:rPr>
        <w:t>”.</w:t>
      </w:r>
    </w:p>
    <w:p>
      <w:pPr>
        <w:pStyle w:val="nSubsection"/>
        <w:rPr>
          <w:snapToGrid w:val="0"/>
        </w:rPr>
      </w:pPr>
      <w:r>
        <w:rPr>
          <w:snapToGrid w:val="0"/>
        </w:rPr>
        <w:tab/>
        <w:t>Schedule 2 cl. 49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494" w:name="_Toc491766812"/>
      <w:bookmarkStart w:id="495" w:name="_Toc497185934"/>
      <w:bookmarkStart w:id="496" w:name="_Toc88630771"/>
      <w:r>
        <w:t>49.</w:t>
      </w:r>
      <w:r>
        <w:tab/>
      </w:r>
      <w:r>
        <w:rPr>
          <w:i/>
        </w:rPr>
        <w:t>Taxi Act 1994</w:t>
      </w:r>
      <w:bookmarkEnd w:id="494"/>
      <w:bookmarkEnd w:id="495"/>
      <w:bookmarkEnd w:id="49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rPr>
                <w:vertAlign w:val="superscript"/>
              </w:rPr>
            </w:pPr>
            <w:r>
              <w:t>s. 20(4)</w:t>
            </w:r>
            <w:r>
              <w:rPr>
                <w:vertAlign w:val="superscript"/>
              </w:rPr>
              <w:t> 6</w:t>
            </w:r>
          </w:p>
          <w:p>
            <w:pPr>
              <w:pStyle w:val="nzTable"/>
            </w:pPr>
            <w:r>
              <w:t>s. 22(2)</w:t>
            </w:r>
            <w:r>
              <w:rPr>
                <w:vertAlign w:val="superscript"/>
              </w:rPr>
              <w:t xml:space="preserve"> 6 </w:t>
            </w:r>
            <w:r>
              <w:t>s. 23(4)</w:t>
            </w:r>
            <w:r>
              <w:rPr>
                <w:vertAlign w:val="superscript"/>
              </w:rPr>
              <w:t> 6</w:t>
            </w:r>
          </w:p>
          <w:p>
            <w:pPr>
              <w:pStyle w:val="nzTable"/>
            </w:pPr>
            <w:r>
              <w:t>s. 30(3)</w:t>
            </w:r>
            <w:r>
              <w:rPr>
                <w:vertAlign w:val="superscript"/>
              </w:rPr>
              <w:t> 6</w:t>
            </w:r>
          </w:p>
          <w:p>
            <w:pPr>
              <w:pStyle w:val="nzTable"/>
            </w:pPr>
            <w:r>
              <w:t>s. 37(2)</w:t>
            </w:r>
            <w:r>
              <w:rPr>
                <w:vertAlign w:val="superscript"/>
              </w:rPr>
              <w:t> 6</w:t>
            </w:r>
          </w:p>
          <w:p>
            <w:pPr>
              <w:pStyle w:val="nzTable"/>
            </w:pPr>
            <w:r>
              <w:t>s. 38(1)</w:t>
            </w:r>
            <w:r>
              <w:rPr>
                <w:vertAlign w:val="superscript"/>
              </w:rPr>
              <w:t> 6</w:t>
            </w:r>
          </w:p>
        </w:tc>
        <w:tc>
          <w:tcPr>
            <w:tcW w:w="4678" w:type="dxa"/>
          </w:tcPr>
          <w:p>
            <w:pPr>
              <w:pStyle w:val="nzTable"/>
            </w:pPr>
            <w:r>
              <w:t xml:space="preserve">In each provision delete “a Local Court” and insert instead — </w:t>
            </w:r>
          </w:p>
          <w:p>
            <w:pPr>
              <w:pStyle w:val="nzTable"/>
            </w:pPr>
            <w:r>
              <w:t>“    the Magistrates Court    ”.</w:t>
            </w:r>
          </w:p>
        </w:tc>
      </w:tr>
      <w:tr>
        <w:trPr>
          <w:cantSplit/>
        </w:trPr>
        <w:tc>
          <w:tcPr>
            <w:tcW w:w="1134" w:type="dxa"/>
          </w:tcPr>
          <w:p>
            <w:pPr>
              <w:pStyle w:val="nzTable"/>
              <w:rPr>
                <w:vertAlign w:val="superscript"/>
              </w:rPr>
            </w:pPr>
            <w:r>
              <w:t>s. 20(5)</w:t>
            </w:r>
            <w:r>
              <w:rPr>
                <w:vertAlign w:val="superscript"/>
              </w:rPr>
              <w:t> 6</w:t>
            </w:r>
          </w:p>
          <w:p>
            <w:pPr>
              <w:pStyle w:val="nzTable"/>
              <w:rPr>
                <w:vertAlign w:val="superscript"/>
              </w:rPr>
            </w:pPr>
            <w:r>
              <w:t>s. 22(3)</w:t>
            </w:r>
            <w:r>
              <w:rPr>
                <w:vertAlign w:val="superscript"/>
              </w:rPr>
              <w:t> 6</w:t>
            </w:r>
          </w:p>
          <w:p>
            <w:pPr>
              <w:pStyle w:val="nzTable"/>
              <w:rPr>
                <w:vertAlign w:val="superscript"/>
              </w:rPr>
            </w:pPr>
            <w:r>
              <w:t>s. 23(5)</w:t>
            </w:r>
            <w:r>
              <w:rPr>
                <w:vertAlign w:val="superscript"/>
              </w:rPr>
              <w:t> 6</w:t>
            </w:r>
          </w:p>
          <w:p>
            <w:pPr>
              <w:pStyle w:val="nzTable"/>
            </w:pPr>
            <w:r>
              <w:t>s. 30(4)</w:t>
            </w:r>
            <w:r>
              <w:rPr>
                <w:vertAlign w:val="superscript"/>
              </w:rPr>
              <w:t xml:space="preserve">  6</w:t>
            </w:r>
          </w:p>
          <w:p>
            <w:pPr>
              <w:pStyle w:val="nzTable"/>
            </w:pPr>
            <w:r>
              <w:t>s. 37(3)</w:t>
            </w:r>
            <w:r>
              <w:rPr>
                <w:vertAlign w:val="superscript"/>
              </w:rPr>
              <w:t> 6</w:t>
            </w:r>
          </w:p>
        </w:tc>
        <w:tc>
          <w:tcPr>
            <w:tcW w:w="4678" w:type="dxa"/>
          </w:tcPr>
          <w:p>
            <w:pPr>
              <w:pStyle w:val="nzTable"/>
            </w:pPr>
            <w:r>
              <w:t xml:space="preserve">In each provision delete “A Local Court” and insert instead — </w:t>
            </w:r>
          </w:p>
          <w:p>
            <w:pPr>
              <w:pStyle w:val="nzTable"/>
            </w:pPr>
            <w:r>
              <w:t>“    The Magistrates Court    ”.</w:t>
            </w:r>
          </w:p>
        </w:tc>
      </w:tr>
    </w:tbl>
    <w:p>
      <w:pPr>
        <w:pStyle w:val="MiscClose"/>
        <w:keepLines w:val="0"/>
        <w:rPr>
          <w:snapToGrid w:val="0"/>
        </w:rPr>
      </w:pPr>
      <w:r>
        <w:rPr>
          <w:snapToGrid w:val="0"/>
        </w:rPr>
        <w:t>”.</w:t>
      </w:r>
    </w:p>
    <w:p>
      <w:pPr>
        <w:pStyle w:val="nSubsection"/>
      </w:pPr>
      <w:r>
        <w:rPr>
          <w:vertAlign w:val="superscript"/>
        </w:rPr>
        <w:t>6</w:t>
      </w:r>
      <w:r>
        <w:tab/>
        <w:t xml:space="preserve">The </w:t>
      </w:r>
      <w:r>
        <w:rPr>
          <w:snapToGrid w:val="0"/>
        </w:rPr>
        <w:t>amendments</w:t>
      </w:r>
      <w:r>
        <w:t xml:space="preserve"> to s. 20(4) and (5), 22</w:t>
      </w:r>
      <w:r>
        <w:rPr>
          <w:rFonts w:ascii="Times" w:hAnsi="Times"/>
        </w:rPr>
        <w:t>(2) and (3),</w:t>
      </w:r>
      <w:r>
        <w:t xml:space="preserve"> 23(4) and (5), 30(3) and (4), 37(2) and (3) and 38(1) in the </w:t>
      </w:r>
      <w:r>
        <w:rPr>
          <w:i/>
          <w:snapToGrid w:val="0"/>
          <w:lang w:val="en-US"/>
        </w:rPr>
        <w:t>Courts Legislation Amendment and Repeal Act 2004</w:t>
      </w:r>
      <w:r>
        <w:rPr>
          <w:snapToGrid w:val="0"/>
          <w:lang w:val="en-US"/>
        </w:rPr>
        <w:t xml:space="preserve"> s. 142 </w:t>
      </w:r>
      <w:r>
        <w:t>would conflict with amendm</w:t>
      </w:r>
      <w:r>
        <w:rPr>
          <w:snapToGrid w:val="0"/>
        </w:rPr>
        <w:t>e</w:t>
      </w:r>
      <w:r>
        <w:t xml:space="preserve">nts in the </w:t>
      </w:r>
      <w:r>
        <w:rPr>
          <w:i/>
        </w:rPr>
        <w:t>State Administrative Tribunal (Conferral of Jurisdiction) Amendment and Repeal Act 2004</w:t>
      </w:r>
      <w:r>
        <w:t xml:space="preserve"> Pt. 2 Div. 6.</w:t>
      </w:r>
    </w:p>
    <w:p>
      <w:pPr>
        <w:pStyle w:val="nSubsection"/>
        <w:keepLines/>
        <w:rPr>
          <w:ins w:id="497" w:author="svcMRProcess" w:date="2018-09-09T10:58:00Z"/>
          <w:snapToGrid w:val="0"/>
        </w:rPr>
      </w:pPr>
      <w:ins w:id="498" w:author="svcMRProcess" w:date="2018-09-09T10:58:00Z">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499" w:author="svcMRProcess" w:date="2018-09-09T10:58:00Z"/>
        </w:rPr>
      </w:pPr>
      <w:ins w:id="500" w:author="svcMRProcess" w:date="2018-09-09T10:58:00Z">
        <w:r>
          <w:t>“</w:t>
        </w:r>
      </w:ins>
    </w:p>
    <w:p>
      <w:pPr>
        <w:pStyle w:val="nzHeading5"/>
        <w:rPr>
          <w:ins w:id="501" w:author="svcMRProcess" w:date="2018-09-09T10:58:00Z"/>
        </w:rPr>
      </w:pPr>
      <w:bookmarkStart w:id="502" w:name="_Toc192051043"/>
      <w:bookmarkStart w:id="503" w:name="_Toc193093691"/>
      <w:ins w:id="504" w:author="svcMRProcess" w:date="2018-09-09T10:58:00Z">
        <w:r>
          <w:rPr>
            <w:rStyle w:val="CharSectno"/>
          </w:rPr>
          <w:t>77</w:t>
        </w:r>
        <w:r>
          <w:t>.</w:t>
        </w:r>
        <w:r>
          <w:tab/>
        </w:r>
        <w:r>
          <w:rPr>
            <w:i/>
            <w:iCs/>
          </w:rPr>
          <w:t xml:space="preserve">Courts Legislation Amendment and Repeal Act 2004 </w:t>
        </w:r>
        <w:r>
          <w:t>amended</w:t>
        </w:r>
        <w:bookmarkEnd w:id="502"/>
        <w:bookmarkEnd w:id="503"/>
      </w:ins>
    </w:p>
    <w:p>
      <w:pPr>
        <w:pStyle w:val="nzSubsection"/>
        <w:rPr>
          <w:ins w:id="505" w:author="svcMRProcess" w:date="2018-09-09T10:58:00Z"/>
        </w:rPr>
      </w:pPr>
      <w:ins w:id="506" w:author="svcMRProcess" w:date="2018-09-09T10:58:00Z">
        <w:r>
          <w:tab/>
          <w:t>(1)</w:t>
        </w:r>
        <w:r>
          <w:tab/>
          <w:t xml:space="preserve">The amendments in this section are to the </w:t>
        </w:r>
        <w:r>
          <w:rPr>
            <w:i/>
            <w:iCs/>
          </w:rPr>
          <w:t>Courts Legislation Amendment and Repeal Act 2004</w:t>
        </w:r>
        <w:r>
          <w:t>.</w:t>
        </w:r>
      </w:ins>
    </w:p>
    <w:p>
      <w:pPr>
        <w:pStyle w:val="nzSubsection"/>
        <w:rPr>
          <w:ins w:id="507" w:author="svcMRProcess" w:date="2018-09-09T10:58:00Z"/>
        </w:rPr>
      </w:pPr>
      <w:ins w:id="508" w:author="svcMRProcess" w:date="2018-09-09T10:58:00Z">
        <w:r>
          <w:tab/>
          <w:t>(13)</w:t>
        </w:r>
        <w:r>
          <w:tab/>
          <w:t>Schedule 2 clauses 1 to 42 and 44 to 51 are repealed.</w:t>
        </w:r>
      </w:ins>
    </w:p>
    <w:p>
      <w:pPr>
        <w:pStyle w:val="MiscClose"/>
        <w:rPr>
          <w:ins w:id="509" w:author="svcMRProcess" w:date="2018-09-09T10:58:00Z"/>
        </w:rPr>
      </w:pPr>
      <w:ins w:id="510" w:author="svcMRProcess" w:date="2018-09-09T10:58: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13271</Words>
  <Characters>60786</Characters>
  <Application>Microsoft Office Word</Application>
  <DocSecurity>0</DocSecurity>
  <Lines>1642</Lines>
  <Paragraphs>903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02-c0-02 - 02-d0-02</dc:title>
  <dc:subject/>
  <dc:creator/>
  <cp:keywords/>
  <dc:description/>
  <cp:lastModifiedBy>svcMRProcess</cp:lastModifiedBy>
  <cp:revision>2</cp:revision>
  <cp:lastPrinted>2006-08-07T00:49:00Z</cp:lastPrinted>
  <dcterms:created xsi:type="dcterms:W3CDTF">2018-09-09T02:58:00Z</dcterms:created>
  <dcterms:modified xsi:type="dcterms:W3CDTF">2018-09-09T02:58:00Z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811</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17 Oct 2007</vt:lpwstr>
  </property>
  <property fmtid="{D5CDD505-2E9C-101B-9397-08002B2CF9AE}" pid="9" name="ToSuffix">
    <vt:lpwstr>02-d0-02</vt:lpwstr>
  </property>
  <property fmtid="{D5CDD505-2E9C-101B-9397-08002B2CF9AE}" pid="10" name="ToAsAtDate">
    <vt:lpwstr>12 Mar 2008</vt:lpwstr>
  </property>
</Properties>
</file>