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14-b0-03</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14-c0-02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189889511"/>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189889512"/>
      <w:r>
        <w:rPr>
          <w:rStyle w:val="CharSectno"/>
        </w:rPr>
        <w:t>3</w:t>
      </w:r>
      <w:r>
        <w:rPr>
          <w:snapToGrid w:val="0"/>
        </w:rPr>
        <w:t>.</w:t>
      </w:r>
      <w:r>
        <w:rPr>
          <w:snapToGrid w:val="0"/>
        </w:rPr>
        <w:tab/>
        <w:t>Terms used in this Act</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189889513"/>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189889514"/>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189889515"/>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189889516"/>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189889517"/>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189889518"/>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9" w:name="_Toc189889519"/>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189889520"/>
      <w:r>
        <w:rPr>
          <w:rStyle w:val="CharSectno"/>
        </w:rPr>
        <w:t>11A</w:t>
      </w:r>
      <w:r>
        <w:rPr>
          <w:snapToGrid w:val="0"/>
        </w:rPr>
        <w:t>.</w:t>
      </w:r>
      <w:r>
        <w:rPr>
          <w:snapToGrid w:val="0"/>
        </w:rPr>
        <w:tab/>
        <w:t>Judge may restrict publication of evidence where s. 11 certificate given</w:t>
      </w:r>
      <w:bookmarkEnd w:id="1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189889521"/>
      <w:r>
        <w:rPr>
          <w:rStyle w:val="CharSectno"/>
        </w:rPr>
        <w:t>12</w:t>
      </w:r>
      <w:r>
        <w:rPr>
          <w:snapToGrid w:val="0"/>
        </w:rPr>
        <w:t>.</w:t>
      </w:r>
      <w:r>
        <w:rPr>
          <w:snapToGrid w:val="0"/>
        </w:rPr>
        <w:tab/>
        <w:t>Witnesses in revenue cases may be compelled to give evidence</w:t>
      </w:r>
      <w:bookmarkEnd w:id="11"/>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12" w:name="_Toc189889522"/>
      <w:r>
        <w:rPr>
          <w:rStyle w:val="CharSectno"/>
        </w:rPr>
        <w:t>13</w:t>
      </w:r>
      <w:r>
        <w:rPr>
          <w:snapToGrid w:val="0"/>
        </w:rPr>
        <w:t>.</w:t>
      </w:r>
      <w:r>
        <w:rPr>
          <w:snapToGrid w:val="0"/>
        </w:rPr>
        <w:tab/>
        <w:t>Certificate under s. 12 may be pleaded in bar to prosecution</w:t>
      </w:r>
      <w:bookmarkEnd w:id="12"/>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189889523"/>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189889524"/>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189889525"/>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6" w:name="_Toc189889526"/>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7" w:name="_Toc189889527"/>
      <w:r>
        <w:rPr>
          <w:rStyle w:val="CharSectno"/>
        </w:rPr>
        <w:t>18</w:t>
      </w:r>
      <w:r>
        <w:rPr>
          <w:snapToGrid w:val="0"/>
        </w:rPr>
        <w:t>.</w:t>
      </w:r>
      <w:r>
        <w:rPr>
          <w:snapToGrid w:val="0"/>
        </w:rPr>
        <w:tab/>
        <w:t>Communications during marriage</w:t>
      </w:r>
      <w:bookmarkEnd w:id="17"/>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189889528"/>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189889529"/>
      <w:r>
        <w:rPr>
          <w:rStyle w:val="CharSectno"/>
        </w:rPr>
        <w:t>19A</w:t>
      </w:r>
      <w:r>
        <w:t>.</w:t>
      </w:r>
      <w:r>
        <w:tab/>
        <w:t>Terms used in these provisions</w:t>
      </w:r>
      <w:bookmarkEnd w:id="19"/>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189889530"/>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189889531"/>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22" w:name="_Toc189889532"/>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189889533"/>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189889534"/>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189889535"/>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189889536"/>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189889537"/>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8" w:name="_Toc189889538"/>
      <w:r>
        <w:rPr>
          <w:rStyle w:val="CharSectno"/>
        </w:rPr>
        <w:t>19J</w:t>
      </w:r>
      <w:r>
        <w:t>.</w:t>
      </w:r>
      <w:r>
        <w:tab/>
        <w:t>Ancillary orders</w:t>
      </w:r>
      <w:bookmarkEnd w:id="28"/>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189889539"/>
      <w:r>
        <w:rPr>
          <w:rStyle w:val="CharSectno"/>
        </w:rPr>
        <w:t>19K</w:t>
      </w:r>
      <w:r>
        <w:t>.</w:t>
      </w:r>
      <w:r>
        <w:tab/>
        <w:t>Inadmissibility of evidence that must not be adduced or given</w:t>
      </w:r>
      <w:bookmarkEnd w:id="29"/>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189889540"/>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1" w:name="_Toc189889541"/>
      <w:r>
        <w:rPr>
          <w:rStyle w:val="CharSectno"/>
        </w:rPr>
        <w:t>19M</w:t>
      </w:r>
      <w:r>
        <w:t>.</w:t>
      </w:r>
      <w:r>
        <w:tab/>
        <w:t>Regulations as to disclosure of protected communications</w:t>
      </w:r>
      <w:bookmarkEnd w:id="31"/>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189889542"/>
      <w:r>
        <w:rPr>
          <w:rStyle w:val="CharSectno"/>
        </w:rPr>
        <w:t>20</w:t>
      </w:r>
      <w:r>
        <w:rPr>
          <w:snapToGrid w:val="0"/>
        </w:rPr>
        <w:t>.</w:t>
      </w:r>
      <w:r>
        <w:rPr>
          <w:snapToGrid w:val="0"/>
        </w:rPr>
        <w:tab/>
        <w:t>How far a party may discredit his own witness</w:t>
      </w:r>
      <w:bookmarkEnd w:id="32"/>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189889543"/>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189889544"/>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189889545"/>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189889546"/>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189889547"/>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 w:name="_Toc189889548"/>
      <w:r>
        <w:rPr>
          <w:rStyle w:val="CharSectno"/>
        </w:rPr>
        <w:t>25A</w:t>
      </w:r>
      <w:r>
        <w:t>.</w:t>
      </w:r>
      <w:r>
        <w:tab/>
        <w:t>Cross</w:t>
      </w:r>
      <w:r>
        <w:noBreakHyphen/>
        <w:t>examination by accused in person</w:t>
      </w:r>
      <w:bookmarkEnd w:id="38"/>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189889549"/>
      <w:r>
        <w:rPr>
          <w:rStyle w:val="CharSectno"/>
        </w:rPr>
        <w:t>26</w:t>
      </w:r>
      <w:r>
        <w:t>.</w:t>
      </w:r>
      <w:r>
        <w:tab/>
        <w:t>Improper questions</w:t>
      </w:r>
      <w:bookmarkEnd w:id="3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0" w:name="_Toc189889550"/>
      <w:r>
        <w:rPr>
          <w:rStyle w:val="CharSectno"/>
        </w:rPr>
        <w:t>27</w:t>
      </w:r>
      <w:r>
        <w:rPr>
          <w:snapToGrid w:val="0"/>
        </w:rPr>
        <w:t>.</w:t>
      </w:r>
      <w:r>
        <w:rPr>
          <w:snapToGrid w:val="0"/>
        </w:rPr>
        <w:tab/>
        <w:t>Prohibited questions not to be published</w:t>
      </w:r>
      <w:bookmarkEnd w:id="4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189889551"/>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189889552"/>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3" w:name="_Toc189889553"/>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189889554"/>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189889555"/>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189889556"/>
      <w:r>
        <w:rPr>
          <w:rStyle w:val="CharSectno"/>
        </w:rPr>
        <w:t>31A</w:t>
      </w:r>
      <w:r>
        <w:t>.</w:t>
      </w:r>
      <w:r>
        <w:tab/>
        <w:t>Propensity and relationship evidence</w:t>
      </w:r>
      <w:bookmarkEnd w:id="46"/>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7" w:name="_Toc189889557"/>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 w:name="_Toc189889558"/>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49" w:name="_Toc189889559"/>
      <w:r>
        <w:rPr>
          <w:rStyle w:val="CharSectno"/>
        </w:rPr>
        <w:t>35</w:t>
      </w:r>
      <w:r>
        <w:rPr>
          <w:snapToGrid w:val="0"/>
        </w:rPr>
        <w:t>.</w:t>
      </w:r>
      <w:r>
        <w:rPr>
          <w:snapToGrid w:val="0"/>
        </w:rPr>
        <w:tab/>
        <w:t>Perjury charge, corroboration not required</w:t>
      </w:r>
      <w:bookmarkEnd w:id="49"/>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0" w:name="_Toc189889560"/>
      <w:r>
        <w:rPr>
          <w:rStyle w:val="CharSectno"/>
        </w:rPr>
        <w:t>36</w:t>
      </w:r>
      <w:r>
        <w:rPr>
          <w:snapToGrid w:val="0"/>
        </w:rPr>
        <w:t>.</w:t>
      </w:r>
      <w:r>
        <w:rPr>
          <w:snapToGrid w:val="0"/>
        </w:rPr>
        <w:tab/>
        <w:t>Perjury charge, proof of trial etc.</w:t>
      </w:r>
      <w:bookmarkEnd w:id="5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1" w:name="_Toc189889561"/>
      <w:r>
        <w:rPr>
          <w:rStyle w:val="CharSectno"/>
        </w:rPr>
        <w:t>36A</w:t>
      </w:r>
      <w:r>
        <w:rPr>
          <w:snapToGrid w:val="0"/>
        </w:rPr>
        <w:t>.</w:t>
      </w:r>
      <w:r>
        <w:rPr>
          <w:snapToGrid w:val="0"/>
        </w:rPr>
        <w:tab/>
        <w:t>Terms used in s. 36A to 36C</w:t>
      </w:r>
      <w:bookmarkEnd w:id="51"/>
    </w:p>
    <w:p>
      <w:pPr>
        <w:pStyle w:val="Subsection"/>
        <w:rPr>
          <w:snapToGrid w:val="0"/>
        </w:rPr>
      </w:pPr>
      <w:r>
        <w:rPr>
          <w:snapToGrid w:val="0"/>
        </w:rPr>
        <w:tab/>
        <w:t>(1)</w:t>
      </w:r>
      <w:r>
        <w:rPr>
          <w:snapToGrid w:val="0"/>
        </w:rPr>
        <w:tab/>
        <w:t>In this section and in sections 36B, 36BA, 36BC, 36BD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w:t>
      </w:r>
    </w:p>
    <w:p>
      <w:pPr>
        <w:pStyle w:val="Heading5"/>
        <w:rPr>
          <w:snapToGrid w:val="0"/>
        </w:rPr>
      </w:pPr>
      <w:bookmarkStart w:id="52" w:name="_Toc189889562"/>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189889563"/>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189889564"/>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189889565"/>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Ednotesection"/>
      </w:pPr>
      <w:r>
        <w:t>[</w:t>
      </w:r>
      <w:r>
        <w:rPr>
          <w:b/>
        </w:rPr>
        <w:t>36BE</w:t>
      </w:r>
      <w:r>
        <w:rPr>
          <w:b/>
          <w:bCs/>
        </w:rPr>
        <w:t>.</w:t>
      </w:r>
      <w:r>
        <w:tab/>
        <w:t>Repealed by No. 70 of 1988 s. 39.]</w:t>
      </w:r>
    </w:p>
    <w:p>
      <w:pPr>
        <w:pStyle w:val="Heading5"/>
        <w:rPr>
          <w:snapToGrid w:val="0"/>
        </w:rPr>
      </w:pPr>
      <w:bookmarkStart w:id="56" w:name="_Toc189889566"/>
      <w:r>
        <w:rPr>
          <w:rStyle w:val="CharSectno"/>
        </w:rPr>
        <w:t>36C</w:t>
      </w:r>
      <w:r>
        <w:rPr>
          <w:snapToGrid w:val="0"/>
        </w:rPr>
        <w:t>.</w:t>
      </w:r>
      <w:r>
        <w:rPr>
          <w:snapToGrid w:val="0"/>
        </w:rPr>
        <w:tab/>
        <w:t>Names of complainants not to be published</w:t>
      </w:r>
      <w:bookmarkEnd w:id="56"/>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7" w:name="_Toc189889567"/>
      <w:r>
        <w:rPr>
          <w:rStyle w:val="CharSectno"/>
        </w:rPr>
        <w:t>40</w:t>
      </w:r>
      <w:r>
        <w:rPr>
          <w:snapToGrid w:val="0"/>
        </w:rPr>
        <w:t>.</w:t>
      </w:r>
      <w:r>
        <w:rPr>
          <w:snapToGrid w:val="0"/>
        </w:rPr>
        <w:tab/>
        <w:t>Customs prosecutions, effect of averments in</w:t>
      </w:r>
      <w:bookmarkEnd w:id="5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58" w:name="_Toc189889568"/>
      <w:r>
        <w:rPr>
          <w:rStyle w:val="CharSectno"/>
        </w:rPr>
        <w:t>41</w:t>
      </w:r>
      <w:r>
        <w:rPr>
          <w:snapToGrid w:val="0"/>
        </w:rPr>
        <w:t>.</w:t>
      </w:r>
      <w:r>
        <w:rPr>
          <w:snapToGrid w:val="0"/>
        </w:rPr>
        <w:tab/>
        <w:t>Customs prosecutions, proof of appointment of officers</w:t>
      </w:r>
      <w:bookmarkEnd w:id="5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59" w:name="_Toc189889569"/>
      <w:r>
        <w:rPr>
          <w:rStyle w:val="CharSectno"/>
        </w:rPr>
        <w:t>41A</w:t>
      </w:r>
      <w:r>
        <w:rPr>
          <w:snapToGrid w:val="0"/>
        </w:rPr>
        <w:t>.</w:t>
      </w:r>
      <w:r>
        <w:rPr>
          <w:snapToGrid w:val="0"/>
        </w:rPr>
        <w:tab/>
        <w:t>Stealing and receiving charges, evidence of ownership of property stolen from ships, wharves, etc.</w:t>
      </w:r>
      <w:bookmarkEnd w:id="5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0" w:name="_Toc189889570"/>
      <w:r>
        <w:rPr>
          <w:rStyle w:val="CharSectno"/>
        </w:rPr>
        <w:t>42</w:t>
      </w:r>
      <w:r>
        <w:rPr>
          <w:snapToGrid w:val="0"/>
        </w:rPr>
        <w:t>.</w:t>
      </w:r>
      <w:r>
        <w:rPr>
          <w:snapToGrid w:val="0"/>
        </w:rPr>
        <w:tab/>
        <w:t>Evidence on trial for defamation</w:t>
      </w:r>
      <w:bookmarkEnd w:id="60"/>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1" w:name="_Toc189889571"/>
      <w:r>
        <w:rPr>
          <w:rStyle w:val="CharSectno"/>
        </w:rPr>
        <w:t>44</w:t>
      </w:r>
      <w:r>
        <w:rPr>
          <w:snapToGrid w:val="0"/>
        </w:rPr>
        <w:t>.</w:t>
      </w:r>
      <w:r>
        <w:rPr>
          <w:snapToGrid w:val="0"/>
        </w:rPr>
        <w:tab/>
        <w:t>Stealing charges, proof of receipt of money by accused, proof of general deficiency</w:t>
      </w:r>
      <w:bookmarkEnd w:id="61"/>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2" w:name="_Toc189889572"/>
      <w:r>
        <w:rPr>
          <w:rStyle w:val="CharSectno"/>
        </w:rPr>
        <w:t>45</w:t>
      </w:r>
      <w:r>
        <w:rPr>
          <w:snapToGrid w:val="0"/>
        </w:rPr>
        <w:t>.</w:t>
      </w:r>
      <w:r>
        <w:rPr>
          <w:snapToGrid w:val="0"/>
        </w:rPr>
        <w:tab/>
        <w:t>Seals and stamps for the revenue or post office, proof of</w:t>
      </w:r>
      <w:bookmarkEnd w:id="62"/>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3" w:name="_Toc189889573"/>
      <w:r>
        <w:rPr>
          <w:rStyle w:val="CharSectno"/>
        </w:rPr>
        <w:t>46</w:t>
      </w:r>
      <w:r>
        <w:rPr>
          <w:snapToGrid w:val="0"/>
        </w:rPr>
        <w:t>.</w:t>
      </w:r>
      <w:r>
        <w:rPr>
          <w:snapToGrid w:val="0"/>
        </w:rPr>
        <w:tab/>
        <w:t>Receiving charges, proof of knowledge that goods were stolen</w:t>
      </w:r>
      <w:bookmarkEnd w:id="63"/>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4" w:name="_Toc189889574"/>
      <w:r>
        <w:rPr>
          <w:rStyle w:val="CharSectno"/>
        </w:rPr>
        <w:t>46A</w:t>
      </w:r>
      <w:r>
        <w:rPr>
          <w:snapToGrid w:val="0"/>
        </w:rPr>
        <w:t>.</w:t>
      </w:r>
      <w:r>
        <w:rPr>
          <w:snapToGrid w:val="0"/>
        </w:rPr>
        <w:tab/>
        <w:t>Sunrise and sunset, proof of</w:t>
      </w:r>
      <w:bookmarkEnd w:id="64"/>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5" w:name="_Toc189889575"/>
      <w:r>
        <w:rPr>
          <w:rStyle w:val="CharSectno"/>
        </w:rPr>
        <w:t>47</w:t>
      </w:r>
      <w:r>
        <w:rPr>
          <w:snapToGrid w:val="0"/>
        </w:rPr>
        <w:t>.</w:t>
      </w:r>
      <w:r>
        <w:rPr>
          <w:snapToGrid w:val="0"/>
        </w:rPr>
        <w:tab/>
        <w:t>Conviction, acquittal and identity, proof of</w:t>
      </w:r>
      <w:bookmarkEnd w:id="65"/>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6" w:name="_Toc189889576"/>
      <w:r>
        <w:rPr>
          <w:rStyle w:val="CharSectno"/>
        </w:rPr>
        <w:t>49</w:t>
      </w:r>
      <w:r>
        <w:rPr>
          <w:snapToGrid w:val="0"/>
        </w:rPr>
        <w:t>.</w:t>
      </w:r>
      <w:r>
        <w:rPr>
          <w:snapToGrid w:val="0"/>
        </w:rPr>
        <w:tab/>
        <w:t>Actions for seduction</w:t>
      </w:r>
      <w:bookmarkEnd w:id="66"/>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7" w:name="_Toc189889577"/>
      <w:r>
        <w:rPr>
          <w:rStyle w:val="CharSectno"/>
        </w:rPr>
        <w:t>50</w:t>
      </w:r>
      <w:r>
        <w:rPr>
          <w:snapToGrid w:val="0"/>
        </w:rPr>
        <w:t>.</w:t>
      </w:r>
      <w:r>
        <w:rPr>
          <w:snapToGrid w:val="0"/>
        </w:rPr>
        <w:tab/>
        <w:t>Corroboration warnings not generally required</w:t>
      </w:r>
      <w:bookmarkEnd w:id="67"/>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68" w:name="_Toc189889578"/>
      <w:r>
        <w:rPr>
          <w:rStyle w:val="CharSectno"/>
        </w:rPr>
        <w:t>50A</w:t>
      </w:r>
      <w:r>
        <w:t>.</w:t>
      </w:r>
      <w:r>
        <w:tab/>
        <w:t>Transcripts, proof of</w:t>
      </w:r>
      <w:bookmarkEnd w:id="6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69" w:name="_Toc189889579"/>
      <w:r>
        <w:rPr>
          <w:rStyle w:val="CharSectno"/>
        </w:rPr>
        <w:t>50B</w:t>
      </w:r>
      <w:r>
        <w:t>.</w:t>
      </w:r>
      <w:r>
        <w:tab/>
        <w:t>DNA evidentiary certificate</w:t>
      </w:r>
      <w:bookmarkEnd w:id="69"/>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0" w:name="_Toc189889580"/>
      <w:r>
        <w:rPr>
          <w:rStyle w:val="CharSectno"/>
        </w:rPr>
        <w:t>51</w:t>
      </w:r>
      <w:r>
        <w:rPr>
          <w:snapToGrid w:val="0"/>
        </w:rPr>
        <w:t>.</w:t>
      </w:r>
      <w:r>
        <w:rPr>
          <w:snapToGrid w:val="0"/>
        </w:rPr>
        <w:tab/>
        <w:t>Prisoner required to give evidence may be brought up on order</w:t>
      </w:r>
      <w:bookmarkEnd w:id="70"/>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1" w:name="_Toc189889581"/>
      <w:r>
        <w:rPr>
          <w:rStyle w:val="CharSectno"/>
        </w:rPr>
        <w:t>52</w:t>
      </w:r>
      <w:r>
        <w:rPr>
          <w:snapToGrid w:val="0"/>
        </w:rPr>
        <w:t>.</w:t>
      </w:r>
      <w:r>
        <w:rPr>
          <w:snapToGrid w:val="0"/>
        </w:rPr>
        <w:tab/>
        <w:t>Expense of bringing up prisoner</w:t>
      </w:r>
      <w:bookmarkEnd w:id="71"/>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2" w:name="_Toc189889582"/>
      <w:r>
        <w:rPr>
          <w:rStyle w:val="CharSectno"/>
        </w:rPr>
        <w:t>53</w:t>
      </w:r>
      <w:r>
        <w:rPr>
          <w:snapToGrid w:val="0"/>
        </w:rPr>
        <w:t>.</w:t>
      </w:r>
      <w:r>
        <w:rPr>
          <w:snapToGrid w:val="0"/>
        </w:rPr>
        <w:tab/>
        <w:t>Commonwealth and States etc., and their Acts to be judicially noticed</w:t>
      </w:r>
      <w:bookmarkEnd w:id="72"/>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3" w:name="_Toc189889583"/>
      <w:r>
        <w:rPr>
          <w:rStyle w:val="CharSectno"/>
        </w:rPr>
        <w:t>54</w:t>
      </w:r>
      <w:r>
        <w:rPr>
          <w:snapToGrid w:val="0"/>
        </w:rPr>
        <w:t>.</w:t>
      </w:r>
      <w:r>
        <w:rPr>
          <w:snapToGrid w:val="0"/>
        </w:rPr>
        <w:tab/>
        <w:t>Seals of the Commonwealth and States to be judicially noticed</w:t>
      </w:r>
      <w:bookmarkEnd w:id="73"/>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4" w:name="_Toc189889584"/>
      <w:r>
        <w:rPr>
          <w:rStyle w:val="CharSectno"/>
        </w:rPr>
        <w:t>55</w:t>
      </w:r>
      <w:r>
        <w:rPr>
          <w:snapToGrid w:val="0"/>
        </w:rPr>
        <w:t>.</w:t>
      </w:r>
      <w:r>
        <w:rPr>
          <w:snapToGrid w:val="0"/>
        </w:rPr>
        <w:tab/>
        <w:t>Official seals to be judicially noticed</w:t>
      </w:r>
      <w:bookmarkEnd w:id="74"/>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5" w:name="_Toc189889585"/>
      <w:r>
        <w:rPr>
          <w:rStyle w:val="CharSectno"/>
        </w:rPr>
        <w:t>56</w:t>
      </w:r>
      <w:r>
        <w:rPr>
          <w:snapToGrid w:val="0"/>
        </w:rPr>
        <w:t>.</w:t>
      </w:r>
      <w:r>
        <w:rPr>
          <w:snapToGrid w:val="0"/>
        </w:rPr>
        <w:tab/>
        <w:t>Certain signatures to be judicially noticed</w:t>
      </w:r>
      <w:bookmarkEnd w:id="75"/>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6" w:name="_Toc189889586"/>
      <w:r>
        <w:rPr>
          <w:rStyle w:val="CharSectno"/>
        </w:rPr>
        <w:t>57</w:t>
      </w:r>
      <w:r>
        <w:rPr>
          <w:snapToGrid w:val="0"/>
        </w:rPr>
        <w:t>.</w:t>
      </w:r>
      <w:r>
        <w:rPr>
          <w:snapToGrid w:val="0"/>
        </w:rPr>
        <w:tab/>
        <w:t>United Kingdom proclamations, regulations etc., proof of</w:t>
      </w:r>
      <w:bookmarkEnd w:id="76"/>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7" w:name="_Toc189889587"/>
      <w:r>
        <w:rPr>
          <w:rStyle w:val="CharSectno"/>
        </w:rPr>
        <w:t>58</w:t>
      </w:r>
      <w:r>
        <w:rPr>
          <w:snapToGrid w:val="0"/>
        </w:rPr>
        <w:t>.</w:t>
      </w:r>
      <w:r>
        <w:rPr>
          <w:snapToGrid w:val="0"/>
        </w:rPr>
        <w:tab/>
        <w:t>Australasian proclamations, regulations etc., proof of</w:t>
      </w:r>
      <w:bookmarkEnd w:id="77"/>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78" w:name="_Toc18988958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78"/>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79" w:name="_Toc189889589"/>
      <w:r>
        <w:rPr>
          <w:rStyle w:val="CharSectno"/>
        </w:rPr>
        <w:t>60</w:t>
      </w:r>
      <w:r>
        <w:rPr>
          <w:snapToGrid w:val="0"/>
        </w:rPr>
        <w:t>.</w:t>
      </w:r>
      <w:r>
        <w:rPr>
          <w:snapToGrid w:val="0"/>
        </w:rPr>
        <w:tab/>
        <w:t>Australian States’ proclamations and acts of State, proof of</w:t>
      </w:r>
      <w:bookmarkEnd w:id="79"/>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0" w:name="_Toc189889590"/>
      <w:r>
        <w:rPr>
          <w:rStyle w:val="CharSectno"/>
        </w:rPr>
        <w:t>61</w:t>
      </w:r>
      <w:r>
        <w:rPr>
          <w:snapToGrid w:val="0"/>
        </w:rPr>
        <w:t>.</w:t>
      </w:r>
      <w:r>
        <w:rPr>
          <w:snapToGrid w:val="0"/>
        </w:rPr>
        <w:tab/>
        <w:t>WA proclamations, regulations etc., proof of</w:t>
      </w:r>
      <w:bookmarkEnd w:id="80"/>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1" w:name="_Toc189889591"/>
      <w:r>
        <w:rPr>
          <w:rStyle w:val="CharSectno"/>
        </w:rPr>
        <w:t>62</w:t>
      </w:r>
      <w:r>
        <w:rPr>
          <w:snapToGrid w:val="0"/>
        </w:rPr>
        <w:t>.</w:t>
      </w:r>
      <w:r>
        <w:rPr>
          <w:snapToGrid w:val="0"/>
        </w:rPr>
        <w:tab/>
        <w:t>Documents admissible in the United Kingdom etc. to be admissible in WA</w:t>
      </w:r>
      <w:bookmarkEnd w:id="81"/>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2" w:name="_Toc189889592"/>
      <w:r>
        <w:rPr>
          <w:rStyle w:val="CharSectno"/>
        </w:rPr>
        <w:t>63</w:t>
      </w:r>
      <w:r>
        <w:rPr>
          <w:snapToGrid w:val="0"/>
        </w:rPr>
        <w:t>.</w:t>
      </w:r>
      <w:r>
        <w:rPr>
          <w:snapToGrid w:val="0"/>
        </w:rPr>
        <w:tab/>
        <w:t>Foreign States’ proclamations, acts of State etc., proof of</w:t>
      </w:r>
      <w:bookmarkEnd w:id="82"/>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3" w:name="_Toc189889593"/>
      <w:r>
        <w:rPr>
          <w:rStyle w:val="CharSectno"/>
        </w:rPr>
        <w:t>64</w:t>
      </w:r>
      <w:r>
        <w:rPr>
          <w:snapToGrid w:val="0"/>
        </w:rPr>
        <w:t>.</w:t>
      </w:r>
      <w:r>
        <w:rPr>
          <w:snapToGrid w:val="0"/>
        </w:rPr>
        <w:tab/>
        <w:t>Foreign States’ proclamations etc. admissible even if not sealed</w:t>
      </w:r>
      <w:bookmarkEnd w:id="83"/>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4" w:name="_Toc189889594"/>
      <w:r>
        <w:rPr>
          <w:rStyle w:val="CharSectno"/>
        </w:rPr>
        <w:t>65</w:t>
      </w:r>
      <w:r>
        <w:rPr>
          <w:snapToGrid w:val="0"/>
        </w:rPr>
        <w:t>.</w:t>
      </w:r>
      <w:r>
        <w:rPr>
          <w:snapToGrid w:val="0"/>
        </w:rPr>
        <w:tab/>
        <w:t>Copies of public documents admissible in some cases</w:t>
      </w:r>
      <w:bookmarkEnd w:id="84"/>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5" w:name="_Toc189889595"/>
      <w:r>
        <w:rPr>
          <w:rStyle w:val="CharSectno"/>
        </w:rPr>
        <w:t>65A</w:t>
      </w:r>
      <w:r>
        <w:rPr>
          <w:snapToGrid w:val="0"/>
        </w:rPr>
        <w:t>.</w:t>
      </w:r>
      <w:r>
        <w:rPr>
          <w:snapToGrid w:val="0"/>
        </w:rPr>
        <w:tab/>
        <w:t>Certified photographs from library admissible</w:t>
      </w:r>
      <w:bookmarkEnd w:id="85"/>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6" w:name="_Toc189889596"/>
      <w:r>
        <w:rPr>
          <w:rStyle w:val="CharSectno"/>
        </w:rPr>
        <w:t>66</w:t>
      </w:r>
      <w:r>
        <w:rPr>
          <w:snapToGrid w:val="0"/>
        </w:rPr>
        <w:t>.</w:t>
      </w:r>
      <w:r>
        <w:rPr>
          <w:snapToGrid w:val="0"/>
        </w:rPr>
        <w:tab/>
        <w:t>Parliamentary proceedings in Australasia, proof of</w:t>
      </w:r>
      <w:bookmarkEnd w:id="86"/>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7" w:name="_Toc189889597"/>
      <w:r>
        <w:rPr>
          <w:rStyle w:val="CharSectno"/>
        </w:rPr>
        <w:t>67</w:t>
      </w:r>
      <w:r>
        <w:rPr>
          <w:snapToGrid w:val="0"/>
        </w:rPr>
        <w:t>.</w:t>
      </w:r>
      <w:r>
        <w:rPr>
          <w:snapToGrid w:val="0"/>
        </w:rPr>
        <w:tab/>
        <w:t>Certain documents admissible without proof of signature, seal etc.</w:t>
      </w:r>
      <w:bookmarkEnd w:id="87"/>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88" w:name="_Toc189889598"/>
      <w:r>
        <w:rPr>
          <w:rStyle w:val="CharSectno"/>
        </w:rPr>
        <w:t>68</w:t>
      </w:r>
      <w:r>
        <w:rPr>
          <w:snapToGrid w:val="0"/>
        </w:rPr>
        <w:t>.</w:t>
      </w:r>
      <w:r>
        <w:rPr>
          <w:snapToGrid w:val="0"/>
        </w:rPr>
        <w:tab/>
        <w:t>Register of British vessels etc., proof of</w:t>
      </w:r>
      <w:bookmarkEnd w:id="88"/>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89" w:name="_Toc189889599"/>
      <w:r>
        <w:rPr>
          <w:rStyle w:val="CharSectno"/>
        </w:rPr>
        <w:t>69</w:t>
      </w:r>
      <w:r>
        <w:rPr>
          <w:snapToGrid w:val="0"/>
        </w:rPr>
        <w:t>.</w:t>
      </w:r>
      <w:r>
        <w:rPr>
          <w:snapToGrid w:val="0"/>
        </w:rPr>
        <w:tab/>
        <w:t>Newspaper proprietors, proof of register of</w:t>
      </w:r>
      <w:bookmarkEnd w:id="8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0" w:name="_Toc189889600"/>
      <w:r>
        <w:rPr>
          <w:rStyle w:val="CharSectno"/>
        </w:rPr>
        <w:t>69A</w:t>
      </w:r>
      <w:r>
        <w:rPr>
          <w:snapToGrid w:val="0"/>
        </w:rPr>
        <w:t>.</w:t>
      </w:r>
      <w:r>
        <w:rPr>
          <w:snapToGrid w:val="0"/>
        </w:rPr>
        <w:tab/>
        <w:t>WA registers, proof of</w:t>
      </w:r>
      <w:bookmarkEnd w:id="90"/>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1" w:name="_Toc189889601"/>
      <w:r>
        <w:rPr>
          <w:rStyle w:val="CharSectno"/>
        </w:rPr>
        <w:t>70</w:t>
      </w:r>
      <w:r>
        <w:rPr>
          <w:snapToGrid w:val="0"/>
        </w:rPr>
        <w:t>.</w:t>
      </w:r>
      <w:r>
        <w:rPr>
          <w:snapToGrid w:val="0"/>
        </w:rPr>
        <w:tab/>
        <w:t>Statutes etc. of any country, proof of</w:t>
      </w:r>
      <w:bookmarkEnd w:id="91"/>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2" w:name="_Toc189889602"/>
      <w:r>
        <w:rPr>
          <w:rStyle w:val="CharSectno"/>
        </w:rPr>
        <w:t>71</w:t>
      </w:r>
      <w:r>
        <w:rPr>
          <w:snapToGrid w:val="0"/>
        </w:rPr>
        <w:t>.</w:t>
      </w:r>
      <w:r>
        <w:rPr>
          <w:snapToGrid w:val="0"/>
        </w:rPr>
        <w:tab/>
        <w:t>Certain law reports and texts may be referred to as evidence of laws</w:t>
      </w:r>
      <w:bookmarkEnd w:id="92"/>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3" w:name="_Toc189889603"/>
      <w:r>
        <w:rPr>
          <w:rStyle w:val="CharSectno"/>
        </w:rPr>
        <w:t>72</w:t>
      </w:r>
      <w:r>
        <w:rPr>
          <w:snapToGrid w:val="0"/>
        </w:rPr>
        <w:t>.</w:t>
      </w:r>
      <w:r>
        <w:rPr>
          <w:snapToGrid w:val="0"/>
        </w:rPr>
        <w:tab/>
        <w:t>Authoritative texts on history, science etc., reference to</w:t>
      </w:r>
      <w:bookmarkEnd w:id="93"/>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4" w:name="_Toc189889604"/>
      <w:r>
        <w:rPr>
          <w:rStyle w:val="CharSectno"/>
        </w:rPr>
        <w:t>73</w:t>
      </w:r>
      <w:r>
        <w:rPr>
          <w:snapToGrid w:val="0"/>
        </w:rPr>
        <w:t>.</w:t>
      </w:r>
      <w:r>
        <w:rPr>
          <w:snapToGrid w:val="0"/>
        </w:rPr>
        <w:tab/>
        <w:t>Documents admitted into evidence may be impounded</w:t>
      </w:r>
      <w:bookmarkEnd w:id="94"/>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5" w:name="_Toc189889605"/>
      <w:r>
        <w:rPr>
          <w:rStyle w:val="CharSectno"/>
        </w:rPr>
        <w:t>73A</w:t>
      </w:r>
      <w:r>
        <w:t>.</w:t>
      </w:r>
      <w:r>
        <w:tab/>
        <w:t>Reproductions admissible (best evidence rule modified)</w:t>
      </w:r>
      <w:bookmarkEnd w:id="95"/>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6" w:name="_Toc189889606"/>
      <w:r>
        <w:rPr>
          <w:rStyle w:val="CharSectno"/>
        </w:rPr>
        <w:t>73B</w:t>
      </w:r>
      <w:r>
        <w:rPr>
          <w:snapToGrid w:val="0"/>
        </w:rPr>
        <w:t>.</w:t>
      </w:r>
      <w:r>
        <w:rPr>
          <w:snapToGrid w:val="0"/>
        </w:rPr>
        <w:tab/>
        <w:t>Certified reproductions of certain public documents etc., admissible without further proof</w:t>
      </w:r>
      <w:bookmarkEnd w:id="96"/>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7" w:name="_Toc189889607"/>
      <w:r>
        <w:rPr>
          <w:rStyle w:val="CharSectno"/>
        </w:rPr>
        <w:t>73N</w:t>
      </w:r>
      <w:r>
        <w:rPr>
          <w:snapToGrid w:val="0"/>
        </w:rPr>
        <w:t>.</w:t>
      </w:r>
      <w:r>
        <w:rPr>
          <w:snapToGrid w:val="0"/>
        </w:rPr>
        <w:tab/>
        <w:t>Reproductions of documents over 30 years old, presumptions as to</w:t>
      </w:r>
      <w:bookmarkEnd w:id="97"/>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98" w:name="_Toc189889608"/>
      <w:r>
        <w:rPr>
          <w:rStyle w:val="CharSectno"/>
        </w:rPr>
        <w:t>73Q</w:t>
      </w:r>
      <w:r>
        <w:rPr>
          <w:snapToGrid w:val="0"/>
        </w:rPr>
        <w:t>.</w:t>
      </w:r>
      <w:r>
        <w:rPr>
          <w:snapToGrid w:val="0"/>
        </w:rPr>
        <w:tab/>
        <w:t>Reproduced official seals and signatures to be judicially noticed</w:t>
      </w:r>
      <w:bookmarkEnd w:id="98"/>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99" w:name="_Toc189889609"/>
      <w:r>
        <w:rPr>
          <w:rStyle w:val="CharSectno"/>
        </w:rPr>
        <w:t>73U</w:t>
      </w:r>
      <w:r>
        <w:rPr>
          <w:snapToGrid w:val="0"/>
        </w:rPr>
        <w:t>.</w:t>
      </w:r>
      <w:r>
        <w:rPr>
          <w:snapToGrid w:val="0"/>
        </w:rPr>
        <w:tab/>
        <w:t xml:space="preserve">Reproduction admissible subject to </w:t>
      </w:r>
      <w:r>
        <w:rPr>
          <w:i/>
          <w:snapToGrid w:val="0"/>
        </w:rPr>
        <w:t>Stamp Act 1921</w:t>
      </w:r>
      <w:bookmarkEnd w:id="99"/>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0" w:name="_Toc189889610"/>
      <w:r>
        <w:rPr>
          <w:rStyle w:val="CharSectno"/>
        </w:rPr>
        <w:t>74</w:t>
      </w:r>
      <w:r>
        <w:rPr>
          <w:snapToGrid w:val="0"/>
        </w:rPr>
        <w:t>.</w:t>
      </w:r>
      <w:r>
        <w:rPr>
          <w:snapToGrid w:val="0"/>
        </w:rPr>
        <w:tab/>
        <w:t>Gazettes of certain places, proof of</w:t>
      </w:r>
      <w:bookmarkEnd w:id="100"/>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1" w:name="_Toc189889611"/>
      <w:r>
        <w:rPr>
          <w:rStyle w:val="CharSectno"/>
        </w:rPr>
        <w:t>75</w:t>
      </w:r>
      <w:r>
        <w:rPr>
          <w:snapToGrid w:val="0"/>
        </w:rPr>
        <w:t>.</w:t>
      </w:r>
      <w:r>
        <w:rPr>
          <w:snapToGrid w:val="0"/>
        </w:rPr>
        <w:tab/>
        <w:t>Government Printers’ publications, proof of</w:t>
      </w:r>
      <w:bookmarkEnd w:id="101"/>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2" w:name="_Toc189889612"/>
      <w:r>
        <w:rPr>
          <w:rStyle w:val="CharSectno"/>
        </w:rPr>
        <w:t>76</w:t>
      </w:r>
      <w:r>
        <w:rPr>
          <w:snapToGrid w:val="0"/>
        </w:rPr>
        <w:t>.</w:t>
      </w:r>
      <w:r>
        <w:rPr>
          <w:snapToGrid w:val="0"/>
        </w:rPr>
        <w:tab/>
        <w:t>Her Majesty’s Stationery Office publications, status of</w:t>
      </w:r>
      <w:bookmarkEnd w:id="102"/>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3" w:name="_Toc189889613"/>
      <w:r>
        <w:rPr>
          <w:rStyle w:val="CharSectno"/>
        </w:rPr>
        <w:t>77</w:t>
      </w:r>
      <w:r>
        <w:rPr>
          <w:snapToGrid w:val="0"/>
        </w:rPr>
        <w:t>.</w:t>
      </w:r>
      <w:r>
        <w:rPr>
          <w:snapToGrid w:val="0"/>
        </w:rPr>
        <w:tab/>
        <w:t>Acts of governors and ministers of States, proof of</w:t>
      </w:r>
      <w:bookmarkEnd w:id="103"/>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4" w:name="_Toc189889614"/>
      <w:r>
        <w:rPr>
          <w:rStyle w:val="CharSectno"/>
        </w:rPr>
        <w:t>78</w:t>
      </w:r>
      <w:r>
        <w:rPr>
          <w:snapToGrid w:val="0"/>
        </w:rPr>
        <w:t>.</w:t>
      </w:r>
      <w:r>
        <w:rPr>
          <w:snapToGrid w:val="0"/>
        </w:rPr>
        <w:tab/>
        <w:t>Local laws, by</w:t>
      </w:r>
      <w:r>
        <w:rPr>
          <w:snapToGrid w:val="0"/>
        </w:rPr>
        <w:noBreakHyphen/>
        <w:t>laws and regulations, proof of</w:t>
      </w:r>
      <w:bookmarkEnd w:id="104"/>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5" w:name="_Toc189889615"/>
      <w:r>
        <w:rPr>
          <w:rStyle w:val="CharSectno"/>
        </w:rPr>
        <w:t>79</w:t>
      </w:r>
      <w:r>
        <w:rPr>
          <w:snapToGrid w:val="0"/>
        </w:rPr>
        <w:t>.</w:t>
      </w:r>
      <w:r>
        <w:rPr>
          <w:snapToGrid w:val="0"/>
        </w:rPr>
        <w:tab/>
        <w:t>Incorporation of a company, proof of</w:t>
      </w:r>
      <w:bookmarkEnd w:id="105"/>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6" w:name="_Toc189889616"/>
      <w:r>
        <w:rPr>
          <w:rStyle w:val="CharSectno"/>
        </w:rPr>
        <w:t>79A</w:t>
      </w:r>
      <w:r>
        <w:rPr>
          <w:snapToGrid w:val="0"/>
        </w:rPr>
        <w:t>.</w:t>
      </w:r>
      <w:r>
        <w:rPr>
          <w:snapToGrid w:val="0"/>
        </w:rPr>
        <w:tab/>
        <w:t>Document requiring attestation, proof of</w:t>
      </w:r>
      <w:bookmarkEnd w:id="106"/>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7" w:name="_Toc189889617"/>
      <w:r>
        <w:rPr>
          <w:rStyle w:val="CharSectno"/>
        </w:rPr>
        <w:t>79B</w:t>
      </w:r>
      <w:r>
        <w:rPr>
          <w:snapToGrid w:val="0"/>
        </w:rPr>
        <w:t>.</w:t>
      </w:r>
      <w:r>
        <w:rPr>
          <w:snapToGrid w:val="0"/>
        </w:rPr>
        <w:tab/>
        <w:t>Terms used in s. 79B to 79G</w:t>
      </w:r>
      <w:bookmarkEnd w:id="107"/>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08" w:name="_Toc189889618"/>
      <w:r>
        <w:rPr>
          <w:rStyle w:val="CharSectno"/>
        </w:rPr>
        <w:t>79C</w:t>
      </w:r>
      <w:r>
        <w:rPr>
          <w:snapToGrid w:val="0"/>
        </w:rPr>
        <w:t>.</w:t>
      </w:r>
      <w:r>
        <w:rPr>
          <w:snapToGrid w:val="0"/>
        </w:rPr>
        <w:tab/>
        <w:t>Documentary evidence, admissibility of</w:t>
      </w:r>
      <w:bookmarkEnd w:id="108"/>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09" w:name="_Toc189889619"/>
      <w:r>
        <w:rPr>
          <w:rStyle w:val="CharSectno"/>
        </w:rPr>
        <w:t>79D</w:t>
      </w:r>
      <w:r>
        <w:rPr>
          <w:snapToGrid w:val="0"/>
        </w:rPr>
        <w:t>.</w:t>
      </w:r>
      <w:r>
        <w:rPr>
          <w:snapToGrid w:val="0"/>
        </w:rPr>
        <w:tab/>
        <w:t>Evidence admitted under s. 79C, weight and effect of</w:t>
      </w:r>
      <w:bookmarkEnd w:id="109"/>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0" w:name="_Toc189889620"/>
      <w:r>
        <w:rPr>
          <w:rStyle w:val="CharSectno"/>
        </w:rPr>
        <w:t>79E</w:t>
      </w:r>
      <w:r>
        <w:rPr>
          <w:snapToGrid w:val="0"/>
        </w:rPr>
        <w:t>.</w:t>
      </w:r>
      <w:r>
        <w:rPr>
          <w:snapToGrid w:val="0"/>
        </w:rPr>
        <w:tab/>
        <w:t>Qualified person, evidence as to credibility of</w:t>
      </w:r>
      <w:bookmarkEnd w:id="110"/>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1" w:name="_Toc189889621"/>
      <w:r>
        <w:rPr>
          <w:rStyle w:val="CharSectno"/>
        </w:rPr>
        <w:t>79F</w:t>
      </w:r>
      <w:r>
        <w:rPr>
          <w:snapToGrid w:val="0"/>
        </w:rPr>
        <w:t>.</w:t>
      </w:r>
      <w:r>
        <w:rPr>
          <w:snapToGrid w:val="0"/>
        </w:rPr>
        <w:tab/>
        <w:t>Dispute as to happening of event</w:t>
      </w:r>
      <w:bookmarkEnd w:id="111"/>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2" w:name="_Toc189889622"/>
      <w:r>
        <w:rPr>
          <w:rStyle w:val="CharSectno"/>
        </w:rPr>
        <w:t>80</w:t>
      </w:r>
      <w:r>
        <w:rPr>
          <w:snapToGrid w:val="0"/>
        </w:rPr>
        <w:t>.</w:t>
      </w:r>
      <w:r>
        <w:rPr>
          <w:snapToGrid w:val="0"/>
        </w:rPr>
        <w:tab/>
        <w:t>Judgments, orders etc., proof of</w:t>
      </w:r>
      <w:bookmarkEnd w:id="112"/>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3" w:name="_Toc189889623"/>
      <w:r>
        <w:rPr>
          <w:rStyle w:val="CharSectno"/>
        </w:rPr>
        <w:t>81</w:t>
      </w:r>
      <w:r>
        <w:rPr>
          <w:snapToGrid w:val="0"/>
        </w:rPr>
        <w:t>.</w:t>
      </w:r>
      <w:r>
        <w:rPr>
          <w:snapToGrid w:val="0"/>
        </w:rPr>
        <w:tab/>
        <w:t>Documents properly authenticated to be given faith and credit</w:t>
      </w:r>
      <w:bookmarkEnd w:id="113"/>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4" w:name="_Toc189889624"/>
      <w:r>
        <w:rPr>
          <w:rStyle w:val="CharSectno"/>
        </w:rPr>
        <w:t>82</w:t>
      </w:r>
      <w:r>
        <w:rPr>
          <w:snapToGrid w:val="0"/>
        </w:rPr>
        <w:t>.</w:t>
      </w:r>
      <w:r>
        <w:rPr>
          <w:snapToGrid w:val="0"/>
        </w:rPr>
        <w:tab/>
        <w:t>Telegraphic messages, notice to admit may be given in civil proceedings</w:t>
      </w:r>
      <w:bookmarkEnd w:id="114"/>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5" w:name="_Toc189889625"/>
      <w:r>
        <w:rPr>
          <w:rStyle w:val="CharSectno"/>
        </w:rPr>
        <w:t>83</w:t>
      </w:r>
      <w:r>
        <w:rPr>
          <w:snapToGrid w:val="0"/>
        </w:rPr>
        <w:t>.</w:t>
      </w:r>
      <w:r>
        <w:rPr>
          <w:snapToGrid w:val="0"/>
        </w:rPr>
        <w:tab/>
        <w:t>Telegraphic messages, proof of sending of</w:t>
      </w:r>
      <w:bookmarkEnd w:id="115"/>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6" w:name="_Toc189889626"/>
      <w:r>
        <w:rPr>
          <w:rStyle w:val="CharSectno"/>
        </w:rPr>
        <w:t>84</w:t>
      </w:r>
      <w:r>
        <w:rPr>
          <w:snapToGrid w:val="0"/>
        </w:rPr>
        <w:t>.</w:t>
      </w:r>
      <w:r>
        <w:rPr>
          <w:snapToGrid w:val="0"/>
        </w:rPr>
        <w:tab/>
        <w:t>Telegraphic messages, proof of receipt of</w:t>
      </w:r>
      <w:bookmarkEnd w:id="116"/>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7" w:name="_Toc189889627"/>
      <w:r>
        <w:rPr>
          <w:rStyle w:val="CharSectno"/>
        </w:rPr>
        <w:t>85</w:t>
      </w:r>
      <w:r>
        <w:rPr>
          <w:snapToGrid w:val="0"/>
        </w:rPr>
        <w:t>.</w:t>
      </w:r>
      <w:r>
        <w:rPr>
          <w:snapToGrid w:val="0"/>
        </w:rPr>
        <w:tab/>
        <w:t>Official documents, procedure for sending by telegraph</w:t>
      </w:r>
      <w:bookmarkEnd w:id="117"/>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18" w:name="_Toc189889628"/>
      <w:r>
        <w:rPr>
          <w:rStyle w:val="CharSectno"/>
        </w:rPr>
        <w:t>86</w:t>
      </w:r>
      <w:r>
        <w:rPr>
          <w:snapToGrid w:val="0"/>
        </w:rPr>
        <w:t>.</w:t>
      </w:r>
      <w:r>
        <w:rPr>
          <w:snapToGrid w:val="0"/>
        </w:rPr>
        <w:tab/>
        <w:t>Copies so transmitted to be as valid as originals</w:t>
      </w:r>
      <w:bookmarkEnd w:id="118"/>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19" w:name="_Toc189889629"/>
      <w:r>
        <w:rPr>
          <w:rStyle w:val="CharSectno"/>
        </w:rPr>
        <w:t>87</w:t>
      </w:r>
      <w:r>
        <w:rPr>
          <w:snapToGrid w:val="0"/>
        </w:rPr>
        <w:t>.</w:t>
      </w:r>
      <w:r>
        <w:rPr>
          <w:snapToGrid w:val="0"/>
        </w:rPr>
        <w:tab/>
        <w:t>Original document may be inspected</w:t>
      </w:r>
      <w:bookmarkEnd w:id="119"/>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0" w:name="_Toc189889630"/>
      <w:r>
        <w:rPr>
          <w:rStyle w:val="CharSectno"/>
        </w:rPr>
        <w:t>88</w:t>
      </w:r>
      <w:r>
        <w:rPr>
          <w:snapToGrid w:val="0"/>
        </w:rPr>
        <w:t>.</w:t>
      </w:r>
      <w:r>
        <w:rPr>
          <w:snapToGrid w:val="0"/>
        </w:rPr>
        <w:tab/>
        <w:t>Penalty for false certificates</w:t>
      </w:r>
      <w:bookmarkEnd w:id="120"/>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1" w:name="_Toc189889631"/>
      <w:r>
        <w:rPr>
          <w:rStyle w:val="CharSectno"/>
        </w:rPr>
        <w:t>89</w:t>
      </w:r>
      <w:r>
        <w:rPr>
          <w:snapToGrid w:val="0"/>
        </w:rPr>
        <w:t>.</w:t>
      </w:r>
      <w:r>
        <w:rPr>
          <w:snapToGrid w:val="0"/>
        </w:rPr>
        <w:tab/>
        <w:t>Banker’s book entries are evidence of transactions etc.</w:t>
      </w:r>
      <w:bookmarkEnd w:id="121"/>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2" w:name="_Toc189889632"/>
      <w:r>
        <w:rPr>
          <w:rStyle w:val="CharSectno"/>
        </w:rPr>
        <w:t>90</w:t>
      </w:r>
      <w:r>
        <w:rPr>
          <w:snapToGrid w:val="0"/>
        </w:rPr>
        <w:t>.</w:t>
      </w:r>
      <w:r>
        <w:rPr>
          <w:snapToGrid w:val="0"/>
        </w:rPr>
        <w:tab/>
        <w:t>Banker’s books, proof of</w:t>
      </w:r>
      <w:bookmarkEnd w:id="122"/>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3" w:name="_Toc189889633"/>
      <w:r>
        <w:rPr>
          <w:rStyle w:val="CharSectno"/>
        </w:rPr>
        <w:t>91</w:t>
      </w:r>
      <w:r>
        <w:rPr>
          <w:snapToGrid w:val="0"/>
        </w:rPr>
        <w:t>.</w:t>
      </w:r>
      <w:r>
        <w:rPr>
          <w:snapToGrid w:val="0"/>
        </w:rPr>
        <w:tab/>
        <w:t>Banker’s books, copies to be certified</w:t>
      </w:r>
      <w:bookmarkEnd w:id="123"/>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4" w:name="_Toc189889634"/>
      <w:r>
        <w:rPr>
          <w:rStyle w:val="CharSectno"/>
        </w:rPr>
        <w:t>92</w:t>
      </w:r>
      <w:r>
        <w:rPr>
          <w:snapToGrid w:val="0"/>
        </w:rPr>
        <w:t>.</w:t>
      </w:r>
      <w:r>
        <w:rPr>
          <w:snapToGrid w:val="0"/>
        </w:rPr>
        <w:tab/>
        <w:t>Bank accounts, bank officer may give evidence about</w:t>
      </w:r>
      <w:bookmarkEnd w:id="124"/>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5" w:name="_Toc189889635"/>
      <w:r>
        <w:rPr>
          <w:rStyle w:val="CharSectno"/>
        </w:rPr>
        <w:t>92A</w:t>
      </w:r>
      <w:r>
        <w:rPr>
          <w:snapToGrid w:val="0"/>
        </w:rPr>
        <w:t>.</w:t>
      </w:r>
      <w:r>
        <w:rPr>
          <w:snapToGrid w:val="0"/>
        </w:rPr>
        <w:tab/>
        <w:t>Australian and foreign banks, application to of s. 89 to 92</w:t>
      </w:r>
      <w:bookmarkEnd w:id="12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6" w:name="_Toc189889636"/>
      <w:r>
        <w:rPr>
          <w:rStyle w:val="CharSectno"/>
        </w:rPr>
        <w:t>93</w:t>
      </w:r>
      <w:r>
        <w:rPr>
          <w:snapToGrid w:val="0"/>
        </w:rPr>
        <w:t>.</w:t>
      </w:r>
      <w:r>
        <w:rPr>
          <w:snapToGrid w:val="0"/>
        </w:rPr>
        <w:tab/>
        <w:t>Bank officers not compellable in some cases</w:t>
      </w:r>
      <w:bookmarkEnd w:id="126"/>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7" w:name="_Toc189889637"/>
      <w:r>
        <w:rPr>
          <w:rStyle w:val="CharSectno"/>
        </w:rPr>
        <w:t>94</w:t>
      </w:r>
      <w:r>
        <w:rPr>
          <w:snapToGrid w:val="0"/>
        </w:rPr>
        <w:t>.</w:t>
      </w:r>
      <w:r>
        <w:rPr>
          <w:snapToGrid w:val="0"/>
        </w:rPr>
        <w:tab/>
        <w:t>Banker’s books, Supreme Court may order inspection of</w:t>
      </w:r>
      <w:bookmarkEnd w:id="127"/>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28" w:name="_Toc189889638"/>
      <w:r>
        <w:rPr>
          <w:rStyle w:val="CharSectno"/>
        </w:rPr>
        <w:t>95</w:t>
      </w:r>
      <w:r>
        <w:rPr>
          <w:snapToGrid w:val="0"/>
        </w:rPr>
        <w:t>.</w:t>
      </w:r>
      <w:r>
        <w:rPr>
          <w:snapToGrid w:val="0"/>
        </w:rPr>
        <w:tab/>
        <w:t>Costs under s. 93 and 94</w:t>
      </w:r>
      <w:bookmarkEnd w:id="128"/>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29" w:name="_Toc189889639"/>
      <w:r>
        <w:rPr>
          <w:rStyle w:val="CharSectno"/>
        </w:rPr>
        <w:t>96</w:t>
      </w:r>
      <w:r>
        <w:t>.</w:t>
      </w:r>
      <w:r>
        <w:tab/>
        <w:t>Supreme Court Judge’s powers may be exercised by other judicial officers</w:t>
      </w:r>
      <w:bookmarkEnd w:id="129"/>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0" w:name="_Toc189889640"/>
      <w:r>
        <w:rPr>
          <w:rStyle w:val="CharSectno"/>
        </w:rPr>
        <w:t>97</w:t>
      </w:r>
      <w:r>
        <w:rPr>
          <w:snapToGrid w:val="0"/>
        </w:rPr>
        <w:t>.</w:t>
      </w:r>
      <w:r>
        <w:rPr>
          <w:snapToGrid w:val="0"/>
        </w:rPr>
        <w:tab/>
        <w:t>Evidence to be on oath except in some cases</w:t>
      </w:r>
      <w:bookmarkEnd w:id="13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1" w:name="_Toc189889641"/>
      <w:r>
        <w:rPr>
          <w:rStyle w:val="CharSectno"/>
        </w:rPr>
        <w:t>100A</w:t>
      </w:r>
      <w:r>
        <w:rPr>
          <w:snapToGrid w:val="0"/>
        </w:rPr>
        <w:t>.</w:t>
      </w:r>
      <w:r>
        <w:rPr>
          <w:snapToGrid w:val="0"/>
        </w:rPr>
        <w:tab/>
        <w:t>Oath may be dispensed with in some cases</w:t>
      </w:r>
      <w:bookmarkEnd w:id="131"/>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[Section 100A inserted by No. 142 of 1976 s. 4; amended by No. 36 of 1992 s. 6; No. 70 of 2004 s. 82; No. 84 of 2004 s. 80; No. 24 of 2005 s. 46.]</w:t>
      </w:r>
    </w:p>
    <w:p>
      <w:pPr>
        <w:pStyle w:val="Ednotesection"/>
        <w:ind w:left="890" w:hanging="890"/>
      </w:pPr>
      <w:r>
        <w:t>[</w:t>
      </w:r>
      <w:r>
        <w:rPr>
          <w:b/>
        </w:rPr>
        <w:t>101.</w:t>
      </w:r>
      <w:r>
        <w:tab/>
        <w:t>Repealed by No. 36 of 1992 s. 7.]</w:t>
      </w:r>
    </w:p>
    <w:p>
      <w:pPr>
        <w:pStyle w:val="Heading5"/>
        <w:rPr>
          <w:snapToGrid w:val="0"/>
        </w:rPr>
      </w:pPr>
      <w:bookmarkStart w:id="132" w:name="_Toc189889642"/>
      <w:r>
        <w:rPr>
          <w:rStyle w:val="CharSectno"/>
        </w:rPr>
        <w:t>102</w:t>
      </w:r>
      <w:r>
        <w:rPr>
          <w:snapToGrid w:val="0"/>
        </w:rPr>
        <w:t>.</w:t>
      </w:r>
      <w:r>
        <w:rPr>
          <w:snapToGrid w:val="0"/>
        </w:rPr>
        <w:tab/>
        <w:t>Interpreters, oaths etc. for</w:t>
      </w:r>
      <w:bookmarkEnd w:id="132"/>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3" w:name="_Toc189889643"/>
      <w:r>
        <w:rPr>
          <w:rStyle w:val="CharSectno"/>
        </w:rPr>
        <w:t>103</w:t>
      </w:r>
      <w:r>
        <w:rPr>
          <w:snapToGrid w:val="0"/>
        </w:rPr>
        <w:t>.</w:t>
      </w:r>
      <w:r>
        <w:rPr>
          <w:snapToGrid w:val="0"/>
        </w:rPr>
        <w:tab/>
        <w:t>Interpreters, oath etc. may be dispensed with</w:t>
      </w:r>
      <w:bookmarkEnd w:id="133"/>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4" w:name="_Toc189889644"/>
      <w:r>
        <w:rPr>
          <w:rStyle w:val="CharSectno"/>
        </w:rPr>
        <w:t>104A</w:t>
      </w:r>
      <w:r>
        <w:rPr>
          <w:snapToGrid w:val="0"/>
        </w:rPr>
        <w:t>.</w:t>
      </w:r>
      <w:r>
        <w:rPr>
          <w:snapToGrid w:val="0"/>
        </w:rPr>
        <w:tab/>
        <w:t>Person appointed by foreign court etc. may take or receive evidence and administer oath</w:t>
      </w:r>
      <w:bookmarkEnd w:id="134"/>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5" w:name="_Toc189889645"/>
      <w:r>
        <w:t>105.</w:t>
      </w:r>
      <w:r>
        <w:tab/>
      </w:r>
      <w:r>
        <w:rPr>
          <w:i/>
        </w:rPr>
        <w:t>Oaths, Affidavits and Statutory Declarations Act 2005</w:t>
      </w:r>
      <w:r>
        <w:t>, application of</w:t>
      </w:r>
      <w:bookmarkEnd w:id="135"/>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6" w:name="_Toc189889646"/>
      <w:r>
        <w:rPr>
          <w:rStyle w:val="CharSectno"/>
        </w:rPr>
        <w:t>106A</w:t>
      </w:r>
      <w:r>
        <w:rPr>
          <w:snapToGrid w:val="0"/>
        </w:rPr>
        <w:t>.</w:t>
      </w:r>
      <w:r>
        <w:rPr>
          <w:snapToGrid w:val="0"/>
        </w:rPr>
        <w:tab/>
        <w:t>Terms used in s. 106B to 106T and Schedule 7</w:t>
      </w:r>
      <w:bookmarkEnd w:id="136"/>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w:t>
      </w:r>
    </w:p>
    <w:p>
      <w:pPr>
        <w:pStyle w:val="Heading5"/>
        <w:rPr>
          <w:snapToGrid w:val="0"/>
        </w:rPr>
      </w:pPr>
      <w:bookmarkStart w:id="137" w:name="_Toc189889647"/>
      <w:r>
        <w:rPr>
          <w:rStyle w:val="CharSectno"/>
        </w:rPr>
        <w:t>106B</w:t>
      </w:r>
      <w:r>
        <w:rPr>
          <w:snapToGrid w:val="0"/>
        </w:rPr>
        <w:t>.</w:t>
      </w:r>
      <w:r>
        <w:rPr>
          <w:snapToGrid w:val="0"/>
        </w:rPr>
        <w:tab/>
        <w:t>Children under 12 may give sworn evidence</w:t>
      </w:r>
      <w:bookmarkEnd w:id="137"/>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[Section 106B inserted by No. 36 of 1992 s. 8; amended by No. 46 of 2004 s. 15; No. 24 of 2005 s. 52.]</w:t>
      </w:r>
    </w:p>
    <w:p>
      <w:pPr>
        <w:pStyle w:val="Heading5"/>
        <w:rPr>
          <w:snapToGrid w:val="0"/>
        </w:rPr>
      </w:pPr>
      <w:bookmarkStart w:id="138" w:name="_Toc189889648"/>
      <w:r>
        <w:rPr>
          <w:rStyle w:val="CharSectno"/>
        </w:rPr>
        <w:t>106C</w:t>
      </w:r>
      <w:r>
        <w:rPr>
          <w:snapToGrid w:val="0"/>
        </w:rPr>
        <w:t>.</w:t>
      </w:r>
      <w:r>
        <w:rPr>
          <w:snapToGrid w:val="0"/>
        </w:rPr>
        <w:tab/>
        <w:t>Children under 12 may give unsworn evidence</w:t>
      </w:r>
      <w:bookmarkEnd w:id="138"/>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[Section 106C inserted by No. 36 of 1992 s. 8; amended by No. 24 of 2005 s. 53.]</w:t>
      </w:r>
    </w:p>
    <w:p>
      <w:pPr>
        <w:pStyle w:val="Heading5"/>
        <w:rPr>
          <w:snapToGrid w:val="0"/>
        </w:rPr>
      </w:pPr>
      <w:bookmarkStart w:id="139" w:name="_Toc189889649"/>
      <w:r>
        <w:rPr>
          <w:rStyle w:val="CharSectno"/>
        </w:rPr>
        <w:t>106D</w:t>
      </w:r>
      <w:r>
        <w:rPr>
          <w:snapToGrid w:val="0"/>
        </w:rPr>
        <w:t>.</w:t>
      </w:r>
      <w:r>
        <w:rPr>
          <w:snapToGrid w:val="0"/>
        </w:rPr>
        <w:tab/>
        <w:t>Corroboration warning on evidence of child not to be given</w:t>
      </w:r>
      <w:bookmarkEnd w:id="139"/>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0" w:name="_Toc189889650"/>
      <w:r>
        <w:rPr>
          <w:rStyle w:val="CharSectno"/>
        </w:rPr>
        <w:t>106E</w:t>
      </w:r>
      <w:r>
        <w:rPr>
          <w:snapToGrid w:val="0"/>
        </w:rPr>
        <w:t>.</w:t>
      </w:r>
      <w:r>
        <w:rPr>
          <w:snapToGrid w:val="0"/>
        </w:rPr>
        <w:tab/>
        <w:t>Child witness entitled to support</w:t>
      </w:r>
      <w:bookmarkEnd w:id="14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1" w:name="_Toc189889651"/>
      <w:r>
        <w:rPr>
          <w:rStyle w:val="CharSectno"/>
        </w:rPr>
        <w:t>106F</w:t>
      </w:r>
      <w:r>
        <w:rPr>
          <w:snapToGrid w:val="0"/>
        </w:rPr>
        <w:t>.</w:t>
      </w:r>
      <w:r>
        <w:rPr>
          <w:snapToGrid w:val="0"/>
        </w:rPr>
        <w:tab/>
        <w:t>Child witness may be given assistance</w:t>
      </w:r>
      <w:bookmarkEnd w:id="14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[Section 106F inserted by No. 36 of 1992 s. 8; amended by No. 4 of 2004 s. 58; No. 46 of 2004 s. 17.]</w:t>
      </w:r>
    </w:p>
    <w:p>
      <w:pPr>
        <w:pStyle w:val="Heading5"/>
        <w:spacing w:before="120"/>
        <w:rPr>
          <w:snapToGrid w:val="0"/>
        </w:rPr>
      </w:pPr>
      <w:bookmarkStart w:id="142" w:name="_Toc189889652"/>
      <w:r>
        <w:rPr>
          <w:rStyle w:val="CharSectno"/>
        </w:rPr>
        <w:t>106G</w:t>
      </w:r>
      <w:r>
        <w:rPr>
          <w:snapToGrid w:val="0"/>
        </w:rPr>
        <w:t>.</w:t>
      </w:r>
      <w:r>
        <w:rPr>
          <w:snapToGrid w:val="0"/>
        </w:rPr>
        <w:tab/>
        <w:t>Cross</w:t>
      </w:r>
      <w:r>
        <w:rPr>
          <w:snapToGrid w:val="0"/>
        </w:rPr>
        <w:noBreakHyphen/>
        <w:t>examination of protected witness by unrepresented accused</w:t>
      </w:r>
      <w:bookmarkEnd w:id="142"/>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3" w:name="_Toc189889653"/>
      <w:r>
        <w:rPr>
          <w:rStyle w:val="CharSectno"/>
        </w:rPr>
        <w:t>106H</w:t>
      </w:r>
      <w:r>
        <w:rPr>
          <w:snapToGrid w:val="0"/>
        </w:rPr>
        <w:t>.</w:t>
      </w:r>
      <w:r>
        <w:rPr>
          <w:snapToGrid w:val="0"/>
        </w:rPr>
        <w:tab/>
        <w:t>Child’s statement to another admissible in Sch. 7 proceedings</w:t>
      </w:r>
      <w:bookmarkEnd w:id="143"/>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4" w:name="_Toc189889654"/>
      <w:r>
        <w:rPr>
          <w:rStyle w:val="CharSectno"/>
        </w:rPr>
        <w:t>106HA</w:t>
      </w:r>
      <w:r>
        <w:t>.</w:t>
      </w:r>
      <w:r>
        <w:tab/>
        <w:t>Visual recording of interviews with children</w:t>
      </w:r>
      <w:bookmarkEnd w:id="144"/>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w:t>
      </w:r>
    </w:p>
    <w:p>
      <w:pPr>
        <w:pStyle w:val="Heading5"/>
      </w:pPr>
      <w:bookmarkStart w:id="145" w:name="_Toc189889655"/>
      <w:r>
        <w:rPr>
          <w:rStyle w:val="CharSectno"/>
        </w:rPr>
        <w:t>106HB</w:t>
      </w:r>
      <w:r>
        <w:t>.</w:t>
      </w:r>
      <w:r>
        <w:tab/>
        <w:t>Admissibility in criminal proceedings of a visual recording of an interview with a child</w:t>
      </w:r>
      <w:bookmarkEnd w:id="145"/>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[Section 106HB inserted by No. 46 of 2004 s. 20; amended by No. 84 of 2004 s. 82.]</w:t>
      </w:r>
    </w:p>
    <w:p>
      <w:pPr>
        <w:pStyle w:val="Heading5"/>
      </w:pPr>
      <w:bookmarkStart w:id="146" w:name="_Toc189889656"/>
      <w:r>
        <w:rPr>
          <w:rStyle w:val="CharSectno"/>
        </w:rPr>
        <w:t>106HC</w:t>
      </w:r>
      <w:r>
        <w:t>.</w:t>
      </w:r>
      <w:r>
        <w:tab/>
        <w:t>Regulations about visual recording of interviews with children</w:t>
      </w:r>
      <w:bookmarkEnd w:id="14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w:t>
      </w:r>
    </w:p>
    <w:p>
      <w:pPr>
        <w:pStyle w:val="Heading5"/>
      </w:pPr>
      <w:bookmarkStart w:id="147" w:name="_Toc189889657"/>
      <w:r>
        <w:rPr>
          <w:rStyle w:val="CharSectno"/>
        </w:rPr>
        <w:t>106HD</w:t>
      </w:r>
      <w:r>
        <w:t>.</w:t>
      </w:r>
      <w:r>
        <w:tab/>
        <w:t>Admissibility of visually recorded interviews generally</w:t>
      </w:r>
      <w:bookmarkEnd w:id="147"/>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48" w:name="_Toc189889658"/>
      <w:r>
        <w:rPr>
          <w:rStyle w:val="CharSectno"/>
        </w:rPr>
        <w:t>106I</w:t>
      </w:r>
      <w:r>
        <w:rPr>
          <w:snapToGrid w:val="0"/>
        </w:rPr>
        <w:t>.</w:t>
      </w:r>
      <w:r>
        <w:rPr>
          <w:snapToGrid w:val="0"/>
        </w:rPr>
        <w:tab/>
      </w:r>
      <w:r>
        <w:t xml:space="preserve">Visual recording </w:t>
      </w:r>
      <w:r>
        <w:rPr>
          <w:snapToGrid w:val="0"/>
        </w:rPr>
        <w:t>of child’s evidence, application for directions</w:t>
      </w:r>
      <w:bookmarkEnd w:id="148"/>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[Section 106I inserted by No. 36 of 1992 s. 8; amended by No. 71 of 2000 s. 20; No. 46 of 2004 s. 14(3), (4) and 21.]</w:t>
      </w:r>
    </w:p>
    <w:p>
      <w:pPr>
        <w:pStyle w:val="Ednotesection"/>
        <w:rPr>
          <w:b/>
        </w:rPr>
      </w:pPr>
      <w:r>
        <w:t>[</w:t>
      </w:r>
      <w:r>
        <w:rPr>
          <w:b/>
        </w:rPr>
        <w:t>106J.</w:t>
      </w:r>
      <w:r>
        <w:rPr>
          <w:b/>
        </w:rPr>
        <w:tab/>
      </w:r>
      <w:r>
        <w:t>Repealed by No. 46 of 2004 s. 22(1).]</w:t>
      </w:r>
    </w:p>
    <w:p>
      <w:pPr>
        <w:pStyle w:val="Heading5"/>
        <w:rPr>
          <w:snapToGrid w:val="0"/>
        </w:rPr>
      </w:pPr>
      <w:bookmarkStart w:id="149" w:name="_Toc189889659"/>
      <w:r>
        <w:rPr>
          <w:rStyle w:val="CharSectno"/>
        </w:rPr>
        <w:t>106K</w:t>
      </w:r>
      <w:r>
        <w:rPr>
          <w:snapToGrid w:val="0"/>
        </w:rPr>
        <w:t>.</w:t>
      </w:r>
      <w:r>
        <w:rPr>
          <w:snapToGrid w:val="0"/>
        </w:rPr>
        <w:tab/>
        <w:t>Child’s evidence in full, special hearing to take and record</w:t>
      </w:r>
      <w:bookmarkEnd w:id="149"/>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0" w:name="_Toc189889660"/>
      <w:r>
        <w:rPr>
          <w:rStyle w:val="CharSectno"/>
        </w:rPr>
        <w:t>106M</w:t>
      </w:r>
      <w:r>
        <w:rPr>
          <w:snapToGrid w:val="0"/>
        </w:rPr>
        <w:t>.</w:t>
      </w:r>
      <w:r>
        <w:rPr>
          <w:snapToGrid w:val="0"/>
        </w:rPr>
        <w:tab/>
        <w:t>Recording not to be altered without approval</w:t>
      </w:r>
      <w:bookmarkEnd w:id="150"/>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1" w:name="_Toc189889661"/>
      <w:r>
        <w:rPr>
          <w:rStyle w:val="CharSectno"/>
        </w:rPr>
        <w:t>106MA</w:t>
      </w:r>
      <w:r>
        <w:rPr>
          <w:snapToGrid w:val="0"/>
        </w:rPr>
        <w:t>.</w:t>
      </w:r>
      <w:r>
        <w:rPr>
          <w:snapToGrid w:val="0"/>
        </w:rPr>
        <w:tab/>
        <w:t>Unauthorised possession or dealing in video</w:t>
      </w:r>
      <w:r>
        <w:rPr>
          <w:snapToGrid w:val="0"/>
        </w:rPr>
        <w:noBreakHyphen/>
        <w:t>taped evidence</w:t>
      </w:r>
      <w:bookmarkEnd w:id="15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2" w:name="_Toc189889662"/>
      <w:r>
        <w:rPr>
          <w:rStyle w:val="CharSectno"/>
        </w:rPr>
        <w:t>106MB</w:t>
      </w:r>
      <w:r>
        <w:rPr>
          <w:snapToGrid w:val="0"/>
        </w:rPr>
        <w:t>.</w:t>
      </w:r>
      <w:r>
        <w:rPr>
          <w:snapToGrid w:val="0"/>
        </w:rPr>
        <w:tab/>
        <w:t>Broadcast of video</w:t>
      </w:r>
      <w:r>
        <w:rPr>
          <w:snapToGrid w:val="0"/>
        </w:rPr>
        <w:noBreakHyphen/>
        <w:t>taped evidence prohibited</w:t>
      </w:r>
      <w:bookmarkEnd w:id="152"/>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3" w:name="_Toc189889663"/>
      <w:r>
        <w:rPr>
          <w:rStyle w:val="CharSectno"/>
        </w:rPr>
        <w:t>106N</w:t>
      </w:r>
      <w:r>
        <w:rPr>
          <w:snapToGrid w:val="0"/>
        </w:rPr>
        <w:t>.</w:t>
      </w:r>
      <w:r>
        <w:rPr>
          <w:snapToGrid w:val="0"/>
        </w:rPr>
        <w:tab/>
        <w:t>Video links or screening arrangements may be used</w:t>
      </w:r>
      <w:bookmarkEnd w:id="153"/>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4" w:name="_Toc189889664"/>
      <w:r>
        <w:rPr>
          <w:rStyle w:val="CharSectno"/>
        </w:rPr>
        <w:t>106O</w:t>
      </w:r>
      <w:r>
        <w:rPr>
          <w:snapToGrid w:val="0"/>
        </w:rPr>
        <w:t>.</w:t>
      </w:r>
      <w:r>
        <w:rPr>
          <w:snapToGrid w:val="0"/>
        </w:rPr>
        <w:tab/>
        <w:t>Court may order that s. 106N does not apply</w:t>
      </w:r>
      <w:bookmarkEnd w:id="154"/>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w:t>
      </w:r>
    </w:p>
    <w:p>
      <w:pPr>
        <w:pStyle w:val="Heading5"/>
        <w:rPr>
          <w:snapToGrid w:val="0"/>
        </w:rPr>
      </w:pPr>
      <w:bookmarkStart w:id="155" w:name="_Toc189889665"/>
      <w:r>
        <w:rPr>
          <w:rStyle w:val="CharSectno"/>
        </w:rPr>
        <w:t>106P</w:t>
      </w:r>
      <w:r>
        <w:rPr>
          <w:snapToGrid w:val="0"/>
        </w:rPr>
        <w:t>.</w:t>
      </w:r>
      <w:r>
        <w:rPr>
          <w:snapToGrid w:val="0"/>
        </w:rPr>
        <w:tab/>
        <w:t>Instructions to be given to jury</w:t>
      </w:r>
      <w:bookmarkEnd w:id="155"/>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6" w:name="_Toc189889666"/>
      <w:r>
        <w:rPr>
          <w:rStyle w:val="CharSectno"/>
        </w:rPr>
        <w:t>106Q</w:t>
      </w:r>
      <w:r>
        <w:rPr>
          <w:snapToGrid w:val="0"/>
        </w:rPr>
        <w:t>.</w:t>
      </w:r>
      <w:r>
        <w:rPr>
          <w:snapToGrid w:val="0"/>
        </w:rPr>
        <w:tab/>
        <w:t xml:space="preserve">Identification of accused by child </w:t>
      </w:r>
      <w:r>
        <w:t>or special witness</w:t>
      </w:r>
      <w:bookmarkEnd w:id="15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57" w:name="_Toc189889667"/>
      <w:r>
        <w:rPr>
          <w:rStyle w:val="CharSectno"/>
        </w:rPr>
        <w:t>106R</w:t>
      </w:r>
      <w:r>
        <w:rPr>
          <w:snapToGrid w:val="0"/>
        </w:rPr>
        <w:t>.</w:t>
      </w:r>
      <w:r>
        <w:rPr>
          <w:snapToGrid w:val="0"/>
        </w:rPr>
        <w:tab/>
        <w:t>Special witnesses, measures to assist</w:t>
      </w:r>
      <w:bookmarkEnd w:id="157"/>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[Section 106R inserted by No. 36 of 1992 s. 8; amended by No. 53 of 1992 s. 41; No. 69 of 1996 s. 30; No. 71 of 2000 s. 26; No. 46 of 2004 s. 14(3), (4) and 26; No. 84 of 2004 s. 41 and 82.]</w:t>
      </w:r>
    </w:p>
    <w:p>
      <w:pPr>
        <w:pStyle w:val="Heading5"/>
      </w:pPr>
      <w:bookmarkStart w:id="158" w:name="_Toc189889668"/>
      <w:r>
        <w:rPr>
          <w:rStyle w:val="CharSectno"/>
        </w:rPr>
        <w:t>106RA</w:t>
      </w:r>
      <w:r>
        <w:t>.</w:t>
      </w:r>
      <w:r>
        <w:tab/>
        <w:t>Visually recording evidence of witnesses in criminal matters</w:t>
      </w:r>
      <w:bookmarkEnd w:id="158"/>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59" w:name="_Toc189889669"/>
      <w:r>
        <w:rPr>
          <w:rStyle w:val="CharSectno"/>
        </w:rPr>
        <w:t>106S</w:t>
      </w:r>
      <w:r>
        <w:rPr>
          <w:snapToGrid w:val="0"/>
        </w:rPr>
        <w:t>.</w:t>
      </w:r>
      <w:r>
        <w:rPr>
          <w:snapToGrid w:val="0"/>
        </w:rPr>
        <w:tab/>
        <w:t>Special hearings to consider what orders should be made</w:t>
      </w:r>
      <w:bookmarkEnd w:id="159"/>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0" w:name="_Toc189889670"/>
      <w:r>
        <w:rPr>
          <w:rStyle w:val="CharSectno"/>
        </w:rPr>
        <w:t>106T</w:t>
      </w:r>
      <w:r>
        <w:rPr>
          <w:snapToGrid w:val="0"/>
        </w:rPr>
        <w:t>.</w:t>
      </w:r>
      <w:r>
        <w:rPr>
          <w:snapToGrid w:val="0"/>
        </w:rPr>
        <w:tab/>
        <w:t>Use of recordings made under s. 106K or 106N</w:t>
      </w:r>
      <w:bookmarkEnd w:id="160"/>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1" w:name="_Toc189889671"/>
      <w:r>
        <w:rPr>
          <w:rStyle w:val="CharSectno"/>
        </w:rPr>
        <w:t>109</w:t>
      </w:r>
      <w:r>
        <w:rPr>
          <w:snapToGrid w:val="0"/>
        </w:rPr>
        <w:t>.</w:t>
      </w:r>
      <w:r>
        <w:rPr>
          <w:snapToGrid w:val="0"/>
        </w:rPr>
        <w:tab/>
        <w:t>Terms used in s. 109 to 114</w:t>
      </w:r>
      <w:bookmarkEnd w:id="16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2" w:name="_Toc189889672"/>
      <w:r>
        <w:rPr>
          <w:rStyle w:val="CharSectno"/>
        </w:rPr>
        <w:t>110</w:t>
      </w:r>
      <w:r>
        <w:rPr>
          <w:snapToGrid w:val="0"/>
        </w:rPr>
        <w:t>.</w:t>
      </w:r>
      <w:r>
        <w:rPr>
          <w:snapToGrid w:val="0"/>
        </w:rPr>
        <w:tab/>
        <w:t>Superior courts may make orders for obtaining evidence</w:t>
      </w:r>
      <w:bookmarkEnd w:id="162"/>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3" w:name="_Toc189889673"/>
      <w:r>
        <w:rPr>
          <w:rStyle w:val="CharSectno"/>
        </w:rPr>
        <w:t>111</w:t>
      </w:r>
      <w:r>
        <w:rPr>
          <w:snapToGrid w:val="0"/>
        </w:rPr>
        <w:t>.</w:t>
      </w:r>
      <w:r>
        <w:rPr>
          <w:snapToGrid w:val="0"/>
        </w:rPr>
        <w:tab/>
        <w:t>Supreme Court may make orders for obtaining evidence for inferior courts</w:t>
      </w:r>
      <w:bookmarkEnd w:id="163"/>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4" w:name="_Toc189889674"/>
      <w:r>
        <w:rPr>
          <w:rStyle w:val="CharSectno"/>
        </w:rPr>
        <w:t>112</w:t>
      </w:r>
      <w:r>
        <w:rPr>
          <w:snapToGrid w:val="0"/>
        </w:rPr>
        <w:t>.</w:t>
      </w:r>
      <w:r>
        <w:rPr>
          <w:snapToGrid w:val="0"/>
        </w:rPr>
        <w:tab/>
        <w:t>Exclusion of evidence in criminal proceeding</w:t>
      </w:r>
      <w:bookmarkEnd w:id="164"/>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5" w:name="_Toc189889675"/>
      <w:r>
        <w:rPr>
          <w:rStyle w:val="CharSectno"/>
        </w:rPr>
        <w:t>113</w:t>
      </w:r>
      <w:r>
        <w:rPr>
          <w:snapToGrid w:val="0"/>
        </w:rPr>
        <w:t>.</w:t>
      </w:r>
      <w:r>
        <w:rPr>
          <w:snapToGrid w:val="0"/>
        </w:rPr>
        <w:tab/>
        <w:t>Operation of other laws</w:t>
      </w:r>
      <w:bookmarkEnd w:id="165"/>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6" w:name="_Toc189889676"/>
      <w:r>
        <w:rPr>
          <w:rStyle w:val="CharSectno"/>
        </w:rPr>
        <w:t>114</w:t>
      </w:r>
      <w:r>
        <w:rPr>
          <w:snapToGrid w:val="0"/>
        </w:rPr>
        <w:t>.</w:t>
      </w:r>
      <w:r>
        <w:rPr>
          <w:snapToGrid w:val="0"/>
        </w:rPr>
        <w:tab/>
        <w:t>Regulations and rules of court for s. 109 to 113</w:t>
      </w:r>
      <w:bookmarkEnd w:id="166"/>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67" w:name="_Toc189889677"/>
      <w:r>
        <w:rPr>
          <w:rStyle w:val="CharSectno"/>
        </w:rPr>
        <w:t>115</w:t>
      </w:r>
      <w:r>
        <w:rPr>
          <w:snapToGrid w:val="0"/>
        </w:rPr>
        <w:t>.</w:t>
      </w:r>
      <w:r>
        <w:rPr>
          <w:snapToGrid w:val="0"/>
        </w:rPr>
        <w:tab/>
        <w:t>Terms used in s. 115 to 118C</w:t>
      </w:r>
      <w:bookmarkEnd w:id="167"/>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68" w:name="_Toc189889678"/>
      <w:r>
        <w:rPr>
          <w:rStyle w:val="CharSectno"/>
        </w:rPr>
        <w:t>116</w:t>
      </w:r>
      <w:r>
        <w:rPr>
          <w:snapToGrid w:val="0"/>
        </w:rPr>
        <w:t>.</w:t>
      </w:r>
      <w:r>
        <w:rPr>
          <w:snapToGrid w:val="0"/>
        </w:rPr>
        <w:tab/>
        <w:t>Application to the Supreme Court for assistance in obtaining evidence for proceedings in other court</w:t>
      </w:r>
      <w:bookmarkEnd w:id="168"/>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69" w:name="_Toc189889679"/>
      <w:r>
        <w:rPr>
          <w:rStyle w:val="CharSectno"/>
        </w:rPr>
        <w:t>117</w:t>
      </w:r>
      <w:r>
        <w:rPr>
          <w:snapToGrid w:val="0"/>
        </w:rPr>
        <w:t>.</w:t>
      </w:r>
      <w:r>
        <w:rPr>
          <w:snapToGrid w:val="0"/>
        </w:rPr>
        <w:tab/>
        <w:t>Supreme Court may make orders to assist in obtaining evidence</w:t>
      </w:r>
      <w:bookmarkEnd w:id="169"/>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0" w:name="_Toc189889680"/>
      <w:r>
        <w:rPr>
          <w:rStyle w:val="CharSectno"/>
        </w:rPr>
        <w:t>118</w:t>
      </w:r>
      <w:r>
        <w:rPr>
          <w:snapToGrid w:val="0"/>
        </w:rPr>
        <w:t>.</w:t>
      </w:r>
      <w:r>
        <w:rPr>
          <w:snapToGrid w:val="0"/>
        </w:rPr>
        <w:tab/>
        <w:t>Privilege of witnesses</w:t>
      </w:r>
      <w:bookmarkEnd w:id="17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1" w:name="_Toc189889681"/>
      <w:r>
        <w:rPr>
          <w:rStyle w:val="CharSectno"/>
        </w:rPr>
        <w:t>118A</w:t>
      </w:r>
      <w:r>
        <w:rPr>
          <w:snapToGrid w:val="0"/>
        </w:rPr>
        <w:t>.</w:t>
      </w:r>
      <w:r>
        <w:rPr>
          <w:snapToGrid w:val="0"/>
        </w:rPr>
        <w:tab/>
        <w:t>Rules of court for s. 116 to 118</w:t>
      </w:r>
      <w:bookmarkEnd w:id="17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2" w:name="_Toc189889682"/>
      <w:r>
        <w:rPr>
          <w:rStyle w:val="CharSectno"/>
        </w:rPr>
        <w:t>118B</w:t>
      </w:r>
      <w:r>
        <w:rPr>
          <w:snapToGrid w:val="0"/>
        </w:rPr>
        <w:t>.</w:t>
      </w:r>
      <w:r>
        <w:rPr>
          <w:snapToGrid w:val="0"/>
        </w:rPr>
        <w:tab/>
        <w:t>Offence</w:t>
      </w:r>
      <w:bookmarkEnd w:id="172"/>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3" w:name="_Toc189889683"/>
      <w:r>
        <w:rPr>
          <w:rStyle w:val="CharSectno"/>
        </w:rPr>
        <w:t>118C</w:t>
      </w:r>
      <w:r>
        <w:rPr>
          <w:snapToGrid w:val="0"/>
        </w:rPr>
        <w:t>.</w:t>
      </w:r>
      <w:r>
        <w:rPr>
          <w:snapToGrid w:val="0"/>
        </w:rPr>
        <w:tab/>
        <w:t>Operation of other laws</w:t>
      </w:r>
      <w:bookmarkEnd w:id="173"/>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4" w:name="_Toc189889684"/>
      <w:r>
        <w:rPr>
          <w:rStyle w:val="CharSectno"/>
        </w:rPr>
        <w:t>119</w:t>
      </w:r>
      <w:r>
        <w:rPr>
          <w:snapToGrid w:val="0"/>
        </w:rPr>
        <w:t>.</w:t>
      </w:r>
      <w:r>
        <w:rPr>
          <w:snapToGrid w:val="0"/>
        </w:rPr>
        <w:tab/>
        <w:t>Fees to witnesses and interpreters in certain proceedings</w:t>
      </w:r>
      <w:bookmarkEnd w:id="174"/>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5" w:name="_Toc189889685"/>
      <w:r>
        <w:rPr>
          <w:rStyle w:val="CharSectno"/>
        </w:rPr>
        <w:t>120</w:t>
      </w:r>
      <w:r>
        <w:t>.</w:t>
      </w:r>
      <w:r>
        <w:tab/>
        <w:t>Terms used in s. 120 to 132</w:t>
      </w:r>
      <w:bookmarkEnd w:id="175"/>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76" w:name="_Toc189889686"/>
      <w:r>
        <w:rPr>
          <w:rStyle w:val="CharSectno"/>
        </w:rPr>
        <w:t>121</w:t>
      </w:r>
      <w:r>
        <w:t>.</w:t>
      </w:r>
      <w:r>
        <w:tab/>
        <w:t>WA court may take evidence or receive a submission by video link or audio link</w:t>
      </w:r>
      <w:bookmarkEnd w:id="176"/>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77" w:name="_Toc189889687"/>
      <w:r>
        <w:rPr>
          <w:rStyle w:val="CharSectno"/>
        </w:rPr>
        <w:t>122</w:t>
      </w:r>
      <w:r>
        <w:t>.</w:t>
      </w:r>
      <w:r>
        <w:tab/>
        <w:t>Counsel entitled to practise</w:t>
      </w:r>
      <w:bookmarkEnd w:id="177"/>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78" w:name="_Toc189889688"/>
      <w:r>
        <w:rPr>
          <w:rStyle w:val="CharSectno"/>
        </w:rPr>
        <w:t>123</w:t>
      </w:r>
      <w:r>
        <w:t>.</w:t>
      </w:r>
      <w:r>
        <w:tab/>
        <w:t>Recognized court may take evidence or receive a submission from a person in this State</w:t>
      </w:r>
      <w:bookmarkEnd w:id="178"/>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79" w:name="_Toc189889689"/>
      <w:r>
        <w:rPr>
          <w:rStyle w:val="CharSectno"/>
        </w:rPr>
        <w:t>124</w:t>
      </w:r>
      <w:r>
        <w:t>.</w:t>
      </w:r>
      <w:r>
        <w:tab/>
        <w:t>Recognized court’s powers</w:t>
      </w:r>
      <w:bookmarkEnd w:id="179"/>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0" w:name="_Toc189889690"/>
      <w:r>
        <w:rPr>
          <w:rStyle w:val="CharSectno"/>
        </w:rPr>
        <w:t>125</w:t>
      </w:r>
      <w:r>
        <w:t>.</w:t>
      </w:r>
      <w:r>
        <w:tab/>
        <w:t>Recognized court may make orders</w:t>
      </w:r>
      <w:bookmarkEnd w:id="180"/>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1" w:name="_Toc189889691"/>
      <w:r>
        <w:rPr>
          <w:rStyle w:val="CharSectno"/>
        </w:rPr>
        <w:t>126</w:t>
      </w:r>
      <w:r>
        <w:t>.</w:t>
      </w:r>
      <w:r>
        <w:tab/>
        <w:t>Enforcement of an order under section 125</w:t>
      </w:r>
      <w:bookmarkEnd w:id="181"/>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2" w:name="_Toc189889692"/>
      <w:r>
        <w:rPr>
          <w:rStyle w:val="CharSectno"/>
        </w:rPr>
        <w:t>127</w:t>
      </w:r>
      <w:r>
        <w:t>.</w:t>
      </w:r>
      <w:r>
        <w:tab/>
        <w:t xml:space="preserve">Privileges, protection and immunity of participants in proceedings in a </w:t>
      </w:r>
      <w:r>
        <w:rPr>
          <w:spacing w:val="-2"/>
        </w:rPr>
        <w:t>recognized</w:t>
      </w:r>
      <w:r>
        <w:t xml:space="preserve"> court</w:t>
      </w:r>
      <w:bookmarkEnd w:id="182"/>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3" w:name="_Toc189889693"/>
      <w:r>
        <w:rPr>
          <w:rStyle w:val="CharSectno"/>
        </w:rPr>
        <w:t>128</w:t>
      </w:r>
      <w:r>
        <w:t>.</w:t>
      </w:r>
      <w:r>
        <w:tab/>
        <w:t>Recognized court may administer an oath in the State</w:t>
      </w:r>
      <w:bookmarkEnd w:id="183"/>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4" w:name="_Toc189889694"/>
      <w:r>
        <w:rPr>
          <w:rStyle w:val="CharSectno"/>
        </w:rPr>
        <w:t>129</w:t>
      </w:r>
      <w:r>
        <w:t>.</w:t>
      </w:r>
      <w:r>
        <w:tab/>
        <w:t>Assistance to a recognized court</w:t>
      </w:r>
      <w:bookmarkEnd w:id="184"/>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5" w:name="_Toc189889695"/>
      <w:r>
        <w:rPr>
          <w:rStyle w:val="CharSectno"/>
        </w:rPr>
        <w:t>130</w:t>
      </w:r>
      <w:r>
        <w:t>.</w:t>
      </w:r>
      <w:r>
        <w:tab/>
        <w:t>Contempt of a recognized court</w:t>
      </w:r>
      <w:bookmarkEnd w:id="185"/>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86" w:name="_Toc189889696"/>
      <w:r>
        <w:rPr>
          <w:rStyle w:val="CharSectno"/>
        </w:rPr>
        <w:t>131</w:t>
      </w:r>
      <w:r>
        <w:t>.</w:t>
      </w:r>
      <w:r>
        <w:tab/>
        <w:t>Regulations for fees and expenses relating to the use of a video link or an audio link</w:t>
      </w:r>
      <w:bookmarkEnd w:id="186"/>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87" w:name="_Toc189889697"/>
      <w:r>
        <w:rPr>
          <w:rStyle w:val="CharSectno"/>
        </w:rPr>
        <w:t>132</w:t>
      </w:r>
      <w:r>
        <w:t>.</w:t>
      </w:r>
      <w:r>
        <w:tab/>
        <w:t>Operation of other laws</w:t>
      </w:r>
      <w:bookmarkEnd w:id="18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8" w:name="_Toc189889698"/>
      <w:r>
        <w:rPr>
          <w:rStyle w:val="CharSchNo"/>
        </w:rPr>
        <w:t>The Second Schedule</w:t>
      </w:r>
      <w:bookmarkEnd w:id="188"/>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189" w:name="_Toc189889699"/>
      <w:r>
        <w:rPr>
          <w:rStyle w:val="CharSDivNo"/>
          <w:sz w:val="28"/>
        </w:rPr>
        <w:t>Part 1</w:t>
      </w:r>
      <w:r>
        <w:t> — </w:t>
      </w:r>
      <w:r>
        <w:rPr>
          <w:rStyle w:val="CharSDivText"/>
          <w:sz w:val="28"/>
        </w:rPr>
        <w:t xml:space="preserve">Offences under </w:t>
      </w:r>
      <w:r>
        <w:rPr>
          <w:rStyle w:val="CharSDivText"/>
          <w:i/>
          <w:iCs/>
          <w:sz w:val="28"/>
        </w:rPr>
        <w:t>The Criminal Code</w:t>
      </w:r>
      <w:bookmarkEnd w:id="189"/>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Child under 16: Sexual relationship with</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w:t>
      </w:r>
    </w:p>
    <w:p>
      <w:pPr>
        <w:pStyle w:val="yHeading2"/>
        <w:spacing w:before="120"/>
      </w:pPr>
      <w:bookmarkStart w:id="190" w:name="_Toc189889700"/>
      <w:r>
        <w:rPr>
          <w:rStyle w:val="CharSDivNo"/>
          <w:sz w:val="28"/>
        </w:rPr>
        <w:t>Part 2</w:t>
      </w:r>
      <w:r>
        <w:t> — </w:t>
      </w:r>
      <w:r>
        <w:rPr>
          <w:rStyle w:val="CharSDivText"/>
          <w:sz w:val="28"/>
        </w:rPr>
        <w:t xml:space="preserve">Offences under the </w:t>
      </w:r>
      <w:r>
        <w:rPr>
          <w:rStyle w:val="CharSDivText"/>
          <w:i/>
          <w:sz w:val="28"/>
        </w:rPr>
        <w:t>Road Traffic Act 1974</w:t>
      </w:r>
      <w:bookmarkEnd w:id="19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191" w:name="_Toc18988970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91"/>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192" w:name="_Toc189889702"/>
      <w:r>
        <w:rPr>
          <w:rStyle w:val="CharSDivNo"/>
          <w:sz w:val="28"/>
        </w:rPr>
        <w:t>Part 5</w:t>
      </w:r>
      <w:r>
        <w:t> — </w:t>
      </w:r>
      <w:r>
        <w:rPr>
          <w:rStyle w:val="CharSDivText"/>
          <w:sz w:val="28"/>
        </w:rPr>
        <w:t xml:space="preserve">Offences under the </w:t>
      </w:r>
      <w:r>
        <w:rPr>
          <w:rStyle w:val="CharSDivText"/>
          <w:i/>
          <w:sz w:val="28"/>
        </w:rPr>
        <w:t>Misuse of Drugs Act 1981</w:t>
      </w:r>
      <w:bookmarkEnd w:id="19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193" w:name="_Toc189889703"/>
      <w:r>
        <w:rPr>
          <w:rStyle w:val="CharSchNo"/>
        </w:rPr>
        <w:t>The Fourth Schedule</w:t>
      </w:r>
      <w:bookmarkEnd w:id="193"/>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94" w:name="_Toc189889704"/>
      <w:r>
        <w:rPr>
          <w:rStyle w:val="CharSchNo"/>
        </w:rPr>
        <w:t>The Fifth Schedule</w:t>
      </w:r>
      <w:bookmarkEnd w:id="194"/>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195" w:name="_Toc189889705"/>
      <w:r>
        <w:rPr>
          <w:rStyle w:val="CharSchNo"/>
        </w:rPr>
        <w:t>The Sixth Schedule</w:t>
      </w:r>
      <w:bookmarkEnd w:id="195"/>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196" w:name="_Toc189889706"/>
      <w:r>
        <w:t xml:space="preserve"> </w:t>
      </w:r>
    </w:p>
    <w:p>
      <w:pPr>
        <w:pStyle w:val="yScheduleHeading"/>
      </w:pPr>
      <w:r>
        <w:rPr>
          <w:rStyle w:val="CharSchNo"/>
        </w:rPr>
        <w:t>Schedule 7</w:t>
      </w:r>
      <w:bookmarkEnd w:id="196"/>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197" w:name="_Toc189889707"/>
      <w:r>
        <w:rPr>
          <w:rStyle w:val="CharSDivNo"/>
          <w:sz w:val="28"/>
        </w:rPr>
        <w:t>Part A</w:t>
      </w:r>
      <w:bookmarkEnd w:id="19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98" w:name="_Toc189889708"/>
      <w:r>
        <w:rPr>
          <w:rStyle w:val="CharSDivNo"/>
          <w:sz w:val="28"/>
        </w:rPr>
        <w:t>Part B</w:t>
      </w:r>
      <w:bookmarkEnd w:id="198"/>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99" w:name="_Toc189889709"/>
      <w:r>
        <w:rPr>
          <w:rStyle w:val="CharSDivNo"/>
          <w:sz w:val="28"/>
        </w:rPr>
        <w:t>Part C</w:t>
      </w:r>
      <w:bookmarkEnd w:id="199"/>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200" w:name="_Toc189889710"/>
      <w:r>
        <w:t>Notes</w:t>
      </w:r>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201" w:name="_Toc189889711"/>
      <w:r>
        <w:t>Compilation table</w:t>
      </w:r>
      <w:bookmarkEnd w:id="2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2" w:name="_Toc7405065"/>
      <w:bookmarkStart w:id="203" w:name="_Toc181500909"/>
      <w:bookmarkStart w:id="204" w:name="_Toc193100050"/>
      <w:r>
        <w:t>Provisions that have not come into operation</w:t>
      </w:r>
      <w:bookmarkEnd w:id="202"/>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5 </w:t>
            </w:r>
            <w:r>
              <w:rPr>
                <w:iCs/>
                <w:snapToGrid w:val="0"/>
                <w:sz w:val="19"/>
                <w:vertAlign w:val="superscript"/>
              </w:rPr>
              <w:t>16</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ins w:id="205" w:author="svcMRProcess" w:date="2020-02-15T06:05:00Z"/>
        </w:trPr>
        <w:tc>
          <w:tcPr>
            <w:tcW w:w="2268" w:type="dxa"/>
            <w:tcBorders>
              <w:bottom w:val="single" w:sz="4" w:space="0" w:color="auto"/>
            </w:tcBorders>
          </w:tcPr>
          <w:p>
            <w:pPr>
              <w:pStyle w:val="nTable"/>
              <w:spacing w:after="40"/>
              <w:rPr>
                <w:ins w:id="206" w:author="svcMRProcess" w:date="2020-02-15T06:05:00Z"/>
                <w:iCs/>
                <w:snapToGrid w:val="0"/>
                <w:sz w:val="19"/>
              </w:rPr>
            </w:pPr>
            <w:ins w:id="207" w:author="svcMRProcess" w:date="2020-02-15T06:05:00Z">
              <w:r>
                <w:rPr>
                  <w:i/>
                  <w:snapToGrid w:val="0"/>
                  <w:sz w:val="19"/>
                </w:rPr>
                <w:t>Acts Amendment (Justice) Act 2008</w:t>
              </w:r>
              <w:r>
                <w:rPr>
                  <w:iCs/>
                  <w:snapToGrid w:val="0"/>
                  <w:sz w:val="19"/>
                </w:rPr>
                <w:t xml:space="preserve"> Pt. 11 </w:t>
              </w:r>
              <w:r>
                <w:rPr>
                  <w:iCs/>
                  <w:snapToGrid w:val="0"/>
                  <w:sz w:val="19"/>
                  <w:vertAlign w:val="superscript"/>
                </w:rPr>
                <w:t>17</w:t>
              </w:r>
            </w:ins>
          </w:p>
        </w:tc>
        <w:tc>
          <w:tcPr>
            <w:tcW w:w="1134" w:type="dxa"/>
            <w:tcBorders>
              <w:bottom w:val="single" w:sz="4" w:space="0" w:color="auto"/>
            </w:tcBorders>
          </w:tcPr>
          <w:p>
            <w:pPr>
              <w:pStyle w:val="nTable"/>
              <w:spacing w:after="40"/>
              <w:rPr>
                <w:ins w:id="208" w:author="svcMRProcess" w:date="2020-02-15T06:05:00Z"/>
                <w:sz w:val="19"/>
              </w:rPr>
            </w:pPr>
            <w:ins w:id="209" w:author="svcMRProcess" w:date="2020-02-15T06:05:00Z">
              <w:r>
                <w:rPr>
                  <w:sz w:val="19"/>
                </w:rPr>
                <w:t>5 of 2008</w:t>
              </w:r>
            </w:ins>
          </w:p>
        </w:tc>
        <w:tc>
          <w:tcPr>
            <w:tcW w:w="1134" w:type="dxa"/>
            <w:tcBorders>
              <w:bottom w:val="single" w:sz="4" w:space="0" w:color="auto"/>
            </w:tcBorders>
          </w:tcPr>
          <w:p>
            <w:pPr>
              <w:pStyle w:val="nTable"/>
              <w:spacing w:after="40"/>
              <w:rPr>
                <w:ins w:id="210" w:author="svcMRProcess" w:date="2020-02-15T06:05:00Z"/>
                <w:sz w:val="19"/>
              </w:rPr>
            </w:pPr>
            <w:ins w:id="211" w:author="svcMRProcess" w:date="2020-02-15T06:05:00Z">
              <w:r>
                <w:rPr>
                  <w:sz w:val="19"/>
                </w:rPr>
                <w:t>31 Mar 2008</w:t>
              </w:r>
            </w:ins>
          </w:p>
        </w:tc>
        <w:tc>
          <w:tcPr>
            <w:tcW w:w="2552" w:type="dxa"/>
            <w:tcBorders>
              <w:bottom w:val="single" w:sz="4" w:space="0" w:color="auto"/>
            </w:tcBorders>
          </w:tcPr>
          <w:p>
            <w:pPr>
              <w:pStyle w:val="nTable"/>
              <w:spacing w:after="40"/>
              <w:rPr>
                <w:ins w:id="212" w:author="svcMRProcess" w:date="2020-02-15T06:05:00Z"/>
                <w:snapToGrid w:val="0"/>
                <w:sz w:val="19"/>
                <w:lang w:val="en-US"/>
              </w:rPr>
            </w:pPr>
            <w:ins w:id="213" w:author="svcMRProcess" w:date="2020-02-15T06:05:00Z">
              <w:r>
                <w:rPr>
                  <w:snapToGrid w:val="0"/>
                  <w:sz w:val="19"/>
                  <w:lang w:val="en-US"/>
                </w:rPr>
                <w:t>To be proclaimed (see s. 2(d))</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5 </w:t>
      </w:r>
      <w:r>
        <w:rPr>
          <w:snapToGrid w:val="0"/>
        </w:rPr>
        <w:t>had not come into operation.  It reads as follows:</w:t>
      </w:r>
    </w:p>
    <w:p>
      <w:pPr>
        <w:pStyle w:val="MiscOpen"/>
        <w:rPr>
          <w:snapToGrid w:val="0"/>
        </w:rPr>
      </w:pPr>
      <w:r>
        <w:rPr>
          <w:snapToGrid w:val="0"/>
        </w:rPr>
        <w:t>“</w:t>
      </w:r>
    </w:p>
    <w:p>
      <w:pPr>
        <w:pStyle w:val="nzHeading2"/>
      </w:pPr>
      <w:r>
        <w:rPr>
          <w:sz w:val="20"/>
        </w:rPr>
        <w:t>“</w:t>
      </w:r>
      <w:bookmarkStart w:id="214" w:name="_Toc134345720"/>
      <w:bookmarkStart w:id="215" w:name="_Toc134347225"/>
      <w:bookmarkStart w:id="216" w:name="_Toc134350548"/>
      <w:bookmarkStart w:id="217" w:name="_Toc134412018"/>
      <w:bookmarkStart w:id="218" w:name="_Toc134416573"/>
      <w:bookmarkStart w:id="219" w:name="_Toc134417424"/>
      <w:bookmarkStart w:id="220" w:name="_Toc134420118"/>
      <w:bookmarkStart w:id="221" w:name="_Toc134421061"/>
      <w:bookmarkStart w:id="222" w:name="_Toc134421144"/>
      <w:bookmarkStart w:id="223" w:name="_Toc134421285"/>
      <w:bookmarkStart w:id="224" w:name="_Toc134421368"/>
      <w:bookmarkStart w:id="225" w:name="_Toc134422424"/>
      <w:bookmarkStart w:id="226" w:name="_Toc134869822"/>
      <w:bookmarkStart w:id="227" w:name="_Toc134959083"/>
      <w:bookmarkStart w:id="228" w:name="_Toc135020444"/>
      <w:bookmarkStart w:id="229" w:name="_Toc135022782"/>
      <w:bookmarkStart w:id="230" w:name="_Toc135037046"/>
      <w:bookmarkStart w:id="231" w:name="_Toc135038815"/>
      <w:bookmarkStart w:id="232" w:name="_Toc135039107"/>
      <w:bookmarkStart w:id="233" w:name="_Toc135041700"/>
      <w:bookmarkStart w:id="234" w:name="_Toc135103368"/>
      <w:bookmarkStart w:id="235" w:name="_Toc135106656"/>
      <w:bookmarkStart w:id="236" w:name="_Toc135107013"/>
      <w:bookmarkStart w:id="237" w:name="_Toc135111464"/>
      <w:bookmarkStart w:id="238" w:name="_Toc135111934"/>
      <w:bookmarkStart w:id="239" w:name="_Toc135459324"/>
      <w:bookmarkStart w:id="240" w:name="_Toc135476824"/>
      <w:bookmarkStart w:id="241" w:name="_Toc135478558"/>
      <w:bookmarkStart w:id="242" w:name="_Toc135542478"/>
      <w:bookmarkStart w:id="243" w:name="_Toc135545031"/>
      <w:bookmarkStart w:id="244" w:name="_Toc135545909"/>
      <w:bookmarkStart w:id="245" w:name="_Toc135629859"/>
      <w:bookmarkStart w:id="246" w:name="_Toc135630521"/>
      <w:bookmarkStart w:id="247" w:name="_Toc135631918"/>
      <w:bookmarkStart w:id="248" w:name="_Toc136341449"/>
      <w:bookmarkStart w:id="249" w:name="_Toc136341916"/>
      <w:bookmarkStart w:id="250" w:name="_Toc136397883"/>
      <w:bookmarkStart w:id="251" w:name="_Toc136401897"/>
      <w:bookmarkStart w:id="252" w:name="_Toc136410122"/>
      <w:bookmarkStart w:id="253" w:name="_Toc136411230"/>
      <w:bookmarkStart w:id="254" w:name="_Toc136412067"/>
      <w:bookmarkStart w:id="255" w:name="_Toc136681906"/>
      <w:bookmarkStart w:id="256" w:name="_Toc136682496"/>
      <w:bookmarkStart w:id="257" w:name="_Toc136682588"/>
      <w:bookmarkStart w:id="258" w:name="_Toc136752761"/>
      <w:bookmarkStart w:id="259" w:name="_Toc137454235"/>
      <w:bookmarkStart w:id="260" w:name="_Toc137454713"/>
      <w:bookmarkStart w:id="261" w:name="_Toc137529940"/>
      <w:bookmarkStart w:id="262" w:name="_Toc137531436"/>
      <w:bookmarkStart w:id="263" w:name="_Toc150315618"/>
      <w:bookmarkStart w:id="264" w:name="_Toc191980370"/>
      <w:bookmarkStart w:id="265" w:name="_Toc192051002"/>
      <w:bookmarkStart w:id="266" w:name="_Toc193093650"/>
      <w:bookmarkStart w:id="267" w:name="_Toc193098284"/>
      <w:r>
        <w:rPr>
          <w:rStyle w:val="CharPartNo"/>
        </w:rPr>
        <w:t>Part 5</w:t>
      </w:r>
      <w:r>
        <w:rPr>
          <w:rStyle w:val="CharDivNo"/>
        </w:rPr>
        <w:t> </w:t>
      </w:r>
      <w:r>
        <w:t>—</w:t>
      </w:r>
      <w:r>
        <w:rPr>
          <w:rStyle w:val="CharDivText"/>
        </w:rPr>
        <w:t> </w:t>
      </w:r>
      <w:r>
        <w:rPr>
          <w:rStyle w:val="CharPartText"/>
          <w:i/>
          <w:iCs/>
        </w:rPr>
        <w:t>Evidence Act 1906</w:t>
      </w:r>
      <w:r>
        <w:rPr>
          <w:rStyle w:val="CharPartText"/>
        </w:rPr>
        <w:t xml:space="preserve"> amended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nzHeading5"/>
      </w:pPr>
      <w:bookmarkStart w:id="268" w:name="_Toc134412019"/>
      <w:bookmarkStart w:id="269" w:name="_Toc192051003"/>
      <w:bookmarkStart w:id="270" w:name="_Toc193093651"/>
      <w:bookmarkStart w:id="271" w:name="_Toc193098285"/>
      <w:r>
        <w:rPr>
          <w:rStyle w:val="CharSectno"/>
        </w:rPr>
        <w:t>41</w:t>
      </w:r>
      <w:r>
        <w:t>.</w:t>
      </w:r>
      <w:r>
        <w:tab/>
        <w:t>The Act amended in this Part</w:t>
      </w:r>
      <w:bookmarkEnd w:id="268"/>
      <w:bookmarkEnd w:id="269"/>
      <w:bookmarkEnd w:id="270"/>
      <w:bookmarkEnd w:id="271"/>
    </w:p>
    <w:p>
      <w:pPr>
        <w:pStyle w:val="nzSubsection"/>
      </w:pPr>
      <w:r>
        <w:tab/>
      </w:r>
      <w:r>
        <w:tab/>
        <w:t xml:space="preserve">The amendments in this Part are to the </w:t>
      </w:r>
      <w:r>
        <w:rPr>
          <w:i/>
        </w:rPr>
        <w:t>Evidence Act 1906</w:t>
      </w:r>
      <w:r>
        <w:t>.</w:t>
      </w:r>
    </w:p>
    <w:p>
      <w:pPr>
        <w:pStyle w:val="nzHeading5"/>
      </w:pPr>
      <w:bookmarkStart w:id="272" w:name="_Toc134412020"/>
      <w:bookmarkStart w:id="273" w:name="_Toc192051004"/>
      <w:bookmarkStart w:id="274" w:name="_Toc193093652"/>
      <w:bookmarkStart w:id="275" w:name="_Toc193098286"/>
      <w:r>
        <w:rPr>
          <w:rStyle w:val="CharSectno"/>
        </w:rPr>
        <w:t>42</w:t>
      </w:r>
      <w:r>
        <w:t>.</w:t>
      </w:r>
      <w:r>
        <w:tab/>
        <w:t>Section 36BE inserted and consequential amendments</w:t>
      </w:r>
      <w:bookmarkEnd w:id="272"/>
      <w:bookmarkEnd w:id="273"/>
      <w:bookmarkEnd w:id="274"/>
      <w:bookmarkEnd w:id="275"/>
    </w:p>
    <w:p>
      <w:pPr>
        <w:pStyle w:val="nzSubsection"/>
      </w:pPr>
      <w:r>
        <w:tab/>
        <w:t>(1)</w:t>
      </w:r>
      <w:r>
        <w:tab/>
        <w:t xml:space="preserve">After section 36BD the following section is inserted — </w:t>
      </w:r>
    </w:p>
    <w:p>
      <w:pPr>
        <w:pStyle w:val="MiscOpen"/>
      </w:pPr>
      <w:r>
        <w:t xml:space="preserve">“    </w:t>
      </w:r>
    </w:p>
    <w:p>
      <w:pPr>
        <w:pStyle w:val="nzHeading5"/>
      </w:pPr>
      <w:bookmarkStart w:id="276" w:name="_Toc134412021"/>
      <w:bookmarkStart w:id="277" w:name="_Toc192051005"/>
      <w:bookmarkStart w:id="278" w:name="_Toc193093653"/>
      <w:bookmarkStart w:id="279" w:name="_Toc193098287"/>
      <w:r>
        <w:t>36BE.</w:t>
      </w:r>
      <w:r>
        <w:tab/>
        <w:t>Expert evidence of child behaviour</w:t>
      </w:r>
      <w:bookmarkEnd w:id="276"/>
      <w:bookmarkEnd w:id="277"/>
      <w:bookmarkEnd w:id="278"/>
      <w:bookmarkEnd w:id="279"/>
    </w:p>
    <w:p>
      <w:pPr>
        <w:pStyle w:val="nzSubsection"/>
      </w:pPr>
      <w:r>
        <w:tab/>
        <w:t>(1)</w:t>
      </w:r>
      <w:r>
        <w:tab/>
        <w:t>This section applies to any proceedings for a sexual offence in respect of a complainant who was under the age of 18 years at the time of the alleged offence.</w:t>
      </w:r>
    </w:p>
    <w:p>
      <w:pPr>
        <w:pStyle w:val="nzSubsection"/>
      </w:pPr>
      <w:r>
        <w:tab/>
        <w:t>(2)</w:t>
      </w:r>
      <w:r>
        <w:tab/>
        <w:t>Evidence by an expert on the subject of child behaviour about any or all of the following —</w:t>
      </w:r>
    </w:p>
    <w:p>
      <w:pPr>
        <w:pStyle w:val="nzIndenta"/>
      </w:pPr>
      <w:r>
        <w:tab/>
        <w:t>(a)</w:t>
      </w:r>
      <w:r>
        <w:tab/>
        <w:t>child development and behaviour generally;</w:t>
      </w:r>
    </w:p>
    <w:p>
      <w:pPr>
        <w:pStyle w:val="nzIndenta"/>
      </w:pPr>
      <w:r>
        <w:tab/>
        <w:t>(b)</w:t>
      </w:r>
      <w:r>
        <w:tab/>
        <w:t>child development and behaviour in cases where children have been the victims of sexual offences,</w:t>
      </w:r>
    </w:p>
    <w:p>
      <w:pPr>
        <w:pStyle w:val="nzSubsection"/>
      </w:pPr>
      <w:r>
        <w:tab/>
      </w:r>
      <w:r>
        <w:tab/>
        <w:t>that is relevant to the proceedings is admissible in them notwithstanding that the evidence —</w:t>
      </w:r>
    </w:p>
    <w:p>
      <w:pPr>
        <w:pStyle w:val="nzIndenta"/>
      </w:pPr>
      <w:r>
        <w:tab/>
        <w:t>(c)</w:t>
      </w:r>
      <w:r>
        <w:tab/>
        <w:t>relates to a fact in issue or to an ultimate issue in the proceedings; or</w:t>
      </w:r>
    </w:p>
    <w:p>
      <w:pPr>
        <w:pStyle w:val="nzIndenta"/>
      </w:pPr>
      <w:r>
        <w:tab/>
        <w:t>(d)</w:t>
      </w:r>
      <w:r>
        <w:tab/>
        <w:t>is a matter of common knowledge; or</w:t>
      </w:r>
    </w:p>
    <w:p>
      <w:pPr>
        <w:pStyle w:val="nzIndenta"/>
      </w:pPr>
      <w:r>
        <w:tab/>
        <w:t>(e)</w:t>
      </w:r>
      <w:r>
        <w:tab/>
        <w:t>is relevant only to the credibility of the complainant.</w:t>
      </w:r>
    </w:p>
    <w:p>
      <w:pPr>
        <w:pStyle w:val="nzSubsection"/>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MiscClose"/>
      </w:pPr>
      <w:r>
        <w:t xml:space="preserve">    ”.</w:t>
      </w:r>
    </w:p>
    <w:p>
      <w:pPr>
        <w:pStyle w:val="nzSubsection"/>
      </w:pPr>
      <w:r>
        <w:tab/>
        <w:t>(2)</w:t>
      </w:r>
      <w:r>
        <w:tab/>
        <w:t xml:space="preserve">Section 36A(1) is amended by inserting after “36BD” — </w:t>
      </w:r>
    </w:p>
    <w:p>
      <w:pPr>
        <w:pStyle w:val="nzSubsection"/>
      </w:pPr>
      <w:r>
        <w:tab/>
      </w:r>
      <w:r>
        <w:tab/>
        <w:t>“    , 36BE    ”.</w:t>
      </w:r>
    </w:p>
    <w:p>
      <w:pPr>
        <w:pStyle w:val="nzSubsection"/>
      </w:pPr>
      <w:r>
        <w:tab/>
        <w:t>(3)</w:t>
      </w:r>
      <w:r>
        <w:tab/>
        <w:t>Section 36A(2) is amended by deleting “and 36BC,” and inserting instead —</w:t>
      </w:r>
    </w:p>
    <w:p>
      <w:pPr>
        <w:pStyle w:val="nzSubsection"/>
      </w:pPr>
      <w:r>
        <w:tab/>
      </w:r>
      <w:r>
        <w:tab/>
        <w:t>“    , 36BC and 36BE,    ”.</w:t>
      </w:r>
    </w:p>
    <w:p>
      <w:pPr>
        <w:pStyle w:val="nzHeading5"/>
      </w:pPr>
      <w:bookmarkStart w:id="280" w:name="_Toc192051006"/>
      <w:bookmarkStart w:id="281" w:name="_Toc193093654"/>
      <w:bookmarkStart w:id="282" w:name="_Toc193098288"/>
      <w:r>
        <w:rPr>
          <w:rStyle w:val="CharSectno"/>
        </w:rPr>
        <w:t>43</w:t>
      </w:r>
      <w:r>
        <w:t>.</w:t>
      </w:r>
      <w:r>
        <w:tab/>
        <w:t>Section 100A amended</w:t>
      </w:r>
      <w:bookmarkEnd w:id="280"/>
      <w:bookmarkEnd w:id="281"/>
      <w:bookmarkEnd w:id="282"/>
    </w:p>
    <w:p>
      <w:pPr>
        <w:pStyle w:val="nzSubsection"/>
      </w:pPr>
      <w:r>
        <w:tab/>
      </w:r>
      <w:r>
        <w:tab/>
        <w:t>After section 100A(7) the following subsection is inserted —</w:t>
      </w:r>
    </w:p>
    <w:p>
      <w:pPr>
        <w:pStyle w:val="MiscOpen"/>
        <w:ind w:left="600"/>
      </w:pPr>
      <w:r>
        <w:t xml:space="preserve">“    </w:t>
      </w:r>
    </w:p>
    <w:p>
      <w:pPr>
        <w:pStyle w:val="nz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MiscClose"/>
      </w:pPr>
      <w:r>
        <w:t xml:space="preserve">    ”.</w:t>
      </w:r>
    </w:p>
    <w:p>
      <w:pPr>
        <w:pStyle w:val="nzHeading5"/>
      </w:pPr>
      <w:bookmarkStart w:id="283" w:name="_Toc192051007"/>
      <w:bookmarkStart w:id="284" w:name="_Toc193093655"/>
      <w:bookmarkStart w:id="285" w:name="_Toc193098289"/>
      <w:r>
        <w:rPr>
          <w:rStyle w:val="CharSectno"/>
        </w:rPr>
        <w:t>44</w:t>
      </w:r>
      <w:r>
        <w:t>.</w:t>
      </w:r>
      <w:r>
        <w:tab/>
        <w:t>Section 106A amended</w:t>
      </w:r>
      <w:bookmarkEnd w:id="283"/>
      <w:bookmarkEnd w:id="284"/>
      <w:bookmarkEnd w:id="285"/>
    </w:p>
    <w:p>
      <w:pPr>
        <w:pStyle w:val="nzSubsection"/>
      </w:pPr>
      <w:r>
        <w:tab/>
      </w:r>
      <w:r>
        <w:tab/>
        <w:t>Section 106A is amended by inserting in the appropriate alphabetical position —</w:t>
      </w:r>
    </w:p>
    <w:p>
      <w:pPr>
        <w:pStyle w:val="MiscOpen"/>
        <w:ind w:left="880"/>
      </w:pPr>
      <w:r>
        <w:t xml:space="preserve">“    </w:t>
      </w:r>
    </w:p>
    <w:p>
      <w:pPr>
        <w:pStyle w:val="nz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MiscClose"/>
      </w:pPr>
      <w:r>
        <w:t xml:space="preserve">    ”.</w:t>
      </w:r>
    </w:p>
    <w:p>
      <w:pPr>
        <w:pStyle w:val="nzHeading5"/>
      </w:pPr>
      <w:bookmarkStart w:id="286" w:name="_Toc192051008"/>
      <w:bookmarkStart w:id="287" w:name="_Toc193093656"/>
      <w:bookmarkStart w:id="288" w:name="_Toc193098290"/>
      <w:r>
        <w:rPr>
          <w:rStyle w:val="CharSectno"/>
        </w:rPr>
        <w:t>45</w:t>
      </w:r>
      <w:r>
        <w:t>.</w:t>
      </w:r>
      <w:r>
        <w:tab/>
        <w:t>Section 106B amended</w:t>
      </w:r>
      <w:bookmarkEnd w:id="286"/>
      <w:bookmarkEnd w:id="287"/>
      <w:bookmarkEnd w:id="288"/>
    </w:p>
    <w:p>
      <w:pPr>
        <w:pStyle w:val="nzSubsection"/>
      </w:pPr>
      <w:r>
        <w:tab/>
        <w:t>(1)</w:t>
      </w:r>
      <w:r>
        <w:tab/>
        <w:t xml:space="preserve">Section 106B(1) is amended by deleting “subsection (2),” and inserting instead — </w:t>
      </w:r>
    </w:p>
    <w:p>
      <w:pPr>
        <w:pStyle w:val="nzSubsection"/>
      </w:pPr>
      <w:r>
        <w:tab/>
      </w:r>
      <w:r>
        <w:tab/>
        <w:t>“    subsection (3),    ”.</w:t>
      </w:r>
    </w:p>
    <w:p>
      <w:pPr>
        <w:pStyle w:val="nzSubsection"/>
      </w:pPr>
      <w:r>
        <w:tab/>
        <w:t>(2)</w:t>
      </w:r>
      <w:r>
        <w:tab/>
        <w:t>Section 106B(2) is repealed and the following subsections are inserted instead —</w:t>
      </w:r>
    </w:p>
    <w:p>
      <w:pPr>
        <w:pStyle w:val="MiscOpen"/>
        <w:ind w:left="600"/>
      </w:pPr>
      <w:r>
        <w:t xml:space="preserve">“    </w:t>
      </w:r>
    </w:p>
    <w:p>
      <w:pPr>
        <w:pStyle w:val="nzSubsection"/>
      </w:pPr>
      <w:r>
        <w:tab/>
        <w:t>(2)</w:t>
      </w:r>
      <w:r>
        <w:tab/>
        <w:t>Irrespective of the person’s age, a person with a mental impairment may in any proceeding, if the person is competent under subsection (3), give evidence on oath or after making an affirmation.</w:t>
      </w:r>
    </w:p>
    <w:p>
      <w:pPr>
        <w:pStyle w:val="nzSubsection"/>
      </w:pPr>
      <w:r>
        <w:tab/>
        <w:t>(3)</w:t>
      </w:r>
      <w:r>
        <w:tab/>
        <w:t xml:space="preserve">A person referred to in subsection (1) or (2) is competent to take an oath or make an affirmation if in the opinion of the court or person acting judicially the person understands that — </w:t>
      </w:r>
    </w:p>
    <w:p>
      <w:pPr>
        <w:pStyle w:val="nzIndenta"/>
      </w:pPr>
      <w:r>
        <w:tab/>
        <w:t>(a)</w:t>
      </w:r>
      <w:r>
        <w:tab/>
        <w:t>the giving of evidence is a serious matter; and</w:t>
      </w:r>
    </w:p>
    <w:p>
      <w:pPr>
        <w:pStyle w:val="nzIndenta"/>
      </w:pPr>
      <w:r>
        <w:tab/>
        <w:t>(b)</w:t>
      </w:r>
      <w:r>
        <w:tab/>
        <w:t>he or she in giving evidence has an obligation to tell the truth.</w:t>
      </w:r>
    </w:p>
    <w:p>
      <w:pPr>
        <w:pStyle w:val="MiscClose"/>
      </w:pPr>
      <w:r>
        <w:t xml:space="preserve">    ”.</w:t>
      </w:r>
    </w:p>
    <w:p>
      <w:pPr>
        <w:pStyle w:val="nzHeading5"/>
      </w:pPr>
      <w:bookmarkStart w:id="289" w:name="_Toc192051009"/>
      <w:bookmarkStart w:id="290" w:name="_Toc193093657"/>
      <w:bookmarkStart w:id="291" w:name="_Toc193098291"/>
      <w:r>
        <w:rPr>
          <w:rStyle w:val="CharSectno"/>
        </w:rPr>
        <w:t>46</w:t>
      </w:r>
      <w:r>
        <w:t>.</w:t>
      </w:r>
      <w:r>
        <w:tab/>
        <w:t>Section 106C replaced</w:t>
      </w:r>
      <w:bookmarkEnd w:id="289"/>
      <w:bookmarkEnd w:id="290"/>
      <w:bookmarkEnd w:id="291"/>
    </w:p>
    <w:p>
      <w:pPr>
        <w:pStyle w:val="nzSubsection"/>
      </w:pPr>
      <w:r>
        <w:tab/>
      </w:r>
      <w:r>
        <w:tab/>
        <w:t>Section 106C is repealed and the following section is inserted instead —</w:t>
      </w:r>
    </w:p>
    <w:p>
      <w:pPr>
        <w:pStyle w:val="MiscOpen"/>
      </w:pPr>
      <w:r>
        <w:t xml:space="preserve">“    </w:t>
      </w:r>
    </w:p>
    <w:p>
      <w:pPr>
        <w:pStyle w:val="nzHeading5"/>
      </w:pPr>
      <w:bookmarkStart w:id="292" w:name="_Toc192051010"/>
      <w:bookmarkStart w:id="293" w:name="_Toc193093658"/>
      <w:bookmarkStart w:id="294" w:name="_Toc193098292"/>
      <w:r>
        <w:t>106C.</w:t>
      </w:r>
      <w:r>
        <w:tab/>
        <w:t>Child under 12 and mentally impaired witness may give unsworn evidence</w:t>
      </w:r>
      <w:bookmarkEnd w:id="292"/>
      <w:bookmarkEnd w:id="293"/>
      <w:bookmarkEnd w:id="294"/>
    </w:p>
    <w:p>
      <w:pPr>
        <w:pStyle w:val="nz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MiscClose"/>
      </w:pPr>
      <w:r>
        <w:t xml:space="preserve">    ”.</w:t>
      </w:r>
    </w:p>
    <w:p>
      <w:pPr>
        <w:pStyle w:val="nzHeading5"/>
      </w:pPr>
      <w:bookmarkStart w:id="295" w:name="_Toc192051011"/>
      <w:bookmarkStart w:id="296" w:name="_Toc193093659"/>
      <w:bookmarkStart w:id="297" w:name="_Toc193098293"/>
      <w:r>
        <w:rPr>
          <w:rStyle w:val="CharSectno"/>
        </w:rPr>
        <w:t>47</w:t>
      </w:r>
      <w:r>
        <w:t>.</w:t>
      </w:r>
      <w:r>
        <w:tab/>
        <w:t>Section 106F amended</w:t>
      </w:r>
      <w:bookmarkEnd w:id="295"/>
      <w:bookmarkEnd w:id="296"/>
      <w:bookmarkEnd w:id="297"/>
    </w:p>
    <w:p>
      <w:pPr>
        <w:pStyle w:val="nzSubsection"/>
      </w:pPr>
      <w:r>
        <w:tab/>
      </w:r>
      <w:r>
        <w:tab/>
        <w:t>Section 106F(4) is amended by deleting “misdemeanour” and inserting instead —</w:t>
      </w:r>
    </w:p>
    <w:p>
      <w:pPr>
        <w:pStyle w:val="nzSubsection"/>
      </w:pPr>
      <w:r>
        <w:tab/>
      </w:r>
      <w:r>
        <w:tab/>
        <w:t>“    crime    ”.</w:t>
      </w:r>
    </w:p>
    <w:p>
      <w:pPr>
        <w:pStyle w:val="nzHeading5"/>
      </w:pPr>
      <w:bookmarkStart w:id="298" w:name="_Toc192051012"/>
      <w:bookmarkStart w:id="299" w:name="_Toc193093660"/>
      <w:bookmarkStart w:id="300" w:name="_Toc193098294"/>
      <w:r>
        <w:rPr>
          <w:rStyle w:val="CharSectno"/>
        </w:rPr>
        <w:t>48</w:t>
      </w:r>
      <w:r>
        <w:t>.</w:t>
      </w:r>
      <w:r>
        <w:tab/>
        <w:t>Section 106HA amended</w:t>
      </w:r>
      <w:bookmarkEnd w:id="298"/>
      <w:bookmarkEnd w:id="299"/>
      <w:bookmarkEnd w:id="300"/>
    </w:p>
    <w:p>
      <w:pPr>
        <w:pStyle w:val="nzSubsection"/>
      </w:pPr>
      <w:r>
        <w:tab/>
        <w:t>(1)</w:t>
      </w:r>
      <w:r>
        <w:tab/>
        <w:t xml:space="preserve">After section 106HA(1) the following subsection is inserted — </w:t>
      </w:r>
    </w:p>
    <w:p>
      <w:pPr>
        <w:pStyle w:val="MiscOpen"/>
        <w:ind w:left="600"/>
      </w:pPr>
      <w:r>
        <w:t xml:space="preserve">“    </w:t>
      </w:r>
    </w:p>
    <w:p>
      <w:pPr>
        <w:pStyle w:val="nz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nzIndenta"/>
      </w:pPr>
      <w:r>
        <w:tab/>
        <w:t>(a)</w:t>
      </w:r>
      <w:r>
        <w:tab/>
        <w:t>the interview was conducted by a person of a prescribed class who had reason to believe that the person had, or may have, suffered physical or sexual abuse; and</w:t>
      </w:r>
    </w:p>
    <w:p>
      <w:pPr>
        <w:pStyle w:val="nzIndenta"/>
      </w:pPr>
      <w:r>
        <w:tab/>
        <w:t>(b)</w:t>
      </w:r>
      <w:r>
        <w:tab/>
        <w:t>the manner in which the interview was conducted and recorded meets the prescribed requirements to the prescribed extent.</w:t>
      </w:r>
    </w:p>
    <w:p>
      <w:pPr>
        <w:pStyle w:val="MiscClose"/>
      </w:pPr>
      <w:r>
        <w:t xml:space="preserve">    ”.</w:t>
      </w:r>
    </w:p>
    <w:p>
      <w:pPr>
        <w:pStyle w:val="nzSubsection"/>
      </w:pPr>
      <w:r>
        <w:tab/>
        <w:t>(2)</w:t>
      </w:r>
      <w:r>
        <w:tab/>
        <w:t xml:space="preserve">Section 106HA(2) is repealed and the following subsection is inserted instead — </w:t>
      </w:r>
    </w:p>
    <w:p>
      <w:pPr>
        <w:pStyle w:val="MiscOpen"/>
        <w:ind w:left="600"/>
      </w:pPr>
      <w:r>
        <w:t xml:space="preserve">“    </w:t>
      </w:r>
    </w:p>
    <w:p>
      <w:pPr>
        <w:pStyle w:val="nz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MiscClose"/>
      </w:pPr>
      <w:r>
        <w:t xml:space="preserve">    ”.</w:t>
      </w:r>
    </w:p>
    <w:p>
      <w:pPr>
        <w:pStyle w:val="nzSubsection"/>
      </w:pPr>
      <w:r>
        <w:tab/>
        <w:t>(3)</w:t>
      </w:r>
      <w:r>
        <w:tab/>
        <w:t xml:space="preserve">Section 106HA(3) is amended by inserting after “child” — </w:t>
      </w:r>
    </w:p>
    <w:p>
      <w:pPr>
        <w:pStyle w:val="nzSubsection"/>
      </w:pPr>
      <w:r>
        <w:tab/>
      </w:r>
      <w:r>
        <w:tab/>
        <w:t>“    , or a person with a mental impairment,    ”.</w:t>
      </w:r>
    </w:p>
    <w:p>
      <w:pPr>
        <w:pStyle w:val="nzHeading5"/>
      </w:pPr>
      <w:bookmarkStart w:id="301" w:name="_Toc134412022"/>
      <w:bookmarkStart w:id="302" w:name="_Toc192051013"/>
      <w:bookmarkStart w:id="303" w:name="_Toc193093661"/>
      <w:bookmarkStart w:id="304" w:name="_Toc193098295"/>
      <w:r>
        <w:rPr>
          <w:rStyle w:val="CharSectno"/>
        </w:rPr>
        <w:t>49</w:t>
      </w:r>
      <w:r>
        <w:t>.</w:t>
      </w:r>
      <w:r>
        <w:tab/>
        <w:t>Section 106HB amended</w:t>
      </w:r>
      <w:bookmarkEnd w:id="301"/>
      <w:bookmarkEnd w:id="302"/>
      <w:bookmarkEnd w:id="303"/>
      <w:bookmarkEnd w:id="304"/>
    </w:p>
    <w:p>
      <w:pPr>
        <w:pStyle w:val="nzSubsection"/>
      </w:pPr>
      <w:r>
        <w:tab/>
        <w:t>(1)</w:t>
      </w:r>
      <w:r>
        <w:tab/>
        <w:t>After section 106HB(1) the following subsection is inserted —</w:t>
      </w:r>
    </w:p>
    <w:p>
      <w:pPr>
        <w:pStyle w:val="MiscOpen"/>
        <w:ind w:left="600"/>
      </w:pPr>
      <w:r>
        <w:t xml:space="preserve">“    </w:t>
      </w:r>
    </w:p>
    <w:p>
      <w:pPr>
        <w:pStyle w:val="nzSubsection"/>
      </w:pPr>
      <w:r>
        <w:tab/>
        <w:t>(1a)</w:t>
      </w:r>
      <w:r>
        <w:tab/>
        <w:t>A visually recorded interview with a person with a mental impairment is not to be admitted in the proceeding under subsection (1) unless the person is a special witness.</w:t>
      </w:r>
    </w:p>
    <w:p>
      <w:pPr>
        <w:pStyle w:val="MiscClose"/>
      </w:pPr>
      <w:r>
        <w:t xml:space="preserve">    ”.</w:t>
      </w:r>
    </w:p>
    <w:p>
      <w:pPr>
        <w:pStyle w:val="nzSubsection"/>
      </w:pPr>
      <w:r>
        <w:tab/>
        <w:t>(2)</w:t>
      </w:r>
      <w:r>
        <w:tab/>
        <w:t>After section 106HB(6) the following subsection is inserted —</w:t>
      </w:r>
    </w:p>
    <w:p>
      <w:pPr>
        <w:pStyle w:val="MiscOpen"/>
        <w:ind w:left="600"/>
      </w:pPr>
      <w:r>
        <w:t xml:space="preserve">“    </w:t>
      </w:r>
    </w:p>
    <w:p>
      <w:pPr>
        <w:pStyle w:val="nz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MiscClose"/>
      </w:pPr>
      <w:r>
        <w:t xml:space="preserve">    ”.</w:t>
      </w:r>
    </w:p>
    <w:p>
      <w:pPr>
        <w:pStyle w:val="nzSubsection"/>
      </w:pPr>
      <w:r>
        <w:tab/>
        <w:t>(3)</w:t>
      </w:r>
      <w:r>
        <w:tab/>
        <w:t xml:space="preserve">After section 106HB(7) the following subsection is inserted — </w:t>
      </w:r>
    </w:p>
    <w:p>
      <w:pPr>
        <w:pStyle w:val="MiscOpen"/>
        <w:ind w:left="600"/>
      </w:pPr>
      <w:r>
        <w:t xml:space="preserve">“    </w:t>
      </w:r>
    </w:p>
    <w:p>
      <w:pPr>
        <w:pStyle w:val="nzSubsection"/>
      </w:pPr>
      <w:r>
        <w:tab/>
        <w:t>(8)</w:t>
      </w:r>
      <w:r>
        <w:tab/>
        <w:t>Subsection (7)(c) does not prevent a judge from directing a jury about a breach of subsection (7)(c) by the accused or the accused’s counsel, if it is in the interests of justice to do so.</w:t>
      </w:r>
    </w:p>
    <w:p>
      <w:pPr>
        <w:pStyle w:val="MiscClose"/>
      </w:pPr>
      <w:r>
        <w:t xml:space="preserve">    ”.</w:t>
      </w:r>
    </w:p>
    <w:p>
      <w:pPr>
        <w:pStyle w:val="nzHeading5"/>
      </w:pPr>
      <w:bookmarkStart w:id="305" w:name="_Toc192051014"/>
      <w:bookmarkStart w:id="306" w:name="_Toc193093662"/>
      <w:bookmarkStart w:id="307" w:name="_Toc193098296"/>
      <w:r>
        <w:rPr>
          <w:rStyle w:val="CharSectno"/>
        </w:rPr>
        <w:t>50</w:t>
      </w:r>
      <w:r>
        <w:t>.</w:t>
      </w:r>
      <w:r>
        <w:tab/>
        <w:t>Section 106HC amended</w:t>
      </w:r>
      <w:bookmarkEnd w:id="305"/>
      <w:bookmarkEnd w:id="306"/>
      <w:bookmarkEnd w:id="307"/>
    </w:p>
    <w:p>
      <w:pPr>
        <w:pStyle w:val="nzSubsection"/>
      </w:pPr>
      <w:r>
        <w:tab/>
      </w:r>
      <w:r>
        <w:tab/>
        <w:t>Section 106HC(1)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prescribing classes of persons for the purposes of section 106HA(1a)(a) by reference to the offices or positions held by them, or their training or experience, or any combination of those criteria; and</w:t>
      </w:r>
    </w:p>
    <w:p>
      <w:pPr>
        <w:pStyle w:val="nz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MiscClose"/>
      </w:pPr>
      <w:r>
        <w:t xml:space="preserve">    ”;</w:t>
      </w:r>
    </w:p>
    <w:p>
      <w:pPr>
        <w:pStyle w:val="nzIndenta"/>
      </w:pPr>
      <w:r>
        <w:tab/>
        <w:t>(b)</w:t>
      </w:r>
      <w:r>
        <w:tab/>
        <w:t xml:space="preserve">in paragraph (c) by inserting after “child” — </w:t>
      </w:r>
    </w:p>
    <w:p>
      <w:pPr>
        <w:pStyle w:val="nzIndenta"/>
      </w:pPr>
      <w:r>
        <w:tab/>
      </w:r>
      <w:r>
        <w:tab/>
        <w:t>“    , or a person with a mental impairment,    ”;</w:t>
      </w:r>
    </w:p>
    <w:p>
      <w:pPr>
        <w:pStyle w:val="nzIndenta"/>
      </w:pPr>
      <w:r>
        <w:tab/>
        <w:t>(c)</w:t>
      </w:r>
      <w:r>
        <w:tab/>
        <w:t xml:space="preserve">after each of paragraphs (a), (b), (c), (d), (e), (f) and (g) by inserting — </w:t>
      </w:r>
    </w:p>
    <w:p>
      <w:pPr>
        <w:pStyle w:val="nzIndenta"/>
      </w:pPr>
      <w:r>
        <w:tab/>
      </w:r>
      <w:r>
        <w:tab/>
        <w:t>“    and    ”.</w:t>
      </w:r>
    </w:p>
    <w:p>
      <w:pPr>
        <w:pStyle w:val="nzHeading5"/>
      </w:pPr>
      <w:bookmarkStart w:id="308" w:name="_Toc192051015"/>
      <w:bookmarkStart w:id="309" w:name="_Toc193093663"/>
      <w:bookmarkStart w:id="310" w:name="_Toc193098297"/>
      <w:r>
        <w:rPr>
          <w:rStyle w:val="CharSectno"/>
        </w:rPr>
        <w:t>51</w:t>
      </w:r>
      <w:r>
        <w:t>.</w:t>
      </w:r>
      <w:r>
        <w:tab/>
        <w:t>Section 106I amended</w:t>
      </w:r>
      <w:bookmarkEnd w:id="308"/>
      <w:bookmarkEnd w:id="309"/>
      <w:bookmarkEnd w:id="310"/>
    </w:p>
    <w:p>
      <w:pPr>
        <w:pStyle w:val="nzSubsection"/>
      </w:pPr>
      <w:r>
        <w:tab/>
      </w:r>
      <w:r>
        <w:tab/>
        <w:t xml:space="preserve">Section 106I(2) is amended by deleting “The defendant” and inserting instead — </w:t>
      </w:r>
    </w:p>
    <w:p>
      <w:pPr>
        <w:pStyle w:val="nzSubsection"/>
      </w:pPr>
      <w:r>
        <w:tab/>
      </w:r>
      <w:r>
        <w:tab/>
        <w:t>“    The accused    ”.</w:t>
      </w:r>
    </w:p>
    <w:p>
      <w:pPr>
        <w:pStyle w:val="nzHeading5"/>
      </w:pPr>
      <w:bookmarkStart w:id="311" w:name="_Toc192051016"/>
      <w:bookmarkStart w:id="312" w:name="_Toc193093664"/>
      <w:bookmarkStart w:id="313" w:name="_Toc193098298"/>
      <w:r>
        <w:rPr>
          <w:rStyle w:val="CharSectno"/>
        </w:rPr>
        <w:t>52</w:t>
      </w:r>
      <w:r>
        <w:t>.</w:t>
      </w:r>
      <w:r>
        <w:tab/>
        <w:t>Section 106O amended</w:t>
      </w:r>
      <w:bookmarkEnd w:id="311"/>
      <w:bookmarkEnd w:id="312"/>
      <w:bookmarkEnd w:id="313"/>
    </w:p>
    <w:p>
      <w:pPr>
        <w:pStyle w:val="nzSubsection"/>
      </w:pPr>
      <w:r>
        <w:tab/>
      </w:r>
      <w:r>
        <w:tab/>
        <w:t>Section 106O(2) is amended by deleting “defendant” and inserting instead —</w:t>
      </w:r>
    </w:p>
    <w:p>
      <w:pPr>
        <w:pStyle w:val="nzSubsection"/>
      </w:pPr>
      <w:r>
        <w:tab/>
      </w:r>
      <w:r>
        <w:tab/>
        <w:t>“    accused    ”.</w:t>
      </w:r>
    </w:p>
    <w:p>
      <w:pPr>
        <w:pStyle w:val="nzHeading5"/>
      </w:pPr>
      <w:bookmarkStart w:id="314" w:name="_Toc134412023"/>
      <w:bookmarkStart w:id="315" w:name="_Toc192051017"/>
      <w:bookmarkStart w:id="316" w:name="_Toc193093665"/>
      <w:bookmarkStart w:id="317" w:name="_Toc193098299"/>
      <w:r>
        <w:rPr>
          <w:rStyle w:val="CharSectno"/>
        </w:rPr>
        <w:t>53</w:t>
      </w:r>
      <w:r>
        <w:t>.</w:t>
      </w:r>
      <w:r>
        <w:tab/>
        <w:t>Section 106R amended</w:t>
      </w:r>
      <w:bookmarkEnd w:id="314"/>
      <w:bookmarkEnd w:id="315"/>
      <w:bookmarkEnd w:id="316"/>
      <w:bookmarkEnd w:id="317"/>
    </w:p>
    <w:p>
      <w:pPr>
        <w:pStyle w:val="nzSubsection"/>
      </w:pPr>
      <w:r>
        <w:tab/>
        <w:t>(1)</w:t>
      </w:r>
      <w:r>
        <w:tab/>
        <w:t xml:space="preserve">Section 106R(3)(a) is amended by deleting “(as defined in the </w:t>
      </w:r>
      <w:r>
        <w:rPr>
          <w:i/>
          <w:iCs/>
        </w:rPr>
        <w:t>Criminal Law (Mentally Impaired Accused) Act 1996</w:t>
      </w:r>
      <w:r>
        <w:t>)”.</w:t>
      </w:r>
    </w:p>
    <w:p>
      <w:pPr>
        <w:pStyle w:val="nzSubsection"/>
      </w:pPr>
      <w:r>
        <w:tab/>
        <w:t>(2)</w:t>
      </w:r>
      <w:r>
        <w:tab/>
        <w:t>After section 106R(4)(a) the following paragraph is inserted —</w:t>
      </w:r>
    </w:p>
    <w:p>
      <w:pPr>
        <w:pStyle w:val="MiscOpen"/>
        <w:ind w:left="1340"/>
      </w:pPr>
      <w:r>
        <w:t xml:space="preserve">“    </w:t>
      </w:r>
    </w:p>
    <w:p>
      <w:pPr>
        <w:pStyle w:val="nzIndenta"/>
      </w:pPr>
      <w:r>
        <w:tab/>
        <w:t>(b)</w:t>
      </w:r>
      <w:r>
        <w:tab/>
        <w:t>that the person have a communicator while he or she is giving evidence;</w:t>
      </w:r>
    </w:p>
    <w:p>
      <w:pPr>
        <w:pStyle w:val="MiscClose"/>
      </w:pPr>
      <w:r>
        <w:t xml:space="preserve">    ”.</w:t>
      </w:r>
    </w:p>
    <w:p>
      <w:pPr>
        <w:pStyle w:val="nzSubsection"/>
      </w:pPr>
      <w:r>
        <w:tab/>
        <w:t>(3)</w:t>
      </w:r>
      <w:r>
        <w:tab/>
        <w:t xml:space="preserve">After section 106R(4a) the following subsection is inserted — </w:t>
      </w:r>
    </w:p>
    <w:p>
      <w:pPr>
        <w:pStyle w:val="MiscOpen"/>
        <w:ind w:left="600"/>
      </w:pPr>
      <w:r>
        <w:t xml:space="preserve">“    </w:t>
      </w:r>
    </w:p>
    <w:p>
      <w:pPr>
        <w:pStyle w:val="nzSubsection"/>
      </w:pPr>
      <w:r>
        <w:tab/>
        <w:t>(4b)</w:t>
      </w:r>
      <w:r>
        <w:tab/>
        <w:t>Where an arrangement under subsection (4)(b) is directed to be made, section 106F applies, with any necessary changes, as if the special witness were an affected child.</w:t>
      </w:r>
    </w:p>
    <w:p>
      <w:pPr>
        <w:pStyle w:val="MiscClose"/>
      </w:pPr>
      <w:r>
        <w:t xml:space="preserve">    ”.</w:t>
      </w:r>
    </w:p>
    <w:p>
      <w:pPr>
        <w:pStyle w:val="nzSubsection"/>
      </w:pPr>
      <w:r>
        <w:tab/>
        <w:t>(4)</w:t>
      </w:r>
      <w:r>
        <w:tab/>
        <w:t>After section 106R(7) the following subsections are inserted —</w:t>
      </w:r>
    </w:p>
    <w:p>
      <w:pPr>
        <w:pStyle w:val="MiscOpen"/>
        <w:ind w:left="600"/>
      </w:pPr>
      <w:r>
        <w:t xml:space="preserve">“    </w:t>
      </w:r>
    </w:p>
    <w:p>
      <w:pPr>
        <w:pStyle w:val="nz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nzIndenta"/>
      </w:pPr>
      <w:r>
        <w:tab/>
        <w:t>(a)</w:t>
      </w:r>
      <w:r>
        <w:tab/>
        <w:t>the person must not be questioned in the proceeding about the fact; and</w:t>
      </w:r>
    </w:p>
    <w:p>
      <w:pPr>
        <w:pStyle w:val="nzIndenta"/>
      </w:pPr>
      <w:r>
        <w:tab/>
        <w:t>(b)</w:t>
      </w:r>
      <w:r>
        <w:tab/>
        <w:t>neither the judge, the prosecutor, the accused nor the accused’s counsel must comment on the fact to the jury.</w:t>
      </w:r>
    </w:p>
    <w:p>
      <w:pPr>
        <w:pStyle w:val="nzSubsection"/>
      </w:pPr>
      <w:r>
        <w:tab/>
        <w:t>(9)</w:t>
      </w:r>
      <w:r>
        <w:tab/>
        <w:t>Subsection (8) does not prevent a judge from directing a jury about a breach of subsection (8) by the prosecutor, the accused or the accused’s counsel, if it is in the interests of justice to do so.</w:t>
      </w:r>
    </w:p>
    <w:p>
      <w:pPr>
        <w:pStyle w:val="MiscClose"/>
      </w:pPr>
      <w:r>
        <w:t xml:space="preserve">    ”.</w:t>
      </w:r>
    </w:p>
    <w:p>
      <w:pPr>
        <w:pStyle w:val="nzHeading5"/>
      </w:pPr>
      <w:bookmarkStart w:id="318" w:name="_Toc134412024"/>
      <w:bookmarkStart w:id="319" w:name="_Toc192051018"/>
      <w:bookmarkStart w:id="320" w:name="_Toc193093666"/>
      <w:bookmarkStart w:id="321" w:name="_Toc193098300"/>
      <w:r>
        <w:rPr>
          <w:rStyle w:val="CharSectno"/>
        </w:rPr>
        <w:t>54</w:t>
      </w:r>
      <w:r>
        <w:t>.</w:t>
      </w:r>
      <w:r>
        <w:tab/>
        <w:t>Section 106RA amended</w:t>
      </w:r>
      <w:bookmarkEnd w:id="318"/>
      <w:bookmarkEnd w:id="319"/>
      <w:bookmarkEnd w:id="320"/>
      <w:bookmarkEnd w:id="321"/>
    </w:p>
    <w:p>
      <w:pPr>
        <w:pStyle w:val="nzSubsection"/>
      </w:pPr>
      <w:r>
        <w:tab/>
        <w:t>(1)</w:t>
      </w:r>
      <w:r>
        <w:tab/>
        <w:t>Section 106RA(1) is amended by deleting “the evidence” and inserting instead —</w:t>
      </w:r>
    </w:p>
    <w:p>
      <w:pPr>
        <w:pStyle w:val="MiscOpen"/>
        <w:ind w:left="880"/>
      </w:pPr>
      <w:r>
        <w:t xml:space="preserve">“    </w:t>
      </w:r>
    </w:p>
    <w:p>
      <w:pPr>
        <w:pStyle w:val="nzSubsection"/>
      </w:pPr>
      <w:r>
        <w:tab/>
      </w:r>
      <w:r>
        <w:tab/>
        <w:t>the whole of the evidence (including any cross</w:t>
      </w:r>
      <w:r>
        <w:noBreakHyphen/>
        <w:t>examination and re</w:t>
      </w:r>
      <w:r>
        <w:noBreakHyphen/>
        <w:t>examination)</w:t>
      </w:r>
    </w:p>
    <w:p>
      <w:pPr>
        <w:pStyle w:val="MiscClose"/>
      </w:pPr>
      <w:r>
        <w:t xml:space="preserve">    ”.</w:t>
      </w:r>
    </w:p>
    <w:p>
      <w:pPr>
        <w:pStyle w:val="nzSubsection"/>
      </w:pPr>
      <w:r>
        <w:tab/>
        <w:t>(2)</w:t>
      </w:r>
      <w:r>
        <w:tab/>
        <w:t xml:space="preserve">Section 106RA(5) is repealed and the following subsection is inserted instead — </w:t>
      </w:r>
    </w:p>
    <w:p>
      <w:pPr>
        <w:pStyle w:val="MiscOpen"/>
        <w:ind w:left="600"/>
      </w:pPr>
      <w:r>
        <w:t xml:space="preserve">“    </w:t>
      </w:r>
    </w:p>
    <w:p>
      <w:pPr>
        <w:pStyle w:val="nzSubsection"/>
      </w:pPr>
      <w:r>
        <w:tab/>
        <w:t>(5)</w:t>
      </w:r>
      <w:r>
        <w:tab/>
        <w:t xml:space="preserve">If an order is made under subsection (1), the order may include — </w:t>
      </w:r>
    </w:p>
    <w:p>
      <w:pPr>
        <w:pStyle w:val="nzIndenta"/>
      </w:pPr>
      <w:r>
        <w:tab/>
        <w:t>(a)</w:t>
      </w:r>
      <w:r>
        <w:tab/>
        <w:t>directions as to the conduct of the special hearing;</w:t>
      </w:r>
    </w:p>
    <w:p>
      <w:pPr>
        <w:pStyle w:val="nzIndenta"/>
      </w:pPr>
      <w:r>
        <w:tab/>
        <w:t>(b)</w:t>
      </w:r>
      <w:r>
        <w:tab/>
        <w:t>directions, with or without conditions, as to the persons, or classes of persons, who are authorised to have possession of the visual recording of the evidence;</w:t>
      </w:r>
    </w:p>
    <w:p>
      <w:pPr>
        <w:pStyle w:val="nzIndenta"/>
      </w:pPr>
      <w:r>
        <w:tab/>
        <w:t>(c)</w:t>
      </w:r>
      <w:r>
        <w:tab/>
        <w:t>directions and conditions as to the giving up of possession and as to the playing, copying or erasure of the recording.</w:t>
      </w:r>
    </w:p>
    <w:p>
      <w:pPr>
        <w:pStyle w:val="MiscClose"/>
      </w:pPr>
      <w:r>
        <w:t xml:space="preserve">    ”.</w:t>
      </w:r>
    </w:p>
    <w:p>
      <w:pPr>
        <w:pStyle w:val="nzHeading5"/>
      </w:pPr>
      <w:bookmarkStart w:id="322" w:name="_Toc192051019"/>
      <w:bookmarkStart w:id="323" w:name="_Toc193093667"/>
      <w:bookmarkStart w:id="324" w:name="_Toc193098301"/>
      <w:r>
        <w:rPr>
          <w:rStyle w:val="CharSectno"/>
        </w:rPr>
        <w:t>55</w:t>
      </w:r>
      <w:r>
        <w:t>.</w:t>
      </w:r>
      <w:r>
        <w:tab/>
        <w:t>Second Schedule amended</w:t>
      </w:r>
      <w:bookmarkEnd w:id="322"/>
      <w:bookmarkEnd w:id="323"/>
      <w:bookmarkEnd w:id="324"/>
    </w:p>
    <w:p>
      <w:pPr>
        <w:pStyle w:val="nzSubsection"/>
      </w:pPr>
      <w:r>
        <w:tab/>
      </w:r>
      <w:r>
        <w:tab/>
        <w:t xml:space="preserve">The Second Schedule is amended in Part 1 in the item relating to “s. 321A” by deleting the description of offence and inserting instead — </w:t>
      </w:r>
    </w:p>
    <w:p>
      <w:pPr>
        <w:pStyle w:val="nzSubsection"/>
      </w:pPr>
      <w:r>
        <w:tab/>
      </w:r>
      <w:r>
        <w:tab/>
        <w:t>“    Persistent sexual conduct with child under 16    ”.</w:t>
      </w:r>
    </w:p>
    <w:p>
      <w:pPr>
        <w:pStyle w:val="MiscClose"/>
      </w:pPr>
      <w:r>
        <w:t>”.</w:t>
      </w:r>
    </w:p>
    <w:p>
      <w:pPr>
        <w:pStyle w:val="nSubsection"/>
        <w:keepLines/>
        <w:rPr>
          <w:ins w:id="325" w:author="svcMRProcess" w:date="2020-02-15T06:05:00Z"/>
          <w:snapToGrid w:val="0"/>
        </w:rPr>
      </w:pPr>
      <w:ins w:id="326" w:author="svcMRProcess" w:date="2020-02-15T06:05:00Z">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ins>
    </w:p>
    <w:p>
      <w:pPr>
        <w:pStyle w:val="MiscOpen"/>
        <w:rPr>
          <w:ins w:id="327" w:author="svcMRProcess" w:date="2020-02-15T06:05:00Z"/>
        </w:rPr>
      </w:pPr>
      <w:ins w:id="328" w:author="svcMRProcess" w:date="2020-02-15T06:05:00Z">
        <w:r>
          <w:t>“</w:t>
        </w:r>
      </w:ins>
    </w:p>
    <w:p>
      <w:pPr>
        <w:pStyle w:val="nzHeading2"/>
        <w:rPr>
          <w:ins w:id="329" w:author="svcMRProcess" w:date="2020-02-15T06:05:00Z"/>
        </w:rPr>
      </w:pPr>
      <w:bookmarkStart w:id="330" w:name="_Toc144267367"/>
      <w:bookmarkStart w:id="331" w:name="_Toc144279093"/>
      <w:bookmarkStart w:id="332" w:name="_Toc144283129"/>
      <w:bookmarkStart w:id="333" w:name="_Toc144287886"/>
      <w:bookmarkStart w:id="334" w:name="_Toc144288250"/>
      <w:bookmarkStart w:id="335" w:name="_Toc144292689"/>
      <w:bookmarkStart w:id="336" w:name="_Toc144525331"/>
      <w:bookmarkStart w:id="337" w:name="_Toc144529208"/>
      <w:bookmarkStart w:id="338" w:name="_Toc144535928"/>
      <w:bookmarkStart w:id="339" w:name="_Toc144549468"/>
      <w:bookmarkStart w:id="340" w:name="_Toc144552544"/>
      <w:bookmarkStart w:id="341" w:name="_Toc144611978"/>
      <w:bookmarkStart w:id="342" w:name="_Toc144627501"/>
      <w:bookmarkStart w:id="343" w:name="_Toc144709581"/>
      <w:bookmarkStart w:id="344" w:name="_Toc145138158"/>
      <w:bookmarkStart w:id="345" w:name="_Toc145144199"/>
      <w:bookmarkStart w:id="346" w:name="_Toc145157197"/>
      <w:bookmarkStart w:id="347" w:name="_Toc145228045"/>
      <w:bookmarkStart w:id="348" w:name="_Toc145234273"/>
      <w:bookmarkStart w:id="349" w:name="_Toc145235396"/>
      <w:bookmarkStart w:id="350" w:name="_Toc145236098"/>
      <w:bookmarkStart w:id="351" w:name="_Toc145238946"/>
      <w:bookmarkStart w:id="352" w:name="_Toc145301825"/>
      <w:bookmarkStart w:id="353" w:name="_Toc145326100"/>
      <w:bookmarkStart w:id="354" w:name="_Toc145414241"/>
      <w:bookmarkStart w:id="355" w:name="_Toc145728553"/>
      <w:bookmarkStart w:id="356" w:name="_Toc145729916"/>
      <w:bookmarkStart w:id="357" w:name="_Toc145734967"/>
      <w:bookmarkStart w:id="358" w:name="_Toc145736592"/>
      <w:bookmarkStart w:id="359" w:name="_Toc145736744"/>
      <w:bookmarkStart w:id="360" w:name="_Toc145745054"/>
      <w:bookmarkStart w:id="361" w:name="_Toc145757720"/>
      <w:bookmarkStart w:id="362" w:name="_Toc145758033"/>
      <w:bookmarkStart w:id="363" w:name="_Toc145759941"/>
      <w:bookmarkStart w:id="364" w:name="_Toc145824206"/>
      <w:bookmarkStart w:id="365" w:name="_Toc145848760"/>
      <w:bookmarkStart w:id="366" w:name="_Toc145903081"/>
      <w:bookmarkStart w:id="367" w:name="_Toc145917311"/>
      <w:bookmarkStart w:id="368" w:name="_Toc145922019"/>
      <w:bookmarkStart w:id="369" w:name="_Toc145927365"/>
      <w:bookmarkStart w:id="370" w:name="_Toc145930512"/>
      <w:bookmarkStart w:id="371" w:name="_Toc145998158"/>
      <w:bookmarkStart w:id="372" w:name="_Toc146002138"/>
      <w:bookmarkStart w:id="373" w:name="_Toc146003007"/>
      <w:bookmarkStart w:id="374" w:name="_Toc146005869"/>
      <w:bookmarkStart w:id="375" w:name="_Toc146007246"/>
      <w:bookmarkStart w:id="376" w:name="_Toc146009292"/>
      <w:bookmarkStart w:id="377" w:name="_Toc146009875"/>
      <w:bookmarkStart w:id="378" w:name="_Toc146014843"/>
      <w:bookmarkStart w:id="379" w:name="_Toc146079481"/>
      <w:bookmarkStart w:id="380" w:name="_Toc146082003"/>
      <w:bookmarkStart w:id="381" w:name="_Toc146082128"/>
      <w:bookmarkStart w:id="382" w:name="_Toc147291693"/>
      <w:bookmarkStart w:id="383" w:name="_Toc147296283"/>
      <w:bookmarkStart w:id="384" w:name="_Toc147296486"/>
      <w:bookmarkStart w:id="385" w:name="_Toc147298218"/>
      <w:bookmarkStart w:id="386" w:name="_Toc148928783"/>
      <w:bookmarkStart w:id="387" w:name="_Toc149045215"/>
      <w:bookmarkStart w:id="388" w:name="_Toc150567055"/>
      <w:bookmarkStart w:id="389" w:name="_Toc150592665"/>
      <w:bookmarkStart w:id="390" w:name="_Toc152400976"/>
      <w:bookmarkStart w:id="391" w:name="_Toc152406485"/>
      <w:bookmarkStart w:id="392" w:name="_Toc152407104"/>
      <w:bookmarkStart w:id="393" w:name="_Toc153612071"/>
      <w:bookmarkStart w:id="394" w:name="_Toc157338792"/>
      <w:bookmarkStart w:id="395" w:name="_Toc157412067"/>
      <w:bookmarkStart w:id="396" w:name="_Toc157429950"/>
      <w:bookmarkStart w:id="397" w:name="_Toc157482257"/>
      <w:bookmarkStart w:id="398" w:name="_Toc157487380"/>
      <w:bookmarkStart w:id="399" w:name="_Toc157499222"/>
      <w:bookmarkStart w:id="400" w:name="_Toc157508641"/>
      <w:bookmarkStart w:id="401" w:name="_Toc157837858"/>
      <w:bookmarkStart w:id="402" w:name="_Toc157838547"/>
      <w:bookmarkStart w:id="403" w:name="_Toc157843544"/>
      <w:bookmarkStart w:id="404" w:name="_Toc157937673"/>
      <w:bookmarkStart w:id="405" w:name="_Toc158634746"/>
      <w:bookmarkStart w:id="406" w:name="_Toc158634880"/>
      <w:bookmarkStart w:id="407" w:name="_Toc158699524"/>
      <w:bookmarkStart w:id="408" w:name="_Toc158701044"/>
      <w:bookmarkStart w:id="409" w:name="_Toc158703657"/>
      <w:bookmarkStart w:id="410" w:name="_Toc158708066"/>
      <w:bookmarkStart w:id="411" w:name="_Toc159047089"/>
      <w:bookmarkStart w:id="412" w:name="_Toc159135495"/>
      <w:bookmarkStart w:id="413" w:name="_Toc159153956"/>
      <w:bookmarkStart w:id="414" w:name="_Toc159231798"/>
      <w:bookmarkStart w:id="415" w:name="_Toc159235937"/>
      <w:bookmarkStart w:id="416" w:name="_Toc159236371"/>
      <w:bookmarkStart w:id="417" w:name="_Toc159320723"/>
      <w:bookmarkStart w:id="418" w:name="_Toc159398802"/>
      <w:bookmarkStart w:id="419" w:name="_Toc159643400"/>
      <w:bookmarkStart w:id="420" w:name="_Toc159643713"/>
      <w:bookmarkStart w:id="421" w:name="_Toc159644941"/>
      <w:bookmarkStart w:id="422" w:name="_Toc159824913"/>
      <w:bookmarkStart w:id="423" w:name="_Toc159825049"/>
      <w:bookmarkStart w:id="424" w:name="_Toc159926942"/>
      <w:bookmarkStart w:id="425" w:name="_Toc160618557"/>
      <w:bookmarkStart w:id="426" w:name="_Toc160967464"/>
      <w:bookmarkStart w:id="427" w:name="_Toc161021675"/>
      <w:bookmarkStart w:id="428" w:name="_Toc161053592"/>
      <w:bookmarkStart w:id="429" w:name="_Toc161053733"/>
      <w:bookmarkStart w:id="430" w:name="_Toc161119450"/>
      <w:bookmarkStart w:id="431" w:name="_Toc161131431"/>
      <w:bookmarkStart w:id="432" w:name="_Toc161200285"/>
      <w:bookmarkStart w:id="433" w:name="_Toc161488116"/>
      <w:bookmarkStart w:id="434" w:name="_Toc161488296"/>
      <w:bookmarkStart w:id="435" w:name="_Toc161544129"/>
      <w:bookmarkStart w:id="436" w:name="_Toc161544319"/>
      <w:bookmarkStart w:id="437" w:name="_Toc162084485"/>
      <w:bookmarkStart w:id="438" w:name="_Toc162088339"/>
      <w:bookmarkStart w:id="439" w:name="_Toc162090022"/>
      <w:bookmarkStart w:id="440" w:name="_Toc162152862"/>
      <w:bookmarkStart w:id="441" w:name="_Toc162154385"/>
      <w:bookmarkStart w:id="442" w:name="_Toc162181808"/>
      <w:bookmarkStart w:id="443" w:name="_Toc162181967"/>
      <w:bookmarkStart w:id="444" w:name="_Toc162182126"/>
      <w:bookmarkStart w:id="445" w:name="_Toc162240814"/>
      <w:bookmarkStart w:id="446" w:name="_Toc162240974"/>
      <w:bookmarkStart w:id="447" w:name="_Toc162245757"/>
      <w:bookmarkStart w:id="448" w:name="_Toc162250070"/>
      <w:bookmarkStart w:id="449" w:name="_Toc162252410"/>
      <w:bookmarkStart w:id="450" w:name="_Toc162252770"/>
      <w:bookmarkStart w:id="451" w:name="_Toc162253142"/>
      <w:bookmarkStart w:id="452" w:name="_Toc162253648"/>
      <w:bookmarkStart w:id="453" w:name="_Toc162255224"/>
      <w:bookmarkStart w:id="454" w:name="_Toc162255390"/>
      <w:bookmarkStart w:id="455" w:name="_Toc162325669"/>
      <w:bookmarkStart w:id="456" w:name="_Toc162325976"/>
      <w:bookmarkStart w:id="457" w:name="_Toc162423896"/>
      <w:bookmarkStart w:id="458" w:name="_Toc162427564"/>
      <w:bookmarkStart w:id="459" w:name="_Toc162428330"/>
      <w:bookmarkStart w:id="460" w:name="_Toc162430529"/>
      <w:bookmarkStart w:id="461" w:name="_Toc162843574"/>
      <w:bookmarkStart w:id="462" w:name="_Toc162857990"/>
      <w:bookmarkStart w:id="463" w:name="_Toc164765851"/>
      <w:bookmarkStart w:id="464" w:name="_Toc164766022"/>
      <w:bookmarkStart w:id="465" w:name="_Toc164822561"/>
      <w:bookmarkStart w:id="466" w:name="_Toc164835809"/>
      <w:bookmarkStart w:id="467" w:name="_Toc165700730"/>
      <w:bookmarkStart w:id="468" w:name="_Toc165784982"/>
      <w:bookmarkStart w:id="469" w:name="_Toc165785652"/>
      <w:bookmarkStart w:id="470" w:name="_Toc165802084"/>
      <w:bookmarkStart w:id="471" w:name="_Toc165802257"/>
      <w:bookmarkStart w:id="472" w:name="_Toc165973348"/>
      <w:bookmarkStart w:id="473" w:name="_Toc165975436"/>
      <w:bookmarkStart w:id="474" w:name="_Toc165976721"/>
      <w:bookmarkStart w:id="475" w:name="_Toc166040863"/>
      <w:bookmarkStart w:id="476" w:name="_Toc166057529"/>
      <w:bookmarkStart w:id="477" w:name="_Toc166058999"/>
      <w:bookmarkStart w:id="478" w:name="_Toc166059641"/>
      <w:bookmarkStart w:id="479" w:name="_Toc166060937"/>
      <w:bookmarkStart w:id="480" w:name="_Toc166297222"/>
      <w:bookmarkStart w:id="481" w:name="_Toc166301952"/>
      <w:bookmarkStart w:id="482" w:name="_Toc166578637"/>
      <w:bookmarkStart w:id="483" w:name="_Toc167532438"/>
      <w:bookmarkStart w:id="484" w:name="_Toc167612831"/>
      <w:bookmarkStart w:id="485" w:name="_Toc168221464"/>
      <w:bookmarkStart w:id="486" w:name="_Toc169500572"/>
      <w:bookmarkStart w:id="487" w:name="_Toc169502045"/>
      <w:bookmarkStart w:id="488" w:name="_Toc170117163"/>
      <w:bookmarkStart w:id="489" w:name="_Toc170543704"/>
      <w:bookmarkStart w:id="490" w:name="_Toc170700607"/>
      <w:bookmarkStart w:id="491" w:name="_Toc170701075"/>
      <w:bookmarkStart w:id="492" w:name="_Toc170701251"/>
      <w:bookmarkStart w:id="493" w:name="_Toc170795839"/>
      <w:bookmarkStart w:id="494" w:name="_Toc171141924"/>
      <w:bookmarkStart w:id="495" w:name="_Toc171142095"/>
      <w:bookmarkStart w:id="496" w:name="_Toc171231300"/>
      <w:bookmarkStart w:id="497" w:name="_Toc171233734"/>
      <w:bookmarkStart w:id="498" w:name="_Toc176602751"/>
      <w:bookmarkStart w:id="499" w:name="_Toc176602925"/>
      <w:bookmarkStart w:id="500" w:name="_Toc176603101"/>
      <w:bookmarkStart w:id="501" w:name="_Toc176606652"/>
      <w:bookmarkStart w:id="502" w:name="_Toc176678522"/>
      <w:bookmarkStart w:id="503" w:name="_Toc177791875"/>
      <w:bookmarkStart w:id="504" w:name="_Toc177869122"/>
      <w:bookmarkStart w:id="505" w:name="_Toc177870615"/>
      <w:bookmarkStart w:id="506" w:name="_Toc178074542"/>
      <w:bookmarkStart w:id="507" w:name="_Toc178135855"/>
      <w:bookmarkStart w:id="508" w:name="_Toc178136631"/>
      <w:bookmarkStart w:id="509" w:name="_Toc178141675"/>
      <w:bookmarkStart w:id="510" w:name="_Toc178414560"/>
      <w:bookmarkStart w:id="511" w:name="_Toc178415965"/>
      <w:bookmarkStart w:id="512" w:name="_Toc178416191"/>
      <w:bookmarkStart w:id="513" w:name="_Toc194814367"/>
      <w:ins w:id="514" w:author="svcMRProcess" w:date="2020-02-15T06:05:00Z">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ins>
    </w:p>
    <w:p>
      <w:pPr>
        <w:pStyle w:val="nzHeading5"/>
        <w:rPr>
          <w:ins w:id="515" w:author="svcMRProcess" w:date="2020-02-15T06:05:00Z"/>
          <w:snapToGrid w:val="0"/>
        </w:rPr>
      </w:pPr>
      <w:bookmarkStart w:id="516" w:name="_Toc178416192"/>
      <w:bookmarkStart w:id="517" w:name="_Toc194814368"/>
      <w:ins w:id="518" w:author="svcMRProcess" w:date="2020-02-15T06:05:00Z">
        <w:r>
          <w:rPr>
            <w:rStyle w:val="CharSectno"/>
          </w:rPr>
          <w:t>52</w:t>
        </w:r>
        <w:r>
          <w:rPr>
            <w:snapToGrid w:val="0"/>
          </w:rPr>
          <w:t>.</w:t>
        </w:r>
        <w:r>
          <w:rPr>
            <w:snapToGrid w:val="0"/>
          </w:rPr>
          <w:tab/>
          <w:t>The Act amended in this Part</w:t>
        </w:r>
        <w:bookmarkEnd w:id="516"/>
        <w:bookmarkEnd w:id="517"/>
      </w:ins>
    </w:p>
    <w:p>
      <w:pPr>
        <w:pStyle w:val="nzSubsection"/>
        <w:rPr>
          <w:ins w:id="519" w:author="svcMRProcess" w:date="2020-02-15T06:05:00Z"/>
        </w:rPr>
      </w:pPr>
      <w:ins w:id="520" w:author="svcMRProcess" w:date="2020-02-15T06:05:00Z">
        <w:r>
          <w:tab/>
        </w:r>
        <w:r>
          <w:tab/>
          <w:t xml:space="preserve">The amendments in this Part are to the </w:t>
        </w:r>
        <w:r>
          <w:rPr>
            <w:i/>
          </w:rPr>
          <w:t>Evidence Act 1906</w:t>
        </w:r>
        <w:r>
          <w:t>.</w:t>
        </w:r>
      </w:ins>
    </w:p>
    <w:p>
      <w:pPr>
        <w:pStyle w:val="nzHeading5"/>
        <w:rPr>
          <w:ins w:id="521" w:author="svcMRProcess" w:date="2020-02-15T06:05:00Z"/>
        </w:rPr>
      </w:pPr>
      <w:bookmarkStart w:id="522" w:name="_Toc178416193"/>
      <w:bookmarkStart w:id="523" w:name="_Toc194814369"/>
      <w:ins w:id="524" w:author="svcMRProcess" w:date="2020-02-15T06:05:00Z">
        <w:r>
          <w:rPr>
            <w:rStyle w:val="CharSectno"/>
          </w:rPr>
          <w:t>53</w:t>
        </w:r>
        <w:r>
          <w:t>.</w:t>
        </w:r>
        <w:r>
          <w:tab/>
          <w:t>Section 119 replaced</w:t>
        </w:r>
        <w:bookmarkEnd w:id="522"/>
        <w:bookmarkEnd w:id="523"/>
      </w:ins>
    </w:p>
    <w:p>
      <w:pPr>
        <w:pStyle w:val="nzSubsection"/>
        <w:rPr>
          <w:ins w:id="525" w:author="svcMRProcess" w:date="2020-02-15T06:05:00Z"/>
        </w:rPr>
      </w:pPr>
      <w:ins w:id="526" w:author="svcMRProcess" w:date="2020-02-15T06:05:00Z">
        <w:r>
          <w:tab/>
        </w:r>
        <w:r>
          <w:tab/>
          <w:t>Section 119 is repealed and the following section is inserted instead —</w:t>
        </w:r>
      </w:ins>
    </w:p>
    <w:p>
      <w:pPr>
        <w:pStyle w:val="MiscOpen"/>
        <w:rPr>
          <w:ins w:id="527" w:author="svcMRProcess" w:date="2020-02-15T06:05:00Z"/>
        </w:rPr>
      </w:pPr>
      <w:ins w:id="528" w:author="svcMRProcess" w:date="2020-02-15T06:05:00Z">
        <w:r>
          <w:t xml:space="preserve">“    </w:t>
        </w:r>
      </w:ins>
    </w:p>
    <w:p>
      <w:pPr>
        <w:pStyle w:val="nzHeading5"/>
        <w:rPr>
          <w:ins w:id="529" w:author="svcMRProcess" w:date="2020-02-15T06:05:00Z"/>
        </w:rPr>
      </w:pPr>
      <w:bookmarkStart w:id="530" w:name="_Toc178416194"/>
      <w:bookmarkStart w:id="531" w:name="_Toc194814370"/>
      <w:ins w:id="532" w:author="svcMRProcess" w:date="2020-02-15T06:05:00Z">
        <w:r>
          <w:t>119.</w:t>
        </w:r>
        <w:r>
          <w:tab/>
          <w:t>Service as a witness etc., payments for</w:t>
        </w:r>
        <w:bookmarkEnd w:id="530"/>
        <w:bookmarkEnd w:id="531"/>
      </w:ins>
    </w:p>
    <w:p>
      <w:pPr>
        <w:pStyle w:val="nzSubsection"/>
        <w:rPr>
          <w:ins w:id="533" w:author="svcMRProcess" w:date="2020-02-15T06:05:00Z"/>
        </w:rPr>
      </w:pPr>
      <w:ins w:id="534" w:author="svcMRProcess" w:date="2020-02-15T06:05:00Z">
        <w:r>
          <w:tab/>
          <w:t>(1)</w:t>
        </w:r>
        <w:r>
          <w:tab/>
          <w:t xml:space="preserve">In this section — </w:t>
        </w:r>
      </w:ins>
    </w:p>
    <w:p>
      <w:pPr>
        <w:pStyle w:val="nzDefstart"/>
        <w:rPr>
          <w:ins w:id="535" w:author="svcMRProcess" w:date="2020-02-15T06:05:00Z"/>
        </w:rPr>
      </w:pPr>
      <w:ins w:id="536" w:author="svcMRProcess" w:date="2020-02-15T06:05:00Z">
        <w:r>
          <w:rPr>
            <w:b/>
          </w:rPr>
          <w:tab/>
          <w:t>“</w:t>
        </w:r>
        <w:r>
          <w:rPr>
            <w:rStyle w:val="CharDefText"/>
          </w:rPr>
          <w:t>criminal proceedings</w:t>
        </w:r>
        <w:r>
          <w:rPr>
            <w:b/>
          </w:rPr>
          <w:t>”</w:t>
        </w:r>
        <w:r>
          <w:t xml:space="preserve"> includes an appeal in criminal proceedings;</w:t>
        </w:r>
      </w:ins>
    </w:p>
    <w:p>
      <w:pPr>
        <w:pStyle w:val="nzDefstart"/>
        <w:rPr>
          <w:ins w:id="537" w:author="svcMRProcess" w:date="2020-02-15T06:05:00Z"/>
        </w:rPr>
      </w:pPr>
      <w:ins w:id="538" w:author="svcMRProcess" w:date="2020-02-15T06:05:00Z">
        <w:r>
          <w:rPr>
            <w:b/>
          </w:rPr>
          <w:tab/>
          <w:t>“</w:t>
        </w:r>
        <w:r>
          <w:rPr>
            <w:rStyle w:val="CharDefText"/>
          </w:rPr>
          <w:t>eligible service</w:t>
        </w:r>
        <w:r>
          <w:rPr>
            <w:b/>
          </w:rPr>
          <w:t>”</w:t>
        </w:r>
        <w:r>
          <w:t xml:space="preserve"> has the meaning given in subsections (2) and (3);</w:t>
        </w:r>
      </w:ins>
    </w:p>
    <w:p>
      <w:pPr>
        <w:pStyle w:val="nzDefstart"/>
        <w:rPr>
          <w:ins w:id="539" w:author="svcMRProcess" w:date="2020-02-15T06:05:00Z"/>
          <w:iCs/>
        </w:rPr>
      </w:pPr>
      <w:ins w:id="540" w:author="svcMRProcess" w:date="2020-02-15T06:05:00Z">
        <w:r>
          <w:rPr>
            <w:b/>
          </w:rPr>
          <w:tab/>
          <w:t>“</w:t>
        </w:r>
        <w:r>
          <w:rPr>
            <w:rStyle w:val="CharDefText"/>
          </w:rPr>
          <w:t>inquest</w:t>
        </w:r>
        <w:r>
          <w:rPr>
            <w:b/>
          </w:rPr>
          <w:t>”</w:t>
        </w:r>
        <w:r>
          <w:t xml:space="preserve"> means an inquest held under the </w:t>
        </w:r>
        <w:r>
          <w:rPr>
            <w:i/>
          </w:rPr>
          <w:t>Coroners Act 1996</w:t>
        </w:r>
        <w:r>
          <w:rPr>
            <w:iCs/>
          </w:rPr>
          <w:t>;</w:t>
        </w:r>
      </w:ins>
    </w:p>
    <w:p>
      <w:pPr>
        <w:pStyle w:val="nzDefstart"/>
        <w:rPr>
          <w:ins w:id="541" w:author="svcMRProcess" w:date="2020-02-15T06:05:00Z"/>
        </w:rPr>
      </w:pPr>
      <w:ins w:id="542" w:author="svcMRProcess" w:date="2020-02-15T06:05:00Z">
        <w:r>
          <w:rPr>
            <w:b/>
          </w:rPr>
          <w:tab/>
          <w:t>“</w:t>
        </w:r>
        <w:r>
          <w:rPr>
            <w:rStyle w:val="CharDefText"/>
          </w:rPr>
          <w:t>liable person</w:t>
        </w:r>
        <w:r>
          <w:rPr>
            <w:b/>
          </w:rPr>
          <w:t>”</w:t>
        </w:r>
        <w:r>
          <w:t>, in respect of any payment that has to be made under this section in respect of eligible service, means —</w:t>
        </w:r>
      </w:ins>
    </w:p>
    <w:p>
      <w:pPr>
        <w:pStyle w:val="nzDefpara"/>
        <w:rPr>
          <w:ins w:id="543" w:author="svcMRProcess" w:date="2020-02-15T06:05:00Z"/>
        </w:rPr>
      </w:pPr>
      <w:ins w:id="544" w:author="svcMRProcess" w:date="2020-02-15T06:05:00Z">
        <w:r>
          <w:tab/>
          <w:t>(a)</w:t>
        </w:r>
        <w:r>
          <w:tab/>
          <w:t xml:space="preserve">if the eligible service is in criminal proceedings and the prosecution was commenced by or on behalf of — </w:t>
        </w:r>
      </w:ins>
    </w:p>
    <w:p>
      <w:pPr>
        <w:pStyle w:val="nzDefsubpara"/>
        <w:rPr>
          <w:ins w:id="545" w:author="svcMRProcess" w:date="2020-02-15T06:05:00Z"/>
        </w:rPr>
      </w:pPr>
      <w:ins w:id="546" w:author="svcMRProcess" w:date="2020-02-15T06:05:00Z">
        <w:r>
          <w:tab/>
          <w:t>(i)</w:t>
        </w:r>
        <w:r>
          <w:tab/>
          <w:t>a local government; or</w:t>
        </w:r>
      </w:ins>
    </w:p>
    <w:p>
      <w:pPr>
        <w:pStyle w:val="nzDefsubpara"/>
        <w:rPr>
          <w:ins w:id="547" w:author="svcMRProcess" w:date="2020-02-15T06:05:00Z"/>
        </w:rPr>
      </w:pPr>
      <w:ins w:id="548" w:author="svcMRProcess" w:date="2020-02-15T06:05:00Z">
        <w:r>
          <w:tab/>
          <w:t>(ii)</w:t>
        </w:r>
        <w:r>
          <w:tab/>
          <w:t>a statutory body,</w:t>
        </w:r>
      </w:ins>
    </w:p>
    <w:p>
      <w:pPr>
        <w:pStyle w:val="nzDefpara"/>
        <w:rPr>
          <w:ins w:id="549" w:author="svcMRProcess" w:date="2020-02-15T06:05:00Z"/>
        </w:rPr>
      </w:pPr>
      <w:ins w:id="550" w:author="svcMRProcess" w:date="2020-02-15T06:05:00Z">
        <w:r>
          <w:tab/>
        </w:r>
        <w:r>
          <w:tab/>
          <w:t>the local government or statutory body;</w:t>
        </w:r>
      </w:ins>
    </w:p>
    <w:p>
      <w:pPr>
        <w:pStyle w:val="nzDefpara"/>
        <w:rPr>
          <w:ins w:id="551" w:author="svcMRProcess" w:date="2020-02-15T06:05:00Z"/>
        </w:rPr>
      </w:pPr>
      <w:ins w:id="552" w:author="svcMRProcess" w:date="2020-02-15T06:05:00Z">
        <w:r>
          <w:tab/>
          <w:t>(b)</w:t>
        </w:r>
        <w:r>
          <w:tab/>
          <w:t>in any other case, the State.</w:t>
        </w:r>
      </w:ins>
    </w:p>
    <w:p>
      <w:pPr>
        <w:pStyle w:val="nzSubsection"/>
        <w:rPr>
          <w:ins w:id="553" w:author="svcMRProcess" w:date="2020-02-15T06:05:00Z"/>
        </w:rPr>
      </w:pPr>
      <w:ins w:id="554" w:author="svcMRProcess" w:date="2020-02-15T06:05:00Z">
        <w:r>
          <w:tab/>
          <w:t>(2)</w:t>
        </w:r>
        <w:r>
          <w:tab/>
          <w:t>For the purposes of this section a person does eligible service if he or she is, or attends at any place in order to be, any of the following —</w:t>
        </w:r>
      </w:ins>
    </w:p>
    <w:p>
      <w:pPr>
        <w:pStyle w:val="nzIndenta"/>
        <w:rPr>
          <w:ins w:id="555" w:author="svcMRProcess" w:date="2020-02-15T06:05:00Z"/>
        </w:rPr>
      </w:pPr>
      <w:ins w:id="556" w:author="svcMRProcess" w:date="2020-02-15T06:05:00Z">
        <w:r>
          <w:tab/>
          <w:t>(a)</w:t>
        </w:r>
        <w:r>
          <w:tab/>
          <w:t>a witness who is called by the prosecutor in criminal proceedings;</w:t>
        </w:r>
      </w:ins>
    </w:p>
    <w:p>
      <w:pPr>
        <w:pStyle w:val="nzIndenta"/>
        <w:rPr>
          <w:ins w:id="557" w:author="svcMRProcess" w:date="2020-02-15T06:05:00Z"/>
        </w:rPr>
      </w:pPr>
      <w:ins w:id="558" w:author="svcMRProcess" w:date="2020-02-15T06:05:00Z">
        <w:r>
          <w:tab/>
          <w:t>(b)</w:t>
        </w:r>
        <w:r>
          <w:tab/>
          <w:t>a witness who is called by the accused person in criminal proceedings and who —</w:t>
        </w:r>
      </w:ins>
    </w:p>
    <w:p>
      <w:pPr>
        <w:pStyle w:val="nzIndenti"/>
        <w:rPr>
          <w:ins w:id="559" w:author="svcMRProcess" w:date="2020-02-15T06:05:00Z"/>
        </w:rPr>
      </w:pPr>
      <w:ins w:id="560" w:author="svcMRProcess" w:date="2020-02-15T06:05:00Z">
        <w:r>
          <w:tab/>
          <w:t>(i)</w:t>
        </w:r>
        <w:r>
          <w:tab/>
          <w:t>is a child; or</w:t>
        </w:r>
      </w:ins>
    </w:p>
    <w:p>
      <w:pPr>
        <w:pStyle w:val="nzIndenti"/>
        <w:rPr>
          <w:ins w:id="561" w:author="svcMRProcess" w:date="2020-02-15T06:05:00Z"/>
        </w:rPr>
      </w:pPr>
      <w:ins w:id="562" w:author="svcMRProcess" w:date="2020-02-15T06:05:00Z">
        <w:r>
          <w:tab/>
          <w:t>(ii)</w:t>
        </w:r>
        <w:r>
          <w:tab/>
          <w:t>is declared under section 106R to be a special witness;</w:t>
        </w:r>
        <w:r>
          <w:tab/>
        </w:r>
      </w:ins>
    </w:p>
    <w:p>
      <w:pPr>
        <w:pStyle w:val="nzIndenta"/>
        <w:rPr>
          <w:ins w:id="563" w:author="svcMRProcess" w:date="2020-02-15T06:05:00Z"/>
        </w:rPr>
      </w:pPr>
      <w:ins w:id="564" w:author="svcMRProcess" w:date="2020-02-15T06:05:00Z">
        <w:r>
          <w:tab/>
          <w:t>(c)</w:t>
        </w:r>
        <w:r>
          <w:tab/>
          <w:t>a witness in an inquest</w:t>
        </w:r>
        <w:r>
          <w:rPr>
            <w:iCs/>
          </w:rPr>
          <w:t>;</w:t>
        </w:r>
      </w:ins>
    </w:p>
    <w:p>
      <w:pPr>
        <w:pStyle w:val="nzIndenta"/>
        <w:rPr>
          <w:ins w:id="565" w:author="svcMRProcess" w:date="2020-02-15T06:05:00Z"/>
        </w:rPr>
      </w:pPr>
      <w:ins w:id="566" w:author="svcMRProcess" w:date="2020-02-15T06:05:00Z">
        <w:r>
          <w:tab/>
          <w:t>(d)</w:t>
        </w:r>
        <w:r>
          <w:tab/>
          <w:t>an interpreter in criminal proceedings or an inquest;</w:t>
        </w:r>
      </w:ins>
    </w:p>
    <w:p>
      <w:pPr>
        <w:pStyle w:val="nzIndenta"/>
        <w:rPr>
          <w:ins w:id="567" w:author="svcMRProcess" w:date="2020-02-15T06:05:00Z"/>
        </w:rPr>
      </w:pPr>
      <w:ins w:id="568" w:author="svcMRProcess" w:date="2020-02-15T06:05:00Z">
        <w:r>
          <w:tab/>
          <w:t>(e)</w:t>
        </w:r>
        <w:r>
          <w:tab/>
          <w:t>a person approved under section 106E or 106R(4)(a) in any proceeding in a court;</w:t>
        </w:r>
      </w:ins>
    </w:p>
    <w:p>
      <w:pPr>
        <w:pStyle w:val="nzIndenta"/>
        <w:rPr>
          <w:ins w:id="569" w:author="svcMRProcess" w:date="2020-02-15T06:05:00Z"/>
        </w:rPr>
      </w:pPr>
      <w:ins w:id="570" w:author="svcMRProcess" w:date="2020-02-15T06:05:00Z">
        <w:r>
          <w:tab/>
          <w:t>(f)</w:t>
        </w:r>
        <w:r>
          <w:tab/>
          <w:t>a person appointed under section 106F in any proceeding in a court.</w:t>
        </w:r>
      </w:ins>
    </w:p>
    <w:p>
      <w:pPr>
        <w:pStyle w:val="nzSubsection"/>
        <w:rPr>
          <w:ins w:id="571" w:author="svcMRProcess" w:date="2020-02-15T06:05:00Z"/>
        </w:rPr>
      </w:pPr>
      <w:ins w:id="572" w:author="svcMRProcess" w:date="2020-02-15T06:05:00Z">
        <w:r>
          <w:tab/>
          <w:t>(3)</w:t>
        </w:r>
        <w:r>
          <w:tab/>
          <w:t>For the purposes of this section a person does eligible service if he or she does, or attends at any place in order to do, any of the following —</w:t>
        </w:r>
      </w:ins>
    </w:p>
    <w:p>
      <w:pPr>
        <w:pStyle w:val="nzIndenta"/>
        <w:rPr>
          <w:ins w:id="573" w:author="svcMRProcess" w:date="2020-02-15T06:05:00Z"/>
        </w:rPr>
      </w:pPr>
      <w:ins w:id="574" w:author="svcMRProcess" w:date="2020-02-15T06:05:00Z">
        <w:r>
          <w:tab/>
          <w:t>(a)</w:t>
        </w:r>
        <w:r>
          <w:tab/>
          <w:t>participate in a programme to prepare —</w:t>
        </w:r>
      </w:ins>
    </w:p>
    <w:p>
      <w:pPr>
        <w:pStyle w:val="nzIndenti"/>
        <w:rPr>
          <w:ins w:id="575" w:author="svcMRProcess" w:date="2020-02-15T06:05:00Z"/>
        </w:rPr>
      </w:pPr>
      <w:ins w:id="576" w:author="svcMRProcess" w:date="2020-02-15T06:05:00Z">
        <w:r>
          <w:tab/>
          <w:t>(i)</w:t>
        </w:r>
        <w:r>
          <w:tab/>
          <w:t>children who may be witnesses; or</w:t>
        </w:r>
      </w:ins>
    </w:p>
    <w:p>
      <w:pPr>
        <w:pStyle w:val="nzIndenti"/>
        <w:rPr>
          <w:ins w:id="577" w:author="svcMRProcess" w:date="2020-02-15T06:05:00Z"/>
        </w:rPr>
      </w:pPr>
      <w:ins w:id="578" w:author="svcMRProcess" w:date="2020-02-15T06:05:00Z">
        <w:r>
          <w:tab/>
          <w:t>(ii)</w:t>
        </w:r>
        <w:r>
          <w:tab/>
          <w:t>persons who are or may be declared under section 106R to be special witnesses,</w:t>
        </w:r>
      </w:ins>
    </w:p>
    <w:p>
      <w:pPr>
        <w:pStyle w:val="nzIndenta"/>
        <w:rPr>
          <w:ins w:id="579" w:author="svcMRProcess" w:date="2020-02-15T06:05:00Z"/>
        </w:rPr>
      </w:pPr>
      <w:ins w:id="580" w:author="svcMRProcess" w:date="2020-02-15T06:05:00Z">
        <w:r>
          <w:tab/>
        </w:r>
        <w:r>
          <w:tab/>
          <w:t>to give evidence in criminal proceedings or an inquest;</w:t>
        </w:r>
      </w:ins>
    </w:p>
    <w:p>
      <w:pPr>
        <w:pStyle w:val="nzIndenta"/>
        <w:rPr>
          <w:ins w:id="581" w:author="svcMRProcess" w:date="2020-02-15T06:05:00Z"/>
        </w:rPr>
      </w:pPr>
      <w:ins w:id="582" w:author="svcMRProcess" w:date="2020-02-15T06:05:00Z">
        <w:r>
          <w:tab/>
          <w:t>(b)</w:t>
        </w:r>
        <w:r>
          <w:tab/>
          <w:t>accompany and assist a child or person described in paragraph (a)(i) or (ii) in order to enable him or her —</w:t>
        </w:r>
      </w:ins>
    </w:p>
    <w:p>
      <w:pPr>
        <w:pStyle w:val="nzIndenti"/>
        <w:rPr>
          <w:ins w:id="583" w:author="svcMRProcess" w:date="2020-02-15T06:05:00Z"/>
        </w:rPr>
      </w:pPr>
      <w:ins w:id="584" w:author="svcMRProcess" w:date="2020-02-15T06:05:00Z">
        <w:r>
          <w:tab/>
          <w:t>(i)</w:t>
        </w:r>
        <w:r>
          <w:tab/>
          <w:t>to attend a programme described in paragraph (a); or</w:t>
        </w:r>
      </w:ins>
    </w:p>
    <w:p>
      <w:pPr>
        <w:pStyle w:val="nzIndenti"/>
        <w:rPr>
          <w:ins w:id="585" w:author="svcMRProcess" w:date="2020-02-15T06:05:00Z"/>
        </w:rPr>
      </w:pPr>
      <w:ins w:id="586" w:author="svcMRProcess" w:date="2020-02-15T06:05:00Z">
        <w:r>
          <w:tab/>
          <w:t>(ii)</w:t>
        </w:r>
        <w:r>
          <w:tab/>
          <w:t>to attend and be a witness in criminal proceedings or an inquest.</w:t>
        </w:r>
      </w:ins>
    </w:p>
    <w:p>
      <w:pPr>
        <w:pStyle w:val="nzSubsection"/>
        <w:rPr>
          <w:ins w:id="587" w:author="svcMRProcess" w:date="2020-02-15T06:05:00Z"/>
        </w:rPr>
      </w:pPr>
      <w:ins w:id="588" w:author="svcMRProcess" w:date="2020-02-15T06:05:00Z">
        <w:r>
          <w:tab/>
          <w:t>(4)</w:t>
        </w:r>
        <w:r>
          <w:tab/>
          <w:t>A person who does eligible service is entitled to be paid by the liable person the allowances and expenses that are prescribed by the regulations in respect of doing the eligible service.</w:t>
        </w:r>
      </w:ins>
    </w:p>
    <w:p>
      <w:pPr>
        <w:pStyle w:val="nzSubsection"/>
        <w:rPr>
          <w:ins w:id="589" w:author="svcMRProcess" w:date="2020-02-15T06:05:00Z"/>
        </w:rPr>
      </w:pPr>
      <w:ins w:id="590" w:author="svcMRProcess" w:date="2020-02-15T06:05:00Z">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ins>
    </w:p>
    <w:p>
      <w:pPr>
        <w:pStyle w:val="nzPenstart"/>
        <w:rPr>
          <w:ins w:id="591" w:author="svcMRProcess" w:date="2020-02-15T06:05:00Z"/>
        </w:rPr>
      </w:pPr>
      <w:ins w:id="592" w:author="svcMRProcess" w:date="2020-02-15T06:05:00Z">
        <w:r>
          <w:tab/>
          <w:t>Penalty: a fine of $2 000.</w:t>
        </w:r>
      </w:ins>
    </w:p>
    <w:p>
      <w:pPr>
        <w:pStyle w:val="nzSubsection"/>
        <w:rPr>
          <w:ins w:id="593" w:author="svcMRProcess" w:date="2020-02-15T06:05:00Z"/>
        </w:rPr>
      </w:pPr>
      <w:ins w:id="594" w:author="svcMRProcess" w:date="2020-02-15T06:05:00Z">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ins>
    </w:p>
    <w:p>
      <w:pPr>
        <w:pStyle w:val="nzSubsection"/>
        <w:rPr>
          <w:ins w:id="595" w:author="svcMRProcess" w:date="2020-02-15T06:05:00Z"/>
        </w:rPr>
      </w:pPr>
      <w:ins w:id="596" w:author="svcMRProcess" w:date="2020-02-15T06:05:00Z">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ins>
    </w:p>
    <w:p>
      <w:pPr>
        <w:pStyle w:val="nzSubsection"/>
        <w:rPr>
          <w:ins w:id="597" w:author="svcMRProcess" w:date="2020-02-15T06:05:00Z"/>
        </w:rPr>
      </w:pPr>
      <w:ins w:id="598" w:author="svcMRProcess" w:date="2020-02-15T06:05:00Z">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ins>
    </w:p>
    <w:p>
      <w:pPr>
        <w:pStyle w:val="nzSubsection"/>
        <w:rPr>
          <w:ins w:id="599" w:author="svcMRProcess" w:date="2020-02-15T06:05:00Z"/>
        </w:rPr>
      </w:pPr>
      <w:ins w:id="600" w:author="svcMRProcess" w:date="2020-02-15T06:05:00Z">
        <w:r>
          <w:tab/>
          <w:t>(9)</w:t>
        </w:r>
        <w:r>
          <w:tab/>
          <w:t>A claim to a liable person for a payment under this section must be made and determined under the regulations.</w:t>
        </w:r>
      </w:ins>
    </w:p>
    <w:p>
      <w:pPr>
        <w:pStyle w:val="nzSubsection"/>
        <w:rPr>
          <w:ins w:id="601" w:author="svcMRProcess" w:date="2020-02-15T06:05:00Z"/>
        </w:rPr>
      </w:pPr>
      <w:ins w:id="602" w:author="svcMRProcess" w:date="2020-02-15T06:05:00Z">
        <w:r>
          <w:tab/>
          <w:t>(10)</w:t>
        </w:r>
        <w:r>
          <w:tab/>
          <w:t>The Governor may make regulations prescribing all matters that are necessary or convenient to be prescribed for the purposes of this section including regulations —</w:t>
        </w:r>
      </w:ins>
    </w:p>
    <w:p>
      <w:pPr>
        <w:pStyle w:val="nzIndenta"/>
        <w:rPr>
          <w:ins w:id="603" w:author="svcMRProcess" w:date="2020-02-15T06:05:00Z"/>
        </w:rPr>
      </w:pPr>
      <w:ins w:id="604" w:author="svcMRProcess" w:date="2020-02-15T06:05:00Z">
        <w:r>
          <w:tab/>
          <w:t>(a)</w:t>
        </w:r>
        <w:r>
          <w:tab/>
          <w:t>that confer a discretionary authority;</w:t>
        </w:r>
      </w:ins>
    </w:p>
    <w:p>
      <w:pPr>
        <w:pStyle w:val="nzIndenta"/>
        <w:rPr>
          <w:ins w:id="605" w:author="svcMRProcess" w:date="2020-02-15T06:05:00Z"/>
        </w:rPr>
      </w:pPr>
      <w:ins w:id="606" w:author="svcMRProcess" w:date="2020-02-15T06:05:00Z">
        <w:r>
          <w:tab/>
          <w:t>(b)</w:t>
        </w:r>
        <w:r>
          <w:tab/>
          <w:t>that require information in support of a claim to the State for a payment to be verified by a statutory declaration.</w:t>
        </w:r>
      </w:ins>
    </w:p>
    <w:p>
      <w:pPr>
        <w:pStyle w:val="nzSubsection"/>
        <w:rPr>
          <w:ins w:id="607" w:author="svcMRProcess" w:date="2020-02-15T06:05:00Z"/>
        </w:rPr>
      </w:pPr>
      <w:ins w:id="608" w:author="svcMRProcess" w:date="2020-02-15T06:05:00Z">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ins>
    </w:p>
    <w:p>
      <w:pPr>
        <w:pStyle w:val="nzSubsection"/>
        <w:rPr>
          <w:ins w:id="609" w:author="svcMRProcess" w:date="2020-02-15T06:05:00Z"/>
        </w:rPr>
      </w:pPr>
      <w:ins w:id="610" w:author="svcMRProcess" w:date="2020-02-15T06:05:00Z">
        <w:r>
          <w:tab/>
          <w:t>(12)</w:t>
        </w:r>
        <w:r>
          <w:tab/>
          <w:t>Any amount paid under this section by the State is to be charged to the Consolidated Account.</w:t>
        </w:r>
      </w:ins>
    </w:p>
    <w:p>
      <w:pPr>
        <w:pStyle w:val="MiscClose"/>
        <w:rPr>
          <w:ins w:id="611" w:author="svcMRProcess" w:date="2020-02-15T06:05:00Z"/>
        </w:rPr>
      </w:pPr>
      <w:ins w:id="612" w:author="svcMRProcess" w:date="2020-02-15T06:05:00Z">
        <w:r>
          <w:t xml:space="preserve">    ”.</w:t>
        </w:r>
      </w:ins>
    </w:p>
    <w:p>
      <w:pPr>
        <w:pStyle w:val="nzHeading5"/>
        <w:rPr>
          <w:ins w:id="613" w:author="svcMRProcess" w:date="2020-02-15T06:05:00Z"/>
        </w:rPr>
      </w:pPr>
      <w:bookmarkStart w:id="614" w:name="_Toc178416195"/>
      <w:bookmarkStart w:id="615" w:name="_Toc194814371"/>
      <w:ins w:id="616" w:author="svcMRProcess" w:date="2020-02-15T06:05:00Z">
        <w:r>
          <w:rPr>
            <w:rStyle w:val="CharSectno"/>
          </w:rPr>
          <w:t>54</w:t>
        </w:r>
        <w:r>
          <w:t>.</w:t>
        </w:r>
        <w:r>
          <w:tab/>
          <w:t>Section 121 amended</w:t>
        </w:r>
        <w:bookmarkEnd w:id="614"/>
        <w:bookmarkEnd w:id="615"/>
      </w:ins>
    </w:p>
    <w:p>
      <w:pPr>
        <w:pStyle w:val="nzSubsection"/>
        <w:rPr>
          <w:ins w:id="617" w:author="svcMRProcess" w:date="2020-02-15T06:05:00Z"/>
        </w:rPr>
      </w:pPr>
      <w:ins w:id="618" w:author="svcMRProcess" w:date="2020-02-15T06:05:00Z">
        <w:r>
          <w:tab/>
        </w:r>
        <w:r>
          <w:tab/>
          <w:t xml:space="preserve">Section 121(2) is repealed and the following subsections are inserted instead — </w:t>
        </w:r>
      </w:ins>
    </w:p>
    <w:p>
      <w:pPr>
        <w:pStyle w:val="MiscOpen"/>
        <w:ind w:left="600"/>
        <w:rPr>
          <w:ins w:id="619" w:author="svcMRProcess" w:date="2020-02-15T06:05:00Z"/>
        </w:rPr>
      </w:pPr>
      <w:ins w:id="620" w:author="svcMRProcess" w:date="2020-02-15T06:05:00Z">
        <w:r>
          <w:t xml:space="preserve">“    </w:t>
        </w:r>
      </w:ins>
    </w:p>
    <w:p>
      <w:pPr>
        <w:pStyle w:val="nzSubsection"/>
        <w:rPr>
          <w:ins w:id="621" w:author="svcMRProcess" w:date="2020-02-15T06:05:00Z"/>
        </w:rPr>
      </w:pPr>
      <w:ins w:id="622" w:author="svcMRProcess" w:date="2020-02-15T06:05:00Z">
        <w:r>
          <w:tab/>
          <w:t>(2)</w:t>
        </w:r>
        <w:r>
          <w:tab/>
          <w:t>The court shall not make such a direction unless satisfied the video link or audio link is available or can reasonably be made available.</w:t>
        </w:r>
      </w:ins>
    </w:p>
    <w:p>
      <w:pPr>
        <w:pStyle w:val="nzSubsection"/>
        <w:rPr>
          <w:ins w:id="623" w:author="svcMRProcess" w:date="2020-02-15T06:05:00Z"/>
        </w:rPr>
      </w:pPr>
      <w:ins w:id="624" w:author="svcMRProcess" w:date="2020-02-15T06:05:00Z">
        <w:r>
          <w:tab/>
          <w:t>(2a)</w:t>
        </w:r>
        <w:r>
          <w:tab/>
          <w:t>The court shall not make such a direction if satisfied the direction is not in the interests of justice.</w:t>
        </w:r>
      </w:ins>
    </w:p>
    <w:p>
      <w:pPr>
        <w:pStyle w:val="MiscClose"/>
        <w:rPr>
          <w:ins w:id="625" w:author="svcMRProcess" w:date="2020-02-15T06:05:00Z"/>
        </w:rPr>
      </w:pPr>
      <w:ins w:id="626" w:author="svcMRProcess" w:date="2020-02-15T06:05:00Z">
        <w:r>
          <w:t xml:space="preserve">    ”.</w:t>
        </w:r>
      </w:ins>
    </w:p>
    <w:p>
      <w:pPr>
        <w:pStyle w:val="MiscClose"/>
        <w:rPr>
          <w:ins w:id="627" w:author="svcMRProcess" w:date="2020-02-15T06:05:00Z"/>
        </w:rPr>
      </w:pPr>
      <w:ins w:id="628" w:author="svcMRProcess" w:date="2020-02-15T06:05:00Z">
        <w:r>
          <w:t>”.</w:t>
        </w:r>
      </w:ins>
    </w:p>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44062</Words>
  <Characters>206215</Characters>
  <Application>Microsoft Office Word</Application>
  <DocSecurity>0</DocSecurity>
  <Lines>5573</Lines>
  <Paragraphs>2910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14-b0-03 - 14-c0-02</dc:title>
  <dc:subject/>
  <dc:creator/>
  <cp:keywords/>
  <dc:description/>
  <cp:lastModifiedBy>svcMRProcess</cp:lastModifiedBy>
  <cp:revision>2</cp:revision>
  <cp:lastPrinted>2008-02-06T01:26:00Z</cp:lastPrinted>
  <dcterms:created xsi:type="dcterms:W3CDTF">2020-02-14T22:05:00Z</dcterms:created>
  <dcterms:modified xsi:type="dcterms:W3CDTF">2020-02-14T22:05:00Z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260</vt:i4>
  </property>
  <property fmtid="{D5CDD505-2E9C-101B-9397-08002B2CF9AE}" pid="6" name="ReprintedAsAt">
    <vt:filetime>2008-02-07T15:00:00Z</vt:filetime>
  </property>
  <property fmtid="{D5CDD505-2E9C-101B-9397-08002B2CF9AE}" pid="7" name="ReprintNo">
    <vt:lpwstr>14</vt:lpwstr>
  </property>
  <property fmtid="{D5CDD505-2E9C-101B-9397-08002B2CF9AE}" pid="8" name="FromSuffix">
    <vt:lpwstr>14-b0-03</vt:lpwstr>
  </property>
  <property fmtid="{D5CDD505-2E9C-101B-9397-08002B2CF9AE}" pid="9" name="FromAsAtDate">
    <vt:lpwstr>12 Mar 2008</vt:lpwstr>
  </property>
  <property fmtid="{D5CDD505-2E9C-101B-9397-08002B2CF9AE}" pid="10" name="ToSuffix">
    <vt:lpwstr>14-c0-02</vt:lpwstr>
  </property>
  <property fmtid="{D5CDD505-2E9C-101B-9397-08002B2CF9AE}" pid="11" name="ToAsAtDate">
    <vt:lpwstr>31 Mar 2008</vt:lpwstr>
  </property>
</Properties>
</file>