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Economic Regulation Authority Act 2003</w:t>
      </w:r>
    </w:p>
    <w:p>
      <w:pPr>
        <w:pStyle w:val="LongTitle"/>
        <w:suppressLineNumbers/>
      </w:pPr>
      <w:r>
        <w:rPr>
          <w:snapToGrid w:val="0"/>
        </w:rPr>
        <w:t>A</w:t>
      </w:r>
      <w:bookmarkStart w:id="0" w:name="_GoBack"/>
      <w:bookmarkEnd w:id="0"/>
      <w:r>
        <w:rPr>
          <w:snapToGrid w:val="0"/>
        </w:rPr>
        <w:t>n Act to establish the Economic Regulation Authority with inquiry, reporting, access regulation, licensing and other functions in respect of certain industries, to make consequential and other amendments to various Acts, and for related purposes</w:t>
      </w:r>
      <w:r>
        <w:t>.</w:t>
      </w:r>
    </w:p>
    <w:p>
      <w:pPr>
        <w:pStyle w:val="Enactment"/>
        <w:suppressLineNumbers/>
        <w:rPr>
          <w:snapToGrid w:val="0"/>
        </w:rPr>
      </w:pPr>
      <w:r>
        <w:rPr>
          <w:snapToGrid w:val="0"/>
        </w:rPr>
        <w:t>The Parliament of Western Australia enacts as follows:</w:t>
      </w:r>
    </w:p>
    <w:p>
      <w:pPr>
        <w:pStyle w:val="Heading2"/>
      </w:pPr>
      <w:bookmarkStart w:id="1" w:name="_Toc117487087"/>
      <w:bookmarkStart w:id="2" w:name="_Toc131587652"/>
      <w:bookmarkStart w:id="3" w:name="_Toc131587906"/>
      <w:bookmarkStart w:id="4" w:name="_Toc139347070"/>
      <w:bookmarkStart w:id="5" w:name="_Toc139700657"/>
      <w:bookmarkStart w:id="6" w:name="_Toc157849740"/>
      <w:bookmarkStart w:id="7" w:name="_Toc19611973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471793481"/>
      <w:bookmarkStart w:id="9" w:name="_Toc512746194"/>
      <w:bookmarkStart w:id="10" w:name="_Toc515958175"/>
      <w:bookmarkStart w:id="11" w:name="_Toc58031956"/>
      <w:bookmarkStart w:id="12" w:name="_Toc131587907"/>
      <w:bookmarkStart w:id="13" w:name="_Toc196119737"/>
      <w:bookmarkStart w:id="14" w:name="_Toc157849741"/>
      <w:r>
        <w:rPr>
          <w:rStyle w:val="CharSectno"/>
        </w:rPr>
        <w:t>1</w:t>
      </w:r>
      <w:r>
        <w:rPr>
          <w:snapToGrid w:val="0"/>
        </w:rPr>
        <w:t>.</w:t>
      </w:r>
      <w:r>
        <w:rPr>
          <w:snapToGrid w:val="0"/>
        </w:rPr>
        <w:tab/>
        <w:t>Short title</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snapToGrid w:val="0"/>
        </w:rPr>
        <w:t>.</w:t>
      </w:r>
    </w:p>
    <w:p>
      <w:pPr>
        <w:pStyle w:val="Heading5"/>
        <w:rPr>
          <w:snapToGrid w:val="0"/>
        </w:rPr>
      </w:pPr>
      <w:bookmarkStart w:id="15" w:name="_Toc471793482"/>
      <w:bookmarkStart w:id="16" w:name="_Toc512746195"/>
      <w:bookmarkStart w:id="17" w:name="_Toc515958176"/>
      <w:bookmarkStart w:id="18" w:name="_Toc58031957"/>
      <w:bookmarkStart w:id="19" w:name="_Toc131587908"/>
      <w:bookmarkStart w:id="20" w:name="_Toc196119738"/>
      <w:bookmarkStart w:id="21" w:name="_Toc157849742"/>
      <w:r>
        <w:rPr>
          <w:rStyle w:val="CharSectno"/>
        </w:rPr>
        <w:t>2</w:t>
      </w:r>
      <w:r>
        <w:rPr>
          <w:snapToGrid w:val="0"/>
        </w:rPr>
        <w:t>.</w:t>
      </w:r>
      <w:r>
        <w:rPr>
          <w:snapToGrid w:val="0"/>
        </w:rPr>
        <w:tab/>
        <w:t>Commencement</w:t>
      </w:r>
      <w:bookmarkEnd w:id="15"/>
      <w:bookmarkEnd w:id="16"/>
      <w:bookmarkEnd w:id="17"/>
      <w:bookmarkEnd w:id="18"/>
      <w:bookmarkEnd w:id="19"/>
      <w:bookmarkEnd w:id="20"/>
      <w:bookmarkEnd w:id="21"/>
    </w:p>
    <w:p>
      <w:pPr>
        <w:pStyle w:val="Subsection"/>
      </w:pPr>
      <w:r>
        <w:tab/>
        <w:t>(1)</w:t>
      </w:r>
      <w:r>
        <w:tab/>
        <w:t>Except as stated in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 comes into operation.</w:t>
      </w:r>
    </w:p>
    <w:p>
      <w:pPr>
        <w:pStyle w:val="Heading5"/>
      </w:pPr>
      <w:bookmarkStart w:id="22" w:name="_Toc58031958"/>
      <w:bookmarkStart w:id="23" w:name="_Toc131587909"/>
      <w:bookmarkStart w:id="24" w:name="_Toc196119739"/>
      <w:bookmarkStart w:id="25" w:name="_Toc157849743"/>
      <w:r>
        <w:rPr>
          <w:rStyle w:val="CharSectno"/>
        </w:rPr>
        <w:t>3</w:t>
      </w:r>
      <w:r>
        <w:t>.</w:t>
      </w:r>
      <w:r>
        <w:tab/>
        <w:t>Definitions</w:t>
      </w:r>
      <w:bookmarkEnd w:id="22"/>
      <w:bookmarkEnd w:id="23"/>
      <w:bookmarkEnd w:id="24"/>
      <w:bookmarkEnd w:id="25"/>
    </w:p>
    <w:p>
      <w:pPr>
        <w:pStyle w:val="Subsection"/>
      </w:pPr>
      <w:r>
        <w:tab/>
      </w:r>
      <w:r>
        <w:tab/>
        <w:t xml:space="preserve">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section 4(1);</w:t>
      </w:r>
    </w:p>
    <w:p>
      <w:pPr>
        <w:pStyle w:val="Defstart"/>
      </w:pPr>
      <w:r>
        <w:tab/>
      </w:r>
      <w:r>
        <w:rPr>
          <w:b/>
        </w:rPr>
        <w:t>“</w:t>
      </w:r>
      <w:r>
        <w:rPr>
          <w:rStyle w:val="CharDefText"/>
        </w:rPr>
        <w:t>chairman</w:t>
      </w:r>
      <w:r>
        <w:rPr>
          <w:b/>
        </w:rPr>
        <w:t>”</w:t>
      </w:r>
      <w:r>
        <w:t xml:space="preserve"> means the person appointed under section 6(1)(a) and includes an alternate chairman appointed under section 10;</w:t>
      </w:r>
    </w:p>
    <w:p>
      <w:pPr>
        <w:pStyle w:val="Defstart"/>
      </w:pPr>
      <w:r>
        <w:tab/>
      </w:r>
      <w:r>
        <w:rPr>
          <w:b/>
        </w:rPr>
        <w:t>“</w:t>
      </w:r>
      <w:r>
        <w:rPr>
          <w:rStyle w:val="CharDefText"/>
        </w:rPr>
        <w:t>chief employee</w:t>
      </w:r>
      <w:r>
        <w:rPr>
          <w:b/>
        </w:rPr>
        <w:t>”</w:t>
      </w:r>
      <w:r>
        <w:t xml:space="preserve"> means the chief employee of the Authority under section 14;</w:t>
      </w:r>
    </w:p>
    <w:p>
      <w:pPr>
        <w:pStyle w:val="Defstart"/>
      </w:pPr>
      <w:r>
        <w:tab/>
      </w:r>
      <w:r>
        <w:rPr>
          <w:b/>
        </w:rPr>
        <w:t>“</w:t>
      </w:r>
      <w:r>
        <w:rPr>
          <w:rStyle w:val="CharDefText"/>
        </w:rPr>
        <w:t>functions</w:t>
      </w:r>
      <w:r>
        <w:rPr>
          <w:b/>
        </w:rPr>
        <w:t>”</w:t>
      </w:r>
      <w:r>
        <w:t>, in relation to the Authority, means its functions under this Act or any other written law;</w:t>
      </w:r>
    </w:p>
    <w:p>
      <w:pPr>
        <w:pStyle w:val="Defstart"/>
      </w:pPr>
      <w:r>
        <w:tab/>
      </w:r>
      <w:r>
        <w:rPr>
          <w:b/>
        </w:rPr>
        <w:t>“</w:t>
      </w:r>
      <w:r>
        <w:rPr>
          <w:rStyle w:val="CharDefText"/>
        </w:rPr>
        <w:t>governing body</w:t>
      </w:r>
      <w:r>
        <w:rPr>
          <w:b/>
        </w:rPr>
        <w:t>”</w:t>
      </w:r>
      <w:r>
        <w:t xml:space="preserve"> means the governing body of the Authority referred to in section </w:t>
      </w:r>
      <w:bookmarkStart w:id="26" w:name="_Hlt12081131"/>
      <w:r>
        <w:t>6</w:t>
      </w:r>
      <w:bookmarkEnd w:id="26"/>
      <w:r>
        <w:t>;</w:t>
      </w:r>
    </w:p>
    <w:p>
      <w:pPr>
        <w:pStyle w:val="Defstart"/>
      </w:pPr>
      <w:r>
        <w:tab/>
      </w:r>
      <w:r>
        <w:rPr>
          <w:b/>
        </w:rPr>
        <w:t>“</w:t>
      </w:r>
      <w:r>
        <w:rPr>
          <w:rStyle w:val="CharDefText"/>
        </w:rPr>
        <w:t>member</w:t>
      </w:r>
      <w:r>
        <w:rPr>
          <w:b/>
        </w:rPr>
        <w:t>”</w:t>
      </w:r>
      <w:r>
        <w:t xml:space="preserve"> means a member of the governing body and includes an alternate member appointed under section 11;</w:t>
      </w:r>
    </w:p>
    <w:p>
      <w:pPr>
        <w:pStyle w:val="Defstart"/>
      </w:pPr>
      <w:r>
        <w:tab/>
      </w:r>
      <w:r>
        <w:rPr>
          <w:b/>
        </w:rPr>
        <w:t>“</w:t>
      </w:r>
      <w:r>
        <w:rPr>
          <w:rStyle w:val="CharDefText"/>
        </w:rPr>
        <w:t>price</w:t>
      </w:r>
      <w:r>
        <w:rPr>
          <w:b/>
        </w:rPr>
        <w:t>”</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lastRenderedPageBreak/>
        <w:tab/>
        <w:t>(b)</w:t>
      </w:r>
      <w:r>
        <w:tab/>
        <w:t>any stamp duty, land tax, pay</w:t>
      </w:r>
      <w:r>
        <w:noBreakHyphen/>
        <w:t>roll tax, or other duty or tax payable under a written law;</w:t>
      </w:r>
    </w:p>
    <w:p>
      <w:pPr>
        <w:pStyle w:val="Defstart"/>
      </w:pPr>
      <w:r>
        <w:tab/>
      </w:r>
      <w:r>
        <w:rPr>
          <w:b/>
        </w:rPr>
        <w:t>“</w:t>
      </w:r>
      <w:r>
        <w:rPr>
          <w:rStyle w:val="CharDefText"/>
        </w:rPr>
        <w:t>public sector employee</w:t>
      </w:r>
      <w:r>
        <w:rPr>
          <w:b/>
        </w:rPr>
        <w:t>”</w:t>
      </w:r>
      <w:r>
        <w:t xml:space="preserve"> means an employee as defined in section 3(1) of the </w:t>
      </w:r>
      <w:r>
        <w:rPr>
          <w:i/>
        </w:rPr>
        <w:t>Public Sector Management Act 1994</w:t>
      </w:r>
      <w:r>
        <w:t>;</w:t>
      </w:r>
    </w:p>
    <w:p>
      <w:pPr>
        <w:pStyle w:val="Defstart"/>
      </w:pPr>
      <w:r>
        <w:tab/>
      </w:r>
      <w:r>
        <w:rPr>
          <w:b/>
        </w:rPr>
        <w:t>“</w:t>
      </w:r>
      <w:r>
        <w:rPr>
          <w:rStyle w:val="CharDefText"/>
        </w:rPr>
        <w:t>regulated industry</w:t>
      </w:r>
      <w:r>
        <w:rPr>
          <w:b/>
        </w:rPr>
        <w:t>”</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t>“</w:t>
      </w:r>
      <w:r>
        <w:rPr>
          <w:rStyle w:val="CharDefText"/>
        </w:rPr>
        <w:t>staff member</w:t>
      </w:r>
      <w:r>
        <w:rPr>
          <w:b/>
        </w:rPr>
        <w:t>”</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Heading2"/>
      </w:pPr>
      <w:bookmarkStart w:id="27" w:name="_Toc117487091"/>
      <w:bookmarkStart w:id="28" w:name="_Toc131587656"/>
      <w:bookmarkStart w:id="29" w:name="_Toc131587910"/>
      <w:bookmarkStart w:id="30" w:name="_Toc139347074"/>
      <w:bookmarkStart w:id="31" w:name="_Toc139700661"/>
      <w:bookmarkStart w:id="32" w:name="_Toc157849744"/>
      <w:bookmarkStart w:id="33" w:name="_Toc196119740"/>
      <w:r>
        <w:rPr>
          <w:rStyle w:val="CharPartNo"/>
        </w:rPr>
        <w:t>Part 2</w:t>
      </w:r>
      <w:r>
        <w:rPr>
          <w:rStyle w:val="CharDivNo"/>
        </w:rPr>
        <w:t xml:space="preserve"> </w:t>
      </w:r>
      <w:r>
        <w:t>—</w:t>
      </w:r>
      <w:r>
        <w:rPr>
          <w:rStyle w:val="CharDivText"/>
        </w:rPr>
        <w:t xml:space="preserve"> </w:t>
      </w:r>
      <w:r>
        <w:rPr>
          <w:rStyle w:val="CharPartText"/>
        </w:rPr>
        <w:t>Economic Regulation Authority</w:t>
      </w:r>
      <w:bookmarkEnd w:id="27"/>
      <w:bookmarkEnd w:id="28"/>
      <w:bookmarkEnd w:id="29"/>
      <w:bookmarkEnd w:id="30"/>
      <w:bookmarkEnd w:id="31"/>
      <w:bookmarkEnd w:id="32"/>
      <w:bookmarkEnd w:id="33"/>
    </w:p>
    <w:p>
      <w:pPr>
        <w:pStyle w:val="Heading5"/>
      </w:pPr>
      <w:bookmarkStart w:id="34" w:name="_Toc58031959"/>
      <w:bookmarkStart w:id="35" w:name="_Toc131587911"/>
      <w:bookmarkStart w:id="36" w:name="_Toc196119741"/>
      <w:bookmarkStart w:id="37" w:name="_Toc157849745"/>
      <w:r>
        <w:rPr>
          <w:rStyle w:val="CharSectno"/>
        </w:rPr>
        <w:t>4</w:t>
      </w:r>
      <w:r>
        <w:t>.</w:t>
      </w:r>
      <w:r>
        <w:tab/>
        <w:t>Economic Regulation Authority established</w:t>
      </w:r>
      <w:bookmarkEnd w:id="34"/>
      <w:bookmarkEnd w:id="35"/>
      <w:bookmarkEnd w:id="36"/>
      <w:bookmarkEnd w:id="37"/>
    </w:p>
    <w:p>
      <w:pPr>
        <w:pStyle w:val="Subsection"/>
      </w:pPr>
      <w:r>
        <w:tab/>
      </w:r>
      <w:bookmarkStart w:id="38" w:name="_Hlt12081107"/>
      <w:bookmarkEnd w:id="38"/>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39" w:name="_Toc58031960"/>
      <w:bookmarkStart w:id="40" w:name="_Toc131587912"/>
      <w:bookmarkStart w:id="41" w:name="_Toc196119742"/>
      <w:bookmarkStart w:id="42" w:name="_Toc157849746"/>
      <w:r>
        <w:rPr>
          <w:rStyle w:val="CharSectno"/>
        </w:rPr>
        <w:t>5</w:t>
      </w:r>
      <w:r>
        <w:t>.</w:t>
      </w:r>
      <w:r>
        <w:tab/>
        <w:t>Status</w:t>
      </w:r>
      <w:bookmarkEnd w:id="39"/>
      <w:bookmarkEnd w:id="40"/>
      <w:bookmarkEnd w:id="41"/>
      <w:bookmarkEnd w:id="42"/>
    </w:p>
    <w:p>
      <w:pPr>
        <w:pStyle w:val="Subsection"/>
      </w:pPr>
      <w:r>
        <w:tab/>
      </w:r>
      <w:r>
        <w:tab/>
        <w:t>The Authority is an agent of the State and has the status, immunities and privileges of the State.</w:t>
      </w:r>
    </w:p>
    <w:p>
      <w:pPr>
        <w:pStyle w:val="Heading5"/>
      </w:pPr>
      <w:bookmarkStart w:id="43" w:name="_Hlt12081135"/>
      <w:bookmarkStart w:id="44" w:name="_Toc58031961"/>
      <w:bookmarkStart w:id="45" w:name="_Toc131587913"/>
      <w:bookmarkStart w:id="46" w:name="_Toc196119743"/>
      <w:bookmarkStart w:id="47" w:name="_Toc157849747"/>
      <w:bookmarkEnd w:id="43"/>
      <w:r>
        <w:rPr>
          <w:rStyle w:val="CharSectno"/>
        </w:rPr>
        <w:t>6</w:t>
      </w:r>
      <w:r>
        <w:t>.</w:t>
      </w:r>
      <w:r>
        <w:tab/>
        <w:t>Management of Authority</w:t>
      </w:r>
      <w:bookmarkEnd w:id="44"/>
      <w:bookmarkEnd w:id="45"/>
      <w:bookmarkEnd w:id="46"/>
      <w:bookmarkEnd w:id="47"/>
    </w:p>
    <w:p>
      <w:pPr>
        <w:pStyle w:val="Subsection"/>
      </w:pPr>
      <w:r>
        <w:tab/>
        <w:t>(1)</w:t>
      </w:r>
      <w:r>
        <w:tab/>
        <w:t xml:space="preserve">The Authority is to have a governing body consisting of — </w:t>
      </w:r>
    </w:p>
    <w:p>
      <w:pPr>
        <w:pStyle w:val="Indenta"/>
      </w:pPr>
      <w:r>
        <w:tab/>
      </w:r>
      <w:bookmarkStart w:id="48" w:name="_Hlt12081116"/>
      <w:bookmarkEnd w:id="48"/>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49" w:name="_Toc58031962"/>
      <w:bookmarkStart w:id="50" w:name="_Toc131587914"/>
      <w:bookmarkStart w:id="51" w:name="_Toc196119744"/>
      <w:bookmarkStart w:id="52" w:name="_Toc157849748"/>
      <w:r>
        <w:rPr>
          <w:rStyle w:val="CharSectno"/>
        </w:rPr>
        <w:t>7</w:t>
      </w:r>
      <w:r>
        <w:t>.</w:t>
      </w:r>
      <w:r>
        <w:tab/>
        <w:t>Members</w:t>
      </w:r>
      <w:bookmarkEnd w:id="49"/>
      <w:bookmarkEnd w:id="50"/>
      <w:bookmarkEnd w:id="51"/>
      <w:bookmarkEnd w:id="52"/>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53" w:name="_Toc58031963"/>
      <w:bookmarkStart w:id="54" w:name="_Toc131587915"/>
      <w:bookmarkStart w:id="55" w:name="_Toc196119745"/>
      <w:bookmarkStart w:id="56" w:name="_Toc157849749"/>
      <w:r>
        <w:rPr>
          <w:rStyle w:val="CharSectno"/>
        </w:rPr>
        <w:t>8</w:t>
      </w:r>
      <w:r>
        <w:t>.</w:t>
      </w:r>
      <w:r>
        <w:tab/>
        <w:t>Term of office</w:t>
      </w:r>
      <w:bookmarkEnd w:id="53"/>
      <w:bookmarkEnd w:id="54"/>
      <w:bookmarkEnd w:id="55"/>
      <w:bookmarkEnd w:id="56"/>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57" w:name="_Toc12858134"/>
      <w:bookmarkStart w:id="58" w:name="_Toc58031964"/>
      <w:bookmarkStart w:id="59" w:name="_Toc131587916"/>
      <w:bookmarkStart w:id="60" w:name="_Toc196119746"/>
      <w:bookmarkStart w:id="61" w:name="_Toc157849750"/>
      <w:r>
        <w:rPr>
          <w:rStyle w:val="CharSectno"/>
        </w:rPr>
        <w:t>9</w:t>
      </w:r>
      <w:r>
        <w:t>.</w:t>
      </w:r>
      <w:r>
        <w:tab/>
        <w:t>Casual vacancy</w:t>
      </w:r>
      <w:bookmarkEnd w:id="57"/>
      <w:bookmarkEnd w:id="58"/>
      <w:bookmarkEnd w:id="59"/>
      <w:bookmarkEnd w:id="60"/>
      <w:bookmarkEnd w:id="61"/>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62" w:name="_Hlt12082296"/>
      <w:bookmarkStart w:id="63" w:name="_Toc12858137"/>
      <w:bookmarkStart w:id="64" w:name="_Toc58031965"/>
      <w:bookmarkStart w:id="65" w:name="_Toc131587917"/>
      <w:bookmarkStart w:id="66" w:name="_Toc196119747"/>
      <w:bookmarkStart w:id="67" w:name="_Toc157849751"/>
      <w:bookmarkEnd w:id="62"/>
      <w:r>
        <w:rPr>
          <w:rStyle w:val="CharSectno"/>
        </w:rPr>
        <w:t>10</w:t>
      </w:r>
      <w:r>
        <w:t>.</w:t>
      </w:r>
      <w:r>
        <w:tab/>
        <w:t>Alternate chairman</w:t>
      </w:r>
      <w:bookmarkEnd w:id="63"/>
      <w:bookmarkEnd w:id="64"/>
      <w:bookmarkEnd w:id="65"/>
      <w:bookmarkEnd w:id="66"/>
      <w:bookmarkEnd w:id="67"/>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68" w:name="_Toc58031966"/>
      <w:bookmarkStart w:id="69" w:name="_Toc131587918"/>
      <w:bookmarkStart w:id="70" w:name="_Toc196119748"/>
      <w:bookmarkStart w:id="71" w:name="_Toc157849752"/>
      <w:r>
        <w:rPr>
          <w:rStyle w:val="CharSectno"/>
        </w:rPr>
        <w:t>11</w:t>
      </w:r>
      <w:r>
        <w:t>.</w:t>
      </w:r>
      <w:r>
        <w:tab/>
        <w:t>Alternate members</w:t>
      </w:r>
      <w:bookmarkEnd w:id="68"/>
      <w:bookmarkEnd w:id="69"/>
      <w:bookmarkEnd w:id="70"/>
      <w:bookmarkEnd w:id="71"/>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72" w:name="_Hlt12095310"/>
      <w:bookmarkStart w:id="73" w:name="_Toc58031967"/>
      <w:bookmarkStart w:id="74" w:name="_Toc131587919"/>
      <w:bookmarkStart w:id="75" w:name="_Toc196119749"/>
      <w:bookmarkStart w:id="76" w:name="_Toc157849753"/>
      <w:bookmarkEnd w:id="72"/>
      <w:r>
        <w:rPr>
          <w:rStyle w:val="CharSectno"/>
        </w:rPr>
        <w:t>12</w:t>
      </w:r>
      <w:r>
        <w:t>.</w:t>
      </w:r>
      <w:r>
        <w:tab/>
        <w:t>Remuneration and conditions of members</w:t>
      </w:r>
      <w:bookmarkEnd w:id="73"/>
      <w:bookmarkEnd w:id="74"/>
      <w:bookmarkEnd w:id="75"/>
      <w:bookmarkEnd w:id="76"/>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77" w:name="_Toc58031968"/>
      <w:bookmarkStart w:id="78" w:name="_Toc131587920"/>
      <w:bookmarkStart w:id="79" w:name="_Toc196119750"/>
      <w:bookmarkStart w:id="80" w:name="_Toc157849754"/>
      <w:r>
        <w:rPr>
          <w:rStyle w:val="CharSectno"/>
        </w:rPr>
        <w:t>13</w:t>
      </w:r>
      <w:r>
        <w:t>.</w:t>
      </w:r>
      <w:r>
        <w:tab/>
        <w:t>Meetings of governing body</w:t>
      </w:r>
      <w:bookmarkEnd w:id="77"/>
      <w:bookmarkEnd w:id="78"/>
      <w:bookmarkEnd w:id="79"/>
      <w:bookmarkEnd w:id="80"/>
    </w:p>
    <w:p>
      <w:pPr>
        <w:pStyle w:val="Subsection"/>
      </w:pPr>
      <w:r>
        <w:tab/>
      </w:r>
      <w:r>
        <w:tab/>
        <w:t>Schedule </w:t>
      </w:r>
      <w:bookmarkStart w:id="81" w:name="_Hlt11051884"/>
      <w:r>
        <w:t>1</w:t>
      </w:r>
      <w:bookmarkEnd w:id="81"/>
      <w:r>
        <w:t xml:space="preserve"> has effect with respect to meetings of the governing body.</w:t>
      </w:r>
    </w:p>
    <w:p>
      <w:pPr>
        <w:pStyle w:val="Heading2"/>
      </w:pPr>
      <w:bookmarkStart w:id="82" w:name="_Toc117487102"/>
      <w:bookmarkStart w:id="83" w:name="_Toc131587667"/>
      <w:bookmarkStart w:id="84" w:name="_Toc131587921"/>
      <w:bookmarkStart w:id="85" w:name="_Toc139347085"/>
      <w:bookmarkStart w:id="86" w:name="_Toc139700672"/>
      <w:bookmarkStart w:id="87" w:name="_Toc157849755"/>
      <w:bookmarkStart w:id="88" w:name="_Toc196119751"/>
      <w:r>
        <w:rPr>
          <w:rStyle w:val="CharPartNo"/>
        </w:rPr>
        <w:t>Part 3</w:t>
      </w:r>
      <w:r>
        <w:t xml:space="preserve"> — </w:t>
      </w:r>
      <w:r>
        <w:rPr>
          <w:rStyle w:val="CharPartText"/>
        </w:rPr>
        <w:t>Administration</w:t>
      </w:r>
      <w:bookmarkEnd w:id="82"/>
      <w:bookmarkEnd w:id="83"/>
      <w:bookmarkEnd w:id="84"/>
      <w:bookmarkEnd w:id="85"/>
      <w:bookmarkEnd w:id="86"/>
      <w:bookmarkEnd w:id="87"/>
      <w:bookmarkEnd w:id="88"/>
    </w:p>
    <w:p>
      <w:pPr>
        <w:pStyle w:val="Heading3"/>
      </w:pPr>
      <w:bookmarkStart w:id="89" w:name="_Toc117487103"/>
      <w:bookmarkStart w:id="90" w:name="_Toc131587668"/>
      <w:bookmarkStart w:id="91" w:name="_Toc131587922"/>
      <w:bookmarkStart w:id="92" w:name="_Toc139347086"/>
      <w:bookmarkStart w:id="93" w:name="_Toc139700673"/>
      <w:bookmarkStart w:id="94" w:name="_Toc157849756"/>
      <w:bookmarkStart w:id="95" w:name="_Toc196119752"/>
      <w:r>
        <w:rPr>
          <w:rStyle w:val="CharDivNo"/>
        </w:rPr>
        <w:t>Division 1</w:t>
      </w:r>
      <w:r>
        <w:t xml:space="preserve"> — </w:t>
      </w:r>
      <w:r>
        <w:rPr>
          <w:rStyle w:val="CharDivText"/>
        </w:rPr>
        <w:t>Chief employee</w:t>
      </w:r>
      <w:bookmarkEnd w:id="89"/>
      <w:bookmarkEnd w:id="90"/>
      <w:bookmarkEnd w:id="91"/>
      <w:bookmarkEnd w:id="92"/>
      <w:bookmarkEnd w:id="93"/>
      <w:bookmarkEnd w:id="94"/>
      <w:bookmarkEnd w:id="95"/>
    </w:p>
    <w:p>
      <w:pPr>
        <w:pStyle w:val="Heading5"/>
      </w:pPr>
      <w:bookmarkStart w:id="96" w:name="_Toc58031969"/>
      <w:bookmarkStart w:id="97" w:name="_Toc131587923"/>
      <w:bookmarkStart w:id="98" w:name="_Toc196119753"/>
      <w:bookmarkStart w:id="99" w:name="_Toc157849757"/>
      <w:r>
        <w:rPr>
          <w:rStyle w:val="CharSectno"/>
        </w:rPr>
        <w:t>14</w:t>
      </w:r>
      <w:r>
        <w:t>.</w:t>
      </w:r>
      <w:r>
        <w:tab/>
        <w:t>Chief employee</w:t>
      </w:r>
      <w:bookmarkEnd w:id="96"/>
      <w:bookmarkEnd w:id="97"/>
      <w:bookmarkEnd w:id="98"/>
      <w:bookmarkEnd w:id="99"/>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00" w:name="_Toc58031970"/>
      <w:bookmarkStart w:id="101" w:name="_Toc131587924"/>
      <w:bookmarkStart w:id="102" w:name="_Toc196119754"/>
      <w:bookmarkStart w:id="103" w:name="_Toc157849758"/>
      <w:r>
        <w:rPr>
          <w:rStyle w:val="CharSectno"/>
        </w:rPr>
        <w:t>15</w:t>
      </w:r>
      <w:r>
        <w:t>.</w:t>
      </w:r>
      <w:r>
        <w:tab/>
        <w:t>Term of office</w:t>
      </w:r>
      <w:bookmarkEnd w:id="100"/>
      <w:bookmarkEnd w:id="101"/>
      <w:bookmarkEnd w:id="102"/>
      <w:bookmarkEnd w:id="103"/>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04" w:name="_Toc12858198"/>
      <w:bookmarkStart w:id="105" w:name="_Toc14585851"/>
      <w:bookmarkStart w:id="106" w:name="_Toc58031971"/>
      <w:bookmarkStart w:id="107" w:name="_Toc131587925"/>
      <w:bookmarkStart w:id="108" w:name="_Toc196119755"/>
      <w:bookmarkStart w:id="109" w:name="_Toc157849759"/>
      <w:r>
        <w:rPr>
          <w:rStyle w:val="CharSectno"/>
        </w:rPr>
        <w:t>16</w:t>
      </w:r>
      <w:r>
        <w:t>.</w:t>
      </w:r>
      <w:r>
        <w:tab/>
        <w:t>Casual vacancy</w:t>
      </w:r>
      <w:bookmarkEnd w:id="104"/>
      <w:bookmarkEnd w:id="105"/>
      <w:bookmarkEnd w:id="106"/>
      <w:bookmarkEnd w:id="107"/>
      <w:bookmarkEnd w:id="108"/>
      <w:bookmarkEnd w:id="109"/>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10" w:name="_Toc58031972"/>
      <w:bookmarkStart w:id="111" w:name="_Toc131587926"/>
      <w:bookmarkStart w:id="112" w:name="_Toc196119756"/>
      <w:bookmarkStart w:id="113" w:name="_Toc157849760"/>
      <w:r>
        <w:rPr>
          <w:rStyle w:val="CharSectno"/>
        </w:rPr>
        <w:t>17</w:t>
      </w:r>
      <w:r>
        <w:t>.</w:t>
      </w:r>
      <w:r>
        <w:tab/>
        <w:t>Remuneration and conditions of chief employee</w:t>
      </w:r>
      <w:bookmarkEnd w:id="110"/>
      <w:bookmarkEnd w:id="111"/>
      <w:bookmarkEnd w:id="112"/>
      <w:bookmarkEnd w:id="113"/>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14" w:name="_Toc58031973"/>
      <w:bookmarkStart w:id="115" w:name="_Toc131587927"/>
      <w:bookmarkStart w:id="116" w:name="_Toc196119757"/>
      <w:bookmarkStart w:id="117" w:name="_Toc157849761"/>
      <w:r>
        <w:rPr>
          <w:rStyle w:val="CharSectno"/>
        </w:rPr>
        <w:t>18</w:t>
      </w:r>
      <w:r>
        <w:t>.</w:t>
      </w:r>
      <w:r>
        <w:tab/>
        <w:t>Appointment of public service officer</w:t>
      </w:r>
      <w:bookmarkEnd w:id="114"/>
      <w:bookmarkEnd w:id="115"/>
      <w:bookmarkEnd w:id="116"/>
      <w:bookmarkEnd w:id="117"/>
    </w:p>
    <w:p>
      <w:pPr>
        <w:pStyle w:val="Subsection"/>
      </w:pPr>
      <w:r>
        <w:tab/>
        <w:t>(1)</w:t>
      </w:r>
      <w:r>
        <w:tab/>
        <w:t xml:space="preserve">In this section — </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18" w:name="_Toc117487109"/>
      <w:bookmarkStart w:id="119" w:name="_Toc131587674"/>
      <w:bookmarkStart w:id="120" w:name="_Toc131587928"/>
      <w:bookmarkStart w:id="121" w:name="_Toc139347092"/>
      <w:bookmarkStart w:id="122" w:name="_Toc139700679"/>
      <w:bookmarkStart w:id="123" w:name="_Toc157849762"/>
      <w:bookmarkStart w:id="124" w:name="_Toc196119758"/>
      <w:r>
        <w:rPr>
          <w:rStyle w:val="CharDivNo"/>
        </w:rPr>
        <w:t>Division 2</w:t>
      </w:r>
      <w:r>
        <w:t> — </w:t>
      </w:r>
      <w:r>
        <w:rPr>
          <w:rStyle w:val="CharDivText"/>
        </w:rPr>
        <w:t>Other staff and facilities</w:t>
      </w:r>
      <w:bookmarkEnd w:id="118"/>
      <w:bookmarkEnd w:id="119"/>
      <w:bookmarkEnd w:id="120"/>
      <w:bookmarkEnd w:id="121"/>
      <w:bookmarkEnd w:id="122"/>
      <w:bookmarkEnd w:id="123"/>
      <w:bookmarkEnd w:id="124"/>
    </w:p>
    <w:p>
      <w:pPr>
        <w:pStyle w:val="Heading5"/>
      </w:pPr>
      <w:bookmarkStart w:id="125" w:name="_Toc58031974"/>
      <w:bookmarkStart w:id="126" w:name="_Toc131587929"/>
      <w:bookmarkStart w:id="127" w:name="_Toc196119759"/>
      <w:bookmarkStart w:id="128" w:name="_Toc157849763"/>
      <w:r>
        <w:rPr>
          <w:rStyle w:val="CharSectno"/>
        </w:rPr>
        <w:t>19</w:t>
      </w:r>
      <w:r>
        <w:t>.</w:t>
      </w:r>
      <w:r>
        <w:tab/>
        <w:t>Other staff</w:t>
      </w:r>
      <w:bookmarkEnd w:id="125"/>
      <w:bookmarkEnd w:id="126"/>
      <w:bookmarkEnd w:id="127"/>
      <w:bookmarkEnd w:id="128"/>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29" w:name="_Toc58031975"/>
      <w:bookmarkStart w:id="130" w:name="_Toc131587930"/>
      <w:bookmarkStart w:id="131" w:name="_Toc196119760"/>
      <w:bookmarkStart w:id="132" w:name="_Toc157849764"/>
      <w:r>
        <w:rPr>
          <w:rStyle w:val="CharSectno"/>
        </w:rPr>
        <w:t>20</w:t>
      </w:r>
      <w:r>
        <w:t>.</w:t>
      </w:r>
      <w:r>
        <w:tab/>
        <w:t>Use of government staff and facilities</w:t>
      </w:r>
      <w:bookmarkEnd w:id="129"/>
      <w:bookmarkEnd w:id="130"/>
      <w:bookmarkEnd w:id="131"/>
      <w:bookmarkEnd w:id="132"/>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b/>
        </w:rPr>
        <w:t>“</w:t>
      </w:r>
      <w:r>
        <w:rPr>
          <w:rStyle w:val="CharDefText"/>
        </w:rPr>
        <w:t>access agreement</w:t>
      </w:r>
      <w:r>
        <w:rPr>
          <w:b/>
        </w:rPr>
        <w:t>”</w:t>
      </w:r>
      <w:r>
        <w:t xml:space="preserve"> has the same meaning as it has in the </w:t>
      </w:r>
      <w:r>
        <w:rPr>
          <w:i/>
        </w:rPr>
        <w:t>Railways (Access) Act 1998</w:t>
      </w:r>
      <w:r>
        <w:t>;</w:t>
      </w:r>
    </w:p>
    <w:p>
      <w:pPr>
        <w:pStyle w:val="Defstart"/>
      </w:pPr>
      <w:r>
        <w:tab/>
      </w:r>
      <w:r>
        <w:rPr>
          <w:b/>
        </w:rPr>
        <w:t>“</w:t>
      </w:r>
      <w:r>
        <w:rPr>
          <w:rStyle w:val="CharDefText"/>
        </w:rPr>
        <w:t>relevant entity</w:t>
      </w:r>
      <w:r>
        <w:rPr>
          <w:b/>
        </w:rPr>
        <w:t>”</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33"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34" w:name="_Toc131587677"/>
      <w:bookmarkStart w:id="135" w:name="_Toc131587931"/>
      <w:bookmarkStart w:id="136" w:name="_Toc139347095"/>
      <w:bookmarkStart w:id="137" w:name="_Toc139700682"/>
      <w:bookmarkStart w:id="138" w:name="_Toc157849765"/>
      <w:bookmarkStart w:id="139" w:name="_Toc196119761"/>
      <w:r>
        <w:rPr>
          <w:rStyle w:val="CharDivNo"/>
        </w:rPr>
        <w:t>Division 3</w:t>
      </w:r>
      <w:r>
        <w:t xml:space="preserve"> — </w:t>
      </w:r>
      <w:r>
        <w:rPr>
          <w:rStyle w:val="CharDivText"/>
        </w:rPr>
        <w:t>Financial provisions</w:t>
      </w:r>
      <w:bookmarkEnd w:id="133"/>
      <w:bookmarkEnd w:id="134"/>
      <w:bookmarkEnd w:id="135"/>
      <w:bookmarkEnd w:id="136"/>
      <w:bookmarkEnd w:id="137"/>
      <w:bookmarkEnd w:id="138"/>
      <w:bookmarkEnd w:id="139"/>
    </w:p>
    <w:p>
      <w:pPr>
        <w:pStyle w:val="Heading5"/>
      </w:pPr>
      <w:bookmarkStart w:id="140" w:name="_Toc58031976"/>
      <w:bookmarkStart w:id="141" w:name="_Toc131587932"/>
      <w:bookmarkStart w:id="142" w:name="_Toc196119762"/>
      <w:bookmarkStart w:id="143" w:name="_Toc157849766"/>
      <w:r>
        <w:rPr>
          <w:rStyle w:val="CharSectno"/>
        </w:rPr>
        <w:t>21</w:t>
      </w:r>
      <w:r>
        <w:t>.</w:t>
      </w:r>
      <w:r>
        <w:tab/>
        <w:t>Bank account</w:t>
      </w:r>
      <w:bookmarkEnd w:id="140"/>
      <w:bookmarkEnd w:id="141"/>
      <w:bookmarkEnd w:id="142"/>
      <w:bookmarkEnd w:id="143"/>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144" w:name="_Toc58031977"/>
      <w:bookmarkStart w:id="145" w:name="_Toc131587933"/>
      <w:bookmarkStart w:id="146" w:name="_Toc196119763"/>
      <w:bookmarkStart w:id="147" w:name="_Toc157849767"/>
      <w:r>
        <w:rPr>
          <w:rStyle w:val="CharSectno"/>
        </w:rPr>
        <w:t>22</w:t>
      </w:r>
      <w:r>
        <w:t>.</w:t>
      </w:r>
      <w:r>
        <w:tab/>
        <w:t>Borrowing from Treasurer</w:t>
      </w:r>
      <w:bookmarkEnd w:id="144"/>
      <w:bookmarkEnd w:id="145"/>
      <w:bookmarkEnd w:id="146"/>
      <w:bookmarkEnd w:id="147"/>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148" w:name="_Toc58031978"/>
      <w:bookmarkStart w:id="149" w:name="_Toc131587934"/>
      <w:bookmarkStart w:id="150" w:name="_Toc196119764"/>
      <w:bookmarkStart w:id="151" w:name="_Toc157849768"/>
      <w:r>
        <w:rPr>
          <w:rStyle w:val="CharSectno"/>
        </w:rPr>
        <w:t>23</w:t>
      </w:r>
      <w:r>
        <w:t>.</w:t>
      </w:r>
      <w:r>
        <w:tab/>
        <w:t xml:space="preserve">Application of </w:t>
      </w:r>
      <w:bookmarkEnd w:id="148"/>
      <w:bookmarkEnd w:id="149"/>
      <w:r>
        <w:rPr>
          <w:i/>
          <w:iCs/>
        </w:rPr>
        <w:t>Financial Management Act 2006</w:t>
      </w:r>
      <w:r>
        <w:t xml:space="preserve"> and </w:t>
      </w:r>
      <w:r>
        <w:rPr>
          <w:i/>
          <w:iCs/>
        </w:rPr>
        <w:t>Auditor General Act 2006</w:t>
      </w:r>
      <w:bookmarkEnd w:id="150"/>
      <w:bookmarkEnd w:id="151"/>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152" w:name="_Toc58031979"/>
      <w:bookmarkStart w:id="153" w:name="_Toc131587935"/>
      <w:bookmarkStart w:id="154" w:name="_Toc196119765"/>
      <w:bookmarkStart w:id="155" w:name="_Toc157849769"/>
      <w:r>
        <w:rPr>
          <w:rStyle w:val="CharSectno"/>
        </w:rPr>
        <w:t>24</w:t>
      </w:r>
      <w:r>
        <w:t>.</w:t>
      </w:r>
      <w:r>
        <w:tab/>
        <w:t>Separate financial records</w:t>
      </w:r>
      <w:bookmarkEnd w:id="152"/>
      <w:bookmarkEnd w:id="153"/>
      <w:bookmarkEnd w:id="154"/>
      <w:bookmarkEnd w:id="155"/>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156" w:name="_Toc117487117"/>
      <w:bookmarkStart w:id="157" w:name="_Toc131587682"/>
      <w:bookmarkStart w:id="158" w:name="_Toc131587936"/>
      <w:bookmarkStart w:id="159" w:name="_Toc139347100"/>
      <w:bookmarkStart w:id="160" w:name="_Toc139700687"/>
      <w:bookmarkStart w:id="161" w:name="_Toc157849770"/>
      <w:bookmarkStart w:id="162" w:name="_Toc196119766"/>
      <w:r>
        <w:rPr>
          <w:rStyle w:val="CharPartNo"/>
        </w:rPr>
        <w:t>Part 4</w:t>
      </w:r>
      <w:r>
        <w:rPr>
          <w:rStyle w:val="CharDivNo"/>
        </w:rPr>
        <w:t> </w:t>
      </w:r>
      <w:r>
        <w:t>—</w:t>
      </w:r>
      <w:r>
        <w:rPr>
          <w:rStyle w:val="CharDivText"/>
        </w:rPr>
        <w:t> </w:t>
      </w:r>
      <w:r>
        <w:rPr>
          <w:rStyle w:val="CharPartText"/>
        </w:rPr>
        <w:t>Functions of Authority</w:t>
      </w:r>
      <w:bookmarkEnd w:id="156"/>
      <w:bookmarkEnd w:id="157"/>
      <w:bookmarkEnd w:id="158"/>
      <w:bookmarkEnd w:id="159"/>
      <w:bookmarkEnd w:id="160"/>
      <w:bookmarkEnd w:id="161"/>
      <w:bookmarkEnd w:id="162"/>
    </w:p>
    <w:p>
      <w:pPr>
        <w:pStyle w:val="Heading5"/>
      </w:pPr>
      <w:bookmarkStart w:id="163" w:name="_Toc58031980"/>
      <w:bookmarkStart w:id="164" w:name="_Toc131587937"/>
      <w:bookmarkStart w:id="165" w:name="_Toc196119767"/>
      <w:bookmarkStart w:id="166" w:name="_Toc157849771"/>
      <w:r>
        <w:rPr>
          <w:rStyle w:val="CharSectno"/>
        </w:rPr>
        <w:t>25</w:t>
      </w:r>
      <w:r>
        <w:t>.</w:t>
      </w:r>
      <w:r>
        <w:tab/>
        <w:t>Functions</w:t>
      </w:r>
      <w:bookmarkEnd w:id="163"/>
      <w:bookmarkEnd w:id="164"/>
      <w:bookmarkEnd w:id="165"/>
      <w:bookmarkEnd w:id="166"/>
    </w:p>
    <w:p>
      <w:pPr>
        <w:pStyle w:val="Subsection"/>
      </w:pPr>
      <w:r>
        <w:tab/>
      </w:r>
      <w:r>
        <w:tab/>
        <w:t xml:space="preserve">The functions of the Authority are — </w:t>
      </w:r>
    </w:p>
    <w:p>
      <w:pPr>
        <w:pStyle w:val="Indenta"/>
      </w:pPr>
      <w:r>
        <w:tab/>
        <w:t>(a)</w:t>
      </w:r>
      <w:r>
        <w:tab/>
        <w:t>the inquiry, reporting and other functions it is given by this Act;</w:t>
      </w:r>
    </w:p>
    <w:p>
      <w:pPr>
        <w:pStyle w:val="Indenta"/>
      </w:pPr>
      <w:r>
        <w:tab/>
        <w:t>(b)</w:t>
      </w:r>
      <w:r>
        <w:tab/>
        <w:t xml:space="preserve">the functions referred to in section 11AA of the </w:t>
      </w:r>
      <w:r>
        <w:rPr>
          <w:i/>
        </w:rPr>
        <w:t>Energy Coordination Act 1994</w:t>
      </w:r>
      <w:r>
        <w:t>;</w:t>
      </w:r>
    </w:p>
    <w:p>
      <w:pPr>
        <w:pStyle w:val="Indenta"/>
      </w:pPr>
      <w:r>
        <w:tab/>
        <w:t>(c)</w:t>
      </w:r>
      <w:r>
        <w:tab/>
        <w:t xml:space="preserve">the functions referred to in section 36(1) of the </w:t>
      </w:r>
      <w:r>
        <w:rPr>
          <w:i/>
        </w:rPr>
        <w:t>Gas Pipelines Access (Western Australia) Act 1998</w:t>
      </w:r>
      <w:r>
        <w:t>;</w:t>
      </w:r>
    </w:p>
    <w:p>
      <w:pPr>
        <w:pStyle w:val="Indenta"/>
      </w:pPr>
      <w:r>
        <w:tab/>
        <w:t>(d)</w:t>
      </w:r>
      <w:r>
        <w:tab/>
        <w:t xml:space="preserve">the functions referred to in section 20(1) of the </w:t>
      </w:r>
      <w:r>
        <w:rPr>
          <w:i/>
        </w:rPr>
        <w:t>Railways (Access) Act 1998</w:t>
      </w:r>
      <w:r>
        <w:t>;</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Heading5"/>
      </w:pPr>
      <w:bookmarkStart w:id="167" w:name="_Toc58031981"/>
      <w:bookmarkStart w:id="168" w:name="_Toc131587938"/>
      <w:bookmarkStart w:id="169" w:name="_Toc196119768"/>
      <w:bookmarkStart w:id="170" w:name="_Toc157849772"/>
      <w:r>
        <w:rPr>
          <w:rStyle w:val="CharSectno"/>
        </w:rPr>
        <w:t>26</w:t>
      </w:r>
      <w:r>
        <w:t>.</w:t>
      </w:r>
      <w:r>
        <w:tab/>
        <w:t>Authority to have regard to certain matters</w:t>
      </w:r>
      <w:bookmarkEnd w:id="167"/>
      <w:bookmarkEnd w:id="168"/>
      <w:bookmarkEnd w:id="169"/>
      <w:bookmarkEnd w:id="170"/>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171" w:name="_Toc58031982"/>
      <w:bookmarkStart w:id="172" w:name="_Toc131587939"/>
      <w:bookmarkStart w:id="173" w:name="_Toc196119769"/>
      <w:bookmarkStart w:id="174" w:name="_Toc157849773"/>
      <w:r>
        <w:rPr>
          <w:rStyle w:val="CharSectno"/>
        </w:rPr>
        <w:t>27</w:t>
      </w:r>
      <w:r>
        <w:t>.</w:t>
      </w:r>
      <w:r>
        <w:tab/>
        <w:t>Powers</w:t>
      </w:r>
      <w:bookmarkEnd w:id="171"/>
      <w:bookmarkEnd w:id="172"/>
      <w:bookmarkEnd w:id="173"/>
      <w:bookmarkEnd w:id="174"/>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175" w:name="_Toc58031983"/>
      <w:bookmarkStart w:id="176" w:name="_Toc131587940"/>
      <w:bookmarkStart w:id="177" w:name="_Toc196119770"/>
      <w:bookmarkStart w:id="178" w:name="_Toc157849774"/>
      <w:r>
        <w:rPr>
          <w:rStyle w:val="CharSectno"/>
        </w:rPr>
        <w:t>28</w:t>
      </w:r>
      <w:r>
        <w:t>.</w:t>
      </w:r>
      <w:r>
        <w:tab/>
        <w:t>Independence of Authority</w:t>
      </w:r>
      <w:bookmarkEnd w:id="175"/>
      <w:bookmarkEnd w:id="176"/>
      <w:bookmarkEnd w:id="177"/>
      <w:bookmarkEnd w:id="178"/>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179" w:name="_Hlt12082397"/>
      <w:bookmarkEnd w:id="179"/>
      <w:r>
        <w:t>(2)</w:t>
      </w:r>
      <w:r>
        <w:tab/>
        <w:t>The Minister may give directions in writing to the Authority to the extent allowed by subsection (3), and the Authority must give effect to any such direction.</w:t>
      </w:r>
    </w:p>
    <w:p>
      <w:pPr>
        <w:pStyle w:val="Subsection"/>
      </w:pPr>
      <w:r>
        <w:tab/>
      </w:r>
      <w:bookmarkStart w:id="180" w:name="_Hlt12082372"/>
      <w:bookmarkEnd w:id="180"/>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referred to in section 36(1) of the </w:t>
      </w:r>
      <w:r>
        <w:rPr>
          <w:i/>
        </w:rPr>
        <w:t>Gas Pipelines Access (Western Australia) Act 1998</w:t>
      </w:r>
      <w:r>
        <w:t xml:space="preserve"> or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 xml:space="preserve">if the direction relates to a matter of administration under the </w:t>
      </w:r>
      <w:r>
        <w:rPr>
          <w:i/>
        </w:rPr>
        <w:t>Gas Pipelines Access (Western Australia) Act 1998</w:t>
      </w:r>
      <w:r>
        <w:t>, must send a copy of the direction to the Code Registrar within the meaning of that Act.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w:t>
      </w:r>
    </w:p>
    <w:p>
      <w:pPr>
        <w:pStyle w:val="Heading5"/>
      </w:pPr>
      <w:bookmarkStart w:id="181" w:name="_Toc58031984"/>
      <w:bookmarkStart w:id="182" w:name="_Toc131587941"/>
      <w:bookmarkStart w:id="183" w:name="_Toc196119771"/>
      <w:bookmarkStart w:id="184" w:name="_Toc157849775"/>
      <w:r>
        <w:rPr>
          <w:rStyle w:val="CharSectno"/>
        </w:rPr>
        <w:t>29</w:t>
      </w:r>
      <w:r>
        <w:t>.</w:t>
      </w:r>
      <w:r>
        <w:tab/>
        <w:t>Delegation</w:t>
      </w:r>
      <w:bookmarkEnd w:id="181"/>
      <w:bookmarkEnd w:id="182"/>
      <w:bookmarkEnd w:id="183"/>
      <w:bookmarkEnd w:id="184"/>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185" w:name="_Hlt12086743"/>
      <w:bookmarkEnd w:id="185"/>
      <w:r>
        <w:t>(2)</w:t>
      </w:r>
      <w:r>
        <w:tab/>
        <w:t>The Authority cannot delegate a power or duty of the Authority under section </w:t>
      </w:r>
      <w:bookmarkStart w:id="186" w:name="_Hlt24166447"/>
      <w:r>
        <w:t>35</w:t>
      </w:r>
      <w:bookmarkEnd w:id="186"/>
      <w:r>
        <w:t>,</w:t>
      </w:r>
      <w:bookmarkStart w:id="187" w:name="_Hlt12946115"/>
      <w:r>
        <w:t> 36,</w:t>
      </w:r>
      <w:bookmarkStart w:id="188" w:name="_Hlt16500917"/>
      <w:r>
        <w:t> 41</w:t>
      </w:r>
      <w:bookmarkEnd w:id="187"/>
      <w:bookmarkEnd w:id="188"/>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189" w:name="_Toc58031985"/>
      <w:bookmarkStart w:id="190" w:name="_Toc131587942"/>
      <w:bookmarkStart w:id="191" w:name="_Toc196119772"/>
      <w:bookmarkStart w:id="192" w:name="_Toc157849776"/>
      <w:r>
        <w:rPr>
          <w:rStyle w:val="CharSectno"/>
        </w:rPr>
        <w:t>30</w:t>
      </w:r>
      <w:r>
        <w:t>.</w:t>
      </w:r>
      <w:r>
        <w:tab/>
        <w:t>Conflict of interest</w:t>
      </w:r>
      <w:bookmarkEnd w:id="189"/>
      <w:bookmarkEnd w:id="190"/>
      <w:bookmarkEnd w:id="191"/>
      <w:bookmarkEnd w:id="192"/>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193" w:name="_Hlt12082322"/>
      <w:bookmarkEnd w:id="193"/>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194" w:name="_Toc117487124"/>
      <w:bookmarkStart w:id="195" w:name="_Toc131587689"/>
      <w:bookmarkStart w:id="196" w:name="_Toc131587943"/>
      <w:bookmarkStart w:id="197" w:name="_Toc139347107"/>
      <w:bookmarkStart w:id="198" w:name="_Toc139700694"/>
      <w:bookmarkStart w:id="199" w:name="_Toc157849777"/>
      <w:bookmarkStart w:id="200" w:name="_Toc196119773"/>
      <w:r>
        <w:rPr>
          <w:rStyle w:val="CharPartNo"/>
        </w:rPr>
        <w:t>Part 5</w:t>
      </w:r>
      <w:r>
        <w:t xml:space="preserve"> — </w:t>
      </w:r>
      <w:r>
        <w:rPr>
          <w:rStyle w:val="CharPartText"/>
        </w:rPr>
        <w:t>References</w:t>
      </w:r>
      <w:bookmarkEnd w:id="194"/>
      <w:bookmarkEnd w:id="195"/>
      <w:bookmarkEnd w:id="196"/>
      <w:bookmarkEnd w:id="197"/>
      <w:bookmarkEnd w:id="198"/>
      <w:bookmarkEnd w:id="199"/>
      <w:bookmarkEnd w:id="200"/>
    </w:p>
    <w:p>
      <w:pPr>
        <w:pStyle w:val="Heading3"/>
      </w:pPr>
      <w:bookmarkStart w:id="201" w:name="_Toc117487125"/>
      <w:bookmarkStart w:id="202" w:name="_Toc131587690"/>
      <w:bookmarkStart w:id="203" w:name="_Toc131587944"/>
      <w:bookmarkStart w:id="204" w:name="_Toc139347108"/>
      <w:bookmarkStart w:id="205" w:name="_Toc139700695"/>
      <w:bookmarkStart w:id="206" w:name="_Toc157849778"/>
      <w:bookmarkStart w:id="207" w:name="_Toc196119774"/>
      <w:r>
        <w:rPr>
          <w:rStyle w:val="CharDivNo"/>
        </w:rPr>
        <w:t>Division 1</w:t>
      </w:r>
      <w:r>
        <w:t xml:space="preserve"> — </w:t>
      </w:r>
      <w:r>
        <w:rPr>
          <w:rStyle w:val="CharDivText"/>
        </w:rPr>
        <w:t>References on regulated industries</w:t>
      </w:r>
      <w:bookmarkEnd w:id="201"/>
      <w:bookmarkEnd w:id="202"/>
      <w:bookmarkEnd w:id="203"/>
      <w:bookmarkEnd w:id="204"/>
      <w:bookmarkEnd w:id="205"/>
      <w:bookmarkEnd w:id="206"/>
      <w:bookmarkEnd w:id="207"/>
    </w:p>
    <w:p>
      <w:pPr>
        <w:pStyle w:val="Heading5"/>
      </w:pPr>
      <w:bookmarkStart w:id="208" w:name="_Hlt12086999"/>
      <w:bookmarkStart w:id="209" w:name="_Toc58031986"/>
      <w:bookmarkStart w:id="210" w:name="_Toc131587945"/>
      <w:bookmarkStart w:id="211" w:name="_Toc196119775"/>
      <w:bookmarkStart w:id="212" w:name="_Toc157849779"/>
      <w:bookmarkEnd w:id="208"/>
      <w:r>
        <w:rPr>
          <w:rStyle w:val="CharSectno"/>
        </w:rPr>
        <w:t>31</w:t>
      </w:r>
      <w:r>
        <w:t>.</w:t>
      </w:r>
      <w:r>
        <w:tab/>
        <w:t>Definition</w:t>
      </w:r>
      <w:bookmarkEnd w:id="209"/>
      <w:bookmarkEnd w:id="210"/>
      <w:bookmarkEnd w:id="211"/>
      <w:bookmarkEnd w:id="212"/>
    </w:p>
    <w:p>
      <w:pPr>
        <w:pStyle w:val="Subsection"/>
      </w:pPr>
      <w:r>
        <w:tab/>
      </w:r>
      <w:r>
        <w:tab/>
        <w:t xml:space="preserve">In this Division — </w:t>
      </w:r>
    </w:p>
    <w:p>
      <w:pPr>
        <w:pStyle w:val="Defstart"/>
      </w:pPr>
      <w:r>
        <w:tab/>
      </w:r>
      <w:r>
        <w:rPr>
          <w:b/>
        </w:rPr>
        <w:t>“</w:t>
      </w:r>
      <w:r>
        <w:rPr>
          <w:rStyle w:val="CharDefText"/>
        </w:rPr>
        <w:t>reference</w:t>
      </w:r>
      <w:r>
        <w:rPr>
          <w:b/>
        </w:rPr>
        <w:t>”</w:t>
      </w:r>
      <w:r>
        <w:t xml:space="preserve"> means a notice under section 32(1).</w:t>
      </w:r>
    </w:p>
    <w:p>
      <w:pPr>
        <w:pStyle w:val="Heading5"/>
      </w:pPr>
      <w:bookmarkStart w:id="213" w:name="_Toc58031987"/>
      <w:bookmarkStart w:id="214" w:name="_Toc131587946"/>
      <w:bookmarkStart w:id="215" w:name="_Toc196119776"/>
      <w:bookmarkStart w:id="216" w:name="_Toc157849780"/>
      <w:r>
        <w:rPr>
          <w:rStyle w:val="CharSectno"/>
        </w:rPr>
        <w:t>32</w:t>
      </w:r>
      <w:r>
        <w:t>.</w:t>
      </w:r>
      <w:r>
        <w:tab/>
        <w:t>References</w:t>
      </w:r>
      <w:bookmarkEnd w:id="213"/>
      <w:bookmarkEnd w:id="214"/>
      <w:bookmarkEnd w:id="215"/>
      <w:bookmarkEnd w:id="216"/>
    </w:p>
    <w:p>
      <w:pPr>
        <w:pStyle w:val="Subsection"/>
      </w:pPr>
      <w:r>
        <w:tab/>
      </w:r>
      <w:bookmarkStart w:id="217" w:name="_Hlt12086776"/>
      <w:bookmarkEnd w:id="217"/>
      <w:r>
        <w:t>(1)</w:t>
      </w:r>
      <w:r>
        <w:tab/>
        <w:t xml:space="preserve">The Minister may, by written notice, refer to the Authority for an inquiry any matter relating to a regulated industry other than a matter governed by the operation of the Gas Pipelines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Heading5"/>
      </w:pPr>
      <w:bookmarkStart w:id="218" w:name="_Toc12858149"/>
      <w:bookmarkStart w:id="219" w:name="_Toc58031988"/>
      <w:bookmarkStart w:id="220" w:name="_Toc131587947"/>
      <w:bookmarkStart w:id="221" w:name="_Toc196119777"/>
      <w:bookmarkStart w:id="222" w:name="_Toc157849781"/>
      <w:r>
        <w:rPr>
          <w:rStyle w:val="CharSectno"/>
        </w:rPr>
        <w:t>33</w:t>
      </w:r>
      <w:r>
        <w:t>.</w:t>
      </w:r>
      <w:r>
        <w:tab/>
        <w:t>Amendment or withdrawal of reference</w:t>
      </w:r>
      <w:bookmarkEnd w:id="218"/>
      <w:bookmarkEnd w:id="219"/>
      <w:bookmarkEnd w:id="220"/>
      <w:bookmarkEnd w:id="221"/>
      <w:bookmarkEnd w:id="222"/>
    </w:p>
    <w:p>
      <w:pPr>
        <w:pStyle w:val="Subsection"/>
      </w:pPr>
      <w:r>
        <w:tab/>
      </w:r>
      <w:r>
        <w:tab/>
        <w:t>The Minister may, by written notice given to the Authority, amend or withdraw a reference at any time before the Minister has received from the Authority a report under section </w:t>
      </w:r>
      <w:bookmarkStart w:id="223" w:name="_Hlt12876740"/>
      <w:r>
        <w:t>36(1)</w:t>
      </w:r>
      <w:bookmarkEnd w:id="223"/>
      <w:r>
        <w:t xml:space="preserve"> in respect of the reference.</w:t>
      </w:r>
    </w:p>
    <w:p>
      <w:pPr>
        <w:pStyle w:val="Heading5"/>
      </w:pPr>
      <w:bookmarkStart w:id="224" w:name="_Toc58031989"/>
      <w:bookmarkStart w:id="225" w:name="_Toc131587948"/>
      <w:bookmarkStart w:id="226" w:name="_Toc196119778"/>
      <w:bookmarkStart w:id="227" w:name="_Toc157849782"/>
      <w:r>
        <w:rPr>
          <w:rStyle w:val="CharSectno"/>
        </w:rPr>
        <w:t>34</w:t>
      </w:r>
      <w:r>
        <w:t>.</w:t>
      </w:r>
      <w:r>
        <w:tab/>
        <w:t>Notice of reference, amendment or withdrawal</w:t>
      </w:r>
      <w:bookmarkEnd w:id="224"/>
      <w:bookmarkEnd w:id="225"/>
      <w:bookmarkEnd w:id="226"/>
      <w:bookmarkEnd w:id="227"/>
    </w:p>
    <w:p>
      <w:pPr>
        <w:pStyle w:val="Subsection"/>
      </w:pPr>
      <w:r>
        <w:tab/>
      </w:r>
      <w:bookmarkStart w:id="228" w:name="_Hlt12086944"/>
      <w:bookmarkEnd w:id="228"/>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229" w:name="_Toc12858151"/>
      <w:bookmarkStart w:id="230" w:name="_Toc58031990"/>
      <w:bookmarkStart w:id="231" w:name="_Toc131587949"/>
      <w:bookmarkStart w:id="232" w:name="_Toc196119779"/>
      <w:bookmarkStart w:id="233" w:name="_Toc157849783"/>
      <w:r>
        <w:rPr>
          <w:rStyle w:val="CharSectno"/>
        </w:rPr>
        <w:t>35</w:t>
      </w:r>
      <w:r>
        <w:t>.</w:t>
      </w:r>
      <w:r>
        <w:tab/>
        <w:t>Authority to conduct inquiry</w:t>
      </w:r>
      <w:bookmarkEnd w:id="229"/>
      <w:bookmarkEnd w:id="230"/>
      <w:bookmarkEnd w:id="231"/>
      <w:bookmarkEnd w:id="232"/>
      <w:bookmarkEnd w:id="233"/>
    </w:p>
    <w:p>
      <w:pPr>
        <w:pStyle w:val="Subsection"/>
      </w:pPr>
      <w:r>
        <w:tab/>
      </w:r>
      <w:r>
        <w:tab/>
        <w:t>The Authority must conduct an inquiry into any matter referred to the Authority under section 32(1).</w:t>
      </w:r>
    </w:p>
    <w:p>
      <w:pPr>
        <w:pStyle w:val="Heading5"/>
      </w:pPr>
      <w:bookmarkStart w:id="234" w:name="_Toc58031991"/>
      <w:bookmarkStart w:id="235" w:name="_Toc131587950"/>
      <w:bookmarkStart w:id="236" w:name="_Toc196119780"/>
      <w:bookmarkStart w:id="237" w:name="_Toc157849784"/>
      <w:r>
        <w:rPr>
          <w:rStyle w:val="CharSectno"/>
        </w:rPr>
        <w:t>36</w:t>
      </w:r>
      <w:r>
        <w:t>.</w:t>
      </w:r>
      <w:r>
        <w:tab/>
        <w:t>Reports</w:t>
      </w:r>
      <w:bookmarkEnd w:id="234"/>
      <w:bookmarkEnd w:id="235"/>
      <w:bookmarkEnd w:id="236"/>
      <w:bookmarkEnd w:id="237"/>
    </w:p>
    <w:p>
      <w:pPr>
        <w:pStyle w:val="Subsection"/>
      </w:pPr>
      <w:r>
        <w:tab/>
      </w:r>
      <w:bookmarkStart w:id="238" w:name="_Hlt12086800"/>
      <w:bookmarkEnd w:id="238"/>
      <w:r>
        <w:t>(1)</w:t>
      </w:r>
      <w:r>
        <w:tab/>
        <w:t>The Authority must submit a report to the Minister on the outcome of the inquiry.</w:t>
      </w:r>
    </w:p>
    <w:p>
      <w:pPr>
        <w:pStyle w:val="Subsection"/>
      </w:pPr>
      <w:r>
        <w:tab/>
      </w:r>
      <w:bookmarkStart w:id="239" w:name="_Hlt12086987"/>
      <w:bookmarkEnd w:id="239"/>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240" w:name="_Toc117487132"/>
      <w:bookmarkStart w:id="241" w:name="_Toc131587697"/>
      <w:bookmarkStart w:id="242" w:name="_Toc131587951"/>
      <w:bookmarkStart w:id="243" w:name="_Toc139347115"/>
      <w:bookmarkStart w:id="244" w:name="_Toc139700702"/>
      <w:bookmarkStart w:id="245" w:name="_Toc157849785"/>
      <w:bookmarkStart w:id="246" w:name="_Toc196119781"/>
      <w:r>
        <w:rPr>
          <w:rStyle w:val="CharDivNo"/>
        </w:rPr>
        <w:t>Division 2</w:t>
      </w:r>
      <w:r>
        <w:t xml:space="preserve"> — </w:t>
      </w:r>
      <w:r>
        <w:rPr>
          <w:rStyle w:val="CharDivText"/>
        </w:rPr>
        <w:t>References on other industries</w:t>
      </w:r>
      <w:bookmarkEnd w:id="240"/>
      <w:bookmarkEnd w:id="241"/>
      <w:bookmarkEnd w:id="242"/>
      <w:bookmarkEnd w:id="243"/>
      <w:bookmarkEnd w:id="244"/>
      <w:bookmarkEnd w:id="245"/>
      <w:bookmarkEnd w:id="246"/>
    </w:p>
    <w:p>
      <w:pPr>
        <w:pStyle w:val="Heading5"/>
      </w:pPr>
      <w:bookmarkStart w:id="247" w:name="_Toc58031992"/>
      <w:bookmarkStart w:id="248" w:name="_Toc131587952"/>
      <w:bookmarkStart w:id="249" w:name="_Toc196119782"/>
      <w:bookmarkStart w:id="250" w:name="_Toc157849786"/>
      <w:r>
        <w:rPr>
          <w:rStyle w:val="CharSectno"/>
        </w:rPr>
        <w:t>37</w:t>
      </w:r>
      <w:r>
        <w:t>.</w:t>
      </w:r>
      <w:r>
        <w:tab/>
        <w:t>Definition</w:t>
      </w:r>
      <w:bookmarkEnd w:id="247"/>
      <w:bookmarkEnd w:id="248"/>
      <w:bookmarkEnd w:id="249"/>
      <w:bookmarkEnd w:id="250"/>
    </w:p>
    <w:p>
      <w:pPr>
        <w:pStyle w:val="Subsection"/>
      </w:pPr>
      <w:r>
        <w:tab/>
      </w:r>
      <w:r>
        <w:tab/>
        <w:t xml:space="preserve">In this Division — </w:t>
      </w:r>
    </w:p>
    <w:p>
      <w:pPr>
        <w:pStyle w:val="Defstart"/>
      </w:pPr>
      <w:r>
        <w:tab/>
      </w:r>
      <w:r>
        <w:rPr>
          <w:b/>
        </w:rPr>
        <w:t>“</w:t>
      </w:r>
      <w:r>
        <w:rPr>
          <w:rStyle w:val="CharDefText"/>
        </w:rPr>
        <w:t>reference</w:t>
      </w:r>
      <w:r>
        <w:rPr>
          <w:b/>
        </w:rPr>
        <w:t>”</w:t>
      </w:r>
      <w:r>
        <w:t xml:space="preserve"> means a notice under section 38(1).</w:t>
      </w:r>
    </w:p>
    <w:p>
      <w:pPr>
        <w:pStyle w:val="Heading5"/>
      </w:pPr>
      <w:bookmarkStart w:id="251" w:name="_Toc58031993"/>
      <w:bookmarkStart w:id="252" w:name="_Toc131587953"/>
      <w:bookmarkStart w:id="253" w:name="_Toc196119783"/>
      <w:bookmarkStart w:id="254" w:name="_Toc157849787"/>
      <w:r>
        <w:rPr>
          <w:rStyle w:val="CharSectno"/>
        </w:rPr>
        <w:t>38</w:t>
      </w:r>
      <w:r>
        <w:t>.</w:t>
      </w:r>
      <w:r>
        <w:tab/>
        <w:t>References</w:t>
      </w:r>
      <w:bookmarkEnd w:id="251"/>
      <w:bookmarkEnd w:id="252"/>
      <w:bookmarkEnd w:id="253"/>
      <w:bookmarkEnd w:id="254"/>
    </w:p>
    <w:p>
      <w:pPr>
        <w:pStyle w:val="Subsection"/>
        <w:rPr>
          <w:spacing w:val="-4"/>
        </w:rPr>
      </w:pPr>
      <w:r>
        <w:rPr>
          <w:spacing w:val="-4"/>
        </w:rPr>
        <w:tab/>
      </w:r>
      <w:bookmarkStart w:id="255" w:name="_Hlt12087006"/>
      <w:bookmarkEnd w:id="255"/>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256" w:name="_Toc58031994"/>
      <w:bookmarkStart w:id="257" w:name="_Toc131587954"/>
      <w:bookmarkStart w:id="258" w:name="_Toc196119784"/>
      <w:bookmarkStart w:id="259" w:name="_Toc157849788"/>
      <w:r>
        <w:rPr>
          <w:rStyle w:val="CharSectno"/>
        </w:rPr>
        <w:t>39</w:t>
      </w:r>
      <w:r>
        <w:t>.</w:t>
      </w:r>
      <w:r>
        <w:tab/>
        <w:t>Amendment or withdrawal of reference</w:t>
      </w:r>
      <w:bookmarkEnd w:id="256"/>
      <w:bookmarkEnd w:id="257"/>
      <w:bookmarkEnd w:id="258"/>
      <w:bookmarkEnd w:id="259"/>
    </w:p>
    <w:p>
      <w:pPr>
        <w:pStyle w:val="Subsection"/>
        <w:spacing w:before="120"/>
      </w:pPr>
      <w:r>
        <w:tab/>
      </w:r>
      <w:bookmarkStart w:id="260" w:name="_Hlt12087281"/>
      <w:bookmarkEnd w:id="260"/>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261" w:name="_Toc58031995"/>
      <w:bookmarkStart w:id="262" w:name="_Toc131587955"/>
      <w:bookmarkStart w:id="263" w:name="_Toc196119785"/>
      <w:bookmarkStart w:id="264" w:name="_Toc157849789"/>
      <w:r>
        <w:rPr>
          <w:rStyle w:val="CharSectno"/>
        </w:rPr>
        <w:t>40</w:t>
      </w:r>
      <w:r>
        <w:t>.</w:t>
      </w:r>
      <w:r>
        <w:tab/>
        <w:t>Notice of reference, amendment or withdrawal</w:t>
      </w:r>
      <w:bookmarkEnd w:id="261"/>
      <w:bookmarkEnd w:id="262"/>
      <w:bookmarkEnd w:id="263"/>
      <w:bookmarkEnd w:id="264"/>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265" w:name="_Toc12858156"/>
      <w:bookmarkStart w:id="266" w:name="_Toc58031996"/>
      <w:bookmarkStart w:id="267" w:name="_Toc131587956"/>
      <w:bookmarkStart w:id="268" w:name="_Toc196119786"/>
      <w:bookmarkStart w:id="269" w:name="_Toc157849790"/>
      <w:r>
        <w:rPr>
          <w:rStyle w:val="CharSectno"/>
        </w:rPr>
        <w:t>41</w:t>
      </w:r>
      <w:r>
        <w:t>.</w:t>
      </w:r>
      <w:r>
        <w:tab/>
        <w:t>Authority to conduct inquiry</w:t>
      </w:r>
      <w:bookmarkEnd w:id="265"/>
      <w:bookmarkEnd w:id="266"/>
      <w:bookmarkEnd w:id="267"/>
      <w:bookmarkEnd w:id="268"/>
      <w:bookmarkEnd w:id="269"/>
    </w:p>
    <w:p>
      <w:pPr>
        <w:pStyle w:val="Subsection"/>
        <w:spacing w:before="120"/>
      </w:pPr>
      <w:r>
        <w:tab/>
      </w:r>
      <w:r>
        <w:tab/>
        <w:t>The Authority must conduct an inquiry into any matter referred to the Authority under section 38(1)(a).</w:t>
      </w:r>
    </w:p>
    <w:p>
      <w:pPr>
        <w:pStyle w:val="Heading5"/>
        <w:keepNext w:val="0"/>
        <w:keepLines w:val="0"/>
      </w:pPr>
      <w:bookmarkStart w:id="270" w:name="_Toc58031997"/>
      <w:bookmarkStart w:id="271" w:name="_Toc131587957"/>
      <w:bookmarkStart w:id="272" w:name="_Toc196119787"/>
      <w:bookmarkStart w:id="273" w:name="_Toc157849791"/>
      <w:r>
        <w:rPr>
          <w:rStyle w:val="CharSectno"/>
        </w:rPr>
        <w:t>42</w:t>
      </w:r>
      <w:r>
        <w:t>.</w:t>
      </w:r>
      <w:r>
        <w:tab/>
        <w:t>Reports</w:t>
      </w:r>
      <w:bookmarkEnd w:id="270"/>
      <w:bookmarkEnd w:id="271"/>
      <w:bookmarkEnd w:id="272"/>
      <w:bookmarkEnd w:id="273"/>
    </w:p>
    <w:p>
      <w:pPr>
        <w:pStyle w:val="Subsection"/>
        <w:spacing w:before="120"/>
      </w:pPr>
      <w:r>
        <w:tab/>
      </w:r>
      <w:bookmarkStart w:id="274" w:name="_Hlt12087155"/>
      <w:bookmarkEnd w:id="274"/>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275" w:name="_Hlt12087419"/>
      <w:bookmarkEnd w:id="275"/>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276" w:name="_Hlt12087453"/>
      <w:bookmarkEnd w:id="276"/>
      <w:r>
        <w:t>(4)</w:t>
      </w:r>
      <w:r>
        <w:tab/>
        <w:t>The Minister must cause a copy of the report, excluding any information identified under subsection </w:t>
      </w:r>
      <w:bookmarkStart w:id="277" w:name="_Hlt56398085"/>
      <w:r>
        <w:t>(3)</w:t>
      </w:r>
      <w:bookmarkEnd w:id="277"/>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278" w:name="_Toc58031998"/>
      <w:bookmarkStart w:id="279" w:name="_Toc131587958"/>
      <w:bookmarkStart w:id="280" w:name="_Toc196119788"/>
      <w:bookmarkStart w:id="281" w:name="_Toc157849792"/>
      <w:r>
        <w:rPr>
          <w:rStyle w:val="CharSectno"/>
        </w:rPr>
        <w:t>43</w:t>
      </w:r>
      <w:r>
        <w:t>.</w:t>
      </w:r>
      <w:r>
        <w:tab/>
        <w:t>Preparation of reports for purposes of section 42(2)</w:t>
      </w:r>
      <w:bookmarkEnd w:id="278"/>
      <w:bookmarkEnd w:id="279"/>
      <w:bookmarkEnd w:id="280"/>
      <w:bookmarkEnd w:id="281"/>
    </w:p>
    <w:p>
      <w:pPr>
        <w:pStyle w:val="Subsection"/>
      </w:pPr>
      <w:r>
        <w:tab/>
      </w:r>
      <w:r>
        <w:tab/>
        <w:t>In preparing a report for the purposes of section 42(2), the Authority may inform itself on any matter in any manner it considers appropriate.</w:t>
      </w:r>
    </w:p>
    <w:p>
      <w:pPr>
        <w:pStyle w:val="Heading3"/>
      </w:pPr>
      <w:bookmarkStart w:id="282" w:name="_Toc117487140"/>
      <w:bookmarkStart w:id="283" w:name="_Toc131587705"/>
      <w:bookmarkStart w:id="284" w:name="_Toc131587959"/>
      <w:bookmarkStart w:id="285" w:name="_Toc139347123"/>
      <w:bookmarkStart w:id="286" w:name="_Toc139700710"/>
      <w:bookmarkStart w:id="287" w:name="_Toc157849793"/>
      <w:bookmarkStart w:id="288" w:name="_Toc196119789"/>
      <w:r>
        <w:rPr>
          <w:rStyle w:val="CharDivNo"/>
        </w:rPr>
        <w:t>Division 3</w:t>
      </w:r>
      <w:r>
        <w:t xml:space="preserve"> — </w:t>
      </w:r>
      <w:r>
        <w:rPr>
          <w:rStyle w:val="CharDivText"/>
        </w:rPr>
        <w:t>General</w:t>
      </w:r>
      <w:bookmarkEnd w:id="282"/>
      <w:bookmarkEnd w:id="283"/>
      <w:bookmarkEnd w:id="284"/>
      <w:bookmarkEnd w:id="285"/>
      <w:bookmarkEnd w:id="286"/>
      <w:bookmarkEnd w:id="287"/>
      <w:bookmarkEnd w:id="288"/>
    </w:p>
    <w:p>
      <w:pPr>
        <w:pStyle w:val="Heading5"/>
      </w:pPr>
      <w:bookmarkStart w:id="289" w:name="_Toc58031999"/>
      <w:bookmarkStart w:id="290" w:name="_Toc131587960"/>
      <w:bookmarkStart w:id="291" w:name="_Toc196119790"/>
      <w:bookmarkStart w:id="292" w:name="_Toc157849794"/>
      <w:r>
        <w:rPr>
          <w:rStyle w:val="CharSectno"/>
        </w:rPr>
        <w:t>44</w:t>
      </w:r>
      <w:r>
        <w:t>.</w:t>
      </w:r>
      <w:r>
        <w:tab/>
        <w:t>Definition</w:t>
      </w:r>
      <w:bookmarkEnd w:id="289"/>
      <w:bookmarkEnd w:id="290"/>
      <w:bookmarkEnd w:id="291"/>
      <w:bookmarkEnd w:id="292"/>
    </w:p>
    <w:p>
      <w:pPr>
        <w:pStyle w:val="Subsection"/>
      </w:pPr>
      <w:r>
        <w:tab/>
      </w:r>
      <w:r>
        <w:tab/>
        <w:t xml:space="preserve">In this Division — </w:t>
      </w:r>
    </w:p>
    <w:p>
      <w:pPr>
        <w:pStyle w:val="Defstart"/>
      </w:pPr>
      <w:r>
        <w:tab/>
      </w:r>
      <w:r>
        <w:rPr>
          <w:b/>
        </w:rPr>
        <w:t>“</w:t>
      </w:r>
      <w:r>
        <w:rPr>
          <w:rStyle w:val="CharDefText"/>
        </w:rPr>
        <w:t>inquiry</w:t>
      </w:r>
      <w:r>
        <w:rPr>
          <w:b/>
        </w:rPr>
        <w:t>”</w:t>
      </w:r>
      <w:r>
        <w:t xml:space="preserve"> means an inquiry under Division 1 or 2.</w:t>
      </w:r>
    </w:p>
    <w:p>
      <w:pPr>
        <w:pStyle w:val="Heading5"/>
      </w:pPr>
      <w:bookmarkStart w:id="293" w:name="_Toc58032000"/>
      <w:bookmarkStart w:id="294" w:name="_Toc131587961"/>
      <w:bookmarkStart w:id="295" w:name="_Toc196119791"/>
      <w:bookmarkStart w:id="296" w:name="_Toc157849795"/>
      <w:r>
        <w:rPr>
          <w:rStyle w:val="CharSectno"/>
        </w:rPr>
        <w:t>45</w:t>
      </w:r>
      <w:r>
        <w:t>.</w:t>
      </w:r>
      <w:r>
        <w:tab/>
        <w:t>Authority to act through a member or members when conducting inquiry</w:t>
      </w:r>
      <w:bookmarkEnd w:id="293"/>
      <w:bookmarkEnd w:id="294"/>
      <w:bookmarkEnd w:id="295"/>
      <w:bookmarkEnd w:id="296"/>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297" w:name="_Toc58032001"/>
      <w:bookmarkStart w:id="298" w:name="_Toc131587962"/>
      <w:bookmarkStart w:id="299" w:name="_Toc196119792"/>
      <w:bookmarkStart w:id="300" w:name="_Toc157849796"/>
      <w:r>
        <w:rPr>
          <w:rStyle w:val="CharSectno"/>
        </w:rPr>
        <w:t>46</w:t>
      </w:r>
      <w:r>
        <w:t>.</w:t>
      </w:r>
      <w:r>
        <w:tab/>
        <w:t>Conduct of inquiry</w:t>
      </w:r>
      <w:bookmarkEnd w:id="297"/>
      <w:bookmarkEnd w:id="298"/>
      <w:bookmarkEnd w:id="299"/>
      <w:bookmarkEnd w:id="300"/>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301" w:name="_Hlt12087469"/>
      <w:bookmarkStart w:id="302" w:name="_Toc58032002"/>
      <w:bookmarkStart w:id="303" w:name="_Toc131587963"/>
      <w:bookmarkStart w:id="304" w:name="_Toc196119793"/>
      <w:bookmarkStart w:id="305" w:name="_Toc157849797"/>
      <w:bookmarkEnd w:id="301"/>
      <w:r>
        <w:rPr>
          <w:rStyle w:val="CharSectno"/>
        </w:rPr>
        <w:t>47</w:t>
      </w:r>
      <w:r>
        <w:t>.</w:t>
      </w:r>
      <w:r>
        <w:tab/>
        <w:t>Powers relating to inquiry</w:t>
      </w:r>
      <w:bookmarkEnd w:id="302"/>
      <w:bookmarkEnd w:id="303"/>
      <w:bookmarkEnd w:id="304"/>
      <w:bookmarkEnd w:id="305"/>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306" w:name="_Toc58032003"/>
      <w:bookmarkStart w:id="307" w:name="_Toc131587964"/>
      <w:bookmarkStart w:id="308" w:name="_Toc196119794"/>
      <w:bookmarkStart w:id="309" w:name="_Toc157849798"/>
      <w:r>
        <w:rPr>
          <w:rStyle w:val="CharSectno"/>
        </w:rPr>
        <w:t>48</w:t>
      </w:r>
      <w:r>
        <w:t>.</w:t>
      </w:r>
      <w:r>
        <w:tab/>
        <w:t>Offences in relation to inquiry</w:t>
      </w:r>
      <w:bookmarkEnd w:id="306"/>
      <w:bookmarkEnd w:id="307"/>
      <w:bookmarkEnd w:id="308"/>
      <w:bookmarkEnd w:id="309"/>
    </w:p>
    <w:p>
      <w:pPr>
        <w:pStyle w:val="Subsection"/>
      </w:pPr>
      <w:r>
        <w:tab/>
      </w:r>
      <w:bookmarkStart w:id="310" w:name="_Hlt12087546"/>
      <w:bookmarkEnd w:id="310"/>
      <w:r>
        <w:tab/>
        <w:t xml:space="preserve">A person must not — </w:t>
      </w:r>
    </w:p>
    <w:p>
      <w:pPr>
        <w:pStyle w:val="Indenta"/>
      </w:pPr>
      <w:r>
        <w:tab/>
        <w:t>(a)</w:t>
      </w:r>
      <w:r>
        <w:tab/>
        <w:t>having been served with a summons under section </w:t>
      </w:r>
      <w:bookmarkStart w:id="311" w:name="_Hlt12087464"/>
      <w:r>
        <w:t>47</w:t>
      </w:r>
      <w:bookmarkEnd w:id="311"/>
      <w:r>
        <w:t xml:space="preserve"> to attend before the Authority, fail without reasonable excuse (proof of which lies upon the person) to attend in obedience to the summons;</w:t>
      </w:r>
    </w:p>
    <w:p>
      <w:pPr>
        <w:pStyle w:val="Indenta"/>
      </w:pPr>
      <w:r>
        <w:tab/>
      </w:r>
      <w:bookmarkStart w:id="312" w:name="_Hlt12087550"/>
      <w:bookmarkEnd w:id="312"/>
      <w:r>
        <w:t>(b)</w:t>
      </w:r>
      <w:r>
        <w:tab/>
        <w:t>having been served with a summons under section </w:t>
      </w:r>
      <w:bookmarkStart w:id="313" w:name="_Hlt12087473"/>
      <w:r>
        <w:t>47</w:t>
      </w:r>
      <w:bookmarkEnd w:id="313"/>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314" w:name="_Hlt12087640"/>
      <w:bookmarkEnd w:id="314"/>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315" w:name="_Toc12858162"/>
      <w:bookmarkStart w:id="316" w:name="_Toc58032004"/>
      <w:bookmarkStart w:id="317" w:name="_Toc131587965"/>
      <w:bookmarkStart w:id="318" w:name="_Toc196119795"/>
      <w:bookmarkStart w:id="319" w:name="_Toc157849799"/>
      <w:r>
        <w:rPr>
          <w:rStyle w:val="CharSectno"/>
        </w:rPr>
        <w:t>49</w:t>
      </w:r>
      <w:r>
        <w:t>.</w:t>
      </w:r>
      <w:r>
        <w:tab/>
        <w:t>Incriminating answers or documents</w:t>
      </w:r>
      <w:bookmarkEnd w:id="315"/>
      <w:bookmarkEnd w:id="316"/>
      <w:bookmarkEnd w:id="317"/>
      <w:bookmarkEnd w:id="318"/>
      <w:bookmarkEnd w:id="319"/>
    </w:p>
    <w:p>
      <w:pPr>
        <w:pStyle w:val="Subsection"/>
      </w:pPr>
      <w:r>
        <w:tab/>
      </w:r>
      <w:r>
        <w:tab/>
        <w:t>An individual is not excused from complying with a requirement under section </w:t>
      </w:r>
      <w:bookmarkStart w:id="320" w:name="_Hlt12852590"/>
      <w:r>
        <w:t>47</w:t>
      </w:r>
      <w:bookmarkEnd w:id="320"/>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321" w:name="_Toc58032005"/>
      <w:bookmarkStart w:id="322" w:name="_Toc131587966"/>
      <w:bookmarkStart w:id="323" w:name="_Toc196119796"/>
      <w:bookmarkStart w:id="324" w:name="_Toc157849800"/>
      <w:r>
        <w:rPr>
          <w:rStyle w:val="CharSectno"/>
        </w:rPr>
        <w:t>50</w:t>
      </w:r>
      <w:r>
        <w:t>.</w:t>
      </w:r>
      <w:r>
        <w:tab/>
        <w:t>Protection for person assisting Authority</w:t>
      </w:r>
      <w:bookmarkEnd w:id="321"/>
      <w:bookmarkEnd w:id="322"/>
      <w:bookmarkEnd w:id="323"/>
      <w:bookmarkEnd w:id="324"/>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325" w:name="_Toc117487148"/>
      <w:bookmarkStart w:id="326" w:name="_Toc131587713"/>
      <w:bookmarkStart w:id="327" w:name="_Toc131587967"/>
      <w:bookmarkStart w:id="328" w:name="_Toc139347131"/>
      <w:bookmarkStart w:id="329" w:name="_Toc139700718"/>
      <w:bookmarkStart w:id="330" w:name="_Toc157849801"/>
      <w:bookmarkStart w:id="331" w:name="_Toc196119797"/>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325"/>
      <w:bookmarkEnd w:id="326"/>
      <w:bookmarkEnd w:id="327"/>
      <w:bookmarkEnd w:id="328"/>
      <w:bookmarkEnd w:id="329"/>
      <w:bookmarkEnd w:id="330"/>
      <w:bookmarkEnd w:id="331"/>
    </w:p>
    <w:p>
      <w:pPr>
        <w:pStyle w:val="Heading5"/>
      </w:pPr>
      <w:bookmarkStart w:id="332" w:name="_Hlt12090005"/>
      <w:bookmarkStart w:id="333" w:name="_Toc58032006"/>
      <w:bookmarkStart w:id="334" w:name="_Toc131587968"/>
      <w:bookmarkStart w:id="335" w:name="_Toc196119798"/>
      <w:bookmarkStart w:id="336" w:name="_Toc157849802"/>
      <w:bookmarkEnd w:id="332"/>
      <w:r>
        <w:rPr>
          <w:rStyle w:val="CharSectno"/>
        </w:rPr>
        <w:t>51</w:t>
      </w:r>
      <w:r>
        <w:t>.</w:t>
      </w:r>
      <w:r>
        <w:tab/>
        <w:t>Power to obtain information and documents</w:t>
      </w:r>
      <w:bookmarkEnd w:id="333"/>
      <w:bookmarkEnd w:id="334"/>
      <w:bookmarkEnd w:id="335"/>
      <w:bookmarkEnd w:id="336"/>
    </w:p>
    <w:p>
      <w:pPr>
        <w:pStyle w:val="Subsection"/>
      </w:pPr>
      <w:r>
        <w:tab/>
      </w:r>
      <w:bookmarkStart w:id="337" w:name="_Hlt12088050"/>
      <w:bookmarkEnd w:id="337"/>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338" w:name="_Toc12858165"/>
      <w:bookmarkStart w:id="339" w:name="_Toc58032007"/>
      <w:bookmarkStart w:id="340" w:name="_Toc131587969"/>
      <w:bookmarkStart w:id="341" w:name="_Toc196119799"/>
      <w:bookmarkStart w:id="342" w:name="_Toc157849803"/>
      <w:r>
        <w:rPr>
          <w:rStyle w:val="CharSectno"/>
        </w:rPr>
        <w:t>52</w:t>
      </w:r>
      <w:r>
        <w:t>.</w:t>
      </w:r>
      <w:r>
        <w:tab/>
        <w:t>Offences</w:t>
      </w:r>
      <w:bookmarkEnd w:id="338"/>
      <w:bookmarkEnd w:id="339"/>
      <w:bookmarkEnd w:id="340"/>
      <w:bookmarkEnd w:id="341"/>
      <w:bookmarkEnd w:id="342"/>
    </w:p>
    <w:p>
      <w:pPr>
        <w:pStyle w:val="Subsection"/>
      </w:pPr>
      <w:r>
        <w:tab/>
        <w:t>(1)</w:t>
      </w:r>
      <w:r>
        <w:tab/>
        <w:t>A person must not fail without reasonable excuse (proof of which lies on the person) to comply with a requirement under section </w:t>
      </w:r>
      <w:bookmarkStart w:id="343" w:name="_Hlt12938057"/>
      <w:r>
        <w:t>51</w:t>
      </w:r>
      <w:bookmarkEnd w:id="343"/>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344" w:name="_Toc12858166"/>
      <w:bookmarkStart w:id="345" w:name="_Toc58032008"/>
      <w:bookmarkStart w:id="346" w:name="_Toc131587970"/>
      <w:bookmarkStart w:id="347" w:name="_Toc196119800"/>
      <w:bookmarkStart w:id="348" w:name="_Toc157849804"/>
      <w:r>
        <w:rPr>
          <w:rStyle w:val="CharSectno"/>
        </w:rPr>
        <w:t>53</w:t>
      </w:r>
      <w:r>
        <w:t>.</w:t>
      </w:r>
      <w:r>
        <w:tab/>
        <w:t>Incriminating information or documents</w:t>
      </w:r>
      <w:bookmarkEnd w:id="344"/>
      <w:bookmarkEnd w:id="345"/>
      <w:bookmarkEnd w:id="346"/>
      <w:bookmarkEnd w:id="347"/>
      <w:bookmarkEnd w:id="348"/>
    </w:p>
    <w:p>
      <w:pPr>
        <w:pStyle w:val="Subsection"/>
      </w:pPr>
      <w:r>
        <w:tab/>
      </w:r>
      <w:r>
        <w:tab/>
        <w:t>An individual is not excused from complying with a requirement under section </w:t>
      </w:r>
      <w:bookmarkStart w:id="349" w:name="_Hlt26002900"/>
      <w:r>
        <w:t>51</w:t>
      </w:r>
      <w:bookmarkEnd w:id="349"/>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350" w:name="_Toc58032009"/>
      <w:bookmarkStart w:id="351" w:name="_Toc131587971"/>
      <w:bookmarkStart w:id="352" w:name="_Toc196119801"/>
      <w:bookmarkStart w:id="353" w:name="_Toc157849805"/>
      <w:r>
        <w:rPr>
          <w:rStyle w:val="CharSectno"/>
        </w:rPr>
        <w:t>54</w:t>
      </w:r>
      <w:r>
        <w:t>.</w:t>
      </w:r>
      <w:r>
        <w:tab/>
        <w:t>Protection for person giving information or document</w:t>
      </w:r>
      <w:bookmarkEnd w:id="350"/>
      <w:bookmarkEnd w:id="351"/>
      <w:bookmarkEnd w:id="352"/>
      <w:bookmarkEnd w:id="353"/>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354" w:name="_Toc58032010"/>
      <w:bookmarkStart w:id="355" w:name="_Toc131587972"/>
      <w:bookmarkStart w:id="356" w:name="_Toc196119802"/>
      <w:bookmarkStart w:id="357" w:name="_Toc157849806"/>
      <w:r>
        <w:rPr>
          <w:rStyle w:val="CharSectno"/>
        </w:rPr>
        <w:t>55</w:t>
      </w:r>
      <w:r>
        <w:t>.</w:t>
      </w:r>
      <w:r>
        <w:tab/>
        <w:t>Restriction on disclosure of confidential information</w:t>
      </w:r>
      <w:bookmarkEnd w:id="354"/>
      <w:bookmarkEnd w:id="355"/>
      <w:bookmarkEnd w:id="356"/>
      <w:bookmarkEnd w:id="357"/>
    </w:p>
    <w:p>
      <w:pPr>
        <w:pStyle w:val="Subsection"/>
      </w:pPr>
      <w:r>
        <w:tab/>
        <w:t>(1)</w:t>
      </w:r>
      <w:r>
        <w:tab/>
        <w:t>This section applies if information or a document is given to the Authority under section 47 or</w:t>
      </w:r>
      <w:bookmarkStart w:id="358" w:name="_Hlt12090000"/>
      <w:r>
        <w:t> 51</w:t>
      </w:r>
      <w:bookmarkEnd w:id="358"/>
      <w:r>
        <w:t xml:space="preserve"> and, at the time it is given, the person giving it states that it is of a confidential or commercially sensitive nature.</w:t>
      </w:r>
    </w:p>
    <w:p>
      <w:pPr>
        <w:pStyle w:val="Subsection"/>
      </w:pPr>
      <w:r>
        <w:tab/>
      </w:r>
      <w:bookmarkStart w:id="359" w:name="_Hlt12090040"/>
      <w:bookmarkEnd w:id="359"/>
      <w:r>
        <w:t>(2)</w:t>
      </w:r>
      <w:r>
        <w:tab/>
        <w:t xml:space="preserve">The Authority must not disclose the information or the contents of the document to any person unless the Authority is of the opinion — </w:t>
      </w:r>
    </w:p>
    <w:p>
      <w:pPr>
        <w:pStyle w:val="Indenta"/>
      </w:pPr>
      <w:bookmarkStart w:id="360" w:name="_Hlt12090060"/>
      <w:bookmarkEnd w:id="360"/>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b/>
        </w:rPr>
        <w:t>“</w:t>
      </w:r>
      <w:r>
        <w:rPr>
          <w:rStyle w:val="CharDefText"/>
        </w:rPr>
        <w:t>given</w:t>
      </w:r>
      <w:r>
        <w:rPr>
          <w:b/>
        </w:rPr>
        <w:t>”</w:t>
      </w:r>
      <w:r>
        <w:t>, in relation to a document, includes produced.</w:t>
      </w:r>
    </w:p>
    <w:p>
      <w:pPr>
        <w:pStyle w:val="Heading2"/>
      </w:pPr>
      <w:bookmarkStart w:id="361" w:name="_Hlt12081124"/>
      <w:bookmarkStart w:id="362" w:name="_Hlt12090050"/>
      <w:bookmarkStart w:id="363" w:name="_Hlt12081171"/>
      <w:bookmarkStart w:id="364" w:name="_Hlt12095235"/>
      <w:bookmarkStart w:id="365" w:name="_Hlt12095319"/>
      <w:bookmarkStart w:id="366" w:name="_Hlt12095354"/>
      <w:bookmarkStart w:id="367" w:name="_Toc117487154"/>
      <w:bookmarkStart w:id="368" w:name="_Toc131587719"/>
      <w:bookmarkStart w:id="369" w:name="_Toc131587973"/>
      <w:bookmarkStart w:id="370" w:name="_Toc139347137"/>
      <w:bookmarkStart w:id="371" w:name="_Toc139700724"/>
      <w:bookmarkStart w:id="372" w:name="_Toc157849807"/>
      <w:bookmarkStart w:id="373" w:name="_Toc196119803"/>
      <w:bookmarkEnd w:id="361"/>
      <w:bookmarkEnd w:id="362"/>
      <w:bookmarkEnd w:id="363"/>
      <w:bookmarkEnd w:id="364"/>
      <w:bookmarkEnd w:id="365"/>
      <w:bookmarkEnd w:id="366"/>
      <w:r>
        <w:rPr>
          <w:rStyle w:val="CharPartNo"/>
        </w:rPr>
        <w:t>Part 7</w:t>
      </w:r>
      <w:r>
        <w:rPr>
          <w:rStyle w:val="CharDivNo"/>
        </w:rPr>
        <w:t xml:space="preserve"> </w:t>
      </w:r>
      <w:r>
        <w:t>—</w:t>
      </w:r>
      <w:r>
        <w:rPr>
          <w:rStyle w:val="CharDivText"/>
        </w:rPr>
        <w:t xml:space="preserve"> </w:t>
      </w:r>
      <w:r>
        <w:rPr>
          <w:rStyle w:val="CharPartText"/>
        </w:rPr>
        <w:t>Miscellaneous</w:t>
      </w:r>
      <w:bookmarkEnd w:id="367"/>
      <w:bookmarkEnd w:id="368"/>
      <w:bookmarkEnd w:id="369"/>
      <w:bookmarkEnd w:id="370"/>
      <w:bookmarkEnd w:id="371"/>
      <w:bookmarkEnd w:id="372"/>
      <w:bookmarkEnd w:id="373"/>
    </w:p>
    <w:p>
      <w:pPr>
        <w:pStyle w:val="Heading5"/>
      </w:pPr>
      <w:bookmarkStart w:id="374" w:name="_Toc58032011"/>
      <w:bookmarkStart w:id="375" w:name="_Toc131587974"/>
      <w:bookmarkStart w:id="376" w:name="_Toc196119804"/>
      <w:bookmarkStart w:id="377" w:name="_Toc157849808"/>
      <w:r>
        <w:rPr>
          <w:rStyle w:val="CharSectno"/>
        </w:rPr>
        <w:t>56</w:t>
      </w:r>
      <w:r>
        <w:t>.</w:t>
      </w:r>
      <w:r>
        <w:tab/>
        <w:t>Protection from liability for wrongdoing</w:t>
      </w:r>
      <w:bookmarkEnd w:id="374"/>
      <w:bookmarkEnd w:id="375"/>
      <w:bookmarkEnd w:id="376"/>
      <w:bookmarkEnd w:id="377"/>
    </w:p>
    <w:p>
      <w:pPr>
        <w:pStyle w:val="Subsection"/>
      </w:pPr>
      <w:r>
        <w:tab/>
      </w:r>
      <w:bookmarkStart w:id="378" w:name="_Hlt12095772"/>
      <w:bookmarkEnd w:id="378"/>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379" w:name="_Hlt12095765"/>
      <w:r>
        <w:t>(1)</w:t>
      </w:r>
      <w:bookmarkEnd w:id="379"/>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80" w:name="_Toc58032012"/>
      <w:bookmarkStart w:id="381" w:name="_Toc131587975"/>
      <w:bookmarkStart w:id="382" w:name="_Toc196119805"/>
      <w:bookmarkStart w:id="383" w:name="_Toc157849809"/>
      <w:r>
        <w:rPr>
          <w:rStyle w:val="CharSectno"/>
        </w:rPr>
        <w:t>57</w:t>
      </w:r>
      <w:r>
        <w:t>.</w:t>
      </w:r>
      <w:r>
        <w:tab/>
        <w:t>Confidentiality</w:t>
      </w:r>
      <w:bookmarkEnd w:id="380"/>
      <w:bookmarkEnd w:id="381"/>
      <w:bookmarkEnd w:id="382"/>
      <w:bookmarkEnd w:id="383"/>
    </w:p>
    <w:p>
      <w:pPr>
        <w:pStyle w:val="Subsection"/>
      </w:pPr>
      <w:r>
        <w:tab/>
        <w:t>(1)</w:t>
      </w:r>
      <w:r>
        <w:tab/>
        <w:t>This section applies to a person who is or has been a member or a staff member.</w:t>
      </w:r>
    </w:p>
    <w:p>
      <w:pPr>
        <w:pStyle w:val="Subsection"/>
      </w:pPr>
      <w:r>
        <w:tab/>
      </w:r>
      <w:bookmarkStart w:id="384" w:name="_Hlt12095857"/>
      <w:bookmarkEnd w:id="384"/>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385" w:name="_Toc58032013"/>
      <w:bookmarkStart w:id="386" w:name="_Toc131587976"/>
      <w:bookmarkStart w:id="387" w:name="_Toc196119806"/>
      <w:bookmarkStart w:id="388" w:name="_Toc157849810"/>
      <w:r>
        <w:rPr>
          <w:rStyle w:val="CharSectno"/>
        </w:rPr>
        <w:t>58</w:t>
      </w:r>
      <w:r>
        <w:t>.</w:t>
      </w:r>
      <w:r>
        <w:tab/>
        <w:t>Intimidation</w:t>
      </w:r>
      <w:bookmarkEnd w:id="385"/>
      <w:bookmarkEnd w:id="386"/>
      <w:bookmarkEnd w:id="387"/>
      <w:bookmarkEnd w:id="388"/>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389" w:name="_Hlt19955779"/>
      <w:r>
        <w:t>5</w:t>
      </w:r>
      <w:bookmarkEnd w:id="389"/>
      <w:r>
        <w:t xml:space="preserve"> Division 1 or 2; or</w:t>
      </w:r>
    </w:p>
    <w:p>
      <w:pPr>
        <w:pStyle w:val="Indenta"/>
      </w:pPr>
      <w:r>
        <w:tab/>
        <w:t>(d)</w:t>
      </w:r>
      <w:r>
        <w:tab/>
        <w:t>has complied, is complying or may comply with a requirement under section </w:t>
      </w:r>
      <w:bookmarkStart w:id="390" w:name="_Hlt9742673"/>
      <w:r>
        <w:t>51</w:t>
      </w:r>
      <w:bookmarkEnd w:id="390"/>
      <w:r>
        <w:t>.</w:t>
      </w:r>
    </w:p>
    <w:p>
      <w:pPr>
        <w:pStyle w:val="Penstart"/>
        <w:rPr>
          <w:b/>
          <w:i/>
        </w:rPr>
      </w:pPr>
      <w:r>
        <w:tab/>
        <w:t>Penalty: $10 000 or imprisonment for 12 months.</w:t>
      </w:r>
    </w:p>
    <w:p>
      <w:pPr>
        <w:pStyle w:val="Heading5"/>
      </w:pPr>
      <w:bookmarkStart w:id="391" w:name="_Toc58032014"/>
      <w:bookmarkStart w:id="392" w:name="_Toc131587977"/>
      <w:bookmarkStart w:id="393" w:name="_Toc196119807"/>
      <w:bookmarkStart w:id="394" w:name="_Toc157849811"/>
      <w:r>
        <w:rPr>
          <w:rStyle w:val="CharSectno"/>
        </w:rPr>
        <w:t>59</w:t>
      </w:r>
      <w:r>
        <w:t>.</w:t>
      </w:r>
      <w:r>
        <w:tab/>
        <w:t>Execution of documents</w:t>
      </w:r>
      <w:bookmarkEnd w:id="391"/>
      <w:bookmarkEnd w:id="392"/>
      <w:bookmarkEnd w:id="393"/>
      <w:bookmarkEnd w:id="394"/>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395" w:name="_Hlt12095934"/>
      <w:bookmarkEnd w:id="395"/>
      <w:r>
        <w:t>(3)</w:t>
      </w:r>
      <w:r>
        <w:tab/>
        <w:t>The common seal of the Authority is not to be affixed to any document except as authorised by the Authority.</w:t>
      </w:r>
    </w:p>
    <w:p>
      <w:pPr>
        <w:pStyle w:val="Subsection"/>
      </w:pPr>
      <w:r>
        <w:tab/>
      </w:r>
      <w:bookmarkStart w:id="396" w:name="_Hlt12095954"/>
      <w:bookmarkEnd w:id="396"/>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397" w:name="_Hlt12095988"/>
      <w:bookmarkEnd w:id="397"/>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398" w:name="_Toc12858179"/>
      <w:bookmarkStart w:id="399" w:name="_Toc58032015"/>
      <w:bookmarkStart w:id="400" w:name="_Toc131587978"/>
      <w:bookmarkStart w:id="401" w:name="_Toc196119808"/>
      <w:bookmarkStart w:id="402" w:name="_Toc157849812"/>
      <w:r>
        <w:rPr>
          <w:rStyle w:val="CharSectno"/>
        </w:rPr>
        <w:t>60</w:t>
      </w:r>
      <w:r>
        <w:t>.</w:t>
      </w:r>
      <w:r>
        <w:tab/>
        <w:t>Supplementary provision about laying documents before Parliament</w:t>
      </w:r>
      <w:bookmarkEnd w:id="398"/>
      <w:bookmarkEnd w:id="399"/>
      <w:bookmarkEnd w:id="400"/>
      <w:bookmarkEnd w:id="401"/>
      <w:bookmarkEnd w:id="402"/>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r>
      <w:bookmarkStart w:id="403" w:name="_Hlt474660749"/>
      <w:bookmarkEnd w:id="403"/>
      <w:r>
        <w:t>(2)</w:t>
      </w:r>
      <w:r>
        <w:tab/>
        <w:t>A copy of a document transmitted to the Clerk of a House is to be regarded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a document that is regarded as having occurred under subsection (2)(a) is to be recorded in the Minutes, or Votes and Proceedings, of the House on the first sitting day of the House after the Clerk received the copy.</w:t>
      </w:r>
    </w:p>
    <w:p>
      <w:pPr>
        <w:pStyle w:val="Heading5"/>
      </w:pPr>
      <w:bookmarkStart w:id="404" w:name="_Toc58032016"/>
      <w:bookmarkStart w:id="405" w:name="_Toc131587979"/>
      <w:bookmarkStart w:id="406" w:name="_Toc196119809"/>
      <w:bookmarkStart w:id="407" w:name="_Toc157849813"/>
      <w:r>
        <w:rPr>
          <w:rStyle w:val="CharSectno"/>
        </w:rPr>
        <w:t>61</w:t>
      </w:r>
      <w:r>
        <w:t>.</w:t>
      </w:r>
      <w:r>
        <w:tab/>
        <w:t>Regulations</w:t>
      </w:r>
      <w:bookmarkEnd w:id="404"/>
      <w:bookmarkEnd w:id="405"/>
      <w:bookmarkEnd w:id="406"/>
      <w:bookmarkEnd w:id="407"/>
    </w:p>
    <w:p>
      <w:pPr>
        <w:pStyle w:val="Subsection"/>
      </w:pPr>
      <w:r>
        <w:tab/>
      </w:r>
      <w:bookmarkStart w:id="408" w:name="_Hlt12096575"/>
      <w:bookmarkEnd w:id="408"/>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409" w:name="_Hlt12095300"/>
      <w:bookmarkEnd w:id="409"/>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Heading5"/>
      </w:pPr>
      <w:bookmarkStart w:id="410" w:name="_Hlt14668860"/>
      <w:bookmarkStart w:id="411" w:name="_Toc58032017"/>
      <w:bookmarkStart w:id="412" w:name="_Toc131587980"/>
      <w:bookmarkStart w:id="413" w:name="_Toc196119810"/>
      <w:bookmarkStart w:id="414" w:name="_Toc157849814"/>
      <w:bookmarkEnd w:id="410"/>
      <w:r>
        <w:rPr>
          <w:rStyle w:val="CharSectno"/>
        </w:rPr>
        <w:t>62</w:t>
      </w:r>
      <w:r>
        <w:t>.</w:t>
      </w:r>
      <w:r>
        <w:tab/>
        <w:t>Amendments to other Acts</w:t>
      </w:r>
      <w:bookmarkEnd w:id="411"/>
      <w:bookmarkEnd w:id="412"/>
      <w:bookmarkEnd w:id="413"/>
      <w:bookmarkEnd w:id="414"/>
    </w:p>
    <w:p>
      <w:pPr>
        <w:pStyle w:val="Subsection"/>
      </w:pPr>
      <w:r>
        <w:tab/>
      </w:r>
      <w:r>
        <w:tab/>
        <w:t>Schedule </w:t>
      </w:r>
      <w:bookmarkStart w:id="415" w:name="_Hlt7402220"/>
      <w:r>
        <w:t>2</w:t>
      </w:r>
      <w:bookmarkEnd w:id="415"/>
      <w:r>
        <w:t xml:space="preserve"> has effect.</w:t>
      </w:r>
    </w:p>
    <w:p>
      <w:pPr>
        <w:pStyle w:val="Heading5"/>
        <w:keepNext w:val="0"/>
        <w:keepLines w:val="0"/>
      </w:pPr>
      <w:bookmarkStart w:id="416" w:name="_Toc58032018"/>
      <w:bookmarkStart w:id="417" w:name="_Toc131587981"/>
      <w:bookmarkStart w:id="418" w:name="_Toc196119811"/>
      <w:bookmarkStart w:id="419" w:name="_Toc157849815"/>
      <w:r>
        <w:rPr>
          <w:rStyle w:val="CharSectno"/>
        </w:rPr>
        <w:t>63</w:t>
      </w:r>
      <w:r>
        <w:t>.</w:t>
      </w:r>
      <w:r>
        <w:tab/>
        <w:t>Transitional and saving provisions</w:t>
      </w:r>
      <w:bookmarkEnd w:id="416"/>
      <w:bookmarkEnd w:id="417"/>
      <w:bookmarkEnd w:id="418"/>
      <w:bookmarkEnd w:id="419"/>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p>
    <w:p>
      <w:pPr>
        <w:pStyle w:val="Subsection"/>
      </w:pPr>
      <w:r>
        <w:tab/>
        <w:t>(2)</w:t>
      </w:r>
      <w:r>
        <w:tab/>
        <w:t>Schedule 4 has effect to make transitional and saving provisions in respect of the amendments made in Schedule 2 Division 4.</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t>“</w:t>
      </w:r>
      <w:r>
        <w:rPr>
          <w:rStyle w:val="CharDefText"/>
        </w:rPr>
        <w:t>transitional matter</w:t>
      </w:r>
      <w:r>
        <w:rPr>
          <w:b/>
        </w:rPr>
        <w:t>”</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420" w:name="_Toc58032019"/>
      <w:bookmarkStart w:id="421" w:name="_Toc131587982"/>
      <w:bookmarkStart w:id="422" w:name="_Toc196119812"/>
      <w:bookmarkStart w:id="423" w:name="_Toc157849816"/>
      <w:r>
        <w:rPr>
          <w:rStyle w:val="CharSectno"/>
        </w:rPr>
        <w:t>64</w:t>
      </w:r>
      <w:r>
        <w:t>.</w:t>
      </w:r>
      <w:r>
        <w:tab/>
        <w:t>Review of Act</w:t>
      </w:r>
      <w:bookmarkEnd w:id="420"/>
      <w:bookmarkEnd w:id="421"/>
      <w:bookmarkEnd w:id="422"/>
      <w:bookmarkEnd w:id="423"/>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424" w:name="_Toc26174356"/>
      <w:bookmarkStart w:id="425" w:name="_Toc26177250"/>
      <w:bookmarkStart w:id="426" w:name="_Toc58032020"/>
    </w:p>
    <w:p>
      <w:pPr>
        <w:pStyle w:val="yScheduleHeading"/>
        <w:outlineLvl w:val="0"/>
      </w:pPr>
      <w:bookmarkStart w:id="427" w:name="_Toc131587983"/>
      <w:bookmarkStart w:id="428" w:name="_Toc139347147"/>
      <w:bookmarkStart w:id="429" w:name="_Toc139700734"/>
      <w:bookmarkStart w:id="430" w:name="_Toc157849817"/>
      <w:bookmarkStart w:id="431" w:name="_Toc196119813"/>
      <w:r>
        <w:rPr>
          <w:rStyle w:val="CharSchNo"/>
        </w:rPr>
        <w:t>Schedule 1</w:t>
      </w:r>
      <w:r>
        <w:t xml:space="preserve"> — </w:t>
      </w:r>
      <w:r>
        <w:rPr>
          <w:rStyle w:val="CharSchText"/>
        </w:rPr>
        <w:t>Meetings of governing body</w:t>
      </w:r>
      <w:bookmarkEnd w:id="424"/>
      <w:bookmarkEnd w:id="425"/>
      <w:bookmarkEnd w:id="426"/>
      <w:bookmarkEnd w:id="427"/>
      <w:bookmarkEnd w:id="428"/>
      <w:bookmarkEnd w:id="429"/>
      <w:bookmarkEnd w:id="430"/>
      <w:bookmarkEnd w:id="431"/>
    </w:p>
    <w:p>
      <w:pPr>
        <w:pStyle w:val="yShoulderClause"/>
      </w:pPr>
      <w:r>
        <w:t>[s. 13]</w:t>
      </w:r>
    </w:p>
    <w:p>
      <w:pPr>
        <w:pStyle w:val="yHeading5"/>
        <w:outlineLvl w:val="0"/>
      </w:pPr>
      <w:bookmarkStart w:id="432" w:name="_Toc58032021"/>
      <w:bookmarkStart w:id="433" w:name="_Toc131587984"/>
      <w:bookmarkStart w:id="434" w:name="_Toc196119814"/>
      <w:bookmarkStart w:id="435" w:name="_Toc157849818"/>
      <w:r>
        <w:rPr>
          <w:rStyle w:val="CharSClsNo"/>
        </w:rPr>
        <w:t>1</w:t>
      </w:r>
      <w:r>
        <w:t>.</w:t>
      </w:r>
      <w:r>
        <w:tab/>
        <w:t>Definition</w:t>
      </w:r>
      <w:bookmarkEnd w:id="432"/>
      <w:bookmarkEnd w:id="433"/>
      <w:bookmarkEnd w:id="434"/>
      <w:bookmarkEnd w:id="435"/>
    </w:p>
    <w:p>
      <w:pPr>
        <w:pStyle w:val="ySubsection"/>
      </w:pPr>
      <w:r>
        <w:tab/>
      </w:r>
      <w:r>
        <w:tab/>
        <w:t xml:space="preserve">In this Schedule — </w:t>
      </w:r>
    </w:p>
    <w:p>
      <w:pPr>
        <w:pStyle w:val="yDefstart"/>
      </w:pPr>
      <w:r>
        <w:tab/>
      </w:r>
      <w:r>
        <w:rPr>
          <w:b/>
        </w:rPr>
        <w:t>“</w:t>
      </w:r>
      <w:r>
        <w:rPr>
          <w:rStyle w:val="CharDefText"/>
        </w:rPr>
        <w:t>meeting</w:t>
      </w:r>
      <w:r>
        <w:rPr>
          <w:b/>
        </w:rPr>
        <w:t>”</w:t>
      </w:r>
      <w:r>
        <w:t xml:space="preserve"> means a meeting of the governing body.</w:t>
      </w:r>
    </w:p>
    <w:p>
      <w:pPr>
        <w:pStyle w:val="yHeading5"/>
        <w:outlineLvl w:val="0"/>
      </w:pPr>
      <w:bookmarkStart w:id="436" w:name="_Toc8715863"/>
      <w:bookmarkStart w:id="437" w:name="_Toc58032022"/>
      <w:bookmarkStart w:id="438" w:name="_Toc131587985"/>
      <w:bookmarkStart w:id="439" w:name="_Toc196119815"/>
      <w:bookmarkStart w:id="440" w:name="_Toc157849819"/>
      <w:r>
        <w:rPr>
          <w:rStyle w:val="CharSClsNo"/>
        </w:rPr>
        <w:t>2</w:t>
      </w:r>
      <w:r>
        <w:t>.</w:t>
      </w:r>
      <w:r>
        <w:tab/>
        <w:t>Application</w:t>
      </w:r>
      <w:bookmarkEnd w:id="436"/>
      <w:bookmarkEnd w:id="437"/>
      <w:bookmarkEnd w:id="438"/>
      <w:bookmarkEnd w:id="439"/>
      <w:bookmarkEnd w:id="440"/>
    </w:p>
    <w:p>
      <w:pPr>
        <w:pStyle w:val="ySubsection"/>
      </w:pPr>
      <w:r>
        <w:tab/>
      </w:r>
      <w:r>
        <w:tab/>
        <w:t>This Schedule applies if the governing body consists of more than one member.</w:t>
      </w:r>
    </w:p>
    <w:p>
      <w:pPr>
        <w:pStyle w:val="yHeading5"/>
        <w:outlineLvl w:val="0"/>
      </w:pPr>
      <w:bookmarkStart w:id="441" w:name="_Toc58032023"/>
      <w:bookmarkStart w:id="442" w:name="_Toc131587986"/>
      <w:bookmarkStart w:id="443" w:name="_Toc196119816"/>
      <w:bookmarkStart w:id="444" w:name="_Toc157849820"/>
      <w:r>
        <w:rPr>
          <w:rStyle w:val="CharSClsNo"/>
        </w:rPr>
        <w:t>3</w:t>
      </w:r>
      <w:r>
        <w:t>.</w:t>
      </w:r>
      <w:r>
        <w:tab/>
        <w:t>General procedure</w:t>
      </w:r>
      <w:bookmarkEnd w:id="441"/>
      <w:bookmarkEnd w:id="442"/>
      <w:bookmarkEnd w:id="443"/>
      <w:bookmarkEnd w:id="444"/>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445" w:name="_Toc58032024"/>
      <w:bookmarkStart w:id="446" w:name="_Toc131587987"/>
      <w:bookmarkStart w:id="447" w:name="_Toc196119817"/>
      <w:bookmarkStart w:id="448" w:name="_Toc157849821"/>
      <w:r>
        <w:rPr>
          <w:rStyle w:val="CharSClsNo"/>
        </w:rPr>
        <w:t>4</w:t>
      </w:r>
      <w:r>
        <w:t>.</w:t>
      </w:r>
      <w:r>
        <w:tab/>
        <w:t>Presiding member</w:t>
      </w:r>
      <w:bookmarkEnd w:id="445"/>
      <w:bookmarkEnd w:id="446"/>
      <w:bookmarkEnd w:id="447"/>
      <w:bookmarkEnd w:id="448"/>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449" w:name="_Toc58032025"/>
      <w:bookmarkStart w:id="450" w:name="_Toc131587988"/>
      <w:bookmarkStart w:id="451" w:name="_Toc196119818"/>
      <w:bookmarkStart w:id="452" w:name="_Toc157849822"/>
      <w:r>
        <w:rPr>
          <w:rStyle w:val="CharSClsNo"/>
        </w:rPr>
        <w:t>5</w:t>
      </w:r>
      <w:r>
        <w:t>.</w:t>
      </w:r>
      <w:r>
        <w:tab/>
        <w:t>Quorum</w:t>
      </w:r>
      <w:bookmarkEnd w:id="449"/>
      <w:bookmarkEnd w:id="450"/>
      <w:bookmarkEnd w:id="451"/>
      <w:bookmarkEnd w:id="452"/>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453" w:name="_Toc58032026"/>
      <w:bookmarkStart w:id="454" w:name="_Toc131587989"/>
      <w:bookmarkStart w:id="455" w:name="_Toc196119819"/>
      <w:bookmarkStart w:id="456" w:name="_Toc157849823"/>
      <w:r>
        <w:rPr>
          <w:rStyle w:val="CharSClsNo"/>
        </w:rPr>
        <w:t>6</w:t>
      </w:r>
      <w:r>
        <w:t>.</w:t>
      </w:r>
      <w:r>
        <w:tab/>
        <w:t>Voting</w:t>
      </w:r>
      <w:bookmarkEnd w:id="453"/>
      <w:bookmarkEnd w:id="454"/>
      <w:bookmarkEnd w:id="455"/>
      <w:bookmarkEnd w:id="456"/>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457" w:name="_Toc58032027"/>
      <w:bookmarkStart w:id="458" w:name="_Toc131587990"/>
      <w:bookmarkStart w:id="459" w:name="_Toc196119820"/>
      <w:bookmarkStart w:id="460" w:name="_Toc157849824"/>
      <w:r>
        <w:rPr>
          <w:rStyle w:val="CharSClsNo"/>
        </w:rPr>
        <w:t>7</w:t>
      </w:r>
      <w:r>
        <w:t>.</w:t>
      </w:r>
      <w:r>
        <w:tab/>
        <w:t>Minutes</w:t>
      </w:r>
      <w:bookmarkEnd w:id="457"/>
      <w:bookmarkEnd w:id="458"/>
      <w:bookmarkEnd w:id="459"/>
      <w:bookmarkEnd w:id="460"/>
    </w:p>
    <w:p>
      <w:pPr>
        <w:pStyle w:val="ySubsection"/>
      </w:pPr>
      <w:r>
        <w:tab/>
      </w:r>
      <w:r>
        <w:tab/>
        <w:t>The governing body must cause accurate minutes to be kept of the proceedings at each meeting.</w:t>
      </w:r>
    </w:p>
    <w:p>
      <w:pPr>
        <w:pStyle w:val="yHeading5"/>
        <w:outlineLvl w:val="0"/>
      </w:pPr>
      <w:bookmarkStart w:id="461" w:name="_Toc58032028"/>
      <w:bookmarkStart w:id="462" w:name="_Toc131587991"/>
      <w:bookmarkStart w:id="463" w:name="_Toc196119821"/>
      <w:bookmarkStart w:id="464" w:name="_Toc157849825"/>
      <w:r>
        <w:rPr>
          <w:rStyle w:val="CharSClsNo"/>
        </w:rPr>
        <w:t>8</w:t>
      </w:r>
      <w:r>
        <w:t>.</w:t>
      </w:r>
      <w:r>
        <w:tab/>
        <w:t>Resolution without meeting</w:t>
      </w:r>
      <w:bookmarkEnd w:id="461"/>
      <w:bookmarkEnd w:id="462"/>
      <w:bookmarkEnd w:id="463"/>
      <w:bookmarkEnd w:id="464"/>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465" w:name="_Toc58032029"/>
      <w:bookmarkStart w:id="466" w:name="_Toc131587992"/>
      <w:bookmarkStart w:id="467" w:name="_Toc196119822"/>
      <w:bookmarkStart w:id="468" w:name="_Toc157849826"/>
      <w:r>
        <w:rPr>
          <w:rStyle w:val="CharSClsNo"/>
        </w:rPr>
        <w:t>9</w:t>
      </w:r>
      <w:r>
        <w:t>.</w:t>
      </w:r>
      <w:r>
        <w:tab/>
        <w:t>Holding meetings remotely</w:t>
      </w:r>
      <w:bookmarkEnd w:id="465"/>
      <w:bookmarkEnd w:id="466"/>
      <w:bookmarkEnd w:id="467"/>
      <w:bookmarkEnd w:id="468"/>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469" w:name="_Toc58032030"/>
      <w:bookmarkStart w:id="470" w:name="_Toc131587993"/>
      <w:bookmarkStart w:id="471" w:name="_Toc196119823"/>
      <w:bookmarkStart w:id="472" w:name="_Toc157849827"/>
      <w:r>
        <w:rPr>
          <w:rStyle w:val="CharSClsNo"/>
        </w:rPr>
        <w:t>10</w:t>
      </w:r>
      <w:r>
        <w:t>.</w:t>
      </w:r>
      <w:r>
        <w:tab/>
        <w:t>Leave of absence from meetings</w:t>
      </w:r>
      <w:bookmarkEnd w:id="469"/>
      <w:bookmarkEnd w:id="470"/>
      <w:bookmarkEnd w:id="471"/>
      <w:bookmarkEnd w:id="472"/>
    </w:p>
    <w:p>
      <w:pPr>
        <w:pStyle w:val="ySubsection"/>
      </w:pPr>
      <w:r>
        <w:tab/>
      </w:r>
      <w:r>
        <w:tab/>
        <w:t>The governing body may, on any terms and conditions it thinks fit, grant a member leave to be absent from a meeting.</w:t>
      </w:r>
    </w:p>
    <w:p>
      <w:pPr>
        <w:pStyle w:val="yScheduleHeading"/>
        <w:outlineLvl w:val="0"/>
      </w:pPr>
      <w:bookmarkStart w:id="473" w:name="_Toc26174367"/>
      <w:bookmarkStart w:id="474" w:name="_Toc26177261"/>
      <w:bookmarkStart w:id="475" w:name="_Toc58032031"/>
      <w:bookmarkStart w:id="476" w:name="_Toc131587994"/>
      <w:bookmarkStart w:id="477" w:name="_Toc139347158"/>
      <w:bookmarkStart w:id="478" w:name="_Toc139700745"/>
      <w:bookmarkStart w:id="479" w:name="_Toc157849828"/>
      <w:bookmarkStart w:id="480" w:name="_Toc196119824"/>
      <w:r>
        <w:rPr>
          <w:rStyle w:val="CharSchNo"/>
        </w:rPr>
        <w:t>Schedule 2</w:t>
      </w:r>
      <w:r>
        <w:t xml:space="preserve"> — </w:t>
      </w:r>
      <w:r>
        <w:rPr>
          <w:rStyle w:val="CharSchText"/>
        </w:rPr>
        <w:t>Amendments to other Acts</w:t>
      </w:r>
      <w:bookmarkEnd w:id="473"/>
      <w:bookmarkEnd w:id="474"/>
      <w:bookmarkEnd w:id="475"/>
      <w:bookmarkEnd w:id="476"/>
      <w:bookmarkEnd w:id="477"/>
      <w:bookmarkEnd w:id="478"/>
      <w:bookmarkEnd w:id="479"/>
      <w:bookmarkEnd w:id="480"/>
    </w:p>
    <w:p>
      <w:pPr>
        <w:pStyle w:val="yShoulderClause"/>
        <w:spacing w:before="0"/>
      </w:pPr>
      <w:r>
        <w:t>[s.</w:t>
      </w:r>
      <w:bookmarkStart w:id="481" w:name="_Hlt7402216"/>
      <w:r>
        <w:t> 62</w:t>
      </w:r>
      <w:bookmarkEnd w:id="481"/>
      <w:r>
        <w:t>]</w:t>
      </w:r>
    </w:p>
    <w:p>
      <w:pPr>
        <w:pStyle w:val="yHeading3"/>
        <w:spacing w:before="120"/>
        <w:outlineLvl w:val="0"/>
        <w:rPr>
          <w:i/>
        </w:rPr>
      </w:pPr>
      <w:bookmarkStart w:id="482" w:name="_Toc58032032"/>
      <w:bookmarkStart w:id="483" w:name="_Toc131587995"/>
      <w:bookmarkStart w:id="484" w:name="_Toc139347159"/>
      <w:bookmarkStart w:id="485" w:name="_Toc139700746"/>
      <w:bookmarkStart w:id="486" w:name="_Toc157849829"/>
      <w:bookmarkStart w:id="487" w:name="_Toc196119825"/>
      <w:r>
        <w:rPr>
          <w:rStyle w:val="CharSDivNo"/>
        </w:rPr>
        <w:t>Division 1</w:t>
      </w:r>
      <w:r>
        <w:rPr>
          <w:rStyle w:val="CharDivNo"/>
          <w:b w:val="0"/>
        </w:rPr>
        <w:t> — </w:t>
      </w:r>
      <w:r>
        <w:rPr>
          <w:rStyle w:val="CharSDivText"/>
          <w:i/>
          <w:iCs/>
        </w:rPr>
        <w:t>Builders' Registration Act 1939</w:t>
      </w:r>
      <w:bookmarkEnd w:id="482"/>
      <w:bookmarkEnd w:id="483"/>
      <w:bookmarkEnd w:id="484"/>
      <w:bookmarkEnd w:id="485"/>
      <w:bookmarkEnd w:id="486"/>
      <w:bookmarkEnd w:id="487"/>
    </w:p>
    <w:p>
      <w:pPr>
        <w:pStyle w:val="yHeading5"/>
        <w:spacing w:before="180"/>
        <w:outlineLvl w:val="0"/>
      </w:pPr>
      <w:bookmarkStart w:id="488" w:name="_Toc58032033"/>
      <w:bookmarkStart w:id="489" w:name="_Toc131587996"/>
      <w:bookmarkStart w:id="490" w:name="_Toc196119826"/>
      <w:bookmarkStart w:id="491" w:name="_Toc157849830"/>
      <w:r>
        <w:rPr>
          <w:rStyle w:val="CharSClsNo"/>
        </w:rPr>
        <w:t>1</w:t>
      </w:r>
      <w:r>
        <w:t>.</w:t>
      </w:r>
      <w:r>
        <w:tab/>
        <w:t>The Act amended</w:t>
      </w:r>
      <w:bookmarkEnd w:id="488"/>
      <w:bookmarkEnd w:id="489"/>
      <w:bookmarkEnd w:id="490"/>
      <w:bookmarkEnd w:id="491"/>
    </w:p>
    <w:p>
      <w:pPr>
        <w:pStyle w:val="ySubsection"/>
        <w:spacing w:before="120"/>
      </w:pPr>
      <w:r>
        <w:tab/>
      </w:r>
      <w:r>
        <w:tab/>
        <w:t xml:space="preserve">The amendments in this Division are to the </w:t>
      </w:r>
      <w:r>
        <w:rPr>
          <w:i/>
        </w:rPr>
        <w:t>Builders’ Registration Act 1939*</w:t>
      </w:r>
      <w:r>
        <w:t>.</w:t>
      </w:r>
    </w:p>
    <w:p>
      <w:pPr>
        <w:pStyle w:val="Subsection"/>
        <w:tabs>
          <w:tab w:val="clear" w:pos="595"/>
          <w:tab w:val="left" w:pos="1134"/>
        </w:tabs>
        <w:ind w:left="1134" w:hanging="1134"/>
        <w:rPr>
          <w:sz w:val="22"/>
        </w:rPr>
      </w:pPr>
      <w:r>
        <w:rPr>
          <w:sz w:val="22"/>
        </w:rPr>
        <w:tab/>
        <w:t>[*</w:t>
      </w:r>
      <w:r>
        <w:rPr>
          <w:sz w:val="22"/>
        </w:rPr>
        <w:tab/>
      </w:r>
      <w:r>
        <w:rPr>
          <w:i/>
          <w:sz w:val="22"/>
        </w:rPr>
        <w:t>Reprinted as at 11 January 2002.</w:t>
      </w:r>
      <w:r>
        <w:rPr>
          <w:sz w:val="22"/>
        </w:rPr>
        <w:t>]</w:t>
      </w:r>
    </w:p>
    <w:p>
      <w:pPr>
        <w:pStyle w:val="yHeading5"/>
        <w:spacing w:before="180"/>
        <w:outlineLvl w:val="0"/>
      </w:pPr>
      <w:bookmarkStart w:id="492" w:name="_Toc58032034"/>
      <w:bookmarkStart w:id="493" w:name="_Toc131587997"/>
      <w:bookmarkStart w:id="494" w:name="_Toc196119827"/>
      <w:bookmarkStart w:id="495" w:name="_Toc157849831"/>
      <w:r>
        <w:rPr>
          <w:rStyle w:val="CharSClsNo"/>
        </w:rPr>
        <w:t>2</w:t>
      </w:r>
      <w:r>
        <w:t>.</w:t>
      </w:r>
      <w:r>
        <w:tab/>
        <w:t>Section 12A amended</w:t>
      </w:r>
      <w:bookmarkEnd w:id="492"/>
      <w:bookmarkEnd w:id="493"/>
      <w:bookmarkEnd w:id="494"/>
      <w:bookmarkEnd w:id="495"/>
    </w:p>
    <w:p>
      <w:pPr>
        <w:pStyle w:val="ySubsection"/>
        <w:spacing w:before="120"/>
      </w:pPr>
      <w:r>
        <w:tab/>
      </w:r>
      <w:r>
        <w:tab/>
        <w:t>Section 12A(7) is amended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60"/>
        <w:outlineLvl w:val="0"/>
      </w:pPr>
      <w:bookmarkStart w:id="496" w:name="_Toc58032035"/>
      <w:bookmarkStart w:id="497" w:name="_Toc131587998"/>
      <w:bookmarkStart w:id="498" w:name="_Toc139347162"/>
      <w:bookmarkStart w:id="499" w:name="_Toc139700749"/>
      <w:bookmarkStart w:id="500" w:name="_Toc157849832"/>
      <w:bookmarkStart w:id="501" w:name="_Toc196119828"/>
      <w:r>
        <w:rPr>
          <w:rStyle w:val="CharSDivNo"/>
        </w:rPr>
        <w:t>Division 2</w:t>
      </w:r>
      <w:r>
        <w:rPr>
          <w:b w:val="0"/>
        </w:rPr>
        <w:t> — </w:t>
      </w:r>
      <w:r>
        <w:rPr>
          <w:rStyle w:val="CharSDivText"/>
          <w:i/>
          <w:iCs/>
        </w:rPr>
        <w:t>Conservation and Land Management Act 1984</w:t>
      </w:r>
      <w:bookmarkEnd w:id="496"/>
      <w:bookmarkEnd w:id="497"/>
      <w:bookmarkEnd w:id="498"/>
      <w:bookmarkEnd w:id="499"/>
      <w:bookmarkEnd w:id="500"/>
      <w:bookmarkEnd w:id="501"/>
    </w:p>
    <w:p>
      <w:pPr>
        <w:pStyle w:val="yHeading5"/>
        <w:spacing w:before="180"/>
        <w:outlineLvl w:val="0"/>
      </w:pPr>
      <w:bookmarkStart w:id="502" w:name="_Toc58032036"/>
      <w:bookmarkStart w:id="503" w:name="_Toc131587999"/>
      <w:bookmarkStart w:id="504" w:name="_Toc196119829"/>
      <w:bookmarkStart w:id="505" w:name="_Toc157849833"/>
      <w:r>
        <w:rPr>
          <w:rStyle w:val="CharSClsNo"/>
        </w:rPr>
        <w:t>3</w:t>
      </w:r>
      <w:r>
        <w:t>.</w:t>
      </w:r>
      <w:r>
        <w:tab/>
        <w:t>The Act amended</w:t>
      </w:r>
      <w:bookmarkEnd w:id="502"/>
      <w:bookmarkEnd w:id="503"/>
      <w:bookmarkEnd w:id="504"/>
      <w:bookmarkEnd w:id="505"/>
    </w:p>
    <w:p>
      <w:pPr>
        <w:pStyle w:val="ySubsection"/>
        <w:spacing w:before="120"/>
      </w:pPr>
      <w:r>
        <w:tab/>
      </w:r>
      <w:r>
        <w:tab/>
        <w:t xml:space="preserve">The amendments in this Division are to the </w:t>
      </w:r>
      <w:r>
        <w:rPr>
          <w:i/>
        </w:rPr>
        <w:t>Conservation and Land Management Act 1984*</w:t>
      </w:r>
      <w:r>
        <w:t>.</w:t>
      </w:r>
    </w:p>
    <w:p>
      <w:pPr>
        <w:pStyle w:val="Subsection"/>
        <w:tabs>
          <w:tab w:val="clear" w:pos="595"/>
          <w:tab w:val="left" w:pos="1134"/>
        </w:tabs>
        <w:ind w:left="1134" w:hanging="1134"/>
        <w:rPr>
          <w:sz w:val="22"/>
        </w:rPr>
      </w:pPr>
      <w:r>
        <w:rPr>
          <w:sz w:val="22"/>
        </w:rPr>
        <w:tab/>
        <w:t>[*</w:t>
      </w:r>
      <w:r>
        <w:rPr>
          <w:sz w:val="22"/>
        </w:rPr>
        <w:tab/>
      </w:r>
      <w:r>
        <w:rPr>
          <w:i/>
          <w:sz w:val="22"/>
        </w:rPr>
        <w:t>Reprinted as at 26 March 1999.</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62, and Acts Nos. 6 and 20 of 2002.]</w:t>
      </w:r>
    </w:p>
    <w:p>
      <w:pPr>
        <w:pStyle w:val="yHeading5"/>
        <w:spacing w:before="180"/>
        <w:outlineLvl w:val="0"/>
      </w:pPr>
      <w:bookmarkStart w:id="506" w:name="_Toc58032037"/>
      <w:bookmarkStart w:id="507" w:name="_Toc131588000"/>
      <w:bookmarkStart w:id="508" w:name="_Toc196119830"/>
      <w:bookmarkStart w:id="509" w:name="_Toc157849834"/>
      <w:r>
        <w:rPr>
          <w:rStyle w:val="CharSClsNo"/>
        </w:rPr>
        <w:t>4</w:t>
      </w:r>
      <w:r>
        <w:t>.</w:t>
      </w:r>
      <w:r>
        <w:tab/>
        <w:t>Section 53 amended</w:t>
      </w:r>
      <w:bookmarkEnd w:id="506"/>
      <w:bookmarkEnd w:id="507"/>
      <w:bookmarkEnd w:id="508"/>
      <w:bookmarkEnd w:id="509"/>
    </w:p>
    <w:p>
      <w:pPr>
        <w:pStyle w:val="ySubsection"/>
        <w:spacing w:before="120"/>
      </w:pPr>
      <w:r>
        <w:tab/>
      </w:r>
      <w:r>
        <w:tab/>
        <w:t>Section 53 is amended in paragraph (b) of the definition of “relevant water utility”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20"/>
        <w:outlineLvl w:val="0"/>
        <w:rPr>
          <w:rStyle w:val="CharDivText"/>
          <w:i/>
        </w:rPr>
      </w:pPr>
      <w:bookmarkStart w:id="510" w:name="_Toc58032038"/>
      <w:bookmarkStart w:id="511" w:name="_Toc131588001"/>
      <w:bookmarkStart w:id="512" w:name="_Toc139347165"/>
      <w:bookmarkStart w:id="513" w:name="_Toc139700752"/>
      <w:bookmarkStart w:id="514" w:name="_Toc157849835"/>
      <w:bookmarkStart w:id="515" w:name="_Toc196119831"/>
      <w:r>
        <w:rPr>
          <w:rStyle w:val="CharSDivNo"/>
        </w:rPr>
        <w:t>Division 3</w:t>
      </w:r>
      <w:r>
        <w:t xml:space="preserve"> — </w:t>
      </w:r>
      <w:r>
        <w:rPr>
          <w:rStyle w:val="CharSDivText"/>
          <w:i/>
        </w:rPr>
        <w:t>Constitution Acts Amendment Act 1899</w:t>
      </w:r>
      <w:bookmarkEnd w:id="510"/>
      <w:bookmarkEnd w:id="511"/>
      <w:bookmarkEnd w:id="512"/>
      <w:bookmarkEnd w:id="513"/>
      <w:bookmarkEnd w:id="514"/>
      <w:bookmarkEnd w:id="515"/>
    </w:p>
    <w:p>
      <w:pPr>
        <w:pStyle w:val="yHeading5"/>
        <w:spacing w:before="120"/>
        <w:outlineLvl w:val="0"/>
      </w:pPr>
      <w:bookmarkStart w:id="516" w:name="_Toc58032039"/>
      <w:bookmarkStart w:id="517" w:name="_Toc131588002"/>
      <w:bookmarkStart w:id="518" w:name="_Toc196119832"/>
      <w:bookmarkStart w:id="519" w:name="_Toc157849836"/>
      <w:r>
        <w:rPr>
          <w:rStyle w:val="CharSClsNo"/>
        </w:rPr>
        <w:t>5</w:t>
      </w:r>
      <w:r>
        <w:t>.</w:t>
      </w:r>
      <w:r>
        <w:tab/>
        <w:t>The Act amended</w:t>
      </w:r>
      <w:bookmarkEnd w:id="516"/>
      <w:bookmarkEnd w:id="517"/>
      <w:bookmarkEnd w:id="518"/>
      <w:bookmarkEnd w:id="519"/>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ind w:left="1134" w:hanging="1134"/>
        <w:rPr>
          <w:sz w:val="22"/>
        </w:rPr>
      </w:pPr>
      <w:r>
        <w:rPr>
          <w:sz w:val="22"/>
        </w:rPr>
        <w:tab/>
        <w:t>[*</w:t>
      </w:r>
      <w:r>
        <w:rPr>
          <w:sz w:val="22"/>
        </w:rPr>
        <w:tab/>
      </w:r>
      <w:r>
        <w:rPr>
          <w:i/>
          <w:sz w:val="22"/>
        </w:rPr>
        <w:t>Reprinted as at 8 June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72, and Acts Nos. 2 and 76 of 2000 and 5, 20 and 30 of 2002.</w:t>
      </w:r>
      <w:r>
        <w:rPr>
          <w:sz w:val="22"/>
        </w:rPr>
        <w:t>]</w:t>
      </w:r>
    </w:p>
    <w:p>
      <w:pPr>
        <w:pStyle w:val="yHeading5"/>
        <w:outlineLvl w:val="0"/>
      </w:pPr>
      <w:bookmarkStart w:id="520" w:name="_Toc58032040"/>
      <w:bookmarkStart w:id="521" w:name="_Toc131588003"/>
      <w:bookmarkStart w:id="522" w:name="_Toc196119833"/>
      <w:bookmarkStart w:id="523" w:name="_Toc157849837"/>
      <w:r>
        <w:rPr>
          <w:rStyle w:val="CharSClsNo"/>
        </w:rPr>
        <w:t>6</w:t>
      </w:r>
      <w:r>
        <w:t>.</w:t>
      </w:r>
      <w:r>
        <w:tab/>
        <w:t>Schedule V amended</w:t>
      </w:r>
      <w:bookmarkEnd w:id="520"/>
      <w:bookmarkEnd w:id="521"/>
      <w:bookmarkEnd w:id="522"/>
      <w:bookmarkEnd w:id="523"/>
    </w:p>
    <w:p>
      <w:pPr>
        <w:pStyle w:val="ySubsection"/>
        <w:spacing w:before="120"/>
        <w:rPr>
          <w:spacing w:val="-4"/>
        </w:rPr>
      </w:pPr>
      <w:r>
        <w:rPr>
          <w:spacing w:val="-4"/>
        </w:rPr>
        <w:tab/>
        <w:t>(1)</w:t>
      </w:r>
      <w:r>
        <w:rPr>
          <w:spacing w:val="-4"/>
        </w:rPr>
        <w:tab/>
        <w:t>Schedule V Part 1 Division 2 is amended by deleting the items relating to the Western Australian Independent Gas Pipelines Access Regulator and the Western Australian Independent Rail Access Regulator.</w:t>
      </w:r>
    </w:p>
    <w:p>
      <w:pPr>
        <w:pStyle w:val="ySubsection"/>
        <w:spacing w:before="120"/>
      </w:pPr>
      <w:r>
        <w:tab/>
        <w:t>(2)</w:t>
      </w:r>
      <w:r>
        <w:tab/>
        <w:t>Schedule V Part 3 is amended as follows:</w:t>
      </w:r>
    </w:p>
    <w:p>
      <w:pPr>
        <w:pStyle w:val="yIndenta"/>
      </w:pPr>
      <w:r>
        <w:tab/>
        <w:t>(a)</w:t>
      </w:r>
      <w:r>
        <w:tab/>
        <w:t xml:space="preserve">by deleting the item relating to any committee established under section 60 of the </w:t>
      </w:r>
      <w:r>
        <w:rPr>
          <w:i/>
        </w:rPr>
        <w:t>Water Services Coordination Act 1995</w:t>
      </w:r>
      <w:r>
        <w:t>;</w:t>
      </w:r>
    </w:p>
    <w:p>
      <w:pPr>
        <w:pStyle w:val="yIndenta"/>
      </w:pPr>
      <w:r>
        <w:tab/>
        <w:t>(b)</w:t>
      </w:r>
      <w:r>
        <w:tab/>
        <w:t xml:space="preserve">by inserting after the item relating to the East Perth Redevelopment Authority the following item — </w:t>
      </w:r>
    </w:p>
    <w:p>
      <w:pPr>
        <w:pStyle w:val="MiscOpen"/>
        <w:spacing w:before="0"/>
        <w:ind w:left="879"/>
      </w:pPr>
      <w:r>
        <w:t xml:space="preserve">“    </w:t>
      </w:r>
    </w:p>
    <w:p>
      <w:pPr>
        <w:pStyle w:val="zySubsection"/>
        <w:tabs>
          <w:tab w:val="left" w:pos="1985"/>
        </w:tabs>
        <w:spacing w:before="0"/>
        <w:ind w:left="1985" w:hanging="1390"/>
      </w:pPr>
      <w:r>
        <w:tab/>
      </w:r>
      <w:r>
        <w:tab/>
        <w:t xml:space="preserve">The Economic Regulation Authority established by the </w:t>
      </w:r>
      <w:r>
        <w:rPr>
          <w:i/>
        </w:rPr>
        <w:t>Economic Regulation Authority Act 2003</w:t>
      </w:r>
      <w:r>
        <w:t>.</w:t>
      </w:r>
    </w:p>
    <w:p>
      <w:pPr>
        <w:pStyle w:val="MiscClose"/>
      </w:pPr>
      <w:r>
        <w:t xml:space="preserve">    ”;</w:t>
      </w:r>
    </w:p>
    <w:p>
      <w:pPr>
        <w:pStyle w:val="yIndenta"/>
      </w:pPr>
      <w:r>
        <w:tab/>
        <w:t>(c)</w:t>
      </w:r>
      <w:r>
        <w:tab/>
        <w:t>in the item relating to the Plumbers Licensing Board by deleting “</w:t>
      </w:r>
      <w:r>
        <w:rPr>
          <w:i/>
        </w:rPr>
        <w:t>Coordination</w:t>
      </w:r>
      <w:r>
        <w:t xml:space="preserve">” and inserting instead — </w:t>
      </w:r>
    </w:p>
    <w:p>
      <w:pPr>
        <w:pStyle w:val="yIndenta"/>
      </w:pPr>
      <w:r>
        <w:tab/>
      </w:r>
      <w:r>
        <w:tab/>
        <w:t xml:space="preserve">“    </w:t>
      </w:r>
      <w:r>
        <w:rPr>
          <w:i/>
        </w:rPr>
        <w:t>Licensing</w:t>
      </w:r>
      <w:r>
        <w:t xml:space="preserve">    ”.</w:t>
      </w:r>
    </w:p>
    <w:p>
      <w:pPr>
        <w:pStyle w:val="yHeading3"/>
        <w:outlineLvl w:val="0"/>
        <w:rPr>
          <w:rStyle w:val="CharDivText"/>
          <w:i/>
        </w:rPr>
      </w:pPr>
      <w:bookmarkStart w:id="524" w:name="_Toc58032041"/>
      <w:bookmarkStart w:id="525" w:name="_Toc131588004"/>
      <w:bookmarkStart w:id="526" w:name="_Toc139347168"/>
      <w:bookmarkStart w:id="527" w:name="_Toc139700755"/>
      <w:bookmarkStart w:id="528" w:name="_Toc157849838"/>
      <w:bookmarkStart w:id="529" w:name="_Toc196119834"/>
      <w:bookmarkStart w:id="530" w:name="_Toc58032060"/>
      <w:r>
        <w:rPr>
          <w:rStyle w:val="CharSDivNo"/>
        </w:rPr>
        <w:t xml:space="preserve">Division </w:t>
      </w:r>
      <w:bookmarkStart w:id="531" w:name="_Hlt19957198"/>
      <w:bookmarkStart w:id="532" w:name="_Hlt19957230"/>
      <w:bookmarkEnd w:id="531"/>
      <w:bookmarkEnd w:id="532"/>
      <w:r>
        <w:rPr>
          <w:rStyle w:val="CharSDivNo"/>
        </w:rPr>
        <w:t>4</w:t>
      </w:r>
      <w:r>
        <w:t xml:space="preserve"> — </w:t>
      </w:r>
      <w:r>
        <w:rPr>
          <w:rStyle w:val="CharSDivText"/>
          <w:i/>
          <w:iCs/>
        </w:rPr>
        <w:t>Energy Coordination Act 1994</w:t>
      </w:r>
      <w:bookmarkEnd w:id="524"/>
      <w:bookmarkEnd w:id="525"/>
      <w:bookmarkEnd w:id="526"/>
      <w:bookmarkEnd w:id="527"/>
      <w:bookmarkEnd w:id="528"/>
      <w:bookmarkEnd w:id="529"/>
    </w:p>
    <w:p>
      <w:pPr>
        <w:pStyle w:val="yHeading5"/>
        <w:outlineLvl w:val="0"/>
      </w:pPr>
      <w:bookmarkStart w:id="533" w:name="_Toc58032042"/>
      <w:bookmarkStart w:id="534" w:name="_Toc131588005"/>
      <w:bookmarkStart w:id="535" w:name="_Toc196119835"/>
      <w:bookmarkStart w:id="536" w:name="_Toc157849839"/>
      <w:r>
        <w:rPr>
          <w:rStyle w:val="CharSClsNo"/>
        </w:rPr>
        <w:t>7</w:t>
      </w:r>
      <w:r>
        <w:t>.</w:t>
      </w:r>
      <w:r>
        <w:tab/>
        <w:t>The Act amended</w:t>
      </w:r>
      <w:bookmarkEnd w:id="533"/>
      <w:bookmarkEnd w:id="534"/>
      <w:bookmarkEnd w:id="535"/>
      <w:bookmarkEnd w:id="536"/>
    </w:p>
    <w:p>
      <w:pPr>
        <w:pStyle w:val="ySubsection"/>
        <w:spacing w:before="120"/>
      </w:pPr>
      <w:r>
        <w:tab/>
      </w:r>
      <w:r>
        <w:tab/>
        <w:t xml:space="preserve">The amendments in this Division are to the </w:t>
      </w:r>
      <w:r>
        <w:rPr>
          <w:i/>
        </w:rPr>
        <w:t>Energy Coordination Act 1994</w:t>
      </w:r>
      <w:r>
        <w:t>.</w:t>
      </w:r>
    </w:p>
    <w:p>
      <w:pPr>
        <w:pStyle w:val="yHeading5"/>
        <w:outlineLvl w:val="0"/>
      </w:pPr>
      <w:bookmarkStart w:id="537" w:name="_Toc58032043"/>
      <w:bookmarkStart w:id="538" w:name="_Toc131588006"/>
      <w:bookmarkStart w:id="539" w:name="_Toc196119836"/>
      <w:bookmarkStart w:id="540" w:name="_Toc157849840"/>
      <w:r>
        <w:rPr>
          <w:rStyle w:val="CharSClsNo"/>
        </w:rPr>
        <w:t>8</w:t>
      </w:r>
      <w:r>
        <w:t>.</w:t>
      </w:r>
      <w:r>
        <w:tab/>
        <w:t>Long title amended</w:t>
      </w:r>
      <w:bookmarkEnd w:id="537"/>
      <w:bookmarkEnd w:id="538"/>
      <w:bookmarkEnd w:id="539"/>
      <w:bookmarkEnd w:id="540"/>
    </w:p>
    <w:p>
      <w:pPr>
        <w:pStyle w:val="ySubsection"/>
        <w:spacing w:before="120"/>
      </w:pPr>
      <w:r>
        <w:tab/>
      </w:r>
      <w:r>
        <w:tab/>
        <w:t>The long title is amended as follows:</w:t>
      </w:r>
    </w:p>
    <w:p>
      <w:pPr>
        <w:pStyle w:val="yIndenta"/>
        <w:outlineLvl w:val="0"/>
      </w:pPr>
      <w:r>
        <w:tab/>
        <w:t>(a)</w:t>
      </w:r>
      <w:r>
        <w:tab/>
        <w:t xml:space="preserve">by inserting after “the State;” the following item — </w:t>
      </w:r>
    </w:p>
    <w:p>
      <w:pPr>
        <w:pStyle w:val="MiscOpen"/>
        <w:keepNext w:val="0"/>
        <w:keepLines w:val="0"/>
        <w:spacing w:before="0"/>
        <w:ind w:left="573"/>
      </w:pPr>
      <w:r>
        <w:t xml:space="preserve">“    </w:t>
      </w:r>
    </w:p>
    <w:p>
      <w:pPr>
        <w:pStyle w:val="zLongTitle"/>
        <w:numPr>
          <w:ilvl w:val="0"/>
          <w:numId w:val="1"/>
        </w:numPr>
        <w:tabs>
          <w:tab w:val="clear" w:pos="360"/>
          <w:tab w:val="num" w:pos="1701"/>
        </w:tabs>
        <w:ind w:left="1701" w:hanging="567"/>
      </w:pPr>
      <w:r>
        <w:t>the conferral of functions on the Economic Regulation Authority in respect of the licensing scheme;</w:t>
      </w:r>
    </w:p>
    <w:p>
      <w:pPr>
        <w:pStyle w:val="MiscClose"/>
      </w:pPr>
      <w:r>
        <w:t xml:space="preserve">    ”;</w:t>
      </w:r>
    </w:p>
    <w:p>
      <w:pPr>
        <w:pStyle w:val="yIndenta"/>
        <w:outlineLvl w:val="0"/>
      </w:pPr>
      <w:r>
        <w:tab/>
        <w:t>(b)</w:t>
      </w:r>
      <w:r>
        <w:tab/>
        <w:t>by deleting “, to administer the licensing scheme”.</w:t>
      </w:r>
    </w:p>
    <w:p>
      <w:pPr>
        <w:pStyle w:val="yHeading5"/>
        <w:outlineLvl w:val="0"/>
      </w:pPr>
      <w:bookmarkStart w:id="541" w:name="_Toc58032044"/>
      <w:bookmarkStart w:id="542" w:name="_Toc131588007"/>
      <w:bookmarkStart w:id="543" w:name="_Toc196119837"/>
      <w:bookmarkStart w:id="544" w:name="_Toc157849841"/>
      <w:r>
        <w:rPr>
          <w:rStyle w:val="CharSClsNo"/>
        </w:rPr>
        <w:t>9</w:t>
      </w:r>
      <w:r>
        <w:t>.</w:t>
      </w:r>
      <w:r>
        <w:tab/>
        <w:t>Section 3 amended</w:t>
      </w:r>
      <w:bookmarkEnd w:id="541"/>
      <w:bookmarkEnd w:id="542"/>
      <w:bookmarkEnd w:id="543"/>
      <w:bookmarkEnd w:id="544"/>
    </w:p>
    <w:p>
      <w:pPr>
        <w:pStyle w:val="ySubsection"/>
      </w:pPr>
      <w:r>
        <w:tab/>
      </w:r>
      <w:r>
        <w:tab/>
        <w:t xml:space="preserve">Section 3 is amended by inserting in the appropriate alphabetical position the following definition — </w:t>
      </w:r>
    </w:p>
    <w:p>
      <w:pPr>
        <w:pStyle w:val="MiscOpen"/>
        <w:ind w:left="879"/>
      </w:pPr>
      <w:r>
        <w:t xml:space="preserve">“    </w:t>
      </w:r>
    </w:p>
    <w:p>
      <w:pPr>
        <w:pStyle w:val="zyDefstart"/>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545" w:name="_Toc58032045"/>
      <w:bookmarkStart w:id="546" w:name="_Toc131588008"/>
      <w:bookmarkStart w:id="547" w:name="_Toc196119838"/>
      <w:bookmarkStart w:id="548" w:name="_Toc157849842"/>
      <w:r>
        <w:rPr>
          <w:rStyle w:val="CharSClsNo"/>
        </w:rPr>
        <w:t>10</w:t>
      </w:r>
      <w:r>
        <w:t>.</w:t>
      </w:r>
      <w:r>
        <w:tab/>
        <w:t>Section 6 amended</w:t>
      </w:r>
      <w:bookmarkEnd w:id="545"/>
      <w:bookmarkEnd w:id="546"/>
      <w:bookmarkEnd w:id="547"/>
      <w:bookmarkEnd w:id="548"/>
    </w:p>
    <w:p>
      <w:pPr>
        <w:pStyle w:val="ySubsection"/>
      </w:pPr>
      <w:r>
        <w:tab/>
      </w:r>
      <w:r>
        <w:tab/>
        <w:t>Section 6(aa) is deleted.</w:t>
      </w:r>
    </w:p>
    <w:p>
      <w:pPr>
        <w:pStyle w:val="yHeading5"/>
        <w:outlineLvl w:val="0"/>
      </w:pPr>
      <w:bookmarkStart w:id="549" w:name="_Toc58032046"/>
      <w:bookmarkStart w:id="550" w:name="_Toc131588009"/>
      <w:bookmarkStart w:id="551" w:name="_Toc196119839"/>
      <w:bookmarkStart w:id="552" w:name="_Toc157849843"/>
      <w:r>
        <w:rPr>
          <w:rStyle w:val="CharSClsNo"/>
        </w:rPr>
        <w:t>11</w:t>
      </w:r>
      <w:r>
        <w:t>.</w:t>
      </w:r>
      <w:r>
        <w:tab/>
        <w:t>Section 7 amended</w:t>
      </w:r>
      <w:bookmarkEnd w:id="549"/>
      <w:bookmarkEnd w:id="550"/>
      <w:bookmarkEnd w:id="551"/>
      <w:bookmarkEnd w:id="552"/>
    </w:p>
    <w:p>
      <w:pPr>
        <w:pStyle w:val="ySubsection"/>
      </w:pPr>
      <w:r>
        <w:tab/>
      </w:r>
      <w:r>
        <w:tab/>
        <w:t xml:space="preserve">Section 7(b) is amended by deleting “Western Australian Independent Gas Pipelines Access Regulator referred to in section 27 of the </w:t>
      </w:r>
      <w:r>
        <w:rPr>
          <w:i/>
        </w:rPr>
        <w:t>Gas Pipelines Access (Western Australia) Act 1998.</w:t>
      </w:r>
      <w:r>
        <w:t xml:space="preserve">” and inserting instead — </w:t>
      </w:r>
    </w:p>
    <w:p>
      <w:pPr>
        <w:pStyle w:val="ySubsection"/>
      </w:pPr>
      <w:r>
        <w:tab/>
      </w:r>
      <w:r>
        <w:tab/>
        <w:t xml:space="preserve">“    </w:t>
      </w:r>
      <w:r>
        <w:rPr>
          <w:sz w:val="24"/>
        </w:rPr>
        <w:t>Authority.</w:t>
      </w:r>
      <w:r>
        <w:t xml:space="preserve">    ”.</w:t>
      </w:r>
    </w:p>
    <w:p>
      <w:pPr>
        <w:pStyle w:val="yHeading5"/>
        <w:outlineLvl w:val="0"/>
      </w:pPr>
      <w:bookmarkStart w:id="553" w:name="_Toc58032047"/>
      <w:bookmarkStart w:id="554" w:name="_Toc131588010"/>
      <w:bookmarkStart w:id="555" w:name="_Toc196119840"/>
      <w:bookmarkStart w:id="556" w:name="_Toc157849844"/>
      <w:r>
        <w:rPr>
          <w:rStyle w:val="CharSClsNo"/>
        </w:rPr>
        <w:t>12</w:t>
      </w:r>
      <w:r>
        <w:t>.</w:t>
      </w:r>
      <w:r>
        <w:tab/>
        <w:t>Section 10 amended</w:t>
      </w:r>
      <w:bookmarkEnd w:id="553"/>
      <w:bookmarkEnd w:id="554"/>
      <w:bookmarkEnd w:id="555"/>
      <w:bookmarkEnd w:id="556"/>
    </w:p>
    <w:p>
      <w:pPr>
        <w:pStyle w:val="ySubsection"/>
      </w:pPr>
      <w:r>
        <w:tab/>
      </w:r>
      <w:r>
        <w:tab/>
        <w:t>Section 10(1a) is repealed.</w:t>
      </w:r>
    </w:p>
    <w:p>
      <w:pPr>
        <w:pStyle w:val="yHeading5"/>
        <w:outlineLvl w:val="0"/>
      </w:pPr>
      <w:bookmarkStart w:id="557" w:name="_Toc58032048"/>
      <w:bookmarkStart w:id="558" w:name="_Toc131588011"/>
      <w:bookmarkStart w:id="559" w:name="_Toc196119841"/>
      <w:bookmarkStart w:id="560" w:name="_Toc157849845"/>
      <w:r>
        <w:rPr>
          <w:rStyle w:val="CharSClsNo"/>
        </w:rPr>
        <w:t>13</w:t>
      </w:r>
      <w:r>
        <w:t>.</w:t>
      </w:r>
      <w:r>
        <w:tab/>
        <w:t>Part 2A Division 1A inserted</w:t>
      </w:r>
      <w:bookmarkEnd w:id="557"/>
      <w:bookmarkEnd w:id="558"/>
      <w:bookmarkEnd w:id="559"/>
      <w:bookmarkEnd w:id="560"/>
    </w:p>
    <w:p>
      <w:pPr>
        <w:pStyle w:val="ySubsection"/>
      </w:pPr>
      <w:r>
        <w:tab/>
      </w:r>
      <w:r>
        <w:tab/>
        <w:t xml:space="preserve">Before Part 2A Division 1 the following Division is inserted — </w:t>
      </w:r>
    </w:p>
    <w:p>
      <w:pPr>
        <w:pStyle w:val="MiscOpen"/>
      </w:pPr>
      <w:r>
        <w:t xml:space="preserve">“    </w:t>
      </w:r>
    </w:p>
    <w:p>
      <w:pPr>
        <w:pStyle w:val="zHeading3"/>
        <w:outlineLvl w:val="0"/>
      </w:pPr>
      <w:bookmarkStart w:id="561" w:name="_Toc139347176"/>
      <w:bookmarkStart w:id="562" w:name="_Toc139700763"/>
      <w:bookmarkStart w:id="563" w:name="_Toc157849846"/>
      <w:bookmarkStart w:id="564" w:name="_Toc196119842"/>
      <w:r>
        <w:t>Division 1A — Role of Economic Regulation Authority</w:t>
      </w:r>
      <w:bookmarkEnd w:id="561"/>
      <w:bookmarkEnd w:id="562"/>
      <w:bookmarkEnd w:id="563"/>
      <w:bookmarkEnd w:id="564"/>
    </w:p>
    <w:p>
      <w:pPr>
        <w:pStyle w:val="zHeading5"/>
      </w:pPr>
      <w:bookmarkStart w:id="565" w:name="_Toc196119843"/>
      <w:bookmarkStart w:id="566" w:name="_Toc157849847"/>
      <w:r>
        <w:t>11AA.</w:t>
      </w:r>
      <w:r>
        <w:tab/>
        <w:t>Functions of Authority</w:t>
      </w:r>
      <w:bookmarkEnd w:id="565"/>
      <w:bookmarkEnd w:id="566"/>
    </w:p>
    <w:p>
      <w:pPr>
        <w:pStyle w:val="zSubsection"/>
      </w:pPr>
      <w:r>
        <w:tab/>
      </w:r>
      <w:r>
        <w:tab/>
        <w:t xml:space="preserve">The functions of the Authority under this Part are — </w:t>
      </w:r>
    </w:p>
    <w:p>
      <w:pPr>
        <w:pStyle w:val="zIndenta"/>
      </w:pPr>
      <w:r>
        <w:tab/>
        <w:t>(a)</w:t>
      </w:r>
      <w:r>
        <w:tab/>
        <w:t>to administer the licensing scheme provided for in this Part;</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performance criteria or other requirements of its licence; and</w:t>
      </w:r>
    </w:p>
    <w:p>
      <w:pPr>
        <w:pStyle w:val="zIndenta"/>
      </w:pPr>
      <w:r>
        <w:tab/>
        <w:t>(d)</w:t>
      </w:r>
      <w:r>
        <w:tab/>
        <w:t>the other functions conferred on the Authority by this Part.</w:t>
      </w:r>
    </w:p>
    <w:p>
      <w:pPr>
        <w:pStyle w:val="MiscClose"/>
      </w:pPr>
      <w:r>
        <w:t xml:space="preserve">    ”.</w:t>
      </w:r>
    </w:p>
    <w:p>
      <w:pPr>
        <w:pStyle w:val="yHeading5"/>
        <w:spacing w:before="180"/>
        <w:outlineLvl w:val="0"/>
      </w:pPr>
      <w:bookmarkStart w:id="567" w:name="_Toc58032049"/>
      <w:bookmarkStart w:id="568" w:name="_Toc131588012"/>
      <w:bookmarkStart w:id="569" w:name="_Toc196119844"/>
      <w:bookmarkStart w:id="570" w:name="_Toc157849848"/>
      <w:r>
        <w:rPr>
          <w:rStyle w:val="CharSClsNo"/>
        </w:rPr>
        <w:t>14</w:t>
      </w:r>
      <w:r>
        <w:t>.</w:t>
      </w:r>
      <w:r>
        <w:tab/>
        <w:t>Section 11H amended</w:t>
      </w:r>
      <w:bookmarkEnd w:id="567"/>
      <w:bookmarkEnd w:id="568"/>
      <w:bookmarkEnd w:id="569"/>
      <w:bookmarkEnd w:id="570"/>
    </w:p>
    <w:p>
      <w:pPr>
        <w:pStyle w:val="ySubsection"/>
        <w:spacing w:before="120"/>
      </w:pPr>
      <w:r>
        <w:tab/>
      </w:r>
      <w:r>
        <w:tab/>
        <w:t xml:space="preserve">After section 11H(3)(f) the following paragraph is inserted — </w:t>
      </w:r>
    </w:p>
    <w:p>
      <w:pPr>
        <w:pStyle w:val="MiscOpen"/>
        <w:ind w:left="1340"/>
      </w:pPr>
      <w:r>
        <w:t xml:space="preserve">“    </w:t>
      </w:r>
    </w:p>
    <w:p>
      <w:pPr>
        <w:pStyle w:val="zIndenta"/>
      </w:pPr>
      <w:r>
        <w:tab/>
        <w:t>(fa)</w:t>
      </w:r>
      <w:r>
        <w:tab/>
        <w:t>the policy objectives of government in relation to the supply of gas;</w:t>
      </w:r>
    </w:p>
    <w:p>
      <w:pPr>
        <w:pStyle w:val="MiscClose"/>
      </w:pPr>
      <w:r>
        <w:t xml:space="preserve">    ”.</w:t>
      </w:r>
    </w:p>
    <w:p>
      <w:pPr>
        <w:pStyle w:val="yHeading5"/>
        <w:spacing w:before="120"/>
        <w:outlineLvl w:val="0"/>
      </w:pPr>
      <w:bookmarkStart w:id="571" w:name="_Toc58032050"/>
      <w:bookmarkStart w:id="572" w:name="_Toc131588013"/>
      <w:bookmarkStart w:id="573" w:name="_Toc196119845"/>
      <w:bookmarkStart w:id="574" w:name="_Toc157849849"/>
      <w:r>
        <w:rPr>
          <w:rStyle w:val="CharSClsNo"/>
        </w:rPr>
        <w:t>15</w:t>
      </w:r>
      <w:r>
        <w:t>.</w:t>
      </w:r>
      <w:r>
        <w:tab/>
        <w:t>Section 11K amended</w:t>
      </w:r>
      <w:bookmarkEnd w:id="571"/>
      <w:bookmarkEnd w:id="572"/>
      <w:bookmarkEnd w:id="573"/>
      <w:bookmarkEnd w:id="574"/>
    </w:p>
    <w:p>
      <w:pPr>
        <w:pStyle w:val="ySubsection"/>
        <w:spacing w:before="120"/>
      </w:pPr>
      <w:r>
        <w:tab/>
      </w:r>
      <w:r>
        <w:tab/>
        <w:t xml:space="preserve">Section 11K(1)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0"/>
      </w:pPr>
      <w:bookmarkStart w:id="575" w:name="_Toc58032051"/>
      <w:bookmarkStart w:id="576" w:name="_Toc131588014"/>
      <w:bookmarkStart w:id="577" w:name="_Toc196119846"/>
      <w:bookmarkStart w:id="578" w:name="_Toc157849850"/>
      <w:r>
        <w:rPr>
          <w:rStyle w:val="CharSClsNo"/>
        </w:rPr>
        <w:t>16</w:t>
      </w:r>
      <w:r>
        <w:t>.</w:t>
      </w:r>
      <w:r>
        <w:tab/>
        <w:t>Section 11S amended</w:t>
      </w:r>
      <w:bookmarkEnd w:id="575"/>
      <w:bookmarkEnd w:id="576"/>
      <w:bookmarkEnd w:id="577"/>
      <w:bookmarkEnd w:id="578"/>
    </w:p>
    <w:p>
      <w:pPr>
        <w:pStyle w:val="ySubsection"/>
        <w:spacing w:before="120"/>
      </w:pPr>
      <w:r>
        <w:tab/>
      </w:r>
      <w:r>
        <w:tab/>
        <w:t xml:space="preserve">Section 11S(1)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0"/>
      </w:pPr>
      <w:bookmarkStart w:id="579" w:name="_Toc58032052"/>
      <w:bookmarkStart w:id="580" w:name="_Toc131588015"/>
      <w:bookmarkStart w:id="581" w:name="_Toc196119847"/>
      <w:bookmarkStart w:id="582" w:name="_Toc157849851"/>
      <w:r>
        <w:rPr>
          <w:rStyle w:val="CharSClsNo"/>
        </w:rPr>
        <w:t>17</w:t>
      </w:r>
      <w:r>
        <w:t>.</w:t>
      </w:r>
      <w:r>
        <w:tab/>
        <w:t>Section 11U amended</w:t>
      </w:r>
      <w:bookmarkEnd w:id="579"/>
      <w:bookmarkEnd w:id="580"/>
      <w:bookmarkEnd w:id="581"/>
      <w:bookmarkEnd w:id="582"/>
    </w:p>
    <w:p>
      <w:pPr>
        <w:pStyle w:val="ySubsection"/>
        <w:spacing w:before="120"/>
      </w:pPr>
      <w:r>
        <w:tab/>
      </w:r>
      <w:r>
        <w:tab/>
        <w:t xml:space="preserve">Section 11U is amended by deleting “the Coordinator’s” and inserting instead — </w:t>
      </w:r>
    </w:p>
    <w:p>
      <w:pPr>
        <w:pStyle w:val="ySubsection"/>
        <w:spacing w:before="80"/>
      </w:pPr>
      <w:r>
        <w:tab/>
      </w:r>
      <w:r>
        <w:tab/>
        <w:t xml:space="preserve">“    </w:t>
      </w:r>
      <w:r>
        <w:rPr>
          <w:sz w:val="24"/>
        </w:rPr>
        <w:t>its</w:t>
      </w:r>
      <w:r>
        <w:t xml:space="preserve">    ”.</w:t>
      </w:r>
    </w:p>
    <w:p>
      <w:pPr>
        <w:pStyle w:val="yHeading5"/>
        <w:spacing w:before="180"/>
        <w:outlineLvl w:val="0"/>
      </w:pPr>
      <w:bookmarkStart w:id="583" w:name="_Toc58032053"/>
      <w:bookmarkStart w:id="584" w:name="_Toc131588016"/>
      <w:bookmarkStart w:id="585" w:name="_Toc196119848"/>
      <w:bookmarkStart w:id="586" w:name="_Toc157849852"/>
      <w:r>
        <w:rPr>
          <w:rStyle w:val="CharSClsNo"/>
        </w:rPr>
        <w:t>18</w:t>
      </w:r>
      <w:r>
        <w:t>.</w:t>
      </w:r>
      <w:r>
        <w:tab/>
        <w:t>Section 11WA inserted</w:t>
      </w:r>
      <w:bookmarkEnd w:id="583"/>
      <w:bookmarkEnd w:id="584"/>
      <w:bookmarkEnd w:id="585"/>
      <w:bookmarkEnd w:id="586"/>
    </w:p>
    <w:p>
      <w:pPr>
        <w:pStyle w:val="ySubsection"/>
        <w:spacing w:before="120"/>
      </w:pPr>
      <w:r>
        <w:tab/>
      </w:r>
      <w:r>
        <w:tab/>
        <w:t xml:space="preserve">After section 11W the following section is inserted in Part 2A Division 4 — </w:t>
      </w:r>
    </w:p>
    <w:p>
      <w:pPr>
        <w:pStyle w:val="MiscOpen"/>
        <w:spacing w:before="0"/>
      </w:pPr>
      <w:r>
        <w:t xml:space="preserve">“    </w:t>
      </w:r>
    </w:p>
    <w:p>
      <w:pPr>
        <w:pStyle w:val="zHeading5"/>
      </w:pPr>
      <w:bookmarkStart w:id="587" w:name="_Toc196119849"/>
      <w:bookmarkStart w:id="588" w:name="_Toc157849853"/>
      <w:r>
        <w:t>11WA.</w:t>
      </w:r>
      <w:r>
        <w:tab/>
        <w:t>Regulations about public consultation</w:t>
      </w:r>
      <w:bookmarkEnd w:id="587"/>
      <w:bookmarkEnd w:id="588"/>
    </w:p>
    <w:p>
      <w:pPr>
        <w:pStyle w:val="z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0"/>
      </w:pPr>
      <w:bookmarkStart w:id="589" w:name="_Toc58032054"/>
      <w:bookmarkStart w:id="590" w:name="_Toc131588017"/>
      <w:bookmarkStart w:id="591" w:name="_Toc196119850"/>
      <w:bookmarkStart w:id="592" w:name="_Toc157849854"/>
      <w:r>
        <w:rPr>
          <w:rStyle w:val="CharSClsNo"/>
        </w:rPr>
        <w:t>19</w:t>
      </w:r>
      <w:r>
        <w:t>.</w:t>
      </w:r>
      <w:r>
        <w:tab/>
        <w:t>Section 11ZA amended</w:t>
      </w:r>
      <w:bookmarkEnd w:id="589"/>
      <w:bookmarkEnd w:id="590"/>
      <w:bookmarkEnd w:id="591"/>
      <w:bookmarkEnd w:id="592"/>
    </w:p>
    <w:p>
      <w:pPr>
        <w:pStyle w:val="ySubsection"/>
      </w:pPr>
      <w:r>
        <w:tab/>
      </w:r>
      <w:r>
        <w:tab/>
        <w:t xml:space="preserve">Section 11ZA(3) is amended by deleting “his or her” and inserting instead — </w:t>
      </w:r>
    </w:p>
    <w:p>
      <w:pPr>
        <w:pStyle w:val="ySubsection"/>
      </w:pPr>
      <w:r>
        <w:tab/>
      </w:r>
      <w:r>
        <w:tab/>
        <w:t xml:space="preserve">“    </w:t>
      </w:r>
      <w:r>
        <w:rPr>
          <w:sz w:val="24"/>
        </w:rPr>
        <w:t>its</w:t>
      </w:r>
      <w:r>
        <w:t xml:space="preserve">    ”.</w:t>
      </w:r>
    </w:p>
    <w:p>
      <w:pPr>
        <w:pStyle w:val="yHeading5"/>
        <w:outlineLvl w:val="0"/>
      </w:pPr>
      <w:bookmarkStart w:id="593" w:name="_Toc58032055"/>
      <w:bookmarkStart w:id="594" w:name="_Toc131588018"/>
      <w:bookmarkStart w:id="595" w:name="_Toc196119851"/>
      <w:bookmarkStart w:id="596" w:name="_Toc157849855"/>
      <w:r>
        <w:rPr>
          <w:rStyle w:val="CharSClsNo"/>
        </w:rPr>
        <w:t>20</w:t>
      </w:r>
      <w:r>
        <w:t>.</w:t>
      </w:r>
      <w:r>
        <w:tab/>
        <w:t>Section 11ZC amended</w:t>
      </w:r>
      <w:bookmarkEnd w:id="593"/>
      <w:bookmarkEnd w:id="594"/>
      <w:bookmarkEnd w:id="595"/>
      <w:bookmarkEnd w:id="596"/>
    </w:p>
    <w:p>
      <w:pPr>
        <w:pStyle w:val="ySubsection"/>
      </w:pPr>
      <w:r>
        <w:tab/>
      </w:r>
      <w:r>
        <w:tab/>
        <w:t xml:space="preserve">Section 11ZC is amended by deleting “he or she” and inserting instead — </w:t>
      </w:r>
    </w:p>
    <w:p>
      <w:pPr>
        <w:pStyle w:val="ySubsection"/>
      </w:pPr>
      <w:r>
        <w:tab/>
      </w:r>
      <w:r>
        <w:tab/>
        <w:t xml:space="preserve">“    </w:t>
      </w:r>
      <w:r>
        <w:rPr>
          <w:sz w:val="24"/>
        </w:rPr>
        <w:t>it</w:t>
      </w:r>
      <w:r>
        <w:t xml:space="preserve">    ”.</w:t>
      </w:r>
    </w:p>
    <w:p>
      <w:pPr>
        <w:pStyle w:val="yHeading5"/>
        <w:outlineLvl w:val="0"/>
      </w:pPr>
      <w:bookmarkStart w:id="597" w:name="_Toc58032056"/>
      <w:bookmarkStart w:id="598" w:name="_Toc131588019"/>
      <w:bookmarkStart w:id="599" w:name="_Toc196119852"/>
      <w:bookmarkStart w:id="600" w:name="_Toc157849856"/>
      <w:r>
        <w:rPr>
          <w:rStyle w:val="CharSClsNo"/>
        </w:rPr>
        <w:t>21</w:t>
      </w:r>
      <w:r>
        <w:t>.</w:t>
      </w:r>
      <w:r>
        <w:tab/>
        <w:t>Section 11ZG repealed</w:t>
      </w:r>
      <w:bookmarkEnd w:id="597"/>
      <w:bookmarkEnd w:id="598"/>
      <w:bookmarkEnd w:id="599"/>
      <w:bookmarkEnd w:id="600"/>
    </w:p>
    <w:p>
      <w:pPr>
        <w:pStyle w:val="ySubsection"/>
      </w:pPr>
      <w:r>
        <w:tab/>
      </w:r>
      <w:r>
        <w:tab/>
        <w:t>Section 11ZG is repealed.</w:t>
      </w:r>
    </w:p>
    <w:p>
      <w:pPr>
        <w:pStyle w:val="yHeading5"/>
        <w:outlineLvl w:val="0"/>
      </w:pPr>
      <w:bookmarkStart w:id="601" w:name="_Toc58032057"/>
      <w:bookmarkStart w:id="602" w:name="_Toc131588020"/>
      <w:bookmarkStart w:id="603" w:name="_Toc196119853"/>
      <w:bookmarkStart w:id="604" w:name="_Toc157849857"/>
      <w:r>
        <w:rPr>
          <w:rStyle w:val="CharSClsNo"/>
        </w:rPr>
        <w:t>22</w:t>
      </w:r>
      <w:r>
        <w:t>.</w:t>
      </w:r>
      <w:r>
        <w:tab/>
        <w:t>Schedule 1 amended</w:t>
      </w:r>
      <w:bookmarkEnd w:id="601"/>
      <w:bookmarkEnd w:id="602"/>
      <w:bookmarkEnd w:id="603"/>
      <w:bookmarkEnd w:id="604"/>
    </w:p>
    <w:p>
      <w:pPr>
        <w:pStyle w:val="ySubsection"/>
      </w:pPr>
      <w:r>
        <w:tab/>
      </w:r>
      <w:r>
        <w:tab/>
        <w:t xml:space="preserve">Schedule 1 paragraph (h) is deleted and the following paragraph is inserted instead — </w:t>
      </w:r>
    </w:p>
    <w:p>
      <w:pPr>
        <w:pStyle w:val="MiscOpen"/>
        <w:ind w:left="1332"/>
      </w:pPr>
      <w:r>
        <w:t xml:space="preserve">“    </w:t>
      </w:r>
    </w:p>
    <w:p>
      <w:pPr>
        <w:pStyle w:val="z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MiscClose"/>
      </w:pPr>
      <w:r>
        <w:t xml:space="preserve">    ”.</w:t>
      </w:r>
    </w:p>
    <w:p>
      <w:pPr>
        <w:pStyle w:val="yHeading5"/>
        <w:outlineLvl w:val="0"/>
      </w:pPr>
      <w:bookmarkStart w:id="605" w:name="_Toc58032058"/>
      <w:bookmarkStart w:id="606" w:name="_Toc131588021"/>
      <w:bookmarkStart w:id="607" w:name="_Toc196119854"/>
      <w:bookmarkStart w:id="608" w:name="_Toc157849858"/>
      <w:r>
        <w:rPr>
          <w:rStyle w:val="CharSClsNo"/>
        </w:rPr>
        <w:t>23</w:t>
      </w:r>
      <w:r>
        <w:t>.</w:t>
      </w:r>
      <w:r>
        <w:tab/>
        <w:t>Various references to “Coordinator” changed to “Authority”</w:t>
      </w:r>
      <w:bookmarkEnd w:id="605"/>
      <w:bookmarkEnd w:id="606"/>
      <w:bookmarkEnd w:id="607"/>
      <w:bookmarkEnd w:id="608"/>
    </w:p>
    <w:p>
      <w:pPr>
        <w:pStyle w:val="ySubsection"/>
      </w:pPr>
      <w:r>
        <w:tab/>
      </w:r>
      <w:r>
        <w:tab/>
        <w:t xml:space="preserve">The provisions specified in the Table to this clause are amended by deleting “Coordinator”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outlineLvl w:val="0"/>
        <w:rPr>
          <w:b/>
        </w:rPr>
      </w:pPr>
      <w:r>
        <w:rPr>
          <w:b/>
        </w:rPr>
        <w:t>Table</w:t>
      </w:r>
    </w:p>
    <w:tbl>
      <w:tblPr>
        <w:tblW w:w="0" w:type="auto"/>
        <w:tblInd w:w="1242" w:type="dxa"/>
        <w:tblLayout w:type="fixed"/>
        <w:tblLook w:val="0000" w:firstRow="0" w:lastRow="0" w:firstColumn="0" w:lastColumn="0" w:noHBand="0" w:noVBand="0"/>
      </w:tblPr>
      <w:tblGrid>
        <w:gridCol w:w="2552"/>
        <w:gridCol w:w="3118"/>
      </w:tblGrid>
      <w:tr>
        <w:tc>
          <w:tcPr>
            <w:tcW w:w="2552" w:type="dxa"/>
          </w:tcPr>
          <w:p>
            <w:pPr>
              <w:pStyle w:val="yTable"/>
            </w:pPr>
            <w:r>
              <w:t>s. 11G(1) and (2)</w:t>
            </w:r>
          </w:p>
        </w:tc>
        <w:tc>
          <w:tcPr>
            <w:tcW w:w="3118" w:type="dxa"/>
          </w:tcPr>
          <w:p>
            <w:pPr>
              <w:pStyle w:val="yTable"/>
            </w:pPr>
            <w:r>
              <w:t>s. 11T(1) and (3)</w:t>
            </w:r>
          </w:p>
        </w:tc>
      </w:tr>
      <w:tr>
        <w:tc>
          <w:tcPr>
            <w:tcW w:w="2552" w:type="dxa"/>
          </w:tcPr>
          <w:p>
            <w:pPr>
              <w:pStyle w:val="yTable"/>
            </w:pPr>
            <w:r>
              <w:t>s. 11K(1) and (2)</w:t>
            </w:r>
          </w:p>
        </w:tc>
        <w:tc>
          <w:tcPr>
            <w:tcW w:w="3118" w:type="dxa"/>
          </w:tcPr>
          <w:p>
            <w:pPr>
              <w:pStyle w:val="yTable"/>
            </w:pPr>
            <w:r>
              <w:t>s. 11U</w:t>
            </w:r>
          </w:p>
        </w:tc>
      </w:tr>
      <w:tr>
        <w:tc>
          <w:tcPr>
            <w:tcW w:w="2552" w:type="dxa"/>
          </w:tcPr>
          <w:p>
            <w:pPr>
              <w:pStyle w:val="yTable"/>
            </w:pPr>
            <w:r>
              <w:t>s. 11L(1)(a), (2) and (3)</w:t>
            </w:r>
          </w:p>
        </w:tc>
        <w:tc>
          <w:tcPr>
            <w:tcW w:w="3118" w:type="dxa"/>
          </w:tcPr>
          <w:p>
            <w:pPr>
              <w:pStyle w:val="yTable"/>
            </w:pPr>
            <w:r>
              <w:t>s. 11W(1) and (4)</w:t>
            </w:r>
          </w:p>
        </w:tc>
      </w:tr>
      <w:tr>
        <w:tc>
          <w:tcPr>
            <w:tcW w:w="2552" w:type="dxa"/>
          </w:tcPr>
          <w:p>
            <w:pPr>
              <w:pStyle w:val="yTable"/>
            </w:pPr>
            <w:r>
              <w:t>s. 11M(1)</w:t>
            </w:r>
          </w:p>
        </w:tc>
        <w:tc>
          <w:tcPr>
            <w:tcW w:w="3118" w:type="dxa"/>
          </w:tcPr>
          <w:p>
            <w:pPr>
              <w:pStyle w:val="yTable"/>
            </w:pPr>
            <w:r>
              <w:t>s. 11Y(1)(b) and (c)</w:t>
            </w:r>
          </w:p>
        </w:tc>
      </w:tr>
      <w:tr>
        <w:tc>
          <w:tcPr>
            <w:tcW w:w="2552" w:type="dxa"/>
          </w:tcPr>
          <w:p>
            <w:pPr>
              <w:pStyle w:val="yTable"/>
            </w:pPr>
            <w:r>
              <w:t>s. 11N(1)</w:t>
            </w:r>
          </w:p>
        </w:tc>
        <w:tc>
          <w:tcPr>
            <w:tcW w:w="3118" w:type="dxa"/>
          </w:tcPr>
          <w:p>
            <w:pPr>
              <w:pStyle w:val="yTable"/>
            </w:pPr>
            <w:r>
              <w:t>s. 11ZA(1) and (3)</w:t>
            </w:r>
          </w:p>
        </w:tc>
      </w:tr>
      <w:tr>
        <w:tc>
          <w:tcPr>
            <w:tcW w:w="2552" w:type="dxa"/>
          </w:tcPr>
          <w:p>
            <w:pPr>
              <w:pStyle w:val="yTable"/>
            </w:pPr>
            <w:r>
              <w:t>s. 11O</w:t>
            </w:r>
          </w:p>
        </w:tc>
        <w:tc>
          <w:tcPr>
            <w:tcW w:w="3118" w:type="dxa"/>
          </w:tcPr>
          <w:p>
            <w:pPr>
              <w:pStyle w:val="yTable"/>
            </w:pPr>
            <w:r>
              <w:t>s. 11ZE(3)</w:t>
            </w:r>
          </w:p>
        </w:tc>
      </w:tr>
      <w:tr>
        <w:tc>
          <w:tcPr>
            <w:tcW w:w="2552" w:type="dxa"/>
          </w:tcPr>
          <w:p>
            <w:pPr>
              <w:pStyle w:val="yTable"/>
            </w:pPr>
            <w:r>
              <w:t>s. 11P(a)</w:t>
            </w:r>
          </w:p>
        </w:tc>
        <w:tc>
          <w:tcPr>
            <w:tcW w:w="3118" w:type="dxa"/>
          </w:tcPr>
          <w:p>
            <w:pPr>
              <w:pStyle w:val="yTable"/>
            </w:pPr>
            <w:r>
              <w:t>s. 11ZH(2), (8), (9) and (12)</w:t>
            </w:r>
          </w:p>
        </w:tc>
      </w:tr>
      <w:tr>
        <w:trPr>
          <w:cantSplit/>
          <w:trHeight w:val="269"/>
        </w:trPr>
        <w:tc>
          <w:tcPr>
            <w:tcW w:w="2552" w:type="dxa"/>
          </w:tcPr>
          <w:p>
            <w:pPr>
              <w:pStyle w:val="yTable"/>
            </w:pPr>
            <w:r>
              <w:t>s. 11Q(1) and (3)</w:t>
            </w:r>
          </w:p>
        </w:tc>
        <w:tc>
          <w:tcPr>
            <w:tcW w:w="3118" w:type="dxa"/>
            <w:vMerge w:val="restart"/>
          </w:tcPr>
          <w:p>
            <w:pPr>
              <w:pStyle w:val="yTable"/>
            </w:pPr>
            <w:r>
              <w:t>Sch. 1 para. (b), (id) and (n)(ii)</w:t>
            </w:r>
          </w:p>
        </w:tc>
      </w:tr>
      <w:tr>
        <w:trPr>
          <w:cantSplit/>
          <w:trHeight w:val="268"/>
        </w:trPr>
        <w:tc>
          <w:tcPr>
            <w:tcW w:w="2552" w:type="dxa"/>
          </w:tcPr>
          <w:p>
            <w:pPr>
              <w:pStyle w:val="yTable"/>
            </w:pPr>
            <w:r>
              <w:t>s. 11R(1), (2) and (3)(a)</w:t>
            </w:r>
          </w:p>
        </w:tc>
        <w:tc>
          <w:tcPr>
            <w:tcW w:w="3118" w:type="dxa"/>
            <w:vMerge/>
          </w:tcPr>
          <w:p>
            <w:pPr>
              <w:pStyle w:val="yTable"/>
            </w:pPr>
          </w:p>
        </w:tc>
      </w:tr>
      <w:tr>
        <w:trPr>
          <w:cantSplit/>
          <w:trHeight w:val="402"/>
        </w:trPr>
        <w:tc>
          <w:tcPr>
            <w:tcW w:w="2552" w:type="dxa"/>
            <w:tcBorders>
              <w:bottom w:val="nil"/>
            </w:tcBorders>
          </w:tcPr>
          <w:p>
            <w:pPr>
              <w:pStyle w:val="yTable"/>
            </w:pPr>
            <w:r>
              <w:t>s. 11S(1) and (2)</w:t>
            </w:r>
          </w:p>
        </w:tc>
        <w:tc>
          <w:tcPr>
            <w:tcW w:w="3118" w:type="dxa"/>
          </w:tcPr>
          <w:p>
            <w:pPr>
              <w:pStyle w:val="yTable"/>
            </w:pPr>
          </w:p>
        </w:tc>
      </w:tr>
    </w:tbl>
    <w:p>
      <w:pPr>
        <w:pStyle w:val="yHeading5"/>
        <w:outlineLvl w:val="9"/>
      </w:pPr>
      <w:bookmarkStart w:id="609" w:name="_Toc58032059"/>
      <w:bookmarkStart w:id="610" w:name="_Toc131588022"/>
      <w:bookmarkStart w:id="611" w:name="_Toc196119855"/>
      <w:bookmarkStart w:id="612" w:name="_Toc157849859"/>
      <w:r>
        <w:rPr>
          <w:rStyle w:val="CharSClsNo"/>
        </w:rPr>
        <w:t>24</w:t>
      </w:r>
      <w:r>
        <w:t>.</w:t>
      </w:r>
      <w:r>
        <w:tab/>
        <w:t>Various references to “Minister” changed to “Authority”</w:t>
      </w:r>
      <w:bookmarkEnd w:id="609"/>
      <w:bookmarkEnd w:id="610"/>
      <w:bookmarkEnd w:id="611"/>
      <w:bookmarkEnd w:id="612"/>
    </w:p>
    <w:p>
      <w:pPr>
        <w:pStyle w:val="ySubsection"/>
        <w:spacing w:before="120"/>
      </w:pPr>
      <w:r>
        <w:tab/>
      </w:r>
      <w:r>
        <w:tab/>
        <w:t xml:space="preserve">The provisions specified in the Table to this clause are amended by deleting “Minister”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outlineLvl w:val="0"/>
        <w:rPr>
          <w:b/>
        </w:rPr>
      </w:pPr>
      <w:r>
        <w:rPr>
          <w:b/>
        </w:rPr>
        <w:t>Table</w:t>
      </w:r>
    </w:p>
    <w:tbl>
      <w:tblPr>
        <w:tblW w:w="0" w:type="auto"/>
        <w:jc w:val="center"/>
        <w:tblLayout w:type="fixed"/>
        <w:tblLook w:val="0000" w:firstRow="0" w:lastRow="0" w:firstColumn="0" w:lastColumn="0" w:noHBand="0" w:noVBand="0"/>
      </w:tblPr>
      <w:tblGrid>
        <w:gridCol w:w="2940"/>
      </w:tblGrid>
      <w:tr>
        <w:trPr>
          <w:jc w:val="center"/>
        </w:trPr>
        <w:tc>
          <w:tcPr>
            <w:tcW w:w="2940" w:type="dxa"/>
          </w:tcPr>
          <w:p>
            <w:pPr>
              <w:pStyle w:val="yTable"/>
            </w:pPr>
            <w:r>
              <w:t>s. 11ZB(1), (2), (3) and (4)</w:t>
            </w:r>
          </w:p>
        </w:tc>
      </w:tr>
      <w:tr>
        <w:trPr>
          <w:jc w:val="center"/>
        </w:trPr>
        <w:tc>
          <w:tcPr>
            <w:tcW w:w="2940" w:type="dxa"/>
          </w:tcPr>
          <w:p>
            <w:pPr>
              <w:pStyle w:val="yTable"/>
            </w:pPr>
            <w:r>
              <w:t>s. 11ZC</w:t>
            </w:r>
          </w:p>
        </w:tc>
      </w:tr>
      <w:tr>
        <w:trPr>
          <w:jc w:val="center"/>
        </w:trPr>
        <w:tc>
          <w:tcPr>
            <w:tcW w:w="2940" w:type="dxa"/>
          </w:tcPr>
          <w:p>
            <w:pPr>
              <w:pStyle w:val="yTable"/>
            </w:pPr>
            <w:r>
              <w:t>s. 11ZD</w:t>
            </w:r>
          </w:p>
        </w:tc>
      </w:tr>
    </w:tbl>
    <w:p>
      <w:pPr>
        <w:pStyle w:val="yHeading3"/>
        <w:outlineLvl w:val="9"/>
      </w:pPr>
      <w:bookmarkStart w:id="613" w:name="_Toc131588023"/>
      <w:bookmarkStart w:id="614" w:name="_Toc139347190"/>
      <w:bookmarkStart w:id="615" w:name="_Toc139700777"/>
      <w:bookmarkStart w:id="616" w:name="_Toc157849860"/>
      <w:bookmarkStart w:id="617" w:name="_Toc196119856"/>
      <w:r>
        <w:rPr>
          <w:rStyle w:val="CharSDivNo"/>
        </w:rPr>
        <w:t>Division 5</w:t>
      </w:r>
      <w:r>
        <w:t xml:space="preserve"> — </w:t>
      </w:r>
      <w:r>
        <w:rPr>
          <w:rStyle w:val="CharSDivText"/>
          <w:i/>
        </w:rPr>
        <w:t>Financial Administration and Audit Act 1985</w:t>
      </w:r>
      <w:bookmarkEnd w:id="530"/>
      <w:bookmarkEnd w:id="613"/>
      <w:bookmarkEnd w:id="614"/>
      <w:bookmarkEnd w:id="615"/>
      <w:bookmarkEnd w:id="616"/>
      <w:bookmarkEnd w:id="617"/>
    </w:p>
    <w:p>
      <w:pPr>
        <w:pStyle w:val="yHeading5"/>
        <w:outlineLvl w:val="0"/>
      </w:pPr>
      <w:bookmarkStart w:id="618" w:name="_Toc58032061"/>
      <w:bookmarkStart w:id="619" w:name="_Toc131588024"/>
      <w:bookmarkStart w:id="620" w:name="_Toc196119857"/>
      <w:bookmarkStart w:id="621" w:name="_Toc157849861"/>
      <w:r>
        <w:rPr>
          <w:rStyle w:val="CharSClsNo"/>
        </w:rPr>
        <w:t>25</w:t>
      </w:r>
      <w:r>
        <w:t>.</w:t>
      </w:r>
      <w:r>
        <w:tab/>
        <w:t>The Act amended</w:t>
      </w:r>
      <w:bookmarkEnd w:id="618"/>
      <w:bookmarkEnd w:id="619"/>
      <w:bookmarkEnd w:id="620"/>
      <w:bookmarkEnd w:id="621"/>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ind w:left="1134" w:hanging="1134"/>
        <w:rPr>
          <w:sz w:val="22"/>
        </w:rPr>
      </w:pPr>
      <w:r>
        <w:rPr>
          <w:sz w:val="22"/>
        </w:rPr>
        <w:tab/>
        <w:t>[*</w:t>
      </w:r>
      <w:r>
        <w:rPr>
          <w:sz w:val="22"/>
        </w:rPr>
        <w:tab/>
      </w:r>
      <w:r>
        <w:rPr>
          <w:i/>
          <w:sz w:val="22"/>
        </w:rPr>
        <w:t>Reprinted as at 16 September 2002.</w:t>
      </w:r>
    </w:p>
    <w:p>
      <w:pPr>
        <w:pStyle w:val="Subsection"/>
        <w:tabs>
          <w:tab w:val="clear" w:pos="595"/>
          <w:tab w:val="left" w:pos="1134"/>
        </w:tabs>
        <w:spacing w:before="0"/>
        <w:ind w:left="1134" w:hanging="1134"/>
        <w:rPr>
          <w:i/>
          <w:sz w:val="22"/>
        </w:rPr>
      </w:pPr>
      <w:r>
        <w:rPr>
          <w:i/>
          <w:sz w:val="22"/>
        </w:rPr>
        <w:tab/>
      </w:r>
      <w:r>
        <w:rPr>
          <w:i/>
          <w:sz w:val="22"/>
        </w:rPr>
        <w:tab/>
        <w:t>For subsequent amendments see Act No. 30 of 2002.</w:t>
      </w:r>
      <w:r>
        <w:rPr>
          <w:sz w:val="22"/>
        </w:rPr>
        <w:t>]</w:t>
      </w:r>
    </w:p>
    <w:p>
      <w:pPr>
        <w:pStyle w:val="yHeading5"/>
        <w:outlineLvl w:val="0"/>
      </w:pPr>
      <w:bookmarkStart w:id="622" w:name="_Toc58032062"/>
      <w:bookmarkStart w:id="623" w:name="_Toc131588025"/>
      <w:bookmarkStart w:id="624" w:name="_Toc196119858"/>
      <w:bookmarkStart w:id="625" w:name="_Toc157849862"/>
      <w:r>
        <w:rPr>
          <w:rStyle w:val="CharSClsNo"/>
        </w:rPr>
        <w:t>26</w:t>
      </w:r>
      <w:r>
        <w:t>.</w:t>
      </w:r>
      <w:r>
        <w:tab/>
        <w:t>Schedule 1 amended</w:t>
      </w:r>
      <w:bookmarkEnd w:id="622"/>
      <w:bookmarkEnd w:id="623"/>
      <w:bookmarkEnd w:id="624"/>
      <w:bookmarkEnd w:id="625"/>
    </w:p>
    <w:p>
      <w:pPr>
        <w:pStyle w:val="ySubsection"/>
      </w:pPr>
      <w:r>
        <w:tab/>
      </w:r>
      <w:r>
        <w:tab/>
        <w:t>Schedule 1 is amended as follows:</w:t>
      </w:r>
    </w:p>
    <w:p>
      <w:pPr>
        <w:pStyle w:val="yIndenta"/>
      </w:pPr>
      <w:r>
        <w:tab/>
        <w:t>(a)</w:t>
      </w:r>
      <w:r>
        <w:tab/>
        <w:t xml:space="preserve">by inserting in the appropriate alphabetical position — </w:t>
      </w:r>
    </w:p>
    <w:p>
      <w:pPr>
        <w:pStyle w:val="yIndenta"/>
      </w:pPr>
      <w:r>
        <w:tab/>
      </w:r>
      <w:r>
        <w:tab/>
        <w:t>“    Economic Regulation Authority    ”;</w:t>
      </w:r>
    </w:p>
    <w:p>
      <w:pPr>
        <w:pStyle w:val="yIndenta"/>
      </w:pPr>
      <w:r>
        <w:tab/>
        <w:t>(b)</w:t>
      </w:r>
      <w:r>
        <w:tab/>
        <w:t>by deleting “Western Australian Independent Gas Pipelines Access Regulator” and “Western Australian Independent Rail Access Regulator”.</w:t>
      </w:r>
    </w:p>
    <w:p>
      <w:pPr>
        <w:pStyle w:val="yHeading3"/>
        <w:outlineLvl w:val="0"/>
        <w:rPr>
          <w:rStyle w:val="CharDivText"/>
          <w:i/>
        </w:rPr>
      </w:pPr>
      <w:bookmarkStart w:id="626" w:name="_Toc58032063"/>
      <w:bookmarkStart w:id="627" w:name="_Toc131588026"/>
      <w:bookmarkStart w:id="628" w:name="_Toc139347193"/>
      <w:bookmarkStart w:id="629" w:name="_Toc139700780"/>
      <w:bookmarkStart w:id="630" w:name="_Toc157849863"/>
      <w:bookmarkStart w:id="631" w:name="_Toc196119859"/>
      <w:r>
        <w:rPr>
          <w:rStyle w:val="CharSDivNo"/>
        </w:rPr>
        <w:t>Division 6</w:t>
      </w:r>
      <w:r>
        <w:rPr>
          <w:b w:val="0"/>
        </w:rPr>
        <w:t> — </w:t>
      </w:r>
      <w:r>
        <w:rPr>
          <w:rStyle w:val="CharSDivText"/>
          <w:i/>
          <w:iCs/>
        </w:rPr>
        <w:t>Fire Brigades Act 1942</w:t>
      </w:r>
      <w:bookmarkEnd w:id="626"/>
      <w:bookmarkEnd w:id="627"/>
      <w:bookmarkEnd w:id="628"/>
      <w:bookmarkEnd w:id="629"/>
      <w:bookmarkEnd w:id="630"/>
      <w:bookmarkEnd w:id="631"/>
    </w:p>
    <w:p>
      <w:pPr>
        <w:pStyle w:val="yHeading5"/>
        <w:outlineLvl w:val="0"/>
      </w:pPr>
      <w:bookmarkStart w:id="632" w:name="_Toc58032064"/>
      <w:bookmarkStart w:id="633" w:name="_Toc131588027"/>
      <w:bookmarkStart w:id="634" w:name="_Toc196119860"/>
      <w:bookmarkStart w:id="635" w:name="_Toc157849864"/>
      <w:r>
        <w:rPr>
          <w:rStyle w:val="CharSClsNo"/>
        </w:rPr>
        <w:t>27</w:t>
      </w:r>
      <w:r>
        <w:t>.</w:t>
      </w:r>
      <w:r>
        <w:tab/>
        <w:t>The Act amended</w:t>
      </w:r>
      <w:bookmarkEnd w:id="632"/>
      <w:bookmarkEnd w:id="633"/>
      <w:bookmarkEnd w:id="634"/>
      <w:bookmarkEnd w:id="635"/>
    </w:p>
    <w:p>
      <w:pPr>
        <w:pStyle w:val="ySubsection"/>
      </w:pPr>
      <w:r>
        <w:tab/>
      </w:r>
      <w:r>
        <w:tab/>
        <w:t xml:space="preserve">The amendments in this Division are to the </w:t>
      </w:r>
      <w:r>
        <w:rPr>
          <w:i/>
        </w:rPr>
        <w:t>Fire Brigades Act 1942</w:t>
      </w:r>
      <w:r>
        <w:t>*.</w:t>
      </w:r>
    </w:p>
    <w:p>
      <w:pPr>
        <w:pStyle w:val="Subsection"/>
        <w:tabs>
          <w:tab w:val="clear" w:pos="595"/>
          <w:tab w:val="left" w:pos="1134"/>
        </w:tabs>
        <w:ind w:left="1134" w:hanging="1134"/>
        <w:rPr>
          <w:sz w:val="22"/>
        </w:rPr>
      </w:pPr>
      <w:r>
        <w:rPr>
          <w:sz w:val="22"/>
        </w:rPr>
        <w:tab/>
        <w:t>[*</w:t>
      </w:r>
      <w:r>
        <w:rPr>
          <w:sz w:val="22"/>
        </w:rPr>
        <w:tab/>
      </w:r>
      <w:r>
        <w:rPr>
          <w:i/>
          <w:sz w:val="22"/>
        </w:rPr>
        <w:t>Reprinted as at 18 February 2000.</w:t>
      </w:r>
    </w:p>
    <w:p>
      <w:pPr>
        <w:pStyle w:val="Subsection"/>
        <w:tabs>
          <w:tab w:val="clear" w:pos="595"/>
          <w:tab w:val="left" w:pos="1134"/>
        </w:tabs>
        <w:spacing w:before="0"/>
        <w:ind w:left="1134" w:hanging="1134"/>
        <w:rPr>
          <w:i/>
          <w:sz w:val="22"/>
        </w:rPr>
      </w:pPr>
      <w:r>
        <w:rPr>
          <w:i/>
          <w:sz w:val="22"/>
        </w:rPr>
        <w:tab/>
      </w:r>
      <w:r>
        <w:rPr>
          <w:i/>
          <w:sz w:val="22"/>
        </w:rPr>
        <w:tab/>
        <w:t>For subsequent amendments see Gazettes 28 March 2002 p. 1761</w:t>
      </w:r>
      <w:r>
        <w:rPr>
          <w:i/>
          <w:sz w:val="22"/>
        </w:rPr>
        <w:noBreakHyphen/>
        <w:t>2 and 6 September 2002 p. 4487-8.</w:t>
      </w:r>
      <w:r>
        <w:rPr>
          <w:sz w:val="22"/>
        </w:rPr>
        <w:t>]</w:t>
      </w:r>
    </w:p>
    <w:p>
      <w:pPr>
        <w:pStyle w:val="yHeading5"/>
        <w:outlineLvl w:val="0"/>
      </w:pPr>
      <w:bookmarkStart w:id="636" w:name="_Toc58032065"/>
      <w:bookmarkStart w:id="637" w:name="_Toc131588028"/>
      <w:bookmarkStart w:id="638" w:name="_Toc196119861"/>
      <w:bookmarkStart w:id="639" w:name="_Toc157849865"/>
      <w:r>
        <w:rPr>
          <w:rStyle w:val="CharSClsNo"/>
        </w:rPr>
        <w:t>28</w:t>
      </w:r>
      <w:r>
        <w:t>.</w:t>
      </w:r>
      <w:r>
        <w:tab/>
        <w:t>Section 54 amended</w:t>
      </w:r>
      <w:bookmarkEnd w:id="636"/>
      <w:bookmarkEnd w:id="637"/>
      <w:bookmarkEnd w:id="638"/>
      <w:bookmarkEnd w:id="639"/>
    </w:p>
    <w:p>
      <w:pPr>
        <w:pStyle w:val="ySubsection"/>
      </w:pPr>
      <w:r>
        <w:tab/>
      </w:r>
      <w:r>
        <w:tab/>
        <w:t>Section 54(3)(ca)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0"/>
      </w:pPr>
      <w:bookmarkStart w:id="640" w:name="_Toc58032066"/>
      <w:bookmarkStart w:id="641" w:name="_Toc131588029"/>
      <w:bookmarkStart w:id="642" w:name="_Toc139347196"/>
      <w:bookmarkStart w:id="643" w:name="_Toc139700783"/>
      <w:bookmarkStart w:id="644" w:name="_Toc157849866"/>
      <w:bookmarkStart w:id="645" w:name="_Toc196119862"/>
      <w:r>
        <w:rPr>
          <w:rStyle w:val="CharSDivNo"/>
        </w:rPr>
        <w:t>Division 7</w:t>
      </w:r>
      <w:r>
        <w:t xml:space="preserve"> — </w:t>
      </w:r>
      <w:r>
        <w:rPr>
          <w:rStyle w:val="CharSDivText"/>
          <w:i/>
        </w:rPr>
        <w:t>Freedom of Information Act 1992</w:t>
      </w:r>
      <w:bookmarkEnd w:id="640"/>
      <w:bookmarkEnd w:id="641"/>
      <w:bookmarkEnd w:id="642"/>
      <w:bookmarkEnd w:id="643"/>
      <w:bookmarkEnd w:id="644"/>
      <w:bookmarkEnd w:id="645"/>
    </w:p>
    <w:p>
      <w:pPr>
        <w:pStyle w:val="yHeading5"/>
        <w:outlineLvl w:val="0"/>
      </w:pPr>
      <w:bookmarkStart w:id="646" w:name="_Toc58032067"/>
      <w:bookmarkStart w:id="647" w:name="_Toc131588030"/>
      <w:bookmarkStart w:id="648" w:name="_Toc196119863"/>
      <w:bookmarkStart w:id="649" w:name="_Toc157849867"/>
      <w:r>
        <w:rPr>
          <w:rStyle w:val="CharSClsNo"/>
        </w:rPr>
        <w:t>29</w:t>
      </w:r>
      <w:r>
        <w:t>.</w:t>
      </w:r>
      <w:r>
        <w:tab/>
        <w:t>The Act amended</w:t>
      </w:r>
      <w:bookmarkEnd w:id="646"/>
      <w:bookmarkEnd w:id="647"/>
      <w:bookmarkEnd w:id="648"/>
      <w:bookmarkEnd w:id="649"/>
    </w:p>
    <w:p>
      <w:pPr>
        <w:pStyle w:val="ySubsection"/>
      </w:pPr>
      <w:r>
        <w:tab/>
      </w:r>
      <w:r>
        <w:tab/>
        <w:t xml:space="preserve">The amendments in this Division are to the </w:t>
      </w:r>
      <w:r>
        <w:rPr>
          <w:i/>
        </w:rPr>
        <w:t>Freedom of Information Act 1992</w:t>
      </w:r>
      <w:r>
        <w:t>*.</w:t>
      </w:r>
    </w:p>
    <w:p>
      <w:pPr>
        <w:pStyle w:val="Subsection"/>
        <w:tabs>
          <w:tab w:val="clear" w:pos="595"/>
          <w:tab w:val="left" w:pos="1134"/>
        </w:tabs>
        <w:ind w:left="1134" w:hanging="1134"/>
        <w:rPr>
          <w:sz w:val="22"/>
        </w:rPr>
      </w:pPr>
      <w:r>
        <w:rPr>
          <w:sz w:val="22"/>
        </w:rPr>
        <w:tab/>
        <w:t>[*</w:t>
      </w:r>
      <w:r>
        <w:rPr>
          <w:sz w:val="22"/>
        </w:rPr>
        <w:tab/>
      </w:r>
      <w:r>
        <w:rPr>
          <w:i/>
          <w:sz w:val="22"/>
        </w:rPr>
        <w:t>Reprinted as at 3 March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144, and Act No. 21 of 2002.</w:t>
      </w:r>
      <w:r>
        <w:rPr>
          <w:sz w:val="22"/>
        </w:rPr>
        <w:t>]</w:t>
      </w:r>
    </w:p>
    <w:p>
      <w:pPr>
        <w:pStyle w:val="yHeading5"/>
        <w:outlineLvl w:val="0"/>
      </w:pPr>
      <w:bookmarkStart w:id="650" w:name="_Toc58032068"/>
      <w:bookmarkStart w:id="651" w:name="_Toc131588031"/>
      <w:bookmarkStart w:id="652" w:name="_Toc196119864"/>
      <w:bookmarkStart w:id="653" w:name="_Toc157849868"/>
      <w:r>
        <w:rPr>
          <w:rStyle w:val="CharSClsNo"/>
        </w:rPr>
        <w:t>30</w:t>
      </w:r>
      <w:r>
        <w:t>.</w:t>
      </w:r>
      <w:r>
        <w:tab/>
        <w:t>Glossary amended</w:t>
      </w:r>
      <w:bookmarkEnd w:id="650"/>
      <w:bookmarkEnd w:id="651"/>
      <w:bookmarkEnd w:id="652"/>
      <w:bookmarkEnd w:id="653"/>
    </w:p>
    <w:p>
      <w:pPr>
        <w:pStyle w:val="ySubsection"/>
        <w:keepNext/>
        <w:keepLines/>
      </w:pPr>
      <w:r>
        <w:tab/>
        <w:t>(1)</w:t>
      </w:r>
      <w:r>
        <w:tab/>
        <w:t>Clause 7A(1) of the Glossary is amended as follows:</w:t>
      </w:r>
    </w:p>
    <w:p>
      <w:pPr>
        <w:pStyle w:val="yIndenta"/>
        <w:keepNext/>
        <w:keepLines/>
      </w:pPr>
      <w:r>
        <w:tab/>
        <w:t>(a)</w:t>
      </w:r>
      <w:r>
        <w:tab/>
        <w:t xml:space="preserve">by inserting before the definition of “arbitrator” the following definition — </w:t>
      </w:r>
    </w:p>
    <w:p>
      <w:pPr>
        <w:pStyle w:val="MiscOpen"/>
        <w:ind w:left="879"/>
      </w:pPr>
      <w:r>
        <w:t xml:space="preserve">“    </w:t>
      </w:r>
    </w:p>
    <w:p>
      <w:pPr>
        <w:pStyle w:val="zyDefstart"/>
        <w:spacing w:before="0"/>
      </w:pPr>
      <w:r>
        <w:tab/>
      </w:r>
      <w:r>
        <w:rPr>
          <w:b/>
        </w:rPr>
        <w:t>“access regulation functions”</w:t>
      </w:r>
      <w:r>
        <w:t xml:space="preserve"> means the functions referred to in section 36(1) of the </w:t>
      </w:r>
      <w:r>
        <w:rPr>
          <w:i/>
        </w:rPr>
        <w:t>Gas Pipelines Access (Western Australia) Act 1998</w:t>
      </w:r>
      <w:r>
        <w:t>;</w:t>
      </w:r>
    </w:p>
    <w:p>
      <w:pPr>
        <w:pStyle w:val="MiscClose"/>
      </w:pPr>
      <w:r>
        <w:t xml:space="preserve">    ”;</w:t>
      </w:r>
    </w:p>
    <w:p>
      <w:pPr>
        <w:pStyle w:val="yIndenta"/>
      </w:pPr>
      <w:r>
        <w:tab/>
        <w:t>(b)</w:t>
      </w:r>
      <w:r>
        <w:tab/>
        <w:t>by deleting the definition o</w:t>
      </w:r>
      <w:r>
        <w:rPr>
          <w:spacing w:val="40"/>
        </w:rPr>
        <w:t>f</w:t>
      </w:r>
      <w:r>
        <w:t xml:space="preserve"> “ “Boar</w:t>
      </w:r>
      <w:r>
        <w:rPr>
          <w:spacing w:val="40"/>
        </w:rPr>
        <w:t>d</w:t>
      </w:r>
      <w:r>
        <w:t>” and “Regulato</w:t>
      </w:r>
      <w:r>
        <w:rPr>
          <w:spacing w:val="40"/>
        </w:rPr>
        <w:t>r</w:t>
      </w:r>
      <w:r>
        <w:t>” </w:t>
      </w:r>
      <w:r>
        <w:rPr>
          <w:spacing w:val="40"/>
        </w:rPr>
        <w:t>”</w:t>
      </w:r>
      <w:r>
        <w:t xml:space="preserve"> and inserting the following definitions instead — </w:t>
      </w:r>
    </w:p>
    <w:p>
      <w:pPr>
        <w:pStyle w:val="MiscOpen"/>
        <w:ind w:left="879"/>
      </w:pPr>
      <w:r>
        <w:t xml:space="preserve">“    </w:t>
      </w:r>
    </w:p>
    <w:p>
      <w:pPr>
        <w:pStyle w:val="zyDefstart"/>
      </w:pPr>
      <w:r>
        <w:tab/>
      </w:r>
      <w:r>
        <w:rPr>
          <w:b/>
        </w:rPr>
        <w:t>“Authority”</w:t>
      </w:r>
      <w:r>
        <w:t xml:space="preserve"> means the Economic Regulation Authority established by the </w:t>
      </w:r>
      <w:r>
        <w:rPr>
          <w:i/>
        </w:rPr>
        <w:t>Economic Regulation Authority Act 2003</w:t>
      </w:r>
      <w:r>
        <w:t>;</w:t>
      </w:r>
    </w:p>
    <w:p>
      <w:pPr>
        <w:pStyle w:val="zyDefstart"/>
      </w:pPr>
      <w:r>
        <w:tab/>
      </w:r>
      <w:r>
        <w:rPr>
          <w:b/>
        </w:rPr>
        <w:t>“Board”</w:t>
      </w:r>
      <w:r>
        <w:t xml:space="preserve"> has the meaning given by section 49 of the </w:t>
      </w:r>
      <w:r>
        <w:rPr>
          <w:i/>
        </w:rPr>
        <w:t>Gas Pipelines Access (Western Australia) Act 1998.</w:t>
      </w:r>
    </w:p>
    <w:p>
      <w:pPr>
        <w:pStyle w:val="MiscClose"/>
      </w:pPr>
      <w:r>
        <w:t xml:space="preserve">    ”.</w:t>
      </w:r>
    </w:p>
    <w:p>
      <w:pPr>
        <w:pStyle w:val="ySubsection"/>
      </w:pPr>
      <w:r>
        <w:tab/>
        <w:t>(2)</w:t>
      </w:r>
      <w:r>
        <w:tab/>
        <w:t>Clause 7A(2) of the Glossary is amended as follows:</w:t>
      </w:r>
    </w:p>
    <w:p>
      <w:pPr>
        <w:pStyle w:val="yIndenta"/>
      </w:pPr>
      <w:r>
        <w:tab/>
        <w:t>(a)</w:t>
      </w:r>
      <w:r>
        <w:tab/>
        <w:t xml:space="preserve">in paragraphs (a) and (b) by deleting “Regulator” and inserting instead — </w:t>
      </w:r>
    </w:p>
    <w:p>
      <w:pPr>
        <w:pStyle w:val="MiscOpen"/>
        <w:ind w:left="1616"/>
      </w:pPr>
      <w:r>
        <w:t xml:space="preserve">“    </w:t>
      </w:r>
    </w:p>
    <w:p>
      <w:pPr>
        <w:pStyle w:val="zyIndenta"/>
        <w:spacing w:before="0"/>
      </w:pPr>
      <w:r>
        <w:tab/>
      </w:r>
      <w:r>
        <w:tab/>
        <w:t>Authority (because of its access regulation functions)</w:t>
      </w:r>
    </w:p>
    <w:p>
      <w:pPr>
        <w:pStyle w:val="MiscClose"/>
      </w:pPr>
      <w:r>
        <w:t xml:space="preserve">    ”;</w:t>
      </w:r>
    </w:p>
    <w:p>
      <w:pPr>
        <w:pStyle w:val="yIndenta"/>
      </w:pPr>
      <w:r>
        <w:tab/>
        <w:t>(b)</w:t>
      </w:r>
      <w:r>
        <w:tab/>
        <w:t xml:space="preserve">by deleting “Regulator” in the third and fourth places where it occurs and inserting instead — </w:t>
      </w:r>
    </w:p>
    <w:p>
      <w:pPr>
        <w:pStyle w:val="yIndenta"/>
      </w:pPr>
      <w:r>
        <w:tab/>
      </w:r>
      <w:r>
        <w:tab/>
        <w:t>“    Authority    ”.</w:t>
      </w:r>
    </w:p>
    <w:p>
      <w:pPr>
        <w:pStyle w:val="yHeading3"/>
        <w:spacing w:before="200"/>
        <w:outlineLvl w:val="0"/>
        <w:rPr>
          <w:rStyle w:val="CharDivText"/>
          <w:i/>
        </w:rPr>
      </w:pPr>
      <w:bookmarkStart w:id="654" w:name="_Toc58032069"/>
      <w:bookmarkStart w:id="655" w:name="_Toc131588032"/>
      <w:bookmarkStart w:id="656" w:name="_Toc139347199"/>
      <w:bookmarkStart w:id="657" w:name="_Toc139700786"/>
      <w:bookmarkStart w:id="658" w:name="_Toc157849869"/>
      <w:bookmarkStart w:id="659" w:name="_Toc196119865"/>
      <w:r>
        <w:rPr>
          <w:rStyle w:val="CharSDivNo"/>
        </w:rPr>
        <w:t>Division 8</w:t>
      </w:r>
      <w:r>
        <w:t xml:space="preserve"> — </w:t>
      </w:r>
      <w:r>
        <w:rPr>
          <w:rStyle w:val="CharSDivText"/>
          <w:i/>
          <w:iCs/>
        </w:rPr>
        <w:t>Gas Pipelines Access (Western Australia) Act 1998</w:t>
      </w:r>
      <w:bookmarkEnd w:id="654"/>
      <w:bookmarkEnd w:id="655"/>
      <w:bookmarkEnd w:id="656"/>
      <w:bookmarkEnd w:id="657"/>
      <w:bookmarkEnd w:id="658"/>
      <w:bookmarkEnd w:id="659"/>
    </w:p>
    <w:p>
      <w:pPr>
        <w:pStyle w:val="yHeading5"/>
        <w:spacing w:before="160"/>
        <w:outlineLvl w:val="0"/>
      </w:pPr>
      <w:bookmarkStart w:id="660" w:name="_Toc58032070"/>
      <w:bookmarkStart w:id="661" w:name="_Toc131588033"/>
      <w:bookmarkStart w:id="662" w:name="_Toc196119866"/>
      <w:bookmarkStart w:id="663" w:name="_Toc157849870"/>
      <w:r>
        <w:rPr>
          <w:rStyle w:val="CharSClsNo"/>
        </w:rPr>
        <w:t>31</w:t>
      </w:r>
      <w:r>
        <w:t>.</w:t>
      </w:r>
      <w:r>
        <w:tab/>
        <w:t>The Act amended</w:t>
      </w:r>
      <w:bookmarkEnd w:id="660"/>
      <w:bookmarkEnd w:id="661"/>
      <w:bookmarkEnd w:id="662"/>
      <w:bookmarkEnd w:id="663"/>
    </w:p>
    <w:p>
      <w:pPr>
        <w:pStyle w:val="ySubsection"/>
        <w:keepNext/>
        <w:keepLines/>
        <w:rPr>
          <w:i/>
        </w:rPr>
      </w:pPr>
      <w:r>
        <w:tab/>
      </w:r>
      <w:r>
        <w:tab/>
        <w:t xml:space="preserve">The amendments in this Division are to the </w:t>
      </w:r>
      <w:r>
        <w:rPr>
          <w:i/>
        </w:rPr>
        <w:t>Gas Pipelines Access (Western Australia) Act 1998*.</w:t>
      </w:r>
    </w:p>
    <w:p>
      <w:pPr>
        <w:pStyle w:val="Subsection"/>
        <w:tabs>
          <w:tab w:val="clear" w:pos="595"/>
          <w:tab w:val="left" w:pos="1134"/>
        </w:tabs>
        <w:ind w:left="1134" w:hanging="1134"/>
        <w:rPr>
          <w:sz w:val="22"/>
        </w:rPr>
      </w:pPr>
      <w:r>
        <w:rPr>
          <w:sz w:val="22"/>
        </w:rPr>
        <w:tab/>
        <w:t>[*</w:t>
      </w:r>
      <w:r>
        <w:rPr>
          <w:sz w:val="22"/>
        </w:rPr>
        <w:tab/>
      </w:r>
      <w:r>
        <w:rPr>
          <w:i/>
          <w:sz w:val="22"/>
        </w:rPr>
        <w:t>Reprinted as at 11 August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148.</w:t>
      </w:r>
      <w:r>
        <w:rPr>
          <w:sz w:val="22"/>
        </w:rPr>
        <w:t>]</w:t>
      </w:r>
    </w:p>
    <w:p>
      <w:pPr>
        <w:pStyle w:val="yHeading5"/>
        <w:spacing w:before="160"/>
        <w:outlineLvl w:val="0"/>
      </w:pPr>
      <w:bookmarkStart w:id="664" w:name="_Toc58032071"/>
      <w:bookmarkStart w:id="665" w:name="_Toc131588034"/>
      <w:bookmarkStart w:id="666" w:name="_Toc196119867"/>
      <w:bookmarkStart w:id="667" w:name="_Toc157849871"/>
      <w:r>
        <w:rPr>
          <w:rStyle w:val="CharSClsNo"/>
        </w:rPr>
        <w:t>32</w:t>
      </w:r>
      <w:r>
        <w:t>.</w:t>
      </w:r>
      <w:r>
        <w:tab/>
        <w:t>Long title amended</w:t>
      </w:r>
      <w:bookmarkEnd w:id="664"/>
      <w:bookmarkEnd w:id="665"/>
      <w:bookmarkEnd w:id="666"/>
      <w:bookmarkEnd w:id="667"/>
    </w:p>
    <w:p>
      <w:pPr>
        <w:pStyle w:val="ySubsection"/>
      </w:pPr>
      <w:r>
        <w:tab/>
      </w:r>
      <w:r>
        <w:tab/>
        <w:t xml:space="preserve">The long title is amended by deleting “to establish certain offices and a board for that purpose including” and inserting instead — </w:t>
      </w:r>
    </w:p>
    <w:p>
      <w:pPr>
        <w:pStyle w:val="MiscOpen"/>
        <w:ind w:left="879"/>
        <w:rPr>
          <w:sz w:val="22"/>
        </w:rPr>
      </w:pPr>
      <w:r>
        <w:rPr>
          <w:sz w:val="22"/>
        </w:rPr>
        <w:t xml:space="preserve">“    </w:t>
      </w:r>
    </w:p>
    <w:p>
      <w:pPr>
        <w:pStyle w:val="zLongTitle"/>
      </w:pPr>
      <w:r>
        <w:tab/>
        <w:t>for that purpose to establish a board and provide for</w:t>
      </w:r>
    </w:p>
    <w:p>
      <w:pPr>
        <w:pStyle w:val="MiscClose"/>
        <w:rPr>
          <w:sz w:val="22"/>
        </w:rPr>
      </w:pPr>
      <w:r>
        <w:rPr>
          <w:sz w:val="22"/>
        </w:rPr>
        <w:t xml:space="preserve">    ”.</w:t>
      </w:r>
    </w:p>
    <w:p>
      <w:pPr>
        <w:pStyle w:val="yHeading5"/>
        <w:outlineLvl w:val="0"/>
      </w:pPr>
      <w:bookmarkStart w:id="668" w:name="_Toc58032072"/>
      <w:bookmarkStart w:id="669" w:name="_Toc131588035"/>
      <w:bookmarkStart w:id="670" w:name="_Toc196119868"/>
      <w:bookmarkStart w:id="671" w:name="_Toc157849872"/>
      <w:r>
        <w:rPr>
          <w:rStyle w:val="CharSClsNo"/>
        </w:rPr>
        <w:t>33</w:t>
      </w:r>
      <w:r>
        <w:t>.</w:t>
      </w:r>
      <w:r>
        <w:tab/>
        <w:t>Section 11 amended</w:t>
      </w:r>
      <w:bookmarkEnd w:id="668"/>
      <w:bookmarkEnd w:id="669"/>
      <w:bookmarkEnd w:id="670"/>
      <w:bookmarkEnd w:id="671"/>
    </w:p>
    <w:p>
      <w:pPr>
        <w:pStyle w:val="ySubsection"/>
      </w:pPr>
      <w:r>
        <w:tab/>
      </w:r>
      <w:r>
        <w:tab/>
        <w:t xml:space="preserve">Section 11 is amended by deleting the definition of “local Regulator” and inserting instead — </w:t>
      </w:r>
    </w:p>
    <w:p>
      <w:pPr>
        <w:pStyle w:val="MiscOpen"/>
        <w:ind w:left="879"/>
        <w:rPr>
          <w:sz w:val="22"/>
        </w:rPr>
      </w:pPr>
      <w:r>
        <w:rPr>
          <w:sz w:val="22"/>
        </w:rPr>
        <w:t xml:space="preserve">“    </w:t>
      </w:r>
    </w:p>
    <w:p>
      <w:pPr>
        <w:pStyle w:val="zDefstart"/>
        <w:spacing w:before="0"/>
      </w:pPr>
      <w:r>
        <w:tab/>
      </w:r>
      <w:r>
        <w:rPr>
          <w:b/>
        </w:rPr>
        <w:t>“local Regulator”</w:t>
      </w:r>
      <w:r>
        <w:t xml:space="preserve"> means the Economic Regulation Authority established by the </w:t>
      </w:r>
      <w:r>
        <w:rPr>
          <w:i/>
        </w:rPr>
        <w:t>Economic Regulation Authority Act 2003</w:t>
      </w:r>
      <w:r>
        <w:t>;</w:t>
      </w:r>
    </w:p>
    <w:p>
      <w:pPr>
        <w:pStyle w:val="MiscClose"/>
        <w:rPr>
          <w:sz w:val="22"/>
        </w:rPr>
      </w:pPr>
      <w:r>
        <w:rPr>
          <w:sz w:val="22"/>
        </w:rPr>
        <w:t xml:space="preserve">    ”.</w:t>
      </w:r>
    </w:p>
    <w:p>
      <w:pPr>
        <w:pStyle w:val="yHeading5"/>
        <w:outlineLvl w:val="0"/>
      </w:pPr>
      <w:bookmarkStart w:id="672" w:name="_Toc58032073"/>
      <w:bookmarkStart w:id="673" w:name="_Toc131588036"/>
      <w:bookmarkStart w:id="674" w:name="_Toc196119869"/>
      <w:bookmarkStart w:id="675" w:name="_Toc157849873"/>
      <w:r>
        <w:rPr>
          <w:rStyle w:val="CharSClsNo"/>
        </w:rPr>
        <w:t>34</w:t>
      </w:r>
      <w:r>
        <w:t>.</w:t>
      </w:r>
      <w:r>
        <w:tab/>
        <w:t>Section 19 amended</w:t>
      </w:r>
      <w:bookmarkEnd w:id="672"/>
      <w:bookmarkEnd w:id="673"/>
      <w:bookmarkEnd w:id="674"/>
      <w:bookmarkEnd w:id="675"/>
    </w:p>
    <w:p>
      <w:pPr>
        <w:pStyle w:val="ySubsection"/>
      </w:pPr>
      <w:r>
        <w:tab/>
      </w:r>
      <w:r>
        <w:tab/>
        <w:t>Section 19 is amended as follows:</w:t>
      </w:r>
    </w:p>
    <w:p>
      <w:pPr>
        <w:pStyle w:val="yIndenta"/>
      </w:pPr>
      <w:r>
        <w:tab/>
        <w:t>(a)</w:t>
      </w:r>
      <w:r>
        <w:tab/>
        <w:t xml:space="preserve">by deleting paragraph (b) and inserting the following paragraph instead — </w:t>
      </w:r>
    </w:p>
    <w:p>
      <w:pPr>
        <w:pStyle w:val="MiscOpen"/>
        <w:ind w:left="1332"/>
      </w:pPr>
      <w:r>
        <w:t xml:space="preserve">“    </w:t>
      </w:r>
    </w:p>
    <w:p>
      <w:pPr>
        <w:pStyle w:val="zIndenta"/>
        <w:spacing w:before="0"/>
      </w:pPr>
      <w:r>
        <w:tab/>
        <w:t>(b)</w:t>
      </w:r>
      <w:r>
        <w:tab/>
        <w:t xml:space="preserve">the Economic Regulation Authority established by the </w:t>
      </w:r>
      <w:r>
        <w:rPr>
          <w:i/>
        </w:rPr>
        <w:t>Economic Regulation Authority Act 2003</w:t>
      </w:r>
      <w:r>
        <w:t>;</w:t>
      </w:r>
    </w:p>
    <w:p>
      <w:pPr>
        <w:pStyle w:val="MiscClose"/>
      </w:pPr>
      <w:r>
        <w:t xml:space="preserve">    ”;</w:t>
      </w:r>
    </w:p>
    <w:p>
      <w:pPr>
        <w:pStyle w:val="yIndenta"/>
        <w:keepNext/>
      </w:pPr>
      <w:r>
        <w:tab/>
        <w:t>(b)</w:t>
      </w:r>
      <w:r>
        <w:tab/>
        <w:t xml:space="preserve">by inserting after “the Minister,” — </w:t>
      </w:r>
    </w:p>
    <w:p>
      <w:pPr>
        <w:pStyle w:val="yIndenta"/>
      </w:pPr>
      <w:r>
        <w:tab/>
      </w:r>
      <w:r>
        <w:tab/>
        <w:t xml:space="preserve">“    </w:t>
      </w:r>
      <w:r>
        <w:rPr>
          <w:sz w:val="24"/>
        </w:rPr>
        <w:t>Authority,</w:t>
      </w:r>
      <w:r>
        <w:t xml:space="preserve">    ”.</w:t>
      </w:r>
    </w:p>
    <w:p>
      <w:pPr>
        <w:pStyle w:val="yHeading5"/>
        <w:outlineLvl w:val="0"/>
      </w:pPr>
      <w:bookmarkStart w:id="676" w:name="_Toc58032074"/>
      <w:bookmarkStart w:id="677" w:name="_Toc131588037"/>
      <w:bookmarkStart w:id="678" w:name="_Toc196119870"/>
      <w:bookmarkStart w:id="679" w:name="_Toc157849874"/>
      <w:r>
        <w:rPr>
          <w:rStyle w:val="CharSClsNo"/>
        </w:rPr>
        <w:t>35</w:t>
      </w:r>
      <w:r>
        <w:t>.</w:t>
      </w:r>
      <w:r>
        <w:tab/>
        <w:t>Part 6 Division 1 Subdivision 1 heading deleted</w:t>
      </w:r>
      <w:bookmarkEnd w:id="676"/>
      <w:bookmarkEnd w:id="677"/>
      <w:bookmarkEnd w:id="678"/>
      <w:bookmarkEnd w:id="679"/>
    </w:p>
    <w:p>
      <w:pPr>
        <w:pStyle w:val="ySubsection"/>
      </w:pPr>
      <w:r>
        <w:tab/>
      </w:r>
      <w:r>
        <w:tab/>
        <w:t>The heading to Part 6 Division 1 Subdivision 1 is deleted.</w:t>
      </w:r>
    </w:p>
    <w:p>
      <w:pPr>
        <w:pStyle w:val="yHeading5"/>
        <w:outlineLvl w:val="0"/>
      </w:pPr>
      <w:bookmarkStart w:id="680" w:name="_Toc58032075"/>
      <w:bookmarkStart w:id="681" w:name="_Toc131588038"/>
      <w:bookmarkStart w:id="682" w:name="_Toc196119871"/>
      <w:bookmarkStart w:id="683" w:name="_Toc157849875"/>
      <w:r>
        <w:rPr>
          <w:rStyle w:val="CharSClsNo"/>
        </w:rPr>
        <w:t>36</w:t>
      </w:r>
      <w:r>
        <w:t>.</w:t>
      </w:r>
      <w:r>
        <w:tab/>
        <w:t>Section 26 amended</w:t>
      </w:r>
      <w:bookmarkEnd w:id="680"/>
      <w:bookmarkEnd w:id="681"/>
      <w:bookmarkEnd w:id="682"/>
      <w:bookmarkEnd w:id="683"/>
    </w:p>
    <w:p>
      <w:pPr>
        <w:pStyle w:val="ySubsection"/>
      </w:pPr>
      <w:r>
        <w:tab/>
      </w:r>
      <w:r>
        <w:tab/>
        <w:t xml:space="preserve">Section 26 is amended by deleting the definition of “Regulator” and inserting the following definition instead — </w:t>
      </w:r>
    </w:p>
    <w:p>
      <w:pPr>
        <w:pStyle w:val="MiscOpen"/>
        <w:ind w:left="879"/>
      </w:pPr>
      <w:r>
        <w:t xml:space="preserve">“    </w:t>
      </w:r>
    </w:p>
    <w:p>
      <w:pPr>
        <w:pStyle w:val="zDefstart"/>
        <w:spacing w:before="0"/>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684" w:name="_Toc58032076"/>
      <w:bookmarkStart w:id="685" w:name="_Toc131588039"/>
      <w:bookmarkStart w:id="686" w:name="_Toc196119872"/>
      <w:bookmarkStart w:id="687" w:name="_Toc157849876"/>
      <w:r>
        <w:rPr>
          <w:rStyle w:val="CharSClsNo"/>
        </w:rPr>
        <w:t>37</w:t>
      </w:r>
      <w:r>
        <w:t>.</w:t>
      </w:r>
      <w:r>
        <w:tab/>
        <w:t>Part 6 Division 1 Subdivision 2 repealed</w:t>
      </w:r>
      <w:bookmarkEnd w:id="684"/>
      <w:bookmarkEnd w:id="685"/>
      <w:bookmarkEnd w:id="686"/>
      <w:bookmarkEnd w:id="687"/>
    </w:p>
    <w:p>
      <w:pPr>
        <w:pStyle w:val="ySubsection"/>
      </w:pPr>
      <w:r>
        <w:tab/>
      </w:r>
      <w:r>
        <w:tab/>
        <w:t>Part 6 Division 1 Subdivision 2 is repealed.</w:t>
      </w:r>
    </w:p>
    <w:p>
      <w:pPr>
        <w:pStyle w:val="yHeading5"/>
        <w:outlineLvl w:val="0"/>
      </w:pPr>
      <w:bookmarkStart w:id="688" w:name="_Toc58032077"/>
      <w:bookmarkStart w:id="689" w:name="_Toc131588040"/>
      <w:bookmarkStart w:id="690" w:name="_Toc196119873"/>
      <w:bookmarkStart w:id="691" w:name="_Toc157849877"/>
      <w:r>
        <w:rPr>
          <w:rStyle w:val="CharSClsNo"/>
        </w:rPr>
        <w:t>38</w:t>
      </w:r>
      <w:r>
        <w:t>.</w:t>
      </w:r>
      <w:r>
        <w:tab/>
        <w:t>Part 6 Division 1 Subdivision 3 heading deleted</w:t>
      </w:r>
      <w:bookmarkEnd w:id="688"/>
      <w:bookmarkEnd w:id="689"/>
      <w:bookmarkEnd w:id="690"/>
      <w:bookmarkEnd w:id="691"/>
    </w:p>
    <w:p>
      <w:pPr>
        <w:pStyle w:val="ySubsection"/>
      </w:pPr>
      <w:r>
        <w:tab/>
      </w:r>
      <w:r>
        <w:tab/>
        <w:t>The heading to Part 6 Division 1 Subdivision 3 is deleted.</w:t>
      </w:r>
    </w:p>
    <w:p>
      <w:pPr>
        <w:pStyle w:val="yHeading5"/>
        <w:outlineLvl w:val="0"/>
      </w:pPr>
      <w:bookmarkStart w:id="692" w:name="_Toc58032078"/>
      <w:bookmarkStart w:id="693" w:name="_Toc131588041"/>
      <w:bookmarkStart w:id="694" w:name="_Toc196119874"/>
      <w:bookmarkStart w:id="695" w:name="_Toc157849878"/>
      <w:r>
        <w:rPr>
          <w:rStyle w:val="CharSClsNo"/>
        </w:rPr>
        <w:t>39</w:t>
      </w:r>
      <w:r>
        <w:t>.</w:t>
      </w:r>
      <w:r>
        <w:tab/>
        <w:t>Section 36 amended</w:t>
      </w:r>
      <w:bookmarkEnd w:id="692"/>
      <w:bookmarkEnd w:id="693"/>
      <w:bookmarkEnd w:id="694"/>
      <w:bookmarkEnd w:id="695"/>
    </w:p>
    <w:p>
      <w:pPr>
        <w:pStyle w:val="ySubsection"/>
      </w:pPr>
      <w:r>
        <w:tab/>
        <w:t>(1)</w:t>
      </w:r>
      <w:r>
        <w:tab/>
        <w:t xml:space="preserve">Section 36(1) is amended by deleting “Regulator” in the first place where it occurs and inserting instead — </w:t>
      </w:r>
    </w:p>
    <w:p>
      <w:pPr>
        <w:pStyle w:val="ySubsection"/>
      </w:pPr>
      <w:r>
        <w:tab/>
      </w:r>
      <w:r>
        <w:tab/>
        <w:t xml:space="preserve">“    </w:t>
      </w:r>
      <w:r>
        <w:rPr>
          <w:sz w:val="24"/>
        </w:rPr>
        <w:t>Authority</w:t>
      </w:r>
      <w:r>
        <w:t xml:space="preserve">    ”.</w:t>
      </w:r>
    </w:p>
    <w:p>
      <w:pPr>
        <w:pStyle w:val="ySubsection"/>
      </w:pPr>
      <w:r>
        <w:tab/>
        <w:t>(2)</w:t>
      </w:r>
      <w:r>
        <w:tab/>
        <w:t>Section 36(3) is repealed.</w:t>
      </w:r>
    </w:p>
    <w:p>
      <w:pPr>
        <w:pStyle w:val="ySubsection"/>
      </w:pPr>
      <w:r>
        <w:tab/>
        <w:t>(3)</w:t>
      </w:r>
      <w:r>
        <w:tab/>
        <w:t xml:space="preserve">Section 36(4) is amended by deleting “his or her functions the Regulator” and inserting instead — </w:t>
      </w:r>
    </w:p>
    <w:p>
      <w:pPr>
        <w:pStyle w:val="ySubsection"/>
        <w:rPr>
          <w:sz w:val="24"/>
        </w:rPr>
      </w:pPr>
      <w:r>
        <w:tab/>
      </w:r>
      <w:r>
        <w:tab/>
        <w:t xml:space="preserve">“    </w:t>
      </w:r>
      <w:r>
        <w:rPr>
          <w:sz w:val="24"/>
        </w:rPr>
        <w:t>its functions under subsection (1) the Authority</w:t>
      </w:r>
      <w:r>
        <w:t xml:space="preserve">    ”</w:t>
      </w:r>
      <w:r>
        <w:rPr>
          <w:sz w:val="24"/>
        </w:rPr>
        <w:t>.</w:t>
      </w:r>
    </w:p>
    <w:p>
      <w:pPr>
        <w:pStyle w:val="yHeading5"/>
        <w:outlineLvl w:val="0"/>
      </w:pPr>
      <w:bookmarkStart w:id="696" w:name="_Toc58032079"/>
      <w:bookmarkStart w:id="697" w:name="_Toc131588042"/>
      <w:bookmarkStart w:id="698" w:name="_Toc196119875"/>
      <w:bookmarkStart w:id="699" w:name="_Toc157849879"/>
      <w:r>
        <w:rPr>
          <w:rStyle w:val="CharSClsNo"/>
        </w:rPr>
        <w:t>40</w:t>
      </w:r>
      <w:r>
        <w:t>.</w:t>
      </w:r>
      <w:r>
        <w:tab/>
        <w:t>Section 37 repealed</w:t>
      </w:r>
      <w:bookmarkEnd w:id="696"/>
      <w:bookmarkEnd w:id="697"/>
      <w:bookmarkEnd w:id="698"/>
      <w:bookmarkEnd w:id="699"/>
    </w:p>
    <w:p>
      <w:pPr>
        <w:pStyle w:val="ySubsection"/>
      </w:pPr>
      <w:r>
        <w:tab/>
      </w:r>
      <w:r>
        <w:tab/>
        <w:t>Section 37 is repealed.</w:t>
      </w:r>
    </w:p>
    <w:p>
      <w:pPr>
        <w:pStyle w:val="yHeading5"/>
        <w:outlineLvl w:val="0"/>
      </w:pPr>
      <w:bookmarkStart w:id="700" w:name="_Toc58032080"/>
      <w:bookmarkStart w:id="701" w:name="_Toc131588043"/>
      <w:bookmarkStart w:id="702" w:name="_Toc196119876"/>
      <w:bookmarkStart w:id="703" w:name="_Toc157849880"/>
      <w:r>
        <w:rPr>
          <w:rStyle w:val="CharSClsNo"/>
        </w:rPr>
        <w:t>41</w:t>
      </w:r>
      <w:r>
        <w:t>.</w:t>
      </w:r>
      <w:r>
        <w:tab/>
        <w:t>Section 38 amended</w:t>
      </w:r>
      <w:bookmarkEnd w:id="700"/>
      <w:bookmarkEnd w:id="701"/>
      <w:bookmarkEnd w:id="702"/>
      <w:bookmarkEnd w:id="703"/>
    </w:p>
    <w:p>
      <w:pPr>
        <w:pStyle w:val="ySubsection"/>
      </w:pPr>
      <w:r>
        <w:tab/>
      </w:r>
      <w:r>
        <w:tab/>
        <w:t xml:space="preserve">Section 38(1)(a) and (2) are amended by deleting “Regulator” and inserting instead — </w:t>
      </w:r>
    </w:p>
    <w:p>
      <w:pPr>
        <w:pStyle w:val="ySubsection"/>
      </w:pPr>
      <w:r>
        <w:tab/>
      </w:r>
      <w:r>
        <w:tab/>
        <w:t xml:space="preserve">“    </w:t>
      </w:r>
      <w:r>
        <w:rPr>
          <w:sz w:val="24"/>
        </w:rPr>
        <w:t>Authority</w:t>
      </w:r>
      <w:r>
        <w:t xml:space="preserve">    ”.</w:t>
      </w:r>
    </w:p>
    <w:p>
      <w:pPr>
        <w:pStyle w:val="yHeading5"/>
        <w:outlineLvl w:val="0"/>
      </w:pPr>
      <w:bookmarkStart w:id="704" w:name="_Toc58032081"/>
      <w:bookmarkStart w:id="705" w:name="_Toc131588044"/>
      <w:bookmarkStart w:id="706" w:name="_Toc196119877"/>
      <w:bookmarkStart w:id="707" w:name="_Toc157849881"/>
      <w:r>
        <w:rPr>
          <w:rStyle w:val="CharSClsNo"/>
        </w:rPr>
        <w:t>42</w:t>
      </w:r>
      <w:r>
        <w:t>.</w:t>
      </w:r>
      <w:r>
        <w:tab/>
        <w:t>Sections 39, 40 and 41 repealed</w:t>
      </w:r>
      <w:bookmarkEnd w:id="704"/>
      <w:bookmarkEnd w:id="705"/>
      <w:bookmarkEnd w:id="706"/>
      <w:bookmarkEnd w:id="707"/>
    </w:p>
    <w:p>
      <w:pPr>
        <w:pStyle w:val="ySubsection"/>
      </w:pPr>
      <w:r>
        <w:tab/>
      </w:r>
      <w:r>
        <w:tab/>
        <w:t>Sections 39, 40 and 41 are repealed.</w:t>
      </w:r>
    </w:p>
    <w:p>
      <w:pPr>
        <w:pStyle w:val="yHeading5"/>
        <w:outlineLvl w:val="0"/>
      </w:pPr>
      <w:bookmarkStart w:id="708" w:name="_Toc58032082"/>
      <w:bookmarkStart w:id="709" w:name="_Toc131588045"/>
      <w:bookmarkStart w:id="710" w:name="_Toc196119878"/>
      <w:bookmarkStart w:id="711" w:name="_Toc157849882"/>
      <w:r>
        <w:rPr>
          <w:rStyle w:val="CharSClsNo"/>
        </w:rPr>
        <w:t>43</w:t>
      </w:r>
      <w:r>
        <w:t>.</w:t>
      </w:r>
      <w:r>
        <w:tab/>
        <w:t>Part 6 Division 1 Subdivisions 4, 5 and 6 repealed</w:t>
      </w:r>
      <w:bookmarkEnd w:id="708"/>
      <w:bookmarkEnd w:id="709"/>
      <w:bookmarkEnd w:id="710"/>
      <w:bookmarkEnd w:id="711"/>
    </w:p>
    <w:p>
      <w:pPr>
        <w:pStyle w:val="ySubsection"/>
      </w:pPr>
      <w:r>
        <w:tab/>
      </w:r>
      <w:r>
        <w:tab/>
        <w:t>Part 6 Division 1 Subdivisions 4, 5 and 6 are repealed.</w:t>
      </w:r>
    </w:p>
    <w:p>
      <w:pPr>
        <w:pStyle w:val="yHeading5"/>
        <w:outlineLvl w:val="0"/>
      </w:pPr>
      <w:bookmarkStart w:id="712" w:name="_Toc58032083"/>
      <w:bookmarkStart w:id="713" w:name="_Toc131588046"/>
      <w:bookmarkStart w:id="714" w:name="_Toc196119879"/>
      <w:bookmarkStart w:id="715" w:name="_Toc157849883"/>
      <w:r>
        <w:rPr>
          <w:rStyle w:val="CharSClsNo"/>
        </w:rPr>
        <w:t>44</w:t>
      </w:r>
      <w:r>
        <w:t>.</w:t>
      </w:r>
      <w:r>
        <w:tab/>
        <w:t>Section 76 amended</w:t>
      </w:r>
      <w:bookmarkEnd w:id="712"/>
      <w:bookmarkEnd w:id="713"/>
      <w:bookmarkEnd w:id="714"/>
      <w:bookmarkEnd w:id="715"/>
    </w:p>
    <w:p>
      <w:pPr>
        <w:pStyle w:val="ySubsection"/>
      </w:pPr>
      <w:r>
        <w:tab/>
      </w:r>
      <w:r>
        <w:tab/>
        <w:t xml:space="preserve">Section 76 is amended by deleting “Regulator.” and inserting instead — </w:t>
      </w:r>
    </w:p>
    <w:p>
      <w:pPr>
        <w:pStyle w:val="ySubsection"/>
      </w:pPr>
      <w:r>
        <w:tab/>
      </w:r>
      <w:r>
        <w:tab/>
        <w:t xml:space="preserve">“    </w:t>
      </w:r>
      <w:r>
        <w:rPr>
          <w:sz w:val="24"/>
        </w:rPr>
        <w:t>local Regulator as defined in section 11.</w:t>
      </w:r>
      <w:r>
        <w:t xml:space="preserve">    ”.</w:t>
      </w:r>
    </w:p>
    <w:p>
      <w:pPr>
        <w:pStyle w:val="yHeading5"/>
        <w:outlineLvl w:val="0"/>
      </w:pPr>
      <w:bookmarkStart w:id="716" w:name="_Toc58032084"/>
      <w:bookmarkStart w:id="717" w:name="_Toc131588047"/>
      <w:bookmarkStart w:id="718" w:name="_Toc196119880"/>
      <w:bookmarkStart w:id="719" w:name="_Toc157849884"/>
      <w:r>
        <w:rPr>
          <w:rStyle w:val="CharSClsNo"/>
        </w:rPr>
        <w:t>45</w:t>
      </w:r>
      <w:r>
        <w:t>.</w:t>
      </w:r>
      <w:r>
        <w:tab/>
        <w:t>Section 87 amended</w:t>
      </w:r>
      <w:bookmarkEnd w:id="716"/>
      <w:bookmarkEnd w:id="717"/>
      <w:bookmarkEnd w:id="718"/>
      <w:bookmarkEnd w:id="719"/>
    </w:p>
    <w:p>
      <w:pPr>
        <w:pStyle w:val="ySubsection"/>
      </w:pPr>
      <w:r>
        <w:tab/>
      </w:r>
      <w:r>
        <w:tab/>
        <w:t>Section 87(1) is amended by deleting “the Regulator,”.</w:t>
      </w:r>
    </w:p>
    <w:p>
      <w:pPr>
        <w:pStyle w:val="yHeading3"/>
        <w:outlineLvl w:val="0"/>
      </w:pPr>
      <w:bookmarkStart w:id="720" w:name="_Toc58032085"/>
      <w:bookmarkStart w:id="721" w:name="_Toc131588048"/>
      <w:bookmarkStart w:id="722" w:name="_Toc139347215"/>
      <w:bookmarkStart w:id="723" w:name="_Toc139700802"/>
      <w:bookmarkStart w:id="724" w:name="_Toc157849885"/>
      <w:bookmarkStart w:id="725" w:name="_Toc196119881"/>
      <w:r>
        <w:rPr>
          <w:rStyle w:val="CharSDivNo"/>
        </w:rPr>
        <w:t>Division 9</w:t>
      </w:r>
      <w:r>
        <w:t> — </w:t>
      </w:r>
      <w:r>
        <w:rPr>
          <w:rStyle w:val="CharSDivNo"/>
          <w:i/>
        </w:rPr>
        <w:t>Metropolitan Water Authority Act 1982</w:t>
      </w:r>
      <w:bookmarkEnd w:id="720"/>
      <w:bookmarkEnd w:id="721"/>
      <w:bookmarkEnd w:id="722"/>
      <w:bookmarkEnd w:id="723"/>
      <w:bookmarkEnd w:id="724"/>
      <w:bookmarkEnd w:id="725"/>
    </w:p>
    <w:p>
      <w:pPr>
        <w:pStyle w:val="yHeading5"/>
        <w:outlineLvl w:val="0"/>
      </w:pPr>
      <w:bookmarkStart w:id="726" w:name="_Toc58032086"/>
      <w:bookmarkStart w:id="727" w:name="_Toc131588049"/>
      <w:bookmarkStart w:id="728" w:name="_Toc196119882"/>
      <w:bookmarkStart w:id="729" w:name="_Toc157849886"/>
      <w:r>
        <w:rPr>
          <w:rStyle w:val="CharSClsNo"/>
        </w:rPr>
        <w:t>46</w:t>
      </w:r>
      <w:r>
        <w:t>.</w:t>
      </w:r>
      <w:r>
        <w:tab/>
        <w:t>The Act amended</w:t>
      </w:r>
      <w:bookmarkEnd w:id="726"/>
      <w:bookmarkEnd w:id="727"/>
      <w:bookmarkEnd w:id="728"/>
      <w:bookmarkEnd w:id="729"/>
    </w:p>
    <w:p>
      <w:pPr>
        <w:pStyle w:val="ySubsection"/>
        <w:rPr>
          <w:i/>
        </w:rPr>
      </w:pPr>
      <w:r>
        <w:tab/>
      </w:r>
      <w:r>
        <w:tab/>
        <w:t xml:space="preserve">The amendments in this Division are to the </w:t>
      </w:r>
      <w:r>
        <w:rPr>
          <w:i/>
        </w:rPr>
        <w:t>Metropolitan Water Authority Act 1982*.</w:t>
      </w:r>
    </w:p>
    <w:p>
      <w:pPr>
        <w:pStyle w:val="Subsection"/>
        <w:tabs>
          <w:tab w:val="clear" w:pos="595"/>
          <w:tab w:val="left" w:pos="1134"/>
        </w:tabs>
        <w:ind w:left="1134" w:hanging="1134"/>
        <w:rPr>
          <w:sz w:val="22"/>
        </w:rPr>
      </w:pPr>
      <w:r>
        <w:rPr>
          <w:sz w:val="22"/>
        </w:rPr>
        <w:tab/>
        <w:t>[*</w:t>
      </w:r>
      <w:r>
        <w:rPr>
          <w:sz w:val="22"/>
        </w:rPr>
        <w:tab/>
      </w:r>
      <w:r>
        <w:rPr>
          <w:i/>
          <w:sz w:val="22"/>
        </w:rPr>
        <w:t>Reprinted as at 21 January 2000.</w:t>
      </w:r>
      <w:r>
        <w:rPr>
          <w:sz w:val="22"/>
        </w:rPr>
        <w:t>]</w:t>
      </w:r>
    </w:p>
    <w:p>
      <w:pPr>
        <w:pStyle w:val="yHeading5"/>
        <w:outlineLvl w:val="0"/>
      </w:pPr>
      <w:bookmarkStart w:id="730" w:name="_Toc58032087"/>
      <w:bookmarkStart w:id="731" w:name="_Toc131588050"/>
      <w:bookmarkStart w:id="732" w:name="_Toc196119883"/>
      <w:bookmarkStart w:id="733" w:name="_Toc157849887"/>
      <w:r>
        <w:rPr>
          <w:rStyle w:val="CharSClsNo"/>
        </w:rPr>
        <w:t>47</w:t>
      </w:r>
      <w:r>
        <w:t>.</w:t>
      </w:r>
      <w:r>
        <w:tab/>
        <w:t>Section 4 amended</w:t>
      </w:r>
      <w:bookmarkEnd w:id="730"/>
      <w:bookmarkEnd w:id="731"/>
      <w:bookmarkEnd w:id="732"/>
      <w:bookmarkEnd w:id="733"/>
    </w:p>
    <w:p>
      <w:pPr>
        <w:pStyle w:val="ySubsection"/>
      </w:pPr>
      <w:r>
        <w:tab/>
      </w:r>
      <w:r>
        <w:tab/>
        <w:t>Section 4(1) is amended by deleting the definition of “Coordinator”.</w:t>
      </w:r>
    </w:p>
    <w:p>
      <w:pPr>
        <w:pStyle w:val="yHeading5"/>
        <w:outlineLvl w:val="0"/>
      </w:pPr>
      <w:bookmarkStart w:id="734" w:name="_Toc58032088"/>
      <w:bookmarkStart w:id="735" w:name="_Toc131588051"/>
      <w:bookmarkStart w:id="736" w:name="_Toc196119884"/>
      <w:bookmarkStart w:id="737" w:name="_Toc157849888"/>
      <w:r>
        <w:rPr>
          <w:rStyle w:val="CharSClsNo"/>
        </w:rPr>
        <w:t>48</w:t>
      </w:r>
      <w:r>
        <w:t>.</w:t>
      </w:r>
      <w:r>
        <w:tab/>
        <w:t>Section 5 amended</w:t>
      </w:r>
      <w:bookmarkEnd w:id="734"/>
      <w:bookmarkEnd w:id="735"/>
      <w:bookmarkEnd w:id="736"/>
      <w:bookmarkEnd w:id="737"/>
    </w:p>
    <w:p>
      <w:pPr>
        <w:pStyle w:val="ySubsection"/>
      </w:pPr>
      <w:r>
        <w:tab/>
      </w:r>
      <w:r>
        <w:tab/>
        <w:t>Section 5(2) is amended by deleting “, the Coordinator”.</w:t>
      </w:r>
    </w:p>
    <w:p>
      <w:pPr>
        <w:pStyle w:val="yHeading3"/>
        <w:outlineLvl w:val="0"/>
      </w:pPr>
      <w:bookmarkStart w:id="738" w:name="_Toc58032089"/>
      <w:bookmarkStart w:id="739" w:name="_Toc131588052"/>
      <w:bookmarkStart w:id="740" w:name="_Toc139347219"/>
      <w:bookmarkStart w:id="741" w:name="_Toc139700806"/>
      <w:bookmarkStart w:id="742" w:name="_Toc157849889"/>
      <w:bookmarkStart w:id="743" w:name="_Toc196119885"/>
      <w:r>
        <w:rPr>
          <w:rStyle w:val="CharSDivNo"/>
        </w:rPr>
        <w:t>Division 10</w:t>
      </w:r>
      <w:r>
        <w:t xml:space="preserve"> — </w:t>
      </w:r>
      <w:r>
        <w:rPr>
          <w:rStyle w:val="CharSDivText"/>
          <w:i/>
          <w:iCs/>
        </w:rPr>
        <w:t>Parliamentary Commissioner Act 1971</w:t>
      </w:r>
      <w:bookmarkEnd w:id="738"/>
      <w:bookmarkEnd w:id="739"/>
      <w:bookmarkEnd w:id="740"/>
      <w:bookmarkEnd w:id="741"/>
      <w:bookmarkEnd w:id="742"/>
      <w:bookmarkEnd w:id="743"/>
    </w:p>
    <w:p>
      <w:pPr>
        <w:pStyle w:val="yHeading5"/>
        <w:outlineLvl w:val="0"/>
      </w:pPr>
      <w:bookmarkStart w:id="744" w:name="_Toc58032090"/>
      <w:bookmarkStart w:id="745" w:name="_Toc131588053"/>
      <w:bookmarkStart w:id="746" w:name="_Toc196119886"/>
      <w:bookmarkStart w:id="747" w:name="_Toc157849890"/>
      <w:r>
        <w:rPr>
          <w:rStyle w:val="CharSClsNo"/>
        </w:rPr>
        <w:t>49</w:t>
      </w:r>
      <w:r>
        <w:t>.</w:t>
      </w:r>
      <w:r>
        <w:tab/>
        <w:t>The Act amended</w:t>
      </w:r>
      <w:bookmarkEnd w:id="744"/>
      <w:bookmarkEnd w:id="745"/>
      <w:bookmarkEnd w:id="746"/>
      <w:bookmarkEnd w:id="747"/>
    </w:p>
    <w:p>
      <w:pPr>
        <w:pStyle w:val="ySubsection"/>
        <w:rPr>
          <w:i/>
        </w:rPr>
      </w:pPr>
      <w:r>
        <w:tab/>
      </w:r>
      <w:r>
        <w:tab/>
        <w:t xml:space="preserve">The amendments in this Division are to the </w:t>
      </w:r>
      <w:r>
        <w:rPr>
          <w:i/>
        </w:rPr>
        <w:t>Parliamentary Commissioner Act 1971*.</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r>
        <w:rPr>
          <w:sz w:val="22"/>
        </w:rPr>
        <w:t>]</w:t>
      </w:r>
    </w:p>
    <w:p>
      <w:pPr>
        <w:pStyle w:val="yHeading5"/>
        <w:outlineLvl w:val="0"/>
      </w:pPr>
      <w:bookmarkStart w:id="748" w:name="_Toc58032091"/>
      <w:bookmarkStart w:id="749" w:name="_Toc131588054"/>
      <w:bookmarkStart w:id="750" w:name="_Toc196119887"/>
      <w:bookmarkStart w:id="751" w:name="_Toc157849891"/>
      <w:r>
        <w:rPr>
          <w:rStyle w:val="CharSClsNo"/>
        </w:rPr>
        <w:t>50</w:t>
      </w:r>
      <w:r>
        <w:t>.</w:t>
      </w:r>
      <w:r>
        <w:tab/>
        <w:t>Schedule 1 amended</w:t>
      </w:r>
      <w:bookmarkEnd w:id="748"/>
      <w:bookmarkEnd w:id="749"/>
      <w:bookmarkEnd w:id="750"/>
      <w:bookmarkEnd w:id="751"/>
    </w:p>
    <w:p>
      <w:pPr>
        <w:pStyle w:val="ySubsection"/>
      </w:pPr>
      <w:r>
        <w:tab/>
      </w:r>
      <w:r>
        <w:tab/>
        <w:t>Schedule 1 is amended as follows:</w:t>
      </w:r>
    </w:p>
    <w:p>
      <w:pPr>
        <w:pStyle w:val="yIndenta"/>
      </w:pPr>
      <w:r>
        <w:tab/>
        <w:t>(a)</w:t>
      </w:r>
      <w:r>
        <w:tab/>
        <w:t xml:space="preserve">by inserting after the item relating to the Director of Public Prosecutions the following item — </w:t>
      </w:r>
    </w:p>
    <w:p>
      <w:pPr>
        <w:pStyle w:val="MiscOpen"/>
        <w:ind w:left="1616"/>
      </w:pPr>
      <w:r>
        <w:t xml:space="preserve">“    </w:t>
      </w:r>
    </w:p>
    <w:p>
      <w:pPr>
        <w:pStyle w:val="zyIndenta"/>
        <w:spacing w:before="0"/>
      </w:pPr>
      <w:r>
        <w:tab/>
      </w:r>
      <w:r>
        <w:tab/>
        <w:t xml:space="preserve">The Economic Regulation Authority established by the </w:t>
      </w:r>
      <w:r>
        <w:rPr>
          <w:i/>
        </w:rPr>
        <w:t>Economic Regulation Authority Act 2003</w:t>
      </w:r>
      <w:r>
        <w:t xml:space="preserve"> to the extent of its functions referred to in section 36(1) of the </w:t>
      </w:r>
      <w:r>
        <w:rPr>
          <w:i/>
        </w:rPr>
        <w:t>Gas Pipelines Access (Western Australia) Act 1998</w:t>
      </w:r>
      <w:r>
        <w:t xml:space="preserve"> and section 20(1) of the </w:t>
      </w:r>
      <w:r>
        <w:rPr>
          <w:i/>
        </w:rPr>
        <w:t>Railways (Access) Act 1998</w:t>
      </w:r>
      <w:r>
        <w:t>.</w:t>
      </w:r>
    </w:p>
    <w:p>
      <w:pPr>
        <w:pStyle w:val="MiscClose"/>
      </w:pPr>
      <w:r>
        <w:t xml:space="preserve">    ”;</w:t>
      </w:r>
    </w:p>
    <w:p>
      <w:pPr>
        <w:pStyle w:val="yIndenta"/>
      </w:pPr>
      <w:r>
        <w:tab/>
        <w:t>(b)</w:t>
      </w:r>
      <w:r>
        <w:tab/>
        <w:t>by deleting the items relating to the Western Australian Independent Gas Pipelines Access Regulator and the Western Australian Independent Rail Access Regulator.</w:t>
      </w:r>
    </w:p>
    <w:p>
      <w:pPr>
        <w:pStyle w:val="yHeading3"/>
        <w:outlineLvl w:val="0"/>
        <w:rPr>
          <w:rStyle w:val="CharDivText"/>
          <w:b w:val="0"/>
        </w:rPr>
      </w:pPr>
      <w:bookmarkStart w:id="752" w:name="_Toc58032092"/>
      <w:bookmarkStart w:id="753" w:name="_Toc131588055"/>
      <w:bookmarkStart w:id="754" w:name="_Toc139347222"/>
      <w:bookmarkStart w:id="755" w:name="_Toc139700809"/>
      <w:bookmarkStart w:id="756" w:name="_Toc157849892"/>
      <w:bookmarkStart w:id="757" w:name="_Toc196119888"/>
      <w:r>
        <w:rPr>
          <w:rStyle w:val="CharSDivNo"/>
        </w:rPr>
        <w:t>Division 11</w:t>
      </w:r>
      <w:r>
        <w:t xml:space="preserve"> — </w:t>
      </w:r>
      <w:r>
        <w:rPr>
          <w:rStyle w:val="CharSDivText"/>
          <w:i/>
        </w:rPr>
        <w:t>Public Sector Management Act 1994</w:t>
      </w:r>
      <w:bookmarkEnd w:id="752"/>
      <w:bookmarkEnd w:id="753"/>
      <w:bookmarkEnd w:id="754"/>
      <w:bookmarkEnd w:id="755"/>
      <w:bookmarkEnd w:id="756"/>
      <w:bookmarkEnd w:id="757"/>
    </w:p>
    <w:p>
      <w:pPr>
        <w:pStyle w:val="yHeading5"/>
        <w:outlineLvl w:val="0"/>
      </w:pPr>
      <w:bookmarkStart w:id="758" w:name="_Toc58032093"/>
      <w:bookmarkStart w:id="759" w:name="_Toc131588056"/>
      <w:bookmarkStart w:id="760" w:name="_Toc196119889"/>
      <w:bookmarkStart w:id="761" w:name="_Toc157849893"/>
      <w:r>
        <w:rPr>
          <w:rStyle w:val="CharSClsNo"/>
        </w:rPr>
        <w:t>51</w:t>
      </w:r>
      <w:r>
        <w:t>.</w:t>
      </w:r>
      <w:r>
        <w:tab/>
        <w:t>The Act amended</w:t>
      </w:r>
      <w:bookmarkEnd w:id="758"/>
      <w:bookmarkEnd w:id="759"/>
      <w:bookmarkEnd w:id="760"/>
      <w:bookmarkEnd w:id="761"/>
    </w:p>
    <w:p>
      <w:pPr>
        <w:pStyle w:val="ySubsection"/>
        <w:rPr>
          <w:i/>
        </w:rPr>
      </w:pPr>
      <w:r>
        <w:tab/>
      </w:r>
      <w:r>
        <w:tab/>
        <w:t xml:space="preserve">The amendment in this Division is to the </w:t>
      </w:r>
      <w:r>
        <w:rPr>
          <w:i/>
        </w:rPr>
        <w:t>Public Sector Management Act 1994*.</w:t>
      </w:r>
    </w:p>
    <w:p>
      <w:pPr>
        <w:pStyle w:val="Subsection"/>
        <w:tabs>
          <w:tab w:val="clear" w:pos="595"/>
          <w:tab w:val="left" w:pos="1134"/>
        </w:tabs>
        <w:ind w:left="1134" w:hanging="1134"/>
        <w:rPr>
          <w:sz w:val="22"/>
        </w:rPr>
      </w:pPr>
      <w:r>
        <w:rPr>
          <w:sz w:val="22"/>
        </w:rPr>
        <w:tab/>
        <w:t>[*</w:t>
      </w:r>
      <w:r>
        <w:rPr>
          <w:sz w:val="22"/>
        </w:rPr>
        <w:tab/>
      </w:r>
      <w:r>
        <w:rPr>
          <w:i/>
          <w:sz w:val="22"/>
        </w:rPr>
        <w:t>Reprinted as at 9 February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Acts Nos. 53 of 2000, 24 of 2001 and 20 of 2002.</w:t>
      </w:r>
      <w:r>
        <w:rPr>
          <w:sz w:val="22"/>
        </w:rPr>
        <w:t>]</w:t>
      </w:r>
    </w:p>
    <w:p>
      <w:pPr>
        <w:pStyle w:val="yHeading5"/>
        <w:outlineLvl w:val="0"/>
      </w:pPr>
      <w:bookmarkStart w:id="762" w:name="_Toc58032094"/>
      <w:bookmarkStart w:id="763" w:name="_Toc131588057"/>
      <w:bookmarkStart w:id="764" w:name="_Toc196119890"/>
      <w:bookmarkStart w:id="765" w:name="_Toc157849894"/>
      <w:r>
        <w:rPr>
          <w:rStyle w:val="CharSClsNo"/>
        </w:rPr>
        <w:t>52</w:t>
      </w:r>
      <w:r>
        <w:t>.</w:t>
      </w:r>
      <w:r>
        <w:tab/>
        <w:t>Schedule 2 amended</w:t>
      </w:r>
      <w:bookmarkEnd w:id="762"/>
      <w:bookmarkEnd w:id="763"/>
      <w:bookmarkEnd w:id="764"/>
      <w:bookmarkEnd w:id="765"/>
    </w:p>
    <w:p>
      <w:pPr>
        <w:pStyle w:val="ySubsection"/>
        <w:keepNext/>
      </w:pPr>
      <w:r>
        <w:tab/>
      </w:r>
      <w:r>
        <w:tab/>
        <w:t xml:space="preserve">After Schedule 2 item 10 the following item is inserted — </w:t>
      </w:r>
    </w:p>
    <w:p>
      <w:pPr>
        <w:pStyle w:val="MiscOpen"/>
        <w:spacing w:before="0"/>
      </w:pPr>
      <w:r>
        <w:t xml:space="preserve">“    </w:t>
      </w:r>
    </w:p>
    <w:p>
      <w:pPr>
        <w:pStyle w:val="yMiscellaneousHeading"/>
        <w:rPr>
          <w:b/>
        </w:rPr>
      </w:pPr>
      <w:r>
        <w:rPr>
          <w:b/>
        </w:rPr>
        <w:t xml:space="preserve">  </w:t>
      </w:r>
    </w:p>
    <w:tbl>
      <w:tblPr>
        <w:tblW w:w="0" w:type="auto"/>
        <w:tblInd w:w="959" w:type="dxa"/>
        <w:tblLayout w:type="fixed"/>
        <w:tblLook w:val="0000" w:firstRow="0" w:lastRow="0" w:firstColumn="0" w:lastColumn="0" w:noHBand="0" w:noVBand="0"/>
      </w:tblPr>
      <w:tblGrid>
        <w:gridCol w:w="850"/>
        <w:gridCol w:w="4253"/>
      </w:tblGrid>
      <w:tr>
        <w:tc>
          <w:tcPr>
            <w:tcW w:w="850" w:type="dxa"/>
          </w:tcPr>
          <w:p>
            <w:pPr>
              <w:pStyle w:val="yTable"/>
              <w:keepNext/>
            </w:pPr>
            <w:r>
              <w:t>10AA</w:t>
            </w:r>
          </w:p>
        </w:tc>
        <w:tc>
          <w:tcPr>
            <w:tcW w:w="4253" w:type="dxa"/>
          </w:tcPr>
          <w:p>
            <w:pPr>
              <w:pStyle w:val="yTable"/>
              <w:keepNext/>
            </w:pPr>
            <w:r>
              <w:t xml:space="preserve">Economic Regulation Authority, established under the </w:t>
            </w:r>
            <w:r>
              <w:rPr>
                <w:i/>
              </w:rPr>
              <w:t>Economic Regulation Authority Act 2003</w:t>
            </w:r>
            <w:r>
              <w:t>.</w:t>
            </w:r>
          </w:p>
        </w:tc>
      </w:tr>
    </w:tbl>
    <w:p>
      <w:pPr>
        <w:pStyle w:val="MiscClose"/>
      </w:pPr>
      <w:r>
        <w:t xml:space="preserve">    ”.</w:t>
      </w:r>
    </w:p>
    <w:p>
      <w:pPr>
        <w:pStyle w:val="yHeading3"/>
        <w:outlineLvl w:val="0"/>
        <w:rPr>
          <w:rStyle w:val="CharDivText"/>
          <w:i/>
        </w:rPr>
      </w:pPr>
      <w:bookmarkStart w:id="766" w:name="_Toc58032095"/>
      <w:bookmarkStart w:id="767" w:name="_Toc131588058"/>
      <w:bookmarkStart w:id="768" w:name="_Toc139347225"/>
      <w:bookmarkStart w:id="769" w:name="_Toc139700812"/>
      <w:bookmarkStart w:id="770" w:name="_Toc157849895"/>
      <w:bookmarkStart w:id="771" w:name="_Toc196119891"/>
      <w:r>
        <w:rPr>
          <w:rStyle w:val="CharSDivNo"/>
        </w:rPr>
        <w:t>Division 12</w:t>
      </w:r>
      <w:r>
        <w:t xml:space="preserve"> — </w:t>
      </w:r>
      <w:r>
        <w:rPr>
          <w:rStyle w:val="CharSDivText"/>
          <w:i/>
          <w:iCs/>
        </w:rPr>
        <w:t>Railways (Access) Act 1998</w:t>
      </w:r>
      <w:bookmarkEnd w:id="766"/>
      <w:bookmarkEnd w:id="767"/>
      <w:bookmarkEnd w:id="768"/>
      <w:bookmarkEnd w:id="769"/>
      <w:bookmarkEnd w:id="770"/>
      <w:bookmarkEnd w:id="771"/>
    </w:p>
    <w:p>
      <w:pPr>
        <w:pStyle w:val="yHeading5"/>
        <w:outlineLvl w:val="0"/>
      </w:pPr>
      <w:bookmarkStart w:id="772" w:name="_Toc58032096"/>
      <w:bookmarkStart w:id="773" w:name="_Toc131588059"/>
      <w:bookmarkStart w:id="774" w:name="_Toc196119892"/>
      <w:bookmarkStart w:id="775" w:name="_Toc157849896"/>
      <w:r>
        <w:rPr>
          <w:rStyle w:val="CharSClsNo"/>
        </w:rPr>
        <w:t>53</w:t>
      </w:r>
      <w:r>
        <w:t>.</w:t>
      </w:r>
      <w:r>
        <w:tab/>
        <w:t>The Act amended</w:t>
      </w:r>
      <w:bookmarkEnd w:id="772"/>
      <w:bookmarkEnd w:id="773"/>
      <w:bookmarkEnd w:id="774"/>
      <w:bookmarkEnd w:id="775"/>
    </w:p>
    <w:p>
      <w:pPr>
        <w:pStyle w:val="ySubsection"/>
        <w:spacing w:before="120"/>
        <w:rPr>
          <w:i/>
        </w:rPr>
      </w:pPr>
      <w:r>
        <w:tab/>
      </w:r>
      <w:r>
        <w:tab/>
        <w:t xml:space="preserve">The amendments in this Division are to the </w:t>
      </w:r>
      <w:r>
        <w:rPr>
          <w:i/>
        </w:rPr>
        <w:t>Railways (Access) Act 1998*.</w:t>
      </w:r>
    </w:p>
    <w:p>
      <w:pPr>
        <w:pStyle w:val="Subsection"/>
        <w:tabs>
          <w:tab w:val="clear" w:pos="595"/>
          <w:tab w:val="left" w:pos="1134"/>
        </w:tabs>
        <w:ind w:left="1134" w:hanging="1134"/>
        <w:rPr>
          <w:sz w:val="22"/>
        </w:rPr>
      </w:pPr>
      <w:r>
        <w:rPr>
          <w:sz w:val="22"/>
        </w:rPr>
        <w:tab/>
        <w:t>[*</w:t>
      </w:r>
      <w:r>
        <w:rPr>
          <w:sz w:val="22"/>
        </w:rPr>
        <w:tab/>
      </w:r>
      <w:r>
        <w:rPr>
          <w:i/>
          <w:sz w:val="22"/>
        </w:rPr>
        <w:t>Reprinted as at 12 October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0"/>
      </w:pPr>
      <w:bookmarkStart w:id="776" w:name="_Toc58032097"/>
      <w:bookmarkStart w:id="777" w:name="_Toc131588060"/>
      <w:bookmarkStart w:id="778" w:name="_Toc196119893"/>
      <w:bookmarkStart w:id="779" w:name="_Toc157849897"/>
      <w:r>
        <w:rPr>
          <w:rStyle w:val="CharSClsNo"/>
        </w:rPr>
        <w:t>54</w:t>
      </w:r>
      <w:r>
        <w:t>.</w:t>
      </w:r>
      <w:r>
        <w:tab/>
        <w:t>Long title amended</w:t>
      </w:r>
      <w:bookmarkEnd w:id="776"/>
      <w:bookmarkEnd w:id="777"/>
      <w:bookmarkEnd w:id="778"/>
      <w:bookmarkEnd w:id="779"/>
    </w:p>
    <w:p>
      <w:pPr>
        <w:pStyle w:val="ySubsection"/>
        <w:spacing w:before="120"/>
      </w:pPr>
      <w:r>
        <w:tab/>
      </w:r>
      <w:r>
        <w:tab/>
        <w:t xml:space="preserve">The long title is amended by deleting “establishing an office with” and inserting instead — </w:t>
      </w:r>
    </w:p>
    <w:p>
      <w:pPr>
        <w:pStyle w:val="ySubsection"/>
      </w:pPr>
      <w:r>
        <w:tab/>
      </w:r>
      <w:r>
        <w:tab/>
        <w:t xml:space="preserve">“    </w:t>
      </w:r>
      <w:r>
        <w:rPr>
          <w:b/>
          <w:sz w:val="24"/>
        </w:rPr>
        <w:t>conferring on the Economic Regulation Authority</w:t>
      </w:r>
      <w:r>
        <w:t xml:space="preserve">    ”.</w:t>
      </w:r>
    </w:p>
    <w:p>
      <w:pPr>
        <w:pStyle w:val="yHeading5"/>
        <w:outlineLvl w:val="0"/>
      </w:pPr>
      <w:bookmarkStart w:id="780" w:name="_Toc58032098"/>
      <w:bookmarkStart w:id="781" w:name="_Toc131588061"/>
      <w:bookmarkStart w:id="782" w:name="_Toc196119894"/>
      <w:bookmarkStart w:id="783" w:name="_Toc157849898"/>
      <w:r>
        <w:rPr>
          <w:rStyle w:val="CharSClsNo"/>
        </w:rPr>
        <w:t>55</w:t>
      </w:r>
      <w:r>
        <w:t>.</w:t>
      </w:r>
      <w:r>
        <w:tab/>
        <w:t>Section 3 amended</w:t>
      </w:r>
      <w:bookmarkEnd w:id="780"/>
      <w:bookmarkEnd w:id="781"/>
      <w:bookmarkEnd w:id="782"/>
      <w:bookmarkEnd w:id="783"/>
    </w:p>
    <w:p>
      <w:pPr>
        <w:pStyle w:val="ySubsection"/>
        <w:spacing w:before="120"/>
      </w:pPr>
      <w:r>
        <w:tab/>
      </w:r>
      <w:r>
        <w:tab/>
        <w:t xml:space="preserve">Section 3 is amended by deleting the definition of “Regulator” and inserting the following definition instead — </w:t>
      </w:r>
    </w:p>
    <w:p>
      <w:pPr>
        <w:pStyle w:val="MiscOpen"/>
        <w:ind w:left="879"/>
      </w:pPr>
      <w:r>
        <w:t xml:space="preserve">“    </w:t>
      </w:r>
    </w:p>
    <w:p>
      <w:pPr>
        <w:pStyle w:val="zDefstart"/>
        <w:spacing w:before="0"/>
      </w:pPr>
      <w:r>
        <w:tab/>
      </w:r>
      <w:r>
        <w:rPr>
          <w:b/>
        </w:rPr>
        <w:t>“Regulator”</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784" w:name="_Toc58032099"/>
      <w:bookmarkStart w:id="785" w:name="_Toc131588062"/>
      <w:bookmarkStart w:id="786" w:name="_Toc196119895"/>
      <w:bookmarkStart w:id="787" w:name="_Toc157849899"/>
      <w:r>
        <w:rPr>
          <w:rStyle w:val="CharSClsNo"/>
        </w:rPr>
        <w:t>56</w:t>
      </w:r>
      <w:r>
        <w:t>.</w:t>
      </w:r>
      <w:r>
        <w:tab/>
        <w:t>Part 3 Division 1 repealed</w:t>
      </w:r>
      <w:bookmarkEnd w:id="784"/>
      <w:bookmarkEnd w:id="785"/>
      <w:bookmarkEnd w:id="786"/>
      <w:bookmarkEnd w:id="787"/>
    </w:p>
    <w:p>
      <w:pPr>
        <w:pStyle w:val="ySubsection"/>
        <w:spacing w:before="120"/>
      </w:pPr>
      <w:r>
        <w:tab/>
      </w:r>
      <w:r>
        <w:tab/>
        <w:t>Part 3 Division 1 is repealed.</w:t>
      </w:r>
    </w:p>
    <w:p>
      <w:pPr>
        <w:pStyle w:val="yHeading5"/>
        <w:outlineLvl w:val="0"/>
      </w:pPr>
      <w:bookmarkStart w:id="788" w:name="_Toc58032100"/>
      <w:bookmarkStart w:id="789" w:name="_Toc131588063"/>
      <w:bookmarkStart w:id="790" w:name="_Toc196119896"/>
      <w:bookmarkStart w:id="791" w:name="_Toc157849900"/>
      <w:r>
        <w:rPr>
          <w:rStyle w:val="CharSClsNo"/>
        </w:rPr>
        <w:t>57</w:t>
      </w:r>
      <w:r>
        <w:t>.</w:t>
      </w:r>
      <w:r>
        <w:tab/>
        <w:t>Part 3 Division 2 heading deleted</w:t>
      </w:r>
      <w:bookmarkEnd w:id="788"/>
      <w:bookmarkEnd w:id="789"/>
      <w:bookmarkEnd w:id="790"/>
      <w:bookmarkEnd w:id="791"/>
    </w:p>
    <w:p>
      <w:pPr>
        <w:pStyle w:val="ySubsection"/>
      </w:pPr>
      <w:r>
        <w:tab/>
      </w:r>
      <w:r>
        <w:tab/>
        <w:t>The heading to Part 3 Division 2 is deleted.</w:t>
      </w:r>
    </w:p>
    <w:p>
      <w:pPr>
        <w:pStyle w:val="yHeading5"/>
        <w:outlineLvl w:val="0"/>
      </w:pPr>
      <w:bookmarkStart w:id="792" w:name="_Toc58032101"/>
      <w:bookmarkStart w:id="793" w:name="_Toc131588064"/>
      <w:bookmarkStart w:id="794" w:name="_Toc196119897"/>
      <w:bookmarkStart w:id="795" w:name="_Toc157849901"/>
      <w:r>
        <w:rPr>
          <w:rStyle w:val="CharSClsNo"/>
        </w:rPr>
        <w:t>58</w:t>
      </w:r>
      <w:r>
        <w:t>.</w:t>
      </w:r>
      <w:r>
        <w:tab/>
        <w:t>Section 20 amended</w:t>
      </w:r>
      <w:bookmarkEnd w:id="792"/>
      <w:bookmarkEnd w:id="793"/>
      <w:bookmarkEnd w:id="794"/>
      <w:bookmarkEnd w:id="795"/>
    </w:p>
    <w:p>
      <w:pPr>
        <w:pStyle w:val="ySubsection"/>
      </w:pPr>
      <w:r>
        <w:tab/>
        <w:t>(1)</w:t>
      </w:r>
      <w:r>
        <w:tab/>
        <w:t>Section 20(2)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by deleting “, and may do all things that are necessary or convenient to be done for or in connection with the performance of those functions”.</w:t>
      </w:r>
    </w:p>
    <w:p>
      <w:pPr>
        <w:pStyle w:val="ySubsection"/>
      </w:pPr>
      <w:r>
        <w:tab/>
        <w:t>(2)</w:t>
      </w:r>
      <w:r>
        <w:tab/>
        <w:t xml:space="preserve">Section 20(3) is amended by deleting “Division” and inserting instead — </w:t>
      </w:r>
    </w:p>
    <w:p>
      <w:pPr>
        <w:pStyle w:val="ySubsection"/>
      </w:pPr>
      <w:r>
        <w:tab/>
      </w:r>
      <w:r>
        <w:tab/>
        <w:t>“    Part    ”.</w:t>
      </w:r>
    </w:p>
    <w:p>
      <w:pPr>
        <w:pStyle w:val="yHeading5"/>
        <w:outlineLvl w:val="0"/>
      </w:pPr>
      <w:bookmarkStart w:id="796" w:name="_Toc58032102"/>
      <w:bookmarkStart w:id="797" w:name="_Toc131588065"/>
      <w:bookmarkStart w:id="798" w:name="_Toc196119898"/>
      <w:bookmarkStart w:id="799" w:name="_Toc157849902"/>
      <w:r>
        <w:rPr>
          <w:rStyle w:val="CharSClsNo"/>
        </w:rPr>
        <w:t>59</w:t>
      </w:r>
      <w:r>
        <w:t>.</w:t>
      </w:r>
      <w:r>
        <w:tab/>
        <w:t>Sections 20A, 20B and 20C repealed</w:t>
      </w:r>
      <w:bookmarkEnd w:id="796"/>
      <w:bookmarkEnd w:id="797"/>
      <w:bookmarkEnd w:id="798"/>
      <w:bookmarkEnd w:id="799"/>
    </w:p>
    <w:p>
      <w:pPr>
        <w:pStyle w:val="ySubsection"/>
      </w:pPr>
      <w:r>
        <w:tab/>
      </w:r>
      <w:r>
        <w:tab/>
        <w:t>Sections 20A, 20B and 20C are repealed.</w:t>
      </w:r>
    </w:p>
    <w:p>
      <w:pPr>
        <w:pStyle w:val="yHeading5"/>
        <w:outlineLvl w:val="0"/>
      </w:pPr>
      <w:bookmarkStart w:id="800" w:name="_Toc58032103"/>
      <w:bookmarkStart w:id="801" w:name="_Toc131588066"/>
      <w:bookmarkStart w:id="802" w:name="_Toc196119899"/>
      <w:bookmarkStart w:id="803" w:name="_Toc157849903"/>
      <w:r>
        <w:rPr>
          <w:rStyle w:val="CharSClsNo"/>
        </w:rPr>
        <w:t>60</w:t>
      </w:r>
      <w:r>
        <w:t>.</w:t>
      </w:r>
      <w:r>
        <w:tab/>
        <w:t>Section 22 amended</w:t>
      </w:r>
      <w:bookmarkEnd w:id="800"/>
      <w:bookmarkEnd w:id="801"/>
      <w:bookmarkEnd w:id="802"/>
      <w:bookmarkEnd w:id="803"/>
    </w:p>
    <w:p>
      <w:pPr>
        <w:pStyle w:val="ySubsection"/>
      </w:pPr>
      <w:r>
        <w:tab/>
      </w:r>
      <w:r>
        <w:tab/>
        <w:t>Section 22 is amended as follows:</w:t>
      </w:r>
    </w:p>
    <w:p>
      <w:pPr>
        <w:pStyle w:val="yIndenta"/>
      </w:pPr>
      <w:r>
        <w:tab/>
        <w:t>(a)</w:t>
      </w:r>
      <w:r>
        <w:tab/>
        <w:t xml:space="preserve">by deleting “him or her” and inserting instead — </w:t>
      </w:r>
    </w:p>
    <w:p>
      <w:pPr>
        <w:pStyle w:val="yIndenti0"/>
      </w:pPr>
      <w:r>
        <w:tab/>
      </w:r>
      <w:r>
        <w:tab/>
        <w:t>“    the Regulator    ”;</w:t>
      </w:r>
    </w:p>
    <w:p>
      <w:pPr>
        <w:pStyle w:val="yIndenta"/>
      </w:pPr>
      <w:r>
        <w:tab/>
        <w:t>(b)</w:t>
      </w:r>
      <w:r>
        <w:tab/>
        <w:t xml:space="preserve">in paragraph (a) by deleting “he or she” and inserting instead — </w:t>
      </w:r>
    </w:p>
    <w:p>
      <w:pPr>
        <w:pStyle w:val="yIndenti0"/>
      </w:pPr>
      <w:r>
        <w:tab/>
      </w:r>
      <w:r>
        <w:tab/>
        <w:t>“    the Regulator    ”.</w:t>
      </w:r>
    </w:p>
    <w:p>
      <w:pPr>
        <w:pStyle w:val="yHeading5"/>
        <w:outlineLvl w:val="0"/>
      </w:pPr>
      <w:bookmarkStart w:id="804" w:name="_Toc58032104"/>
      <w:bookmarkStart w:id="805" w:name="_Toc131588067"/>
      <w:bookmarkStart w:id="806" w:name="_Toc196119900"/>
      <w:bookmarkStart w:id="807" w:name="_Toc157849904"/>
      <w:r>
        <w:rPr>
          <w:rStyle w:val="CharSClsNo"/>
        </w:rPr>
        <w:t>61</w:t>
      </w:r>
      <w:r>
        <w:t>.</w:t>
      </w:r>
      <w:r>
        <w:tab/>
        <w:t>Section 22B amended</w:t>
      </w:r>
      <w:bookmarkEnd w:id="804"/>
      <w:bookmarkEnd w:id="805"/>
      <w:bookmarkEnd w:id="806"/>
      <w:bookmarkEnd w:id="807"/>
    </w:p>
    <w:p>
      <w:pPr>
        <w:pStyle w:val="ySubsection"/>
      </w:pPr>
      <w:r>
        <w:tab/>
      </w:r>
      <w:r>
        <w:tab/>
        <w:t xml:space="preserve">Section 22B(1) and (2) are amended by deleting “Division” and inserting instead — </w:t>
      </w:r>
    </w:p>
    <w:p>
      <w:pPr>
        <w:pStyle w:val="ySubsection"/>
      </w:pPr>
      <w:r>
        <w:tab/>
      </w:r>
      <w:r>
        <w:tab/>
        <w:t>“    Part    ”.</w:t>
      </w:r>
    </w:p>
    <w:p>
      <w:pPr>
        <w:pStyle w:val="yHeading5"/>
        <w:outlineLvl w:val="0"/>
      </w:pPr>
      <w:bookmarkStart w:id="808" w:name="_Toc58032105"/>
      <w:bookmarkStart w:id="809" w:name="_Toc131588068"/>
      <w:bookmarkStart w:id="810" w:name="_Toc196119901"/>
      <w:bookmarkStart w:id="811" w:name="_Toc157849905"/>
      <w:r>
        <w:rPr>
          <w:rStyle w:val="CharSClsNo"/>
        </w:rPr>
        <w:t>62</w:t>
      </w:r>
      <w:r>
        <w:t>.</w:t>
      </w:r>
      <w:r>
        <w:tab/>
        <w:t>Section 22C amended</w:t>
      </w:r>
      <w:bookmarkEnd w:id="808"/>
      <w:bookmarkEnd w:id="809"/>
      <w:bookmarkEnd w:id="810"/>
      <w:bookmarkEnd w:id="811"/>
    </w:p>
    <w:p>
      <w:pPr>
        <w:pStyle w:val="ySubsection"/>
      </w:pPr>
      <w:r>
        <w:tab/>
      </w:r>
      <w:r>
        <w:tab/>
        <w:t xml:space="preserve">Section 22C is amended by deleting “Division” and inserting instead — </w:t>
      </w:r>
    </w:p>
    <w:p>
      <w:pPr>
        <w:pStyle w:val="zySubsection"/>
      </w:pPr>
      <w:r>
        <w:tab/>
      </w:r>
      <w:r>
        <w:tab/>
        <w:t xml:space="preserve">“    </w:t>
      </w:r>
      <w:r>
        <w:rPr>
          <w:sz w:val="24"/>
        </w:rPr>
        <w:t>Part</w:t>
      </w:r>
      <w:r>
        <w:t xml:space="preserve">    ”.</w:t>
      </w:r>
    </w:p>
    <w:p>
      <w:pPr>
        <w:pStyle w:val="yHeading5"/>
        <w:outlineLvl w:val="0"/>
      </w:pPr>
      <w:bookmarkStart w:id="812" w:name="_Toc58032106"/>
      <w:bookmarkStart w:id="813" w:name="_Toc131588069"/>
      <w:bookmarkStart w:id="814" w:name="_Toc196119902"/>
      <w:bookmarkStart w:id="815" w:name="_Toc157849906"/>
      <w:r>
        <w:rPr>
          <w:rStyle w:val="CharSClsNo"/>
        </w:rPr>
        <w:t>63</w:t>
      </w:r>
      <w:r>
        <w:t>.</w:t>
      </w:r>
      <w:r>
        <w:tab/>
        <w:t>Section 23 amended</w:t>
      </w:r>
      <w:bookmarkEnd w:id="812"/>
      <w:bookmarkEnd w:id="813"/>
      <w:bookmarkEnd w:id="814"/>
      <w:bookmarkEnd w:id="815"/>
    </w:p>
    <w:p>
      <w:pPr>
        <w:pStyle w:val="ySubsection"/>
      </w:pPr>
      <w:r>
        <w:tab/>
      </w:r>
      <w:r>
        <w:tab/>
        <w:t>Section 23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 xml:space="preserve">by deleting “Division” and inserting instead — </w:t>
      </w:r>
    </w:p>
    <w:p>
      <w:pPr>
        <w:pStyle w:val="yIndenti0"/>
      </w:pPr>
      <w:r>
        <w:tab/>
      </w:r>
      <w:r>
        <w:tab/>
        <w:t>“    Part    ”;</w:t>
      </w:r>
    </w:p>
    <w:p>
      <w:pPr>
        <w:pStyle w:val="yIndenta"/>
      </w:pPr>
      <w:r>
        <w:tab/>
        <w:t>(c)</w:t>
      </w:r>
      <w:r>
        <w:tab/>
        <w:t xml:space="preserve">in paragraph (a) by deleting “the Regulator’s functions” and inserting instead — </w:t>
      </w:r>
    </w:p>
    <w:p>
      <w:pPr>
        <w:pStyle w:val="yIndenti0"/>
      </w:pPr>
      <w:r>
        <w:tab/>
      </w:r>
      <w:r>
        <w:tab/>
        <w:t>“    its functions under this Act and the Code    ”.</w:t>
      </w:r>
    </w:p>
    <w:p>
      <w:pPr>
        <w:pStyle w:val="yHeading5"/>
        <w:outlineLvl w:val="0"/>
      </w:pPr>
      <w:bookmarkStart w:id="816" w:name="_Toc58032107"/>
      <w:bookmarkStart w:id="817" w:name="_Toc131588070"/>
      <w:bookmarkStart w:id="818" w:name="_Toc196119903"/>
      <w:bookmarkStart w:id="819" w:name="_Toc157849907"/>
      <w:r>
        <w:rPr>
          <w:rStyle w:val="CharSClsNo"/>
        </w:rPr>
        <w:t>64</w:t>
      </w:r>
      <w:r>
        <w:t>.</w:t>
      </w:r>
      <w:r>
        <w:tab/>
        <w:t>Part 3 Divisions 3, 4 and 5 repealed</w:t>
      </w:r>
      <w:bookmarkEnd w:id="816"/>
      <w:bookmarkEnd w:id="817"/>
      <w:bookmarkEnd w:id="818"/>
      <w:bookmarkEnd w:id="819"/>
    </w:p>
    <w:p>
      <w:pPr>
        <w:pStyle w:val="ySubsection"/>
      </w:pPr>
      <w:r>
        <w:tab/>
      </w:r>
      <w:r>
        <w:tab/>
        <w:t>Part 3 Divisions 3, 4 and 5 are repealed.</w:t>
      </w:r>
    </w:p>
    <w:p>
      <w:pPr>
        <w:pStyle w:val="yHeading3"/>
        <w:outlineLvl w:val="0"/>
      </w:pPr>
      <w:bookmarkStart w:id="820" w:name="_Toc58032108"/>
      <w:bookmarkStart w:id="821" w:name="_Toc131588071"/>
      <w:bookmarkStart w:id="822" w:name="_Toc139347238"/>
      <w:bookmarkStart w:id="823" w:name="_Toc139700825"/>
      <w:bookmarkStart w:id="824" w:name="_Toc157849908"/>
      <w:bookmarkStart w:id="825" w:name="_Toc196119904"/>
      <w:r>
        <w:rPr>
          <w:rStyle w:val="CharSDivNo"/>
        </w:rPr>
        <w:t>Division 13</w:t>
      </w:r>
      <w:r>
        <w:rPr>
          <w:b w:val="0"/>
        </w:rPr>
        <w:t> — </w:t>
      </w:r>
      <w:r>
        <w:rPr>
          <w:rStyle w:val="CharSDivText"/>
          <w:i/>
        </w:rPr>
        <w:t>Rights in Water and Irrigation Act 1914</w:t>
      </w:r>
      <w:bookmarkEnd w:id="820"/>
      <w:bookmarkEnd w:id="821"/>
      <w:bookmarkEnd w:id="822"/>
      <w:bookmarkEnd w:id="823"/>
      <w:bookmarkEnd w:id="824"/>
      <w:bookmarkEnd w:id="825"/>
    </w:p>
    <w:p>
      <w:pPr>
        <w:pStyle w:val="yHeading5"/>
        <w:outlineLvl w:val="0"/>
      </w:pPr>
      <w:bookmarkStart w:id="826" w:name="_Toc58032109"/>
      <w:bookmarkStart w:id="827" w:name="_Toc131588072"/>
      <w:bookmarkStart w:id="828" w:name="_Toc196119905"/>
      <w:bookmarkStart w:id="829" w:name="_Toc157849909"/>
      <w:r>
        <w:rPr>
          <w:rStyle w:val="CharSClsNo"/>
        </w:rPr>
        <w:t>65</w:t>
      </w:r>
      <w:r>
        <w:t>.</w:t>
      </w:r>
      <w:r>
        <w:tab/>
        <w:t>The Act amended</w:t>
      </w:r>
      <w:bookmarkEnd w:id="826"/>
      <w:bookmarkEnd w:id="827"/>
      <w:bookmarkEnd w:id="828"/>
      <w:bookmarkEnd w:id="829"/>
    </w:p>
    <w:p>
      <w:pPr>
        <w:pStyle w:val="ySubsection"/>
      </w:pPr>
      <w:r>
        <w:tab/>
      </w:r>
      <w:r>
        <w:tab/>
        <w:t xml:space="preserve">The amendments in this Division are to the </w:t>
      </w:r>
      <w:r>
        <w:rPr>
          <w:i/>
        </w:rPr>
        <w:t>Rights in Water and Irrigation Act 1914*.</w:t>
      </w:r>
    </w:p>
    <w:p>
      <w:pPr>
        <w:pStyle w:val="Subsection"/>
        <w:tabs>
          <w:tab w:val="clear" w:pos="595"/>
          <w:tab w:val="left" w:pos="1134"/>
        </w:tabs>
        <w:ind w:left="1134" w:hanging="1134"/>
        <w:rPr>
          <w:sz w:val="22"/>
        </w:rPr>
      </w:pPr>
      <w:r>
        <w:rPr>
          <w:sz w:val="22"/>
        </w:rPr>
        <w:tab/>
        <w:t>[*</w:t>
      </w:r>
      <w:r>
        <w:rPr>
          <w:sz w:val="22"/>
        </w:rPr>
        <w:tab/>
      </w:r>
      <w:r>
        <w:rPr>
          <w:i/>
          <w:sz w:val="22"/>
        </w:rPr>
        <w:t>Reprinted as at 10 January 2001.</w:t>
      </w:r>
      <w:r>
        <w:rPr>
          <w:sz w:val="22"/>
        </w:rPr>
        <w:t>]</w:t>
      </w:r>
    </w:p>
    <w:p>
      <w:pPr>
        <w:pStyle w:val="yHeading5"/>
        <w:outlineLvl w:val="0"/>
      </w:pPr>
      <w:bookmarkStart w:id="830" w:name="_Toc58032110"/>
      <w:bookmarkStart w:id="831" w:name="_Toc131588073"/>
      <w:bookmarkStart w:id="832" w:name="_Toc196119906"/>
      <w:bookmarkStart w:id="833" w:name="_Toc157849910"/>
      <w:r>
        <w:rPr>
          <w:rStyle w:val="CharSClsNo"/>
        </w:rPr>
        <w:t>66</w:t>
      </w:r>
      <w:r>
        <w:t>.</w:t>
      </w:r>
      <w:r>
        <w:tab/>
        <w:t>Section 26GZJ amended</w:t>
      </w:r>
      <w:bookmarkEnd w:id="830"/>
      <w:bookmarkEnd w:id="831"/>
      <w:bookmarkEnd w:id="832"/>
      <w:bookmarkEnd w:id="833"/>
    </w:p>
    <w:p>
      <w:pPr>
        <w:pStyle w:val="ySubsection"/>
      </w:pPr>
      <w:r>
        <w:tab/>
      </w:r>
      <w:r>
        <w:tab/>
        <w:t>Section 26GZJ(3)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834" w:name="_Toc58032111"/>
      <w:bookmarkStart w:id="835" w:name="_Toc131588074"/>
      <w:bookmarkStart w:id="836" w:name="_Toc196119907"/>
      <w:bookmarkStart w:id="837" w:name="_Toc157849911"/>
      <w:r>
        <w:rPr>
          <w:rStyle w:val="CharSClsNo"/>
        </w:rPr>
        <w:t>67</w:t>
      </w:r>
      <w:r>
        <w:t>.</w:t>
      </w:r>
      <w:r>
        <w:tab/>
        <w:t>Section 26GZP amended</w:t>
      </w:r>
      <w:bookmarkEnd w:id="834"/>
      <w:bookmarkEnd w:id="835"/>
      <w:bookmarkEnd w:id="836"/>
      <w:bookmarkEnd w:id="837"/>
    </w:p>
    <w:p>
      <w:pPr>
        <w:pStyle w:val="ySubsection"/>
      </w:pPr>
      <w:r>
        <w:tab/>
        <w:t>(1)</w:t>
      </w:r>
      <w:r>
        <w:tab/>
        <w:t xml:space="preserve">Section 26GZP(1) is amended by deleting “Coordinator of Water Services” and inserting instead — </w:t>
      </w:r>
    </w:p>
    <w:p>
      <w:pPr>
        <w:pStyle w:val="ySubsection"/>
      </w:pPr>
      <w:r>
        <w:tab/>
      </w:r>
      <w:r>
        <w:tab/>
        <w:t xml:space="preserve">“    </w:t>
      </w:r>
      <w:r>
        <w:rPr>
          <w:sz w:val="24"/>
        </w:rPr>
        <w:t>Authority</w:t>
      </w:r>
      <w:r>
        <w:t xml:space="preserve">    ”.</w:t>
      </w:r>
    </w:p>
    <w:p>
      <w:pPr>
        <w:pStyle w:val="ySubsection"/>
        <w:keepNext/>
        <w:keepLines/>
      </w:pPr>
      <w:r>
        <w:tab/>
        <w:t>(2)</w:t>
      </w:r>
      <w:r>
        <w:tab/>
        <w:t xml:space="preserve">Section 26GZP(2) is repealed and the following subsection is inserted instead — </w:t>
      </w:r>
    </w:p>
    <w:p>
      <w:pPr>
        <w:pStyle w:val="MiscOpen"/>
        <w:ind w:left="600"/>
      </w:pPr>
      <w:r>
        <w:t xml:space="preserve">“    </w:t>
      </w:r>
    </w:p>
    <w:p>
      <w:pPr>
        <w:pStyle w:val="zSubsection"/>
        <w:spacing w:before="0"/>
      </w:pPr>
      <w:r>
        <w:tab/>
        <w:t>(2)</w:t>
      </w:r>
      <w:r>
        <w:tab/>
        <w:t xml:space="preserve">In subsection (1) — </w:t>
      </w:r>
    </w:p>
    <w:p>
      <w:pPr>
        <w:pStyle w:val="zDefstart"/>
        <w:tabs>
          <w:tab w:val="clear" w:pos="1446"/>
          <w:tab w:val="left" w:pos="1985"/>
        </w:tabs>
        <w:ind w:left="1985" w:hanging="567"/>
        <w:rPr>
          <w:sz w:val="22"/>
        </w:rPr>
      </w:pP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838" w:name="_Toc58032112"/>
      <w:bookmarkStart w:id="839" w:name="_Toc131588075"/>
      <w:bookmarkStart w:id="840" w:name="_Toc196119908"/>
      <w:bookmarkStart w:id="841" w:name="_Toc157849912"/>
      <w:r>
        <w:rPr>
          <w:rStyle w:val="CharSClsNo"/>
        </w:rPr>
        <w:t>68</w:t>
      </w:r>
      <w:r>
        <w:t>.</w:t>
      </w:r>
      <w:r>
        <w:tab/>
        <w:t>Section 27 amended</w:t>
      </w:r>
      <w:bookmarkEnd w:id="838"/>
      <w:bookmarkEnd w:id="839"/>
      <w:bookmarkEnd w:id="840"/>
      <w:bookmarkEnd w:id="841"/>
    </w:p>
    <w:p>
      <w:pPr>
        <w:pStyle w:val="ySubsection"/>
      </w:pPr>
      <w:r>
        <w:tab/>
      </w:r>
      <w:r>
        <w:tab/>
        <w:t>Section 27(1)(ga)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0"/>
      </w:pPr>
      <w:bookmarkStart w:id="842" w:name="_Toc58032113"/>
      <w:bookmarkStart w:id="843" w:name="_Toc131588076"/>
      <w:bookmarkStart w:id="844" w:name="_Toc196119909"/>
      <w:bookmarkStart w:id="845" w:name="_Toc157849913"/>
      <w:r>
        <w:rPr>
          <w:rStyle w:val="CharSClsNo"/>
        </w:rPr>
        <w:t>69</w:t>
      </w:r>
      <w:r>
        <w:t>.</w:t>
      </w:r>
      <w:r>
        <w:tab/>
        <w:t>Schedule 1 amended</w:t>
      </w:r>
      <w:bookmarkEnd w:id="842"/>
      <w:bookmarkEnd w:id="843"/>
      <w:bookmarkEnd w:id="844"/>
      <w:bookmarkEnd w:id="845"/>
    </w:p>
    <w:p>
      <w:pPr>
        <w:pStyle w:val="ySubsection"/>
      </w:pPr>
      <w:r>
        <w:tab/>
      </w:r>
      <w:r>
        <w:tab/>
        <w:t>The Appendix to Schedule 1 is amended in clause 1(b) by deleting “</w:t>
      </w:r>
      <w:r>
        <w:rPr>
          <w:i/>
        </w:rPr>
        <w:t>Coordination</w:t>
      </w:r>
      <w:r>
        <w:t xml:space="preserve">” and inserting instead — </w:t>
      </w:r>
    </w:p>
    <w:p>
      <w:pPr>
        <w:pStyle w:val="ySubsection"/>
        <w:spacing w:before="120"/>
      </w:pPr>
      <w:r>
        <w:tab/>
      </w:r>
      <w:r>
        <w:tab/>
        <w:t xml:space="preserve">“    </w:t>
      </w:r>
      <w:r>
        <w:rPr>
          <w:i/>
        </w:rPr>
        <w:t>Licensing</w:t>
      </w:r>
      <w:r>
        <w:t xml:space="preserve">    ”.</w:t>
      </w:r>
    </w:p>
    <w:p>
      <w:pPr>
        <w:pStyle w:val="yHeading3"/>
        <w:outlineLvl w:val="0"/>
        <w:rPr>
          <w:rStyle w:val="CharDivText"/>
          <w:i/>
        </w:rPr>
      </w:pPr>
      <w:bookmarkStart w:id="846" w:name="_Toc58032114"/>
      <w:bookmarkStart w:id="847" w:name="_Toc131588077"/>
      <w:bookmarkStart w:id="848" w:name="_Toc139347244"/>
      <w:bookmarkStart w:id="849" w:name="_Toc139700831"/>
      <w:bookmarkStart w:id="850" w:name="_Toc157849914"/>
      <w:bookmarkStart w:id="851" w:name="_Toc196119910"/>
      <w:r>
        <w:rPr>
          <w:rStyle w:val="CharSDivNo"/>
        </w:rPr>
        <w:t>Division 14</w:t>
      </w:r>
      <w:r>
        <w:rPr>
          <w:b w:val="0"/>
        </w:rPr>
        <w:t> — </w:t>
      </w:r>
      <w:r>
        <w:rPr>
          <w:rStyle w:val="CharSDivText"/>
          <w:i/>
          <w:iCs/>
        </w:rPr>
        <w:t>Swan River Trust Act 1988</w:t>
      </w:r>
      <w:bookmarkEnd w:id="846"/>
      <w:bookmarkEnd w:id="847"/>
      <w:bookmarkEnd w:id="848"/>
      <w:bookmarkEnd w:id="849"/>
      <w:bookmarkEnd w:id="850"/>
      <w:bookmarkEnd w:id="851"/>
    </w:p>
    <w:p>
      <w:pPr>
        <w:pStyle w:val="yHeading5"/>
        <w:outlineLvl w:val="0"/>
      </w:pPr>
      <w:bookmarkStart w:id="852" w:name="_Toc58032115"/>
      <w:bookmarkStart w:id="853" w:name="_Toc131588078"/>
      <w:bookmarkStart w:id="854" w:name="_Toc196119911"/>
      <w:bookmarkStart w:id="855" w:name="_Toc157849915"/>
      <w:r>
        <w:rPr>
          <w:rStyle w:val="CharSClsNo"/>
        </w:rPr>
        <w:t>70</w:t>
      </w:r>
      <w:r>
        <w:t>.</w:t>
      </w:r>
      <w:r>
        <w:tab/>
        <w:t>The Act amended</w:t>
      </w:r>
      <w:bookmarkEnd w:id="852"/>
      <w:bookmarkEnd w:id="853"/>
      <w:bookmarkEnd w:id="854"/>
      <w:bookmarkEnd w:id="855"/>
    </w:p>
    <w:p>
      <w:pPr>
        <w:pStyle w:val="ySubsection"/>
        <w:spacing w:before="120"/>
      </w:pPr>
      <w:r>
        <w:tab/>
      </w:r>
      <w:r>
        <w:tab/>
        <w:t xml:space="preserve">The amendments in this Division are to the </w:t>
      </w:r>
      <w:r>
        <w:rPr>
          <w:i/>
        </w:rPr>
        <w:t>Swan River Trust Act 1988*.</w:t>
      </w:r>
    </w:p>
    <w:p>
      <w:pPr>
        <w:pStyle w:val="Subsection"/>
        <w:tabs>
          <w:tab w:val="clear" w:pos="595"/>
          <w:tab w:val="left" w:pos="1134"/>
        </w:tabs>
        <w:ind w:left="1134" w:hanging="1134"/>
        <w:rPr>
          <w:sz w:val="22"/>
        </w:rPr>
      </w:pPr>
      <w:r>
        <w:rPr>
          <w:sz w:val="22"/>
        </w:rPr>
        <w:tab/>
        <w:t>[*</w:t>
      </w:r>
      <w:r>
        <w:rPr>
          <w:sz w:val="22"/>
        </w:rPr>
        <w:tab/>
      </w:r>
      <w:r>
        <w:rPr>
          <w:i/>
          <w:sz w:val="22"/>
        </w:rPr>
        <w:t>Reprinted as at 1 December 2000.</w:t>
      </w:r>
      <w:r>
        <w:rPr>
          <w:sz w:val="22"/>
        </w:rPr>
        <w:t>]</w:t>
      </w:r>
    </w:p>
    <w:p>
      <w:pPr>
        <w:pStyle w:val="yHeading5"/>
        <w:outlineLvl w:val="0"/>
      </w:pPr>
      <w:bookmarkStart w:id="856" w:name="_Toc58032116"/>
      <w:bookmarkStart w:id="857" w:name="_Toc131588079"/>
      <w:bookmarkStart w:id="858" w:name="_Toc196119912"/>
      <w:bookmarkStart w:id="859" w:name="_Toc157849916"/>
      <w:r>
        <w:rPr>
          <w:rStyle w:val="CharSClsNo"/>
        </w:rPr>
        <w:t>71</w:t>
      </w:r>
      <w:r>
        <w:t>.</w:t>
      </w:r>
      <w:r>
        <w:tab/>
        <w:t>Section 12 amended</w:t>
      </w:r>
      <w:bookmarkEnd w:id="856"/>
      <w:bookmarkEnd w:id="857"/>
      <w:bookmarkEnd w:id="858"/>
      <w:bookmarkEnd w:id="859"/>
    </w:p>
    <w:p>
      <w:pPr>
        <w:pStyle w:val="ySubsection"/>
        <w:spacing w:before="120"/>
      </w:pPr>
      <w:r>
        <w:tab/>
      </w:r>
      <w:r>
        <w:tab/>
        <w:t xml:space="preserve">Section 12(1) is amended as follows — </w:t>
      </w:r>
    </w:p>
    <w:p>
      <w:pPr>
        <w:pStyle w:val="yIndenta"/>
      </w:pPr>
      <w:r>
        <w:tab/>
        <w:t>(a)</w:t>
      </w:r>
      <w:r>
        <w:tab/>
        <w:t>by deleting paragraph (e);</w:t>
      </w:r>
    </w:p>
    <w:p>
      <w:pPr>
        <w:pStyle w:val="yIndenta"/>
      </w:pPr>
      <w:r>
        <w:tab/>
        <w:t>(b)</w:t>
      </w:r>
      <w:r>
        <w:tab/>
        <w:t>in paragraph (g) by deleting “2” and inserting instead —</w:t>
      </w:r>
    </w:p>
    <w:p>
      <w:pPr>
        <w:pStyle w:val="yIndenta"/>
      </w:pPr>
      <w:r>
        <w:tab/>
      </w:r>
      <w:r>
        <w:tab/>
        <w:t>“</w:t>
      </w:r>
      <w:r>
        <w:tab/>
        <w:t>3</w:t>
      </w:r>
      <w:r>
        <w:t> </w:t>
      </w:r>
      <w:r>
        <w:t> </w:t>
      </w:r>
      <w:r>
        <w:t> </w:t>
      </w:r>
      <w:r>
        <w:t>”.</w:t>
      </w:r>
    </w:p>
    <w:p>
      <w:pPr>
        <w:pStyle w:val="yHeading3"/>
        <w:outlineLvl w:val="0"/>
        <w:rPr>
          <w:rStyle w:val="CharDivText"/>
          <w:b w:val="0"/>
        </w:rPr>
      </w:pPr>
      <w:bookmarkStart w:id="860" w:name="_Toc58032117"/>
      <w:bookmarkStart w:id="861" w:name="_Toc131588080"/>
      <w:bookmarkStart w:id="862" w:name="_Toc139347247"/>
      <w:bookmarkStart w:id="863" w:name="_Toc139700834"/>
      <w:bookmarkStart w:id="864" w:name="_Toc157849917"/>
      <w:bookmarkStart w:id="865" w:name="_Toc196119913"/>
      <w:r>
        <w:rPr>
          <w:rStyle w:val="CharSDivNo"/>
        </w:rPr>
        <w:t>Division 15</w:t>
      </w:r>
      <w:r>
        <w:rPr>
          <w:b w:val="0"/>
        </w:rPr>
        <w:t> — </w:t>
      </w:r>
      <w:r>
        <w:rPr>
          <w:rStyle w:val="CharSDivText"/>
          <w:i/>
        </w:rPr>
        <w:t>Water Agencies (Powers) Act 1984</w:t>
      </w:r>
      <w:bookmarkEnd w:id="860"/>
      <w:bookmarkEnd w:id="861"/>
      <w:bookmarkEnd w:id="862"/>
      <w:bookmarkEnd w:id="863"/>
      <w:bookmarkEnd w:id="864"/>
      <w:bookmarkEnd w:id="865"/>
    </w:p>
    <w:p>
      <w:pPr>
        <w:pStyle w:val="yHeading5"/>
        <w:outlineLvl w:val="0"/>
      </w:pPr>
      <w:bookmarkStart w:id="866" w:name="_Toc58032118"/>
      <w:bookmarkStart w:id="867" w:name="_Toc131588081"/>
      <w:bookmarkStart w:id="868" w:name="_Toc196119914"/>
      <w:bookmarkStart w:id="869" w:name="_Toc157849918"/>
      <w:r>
        <w:rPr>
          <w:rStyle w:val="CharSClsNo"/>
        </w:rPr>
        <w:t>72</w:t>
      </w:r>
      <w:r>
        <w:t>.</w:t>
      </w:r>
      <w:r>
        <w:tab/>
        <w:t>The Act amended</w:t>
      </w:r>
      <w:bookmarkEnd w:id="866"/>
      <w:bookmarkEnd w:id="867"/>
      <w:bookmarkEnd w:id="868"/>
      <w:bookmarkEnd w:id="869"/>
    </w:p>
    <w:p>
      <w:pPr>
        <w:pStyle w:val="ySubsection"/>
      </w:pPr>
      <w:r>
        <w:tab/>
      </w:r>
      <w:r>
        <w:tab/>
        <w:t xml:space="preserve">The amendments in this Division are to the </w:t>
      </w:r>
      <w:r>
        <w:rPr>
          <w:i/>
        </w:rPr>
        <w:t>Water Agencies (Powers) Act 1984*.</w:t>
      </w:r>
    </w:p>
    <w:p>
      <w:pPr>
        <w:pStyle w:val="Subsection"/>
        <w:tabs>
          <w:tab w:val="clear" w:pos="595"/>
          <w:tab w:val="left" w:pos="1134"/>
        </w:tabs>
        <w:ind w:left="1134" w:hanging="1134"/>
        <w:rPr>
          <w:sz w:val="22"/>
        </w:rPr>
      </w:pPr>
      <w:r>
        <w:rPr>
          <w:sz w:val="22"/>
        </w:rPr>
        <w:tab/>
        <w:t>[*</w:t>
      </w:r>
      <w:r>
        <w:rPr>
          <w:sz w:val="22"/>
        </w:rPr>
        <w:tab/>
      </w:r>
      <w:r>
        <w:rPr>
          <w:i/>
          <w:sz w:val="22"/>
        </w:rPr>
        <w:t>Reprinted as at 4 January 2000.</w:t>
      </w:r>
      <w:r>
        <w:rPr>
          <w:sz w:val="22"/>
        </w:rPr>
        <w:t>]</w:t>
      </w:r>
    </w:p>
    <w:p>
      <w:pPr>
        <w:pStyle w:val="yHeading5"/>
        <w:outlineLvl w:val="0"/>
      </w:pPr>
      <w:bookmarkStart w:id="870" w:name="_Toc58032119"/>
      <w:bookmarkStart w:id="871" w:name="_Toc131588082"/>
      <w:bookmarkStart w:id="872" w:name="_Toc196119915"/>
      <w:bookmarkStart w:id="873" w:name="_Toc157849919"/>
      <w:r>
        <w:rPr>
          <w:rStyle w:val="CharSClsNo"/>
        </w:rPr>
        <w:t>73</w:t>
      </w:r>
      <w:r>
        <w:t>.</w:t>
      </w:r>
      <w:r>
        <w:tab/>
        <w:t>Long title amended</w:t>
      </w:r>
      <w:bookmarkEnd w:id="870"/>
      <w:bookmarkEnd w:id="871"/>
      <w:bookmarkEnd w:id="872"/>
      <w:bookmarkEnd w:id="873"/>
    </w:p>
    <w:p>
      <w:pPr>
        <w:pStyle w:val="ySubsection"/>
      </w:pPr>
      <w:r>
        <w:tab/>
      </w:r>
      <w:r>
        <w:tab/>
        <w:t xml:space="preserve">The long title is amended by deleting “, the Water and Rivers Commission and the Coordinator of Water Services” and inserting instead — </w:t>
      </w:r>
    </w:p>
    <w:p>
      <w:pPr>
        <w:pStyle w:val="ySubsection"/>
      </w:pPr>
      <w:r>
        <w:tab/>
      </w:r>
      <w:r>
        <w:tab/>
        <w:t xml:space="preserve">“    </w:t>
      </w:r>
      <w:r>
        <w:rPr>
          <w:b/>
          <w:sz w:val="24"/>
        </w:rPr>
        <w:t>and the Water and Rivers Commission</w:t>
      </w:r>
      <w:r>
        <w:t xml:space="preserve">    ”.</w:t>
      </w:r>
    </w:p>
    <w:p>
      <w:pPr>
        <w:pStyle w:val="yHeading5"/>
        <w:outlineLvl w:val="0"/>
      </w:pPr>
      <w:bookmarkStart w:id="874" w:name="_Toc58032120"/>
      <w:bookmarkStart w:id="875" w:name="_Toc131588083"/>
      <w:bookmarkStart w:id="876" w:name="_Toc196119916"/>
      <w:bookmarkStart w:id="877" w:name="_Toc157849920"/>
      <w:r>
        <w:rPr>
          <w:rStyle w:val="CharSClsNo"/>
        </w:rPr>
        <w:t>74</w:t>
      </w:r>
      <w:r>
        <w:t>.</w:t>
      </w:r>
      <w:r>
        <w:tab/>
        <w:t>Section 3 amended</w:t>
      </w:r>
      <w:bookmarkEnd w:id="874"/>
      <w:bookmarkEnd w:id="875"/>
      <w:bookmarkEnd w:id="876"/>
      <w:bookmarkEnd w:id="877"/>
    </w:p>
    <w:p>
      <w:pPr>
        <w:pStyle w:val="ySubsection"/>
      </w:pPr>
      <w:r>
        <w:tab/>
      </w:r>
      <w:r>
        <w:tab/>
        <w:t>Section 3(1) is amended as follows:</w:t>
      </w:r>
    </w:p>
    <w:p>
      <w:pPr>
        <w:pStyle w:val="yIndenta"/>
      </w:pPr>
      <w:r>
        <w:tab/>
        <w:t>(a)</w:t>
      </w:r>
      <w:r>
        <w:tab/>
        <w:t>by deleting the definition of “Coordinator”;</w:t>
      </w:r>
    </w:p>
    <w:p>
      <w:pPr>
        <w:pStyle w:val="yIndenta"/>
      </w:pPr>
      <w:r>
        <w:tab/>
        <w:t>(b)</w:t>
      </w:r>
      <w:r>
        <w:tab/>
        <w:t>in the definition of “statutory authority” by deleting “, the Coordinator”.</w:t>
      </w:r>
    </w:p>
    <w:p>
      <w:pPr>
        <w:pStyle w:val="yHeading5"/>
        <w:outlineLvl w:val="0"/>
      </w:pPr>
      <w:bookmarkStart w:id="878" w:name="_Toc58032121"/>
      <w:bookmarkStart w:id="879" w:name="_Toc131588084"/>
      <w:bookmarkStart w:id="880" w:name="_Toc196119917"/>
      <w:bookmarkStart w:id="881" w:name="_Toc157849921"/>
      <w:r>
        <w:rPr>
          <w:rStyle w:val="CharSClsNo"/>
        </w:rPr>
        <w:t>75</w:t>
      </w:r>
      <w:r>
        <w:t>.</w:t>
      </w:r>
      <w:r>
        <w:tab/>
        <w:t>Section 34 amended</w:t>
      </w:r>
      <w:bookmarkEnd w:id="878"/>
      <w:bookmarkEnd w:id="879"/>
      <w:bookmarkEnd w:id="880"/>
      <w:bookmarkEnd w:id="881"/>
    </w:p>
    <w:p>
      <w:pPr>
        <w:pStyle w:val="ySubsection"/>
      </w:pPr>
      <w:r>
        <w:tab/>
      </w:r>
      <w:r>
        <w:tab/>
        <w:t>Section 34(3)(l)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0"/>
      </w:pPr>
      <w:bookmarkStart w:id="882" w:name="_Toc58032122"/>
      <w:bookmarkStart w:id="883" w:name="_Toc131588085"/>
      <w:bookmarkStart w:id="884" w:name="_Toc196119918"/>
      <w:bookmarkStart w:id="885" w:name="_Toc157849922"/>
      <w:r>
        <w:rPr>
          <w:rStyle w:val="CharSClsNo"/>
        </w:rPr>
        <w:t>76</w:t>
      </w:r>
      <w:r>
        <w:t>.</w:t>
      </w:r>
      <w:r>
        <w:tab/>
        <w:t>Section 38 amended</w:t>
      </w:r>
      <w:bookmarkEnd w:id="882"/>
      <w:bookmarkEnd w:id="883"/>
      <w:bookmarkEnd w:id="884"/>
      <w:bookmarkEnd w:id="885"/>
    </w:p>
    <w:p>
      <w:pPr>
        <w:pStyle w:val="ySubsection"/>
      </w:pPr>
      <w:r>
        <w:tab/>
      </w:r>
      <w:r>
        <w:tab/>
        <w:t xml:space="preserve">Section 38(1) is amended by deleting “Coordinator” and inserting instead — </w:t>
      </w:r>
    </w:p>
    <w:p>
      <w:pPr>
        <w:pStyle w:val="ySubsection"/>
        <w:spacing w:before="120"/>
      </w:pPr>
      <w:r>
        <w:tab/>
      </w:r>
      <w:r>
        <w:tab/>
        <w:t xml:space="preserve">“    </w:t>
      </w:r>
      <w:r>
        <w:rPr>
          <w:sz w:val="24"/>
        </w:rPr>
        <w:t>Minister</w:t>
      </w:r>
      <w:r>
        <w:t xml:space="preserve">    ”.</w:t>
      </w:r>
    </w:p>
    <w:p>
      <w:pPr>
        <w:pStyle w:val="yHeading5"/>
        <w:outlineLvl w:val="0"/>
      </w:pPr>
      <w:bookmarkStart w:id="886" w:name="_Toc58032123"/>
      <w:bookmarkStart w:id="887" w:name="_Toc131588086"/>
      <w:bookmarkStart w:id="888" w:name="_Toc196119919"/>
      <w:bookmarkStart w:id="889" w:name="_Toc157849923"/>
      <w:r>
        <w:rPr>
          <w:rStyle w:val="CharSClsNo"/>
        </w:rPr>
        <w:t>77</w:t>
      </w:r>
      <w:r>
        <w:t>.</w:t>
      </w:r>
      <w:r>
        <w:tab/>
        <w:t>Section 65 amended</w:t>
      </w:r>
      <w:bookmarkEnd w:id="886"/>
      <w:bookmarkEnd w:id="887"/>
      <w:bookmarkEnd w:id="888"/>
      <w:bookmarkEnd w:id="889"/>
    </w:p>
    <w:p>
      <w:pPr>
        <w:pStyle w:val="ySubsection"/>
      </w:pPr>
      <w:r>
        <w:tab/>
      </w:r>
      <w:r>
        <w:tab/>
        <w:t xml:space="preserve">Section 65(c) is amended by deleting “Coordinator” and inserting instead — </w:t>
      </w:r>
    </w:p>
    <w:p>
      <w:pPr>
        <w:pStyle w:val="ySubsection"/>
      </w:pPr>
      <w:r>
        <w:tab/>
      </w:r>
      <w:r>
        <w:tab/>
        <w:t xml:space="preserve">“    </w:t>
      </w:r>
      <w:r>
        <w:rPr>
          <w:sz w:val="24"/>
        </w:rPr>
        <w:t>Minister</w:t>
      </w:r>
      <w:r>
        <w:t xml:space="preserve">    ”.</w:t>
      </w:r>
    </w:p>
    <w:p>
      <w:pPr>
        <w:pStyle w:val="yHeading5"/>
        <w:outlineLvl w:val="0"/>
      </w:pPr>
      <w:bookmarkStart w:id="890" w:name="_Toc58032124"/>
      <w:bookmarkStart w:id="891" w:name="_Toc131588087"/>
      <w:bookmarkStart w:id="892" w:name="_Toc196119920"/>
      <w:bookmarkStart w:id="893" w:name="_Toc157849924"/>
      <w:r>
        <w:rPr>
          <w:rStyle w:val="CharSClsNo"/>
        </w:rPr>
        <w:t>78</w:t>
      </w:r>
      <w:r>
        <w:t>.</w:t>
      </w:r>
      <w:r>
        <w:tab/>
        <w:t>Section 66 amended</w:t>
      </w:r>
      <w:bookmarkEnd w:id="890"/>
      <w:bookmarkEnd w:id="891"/>
      <w:bookmarkEnd w:id="892"/>
      <w:bookmarkEnd w:id="893"/>
    </w:p>
    <w:p>
      <w:pPr>
        <w:pStyle w:val="ySubsection"/>
      </w:pPr>
      <w:r>
        <w:tab/>
      </w:r>
      <w:r>
        <w:tab/>
        <w:t>Section 66 is amended as follows:</w:t>
      </w:r>
    </w:p>
    <w:p>
      <w:pPr>
        <w:pStyle w:val="yIndenta"/>
      </w:pPr>
      <w:r>
        <w:tab/>
        <w:t>(a)</w:t>
      </w:r>
      <w:r>
        <w:tab/>
        <w:t xml:space="preserve">by inserting after “interested” — </w:t>
      </w:r>
    </w:p>
    <w:p>
      <w:pPr>
        <w:pStyle w:val="yIndenta"/>
      </w:pPr>
      <w:r>
        <w:tab/>
      </w:r>
      <w:r>
        <w:tab/>
        <w:t xml:space="preserve">“    </w:t>
      </w:r>
      <w:r>
        <w:rPr>
          <w:sz w:val="24"/>
        </w:rPr>
        <w:t>the Minister,</w:t>
      </w:r>
      <w:r>
        <w:t xml:space="preserve">    ”;</w:t>
      </w:r>
    </w:p>
    <w:p>
      <w:pPr>
        <w:pStyle w:val="yIndenta"/>
      </w:pPr>
      <w:r>
        <w:tab/>
        <w:t>(b)</w:t>
      </w:r>
      <w:r>
        <w:tab/>
        <w:t>by deleting “, the Coordinator”.</w:t>
      </w:r>
    </w:p>
    <w:p>
      <w:pPr>
        <w:pStyle w:val="yHeading5"/>
        <w:outlineLvl w:val="0"/>
      </w:pPr>
      <w:bookmarkStart w:id="894" w:name="_Toc58032125"/>
      <w:bookmarkStart w:id="895" w:name="_Toc131588088"/>
      <w:bookmarkStart w:id="896" w:name="_Toc196119921"/>
      <w:bookmarkStart w:id="897" w:name="_Toc157849925"/>
      <w:r>
        <w:rPr>
          <w:rStyle w:val="CharSClsNo"/>
        </w:rPr>
        <w:t>79</w:t>
      </w:r>
      <w:r>
        <w:t>.</w:t>
      </w:r>
      <w:r>
        <w:tab/>
        <w:t>Section 82 amended</w:t>
      </w:r>
      <w:bookmarkEnd w:id="894"/>
      <w:bookmarkEnd w:id="895"/>
      <w:bookmarkEnd w:id="896"/>
      <w:bookmarkEnd w:id="897"/>
    </w:p>
    <w:p>
      <w:pPr>
        <w:pStyle w:val="ySubsection"/>
      </w:pPr>
      <w:r>
        <w:tab/>
      </w:r>
      <w:r>
        <w:tab/>
        <w:t>Section 82(1a)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0"/>
        <w:rPr>
          <w:rStyle w:val="CharDivText"/>
          <w:i/>
        </w:rPr>
      </w:pPr>
      <w:bookmarkStart w:id="898" w:name="_Toc58032126"/>
      <w:bookmarkStart w:id="899" w:name="_Toc131588089"/>
      <w:bookmarkStart w:id="900" w:name="_Toc139347256"/>
      <w:bookmarkStart w:id="901" w:name="_Toc139700843"/>
      <w:bookmarkStart w:id="902" w:name="_Toc157849926"/>
      <w:bookmarkStart w:id="903" w:name="_Toc196119922"/>
      <w:r>
        <w:rPr>
          <w:rStyle w:val="CharSDivNo"/>
        </w:rPr>
        <w:t>Division 16</w:t>
      </w:r>
      <w:r>
        <w:rPr>
          <w:b w:val="0"/>
        </w:rPr>
        <w:t> — </w:t>
      </w:r>
      <w:r>
        <w:rPr>
          <w:rStyle w:val="CharSDivText"/>
          <w:i/>
          <w:iCs/>
        </w:rPr>
        <w:t>Water Boards Act 1904</w:t>
      </w:r>
      <w:bookmarkEnd w:id="898"/>
      <w:bookmarkEnd w:id="899"/>
      <w:bookmarkEnd w:id="900"/>
      <w:bookmarkEnd w:id="901"/>
      <w:bookmarkEnd w:id="902"/>
      <w:bookmarkEnd w:id="903"/>
    </w:p>
    <w:p>
      <w:pPr>
        <w:pStyle w:val="yHeading5"/>
        <w:outlineLvl w:val="0"/>
      </w:pPr>
      <w:bookmarkStart w:id="904" w:name="_Toc58032127"/>
      <w:bookmarkStart w:id="905" w:name="_Toc131588090"/>
      <w:bookmarkStart w:id="906" w:name="_Toc196119923"/>
      <w:bookmarkStart w:id="907" w:name="_Toc157849927"/>
      <w:r>
        <w:rPr>
          <w:rStyle w:val="CharSClsNo"/>
        </w:rPr>
        <w:t>80</w:t>
      </w:r>
      <w:r>
        <w:t>.</w:t>
      </w:r>
      <w:r>
        <w:tab/>
        <w:t>The Act amended</w:t>
      </w:r>
      <w:bookmarkEnd w:id="904"/>
      <w:bookmarkEnd w:id="905"/>
      <w:bookmarkEnd w:id="906"/>
      <w:bookmarkEnd w:id="907"/>
    </w:p>
    <w:p>
      <w:pPr>
        <w:pStyle w:val="ySubsection"/>
      </w:pPr>
      <w:r>
        <w:tab/>
      </w:r>
      <w:r>
        <w:tab/>
        <w:t xml:space="preserve">The amendments in this Division are to the </w:t>
      </w:r>
      <w:r>
        <w:rPr>
          <w:i/>
        </w:rPr>
        <w:t>Water Boards Act 1904*.</w:t>
      </w:r>
    </w:p>
    <w:p>
      <w:pPr>
        <w:pStyle w:val="Subsection"/>
        <w:tabs>
          <w:tab w:val="clear" w:pos="595"/>
          <w:tab w:val="left" w:pos="1134"/>
        </w:tabs>
        <w:ind w:left="1134" w:hanging="1134"/>
        <w:rPr>
          <w:sz w:val="22"/>
        </w:rPr>
      </w:pPr>
      <w:r>
        <w:rPr>
          <w:sz w:val="22"/>
        </w:rPr>
        <w:tab/>
        <w:t>[*</w:t>
      </w:r>
      <w:r>
        <w:rPr>
          <w:sz w:val="22"/>
        </w:rPr>
        <w:tab/>
      </w:r>
      <w:r>
        <w:rPr>
          <w:i/>
          <w:sz w:val="22"/>
        </w:rPr>
        <w:t>Reprinted as at 4 November 1996.</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w:t>
      </w:r>
      <w:r>
        <w:rPr>
          <w:sz w:val="22"/>
        </w:rPr>
        <w:t>]</w:t>
      </w:r>
    </w:p>
    <w:p>
      <w:pPr>
        <w:pStyle w:val="yHeading5"/>
        <w:outlineLvl w:val="0"/>
      </w:pPr>
      <w:bookmarkStart w:id="908" w:name="_Toc58032128"/>
      <w:bookmarkStart w:id="909" w:name="_Toc131588091"/>
      <w:bookmarkStart w:id="910" w:name="_Toc196119924"/>
      <w:bookmarkStart w:id="911" w:name="_Toc157849928"/>
      <w:r>
        <w:rPr>
          <w:rStyle w:val="CharSClsNo"/>
        </w:rPr>
        <w:t>81</w:t>
      </w:r>
      <w:r>
        <w:t>.</w:t>
      </w:r>
      <w:r>
        <w:tab/>
        <w:t>Section 3 amended</w:t>
      </w:r>
      <w:bookmarkEnd w:id="908"/>
      <w:bookmarkEnd w:id="909"/>
      <w:bookmarkEnd w:id="910"/>
      <w:bookmarkEnd w:id="911"/>
    </w:p>
    <w:p>
      <w:pPr>
        <w:pStyle w:val="ySubsection"/>
      </w:pPr>
      <w:r>
        <w:tab/>
      </w:r>
      <w:r>
        <w:tab/>
        <w:t>Section 3(1) is amended by deleting the definition of “Coordinator”.</w:t>
      </w:r>
    </w:p>
    <w:p>
      <w:pPr>
        <w:pStyle w:val="yHeading5"/>
        <w:outlineLvl w:val="0"/>
      </w:pPr>
      <w:bookmarkStart w:id="912" w:name="_Toc58032129"/>
      <w:bookmarkStart w:id="913" w:name="_Toc131588092"/>
      <w:bookmarkStart w:id="914" w:name="_Toc196119925"/>
      <w:bookmarkStart w:id="915" w:name="_Toc157849929"/>
      <w:r>
        <w:rPr>
          <w:rStyle w:val="CharSClsNo"/>
        </w:rPr>
        <w:t>82</w:t>
      </w:r>
      <w:r>
        <w:t>.</w:t>
      </w:r>
      <w:r>
        <w:tab/>
        <w:t>Section 3A amended</w:t>
      </w:r>
      <w:bookmarkEnd w:id="912"/>
      <w:bookmarkEnd w:id="913"/>
      <w:bookmarkEnd w:id="914"/>
      <w:bookmarkEnd w:id="915"/>
    </w:p>
    <w:p>
      <w:pPr>
        <w:pStyle w:val="ySubsection"/>
      </w:pPr>
      <w:r>
        <w:tab/>
      </w:r>
      <w:r>
        <w:tab/>
        <w:t>Section 3A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916" w:name="_Toc58032130"/>
      <w:bookmarkStart w:id="917" w:name="_Toc131588093"/>
      <w:bookmarkStart w:id="918" w:name="_Toc196119926"/>
      <w:bookmarkStart w:id="919" w:name="_Toc157849930"/>
      <w:r>
        <w:rPr>
          <w:rStyle w:val="CharSClsNo"/>
        </w:rPr>
        <w:t>83</w:t>
      </w:r>
      <w:r>
        <w:t>.</w:t>
      </w:r>
      <w:r>
        <w:tab/>
        <w:t>Section 5 amended</w:t>
      </w:r>
      <w:bookmarkEnd w:id="916"/>
      <w:bookmarkEnd w:id="917"/>
      <w:bookmarkEnd w:id="918"/>
      <w:bookmarkEnd w:id="919"/>
    </w:p>
    <w:p>
      <w:pPr>
        <w:pStyle w:val="ySubsection"/>
      </w:pPr>
      <w:r>
        <w:tab/>
        <w:t>(1)</w:t>
      </w:r>
      <w:r>
        <w:tab/>
        <w:t>Section 5(1) is amended by deleting “, and the Coordinator where the Minister in writing so directs the Coordinator,”.</w:t>
      </w:r>
    </w:p>
    <w:p>
      <w:pPr>
        <w:pStyle w:val="ySubsection"/>
      </w:pPr>
      <w:r>
        <w:tab/>
        <w:t>(2)</w:t>
      </w:r>
      <w:r>
        <w:tab/>
        <w:t xml:space="preserve">Section 5(2) is amended by deleting “Coordinator” and inserting instead — </w:t>
      </w:r>
    </w:p>
    <w:p>
      <w:pPr>
        <w:pStyle w:val="ySubsection"/>
      </w:pPr>
      <w:r>
        <w:tab/>
      </w:r>
      <w:r>
        <w:tab/>
        <w:t xml:space="preserve">“    </w:t>
      </w:r>
      <w:r>
        <w:rPr>
          <w:sz w:val="24"/>
        </w:rPr>
        <w:t>Minister</w:t>
      </w:r>
      <w:r>
        <w:t xml:space="preserve">    ”.</w:t>
      </w:r>
    </w:p>
    <w:p>
      <w:pPr>
        <w:pStyle w:val="ySubsection"/>
        <w:keepNext/>
      </w:pPr>
      <w:r>
        <w:tab/>
        <w:t>(3)</w:t>
      </w:r>
      <w:r>
        <w:tab/>
        <w:t xml:space="preserve">After section 5(2) the following subsections are inserted — </w:t>
      </w:r>
    </w:p>
    <w:p>
      <w:pPr>
        <w:pStyle w:val="MiscOpen"/>
        <w:ind w:left="600"/>
      </w:pPr>
      <w:r>
        <w:t xml:space="preserve">“    </w:t>
      </w:r>
    </w:p>
    <w:p>
      <w:pPr>
        <w:pStyle w:val="zSubsection"/>
        <w:spacing w:before="0"/>
      </w:pPr>
      <w:r>
        <w:tab/>
        <w:t>(2a)</w:t>
      </w:r>
      <w:r>
        <w:tab/>
        <w:t xml:space="preserve">On the dissolution of a Board, the Minister may, by instrument, delegate to a person — </w:t>
      </w:r>
    </w:p>
    <w:p>
      <w:pPr>
        <w:pStyle w:val="zIndenta"/>
      </w:pPr>
      <w:r>
        <w:tab/>
        <w:t>(a)</w:t>
      </w:r>
      <w:r>
        <w:tab/>
        <w:t>the powers and authorities referred to in subsection (1); and</w:t>
      </w:r>
    </w:p>
    <w:p>
      <w:pPr>
        <w:pStyle w:val="zIndenta"/>
      </w:pPr>
      <w:r>
        <w:tab/>
        <w:t>(b)</w:t>
      </w:r>
      <w:r>
        <w:tab/>
        <w:t>the power to recover anything that the Minister is authorised to recover under subsection (2).</w:t>
      </w:r>
    </w:p>
    <w:p>
      <w:pPr>
        <w:pStyle w:val="zSubsection"/>
      </w:pPr>
      <w:r>
        <w:tab/>
        <w:t>(2b)</w:t>
      </w:r>
      <w:r>
        <w:tab/>
        <w:t>The immunities referred to in subsection (1) extend to a delegate of the Minister under subsection (2a).</w:t>
      </w:r>
    </w:p>
    <w:p>
      <w:pPr>
        <w:pStyle w:val="MiscClose"/>
      </w:pPr>
      <w:r>
        <w:t xml:space="preserve">    ”.</w:t>
      </w:r>
    </w:p>
    <w:p>
      <w:pPr>
        <w:pStyle w:val="yHeading5"/>
        <w:outlineLvl w:val="0"/>
      </w:pPr>
      <w:bookmarkStart w:id="920" w:name="_Toc58032131"/>
      <w:bookmarkStart w:id="921" w:name="_Toc131588094"/>
      <w:bookmarkStart w:id="922" w:name="_Toc196119927"/>
      <w:bookmarkStart w:id="923" w:name="_Toc157849931"/>
      <w:r>
        <w:rPr>
          <w:rStyle w:val="CharSClsNo"/>
        </w:rPr>
        <w:t>84</w:t>
      </w:r>
      <w:r>
        <w:t>.</w:t>
      </w:r>
      <w:r>
        <w:tab/>
        <w:t>Section 110 amended</w:t>
      </w:r>
      <w:bookmarkEnd w:id="920"/>
      <w:bookmarkEnd w:id="921"/>
      <w:bookmarkEnd w:id="922"/>
      <w:bookmarkEnd w:id="923"/>
    </w:p>
    <w:p>
      <w:pPr>
        <w:pStyle w:val="ySubsection"/>
      </w:pPr>
      <w:r>
        <w:tab/>
      </w:r>
      <w:r>
        <w:tab/>
        <w:t>Section 110 is amended by deleting “or the Coordinator”.</w:t>
      </w:r>
    </w:p>
    <w:p>
      <w:pPr>
        <w:pStyle w:val="yHeading3"/>
        <w:outlineLvl w:val="0"/>
        <w:rPr>
          <w:rStyle w:val="CharDivText"/>
          <w:i/>
        </w:rPr>
      </w:pPr>
      <w:bookmarkStart w:id="924" w:name="_Toc58032132"/>
      <w:bookmarkStart w:id="925" w:name="_Toc131588095"/>
      <w:bookmarkStart w:id="926" w:name="_Toc139347262"/>
      <w:bookmarkStart w:id="927" w:name="_Toc139700849"/>
      <w:bookmarkStart w:id="928" w:name="_Toc157849932"/>
      <w:bookmarkStart w:id="929" w:name="_Toc196119928"/>
      <w:r>
        <w:rPr>
          <w:rStyle w:val="CharSDivNo"/>
        </w:rPr>
        <w:t>Division 17</w:t>
      </w:r>
      <w:r>
        <w:rPr>
          <w:b w:val="0"/>
        </w:rPr>
        <w:t> — </w:t>
      </w:r>
      <w:r>
        <w:rPr>
          <w:rStyle w:val="CharSDivText"/>
          <w:i/>
        </w:rPr>
        <w:t>Water Corporation Act 1995</w:t>
      </w:r>
      <w:bookmarkEnd w:id="924"/>
      <w:bookmarkEnd w:id="925"/>
      <w:bookmarkEnd w:id="926"/>
      <w:bookmarkEnd w:id="927"/>
      <w:bookmarkEnd w:id="928"/>
      <w:bookmarkEnd w:id="929"/>
    </w:p>
    <w:p>
      <w:pPr>
        <w:pStyle w:val="yHeading5"/>
        <w:outlineLvl w:val="0"/>
      </w:pPr>
      <w:bookmarkStart w:id="930" w:name="_Toc58032133"/>
      <w:bookmarkStart w:id="931" w:name="_Toc131588096"/>
      <w:bookmarkStart w:id="932" w:name="_Toc196119929"/>
      <w:bookmarkStart w:id="933" w:name="_Toc157849933"/>
      <w:r>
        <w:rPr>
          <w:rStyle w:val="CharSClsNo"/>
        </w:rPr>
        <w:t>85</w:t>
      </w:r>
      <w:r>
        <w:t>.</w:t>
      </w:r>
      <w:r>
        <w:tab/>
        <w:t>The Act amended</w:t>
      </w:r>
      <w:bookmarkEnd w:id="930"/>
      <w:bookmarkEnd w:id="931"/>
      <w:bookmarkEnd w:id="932"/>
      <w:bookmarkEnd w:id="933"/>
    </w:p>
    <w:p>
      <w:pPr>
        <w:pStyle w:val="ySubsection"/>
      </w:pPr>
      <w:r>
        <w:tab/>
      </w:r>
      <w:r>
        <w:tab/>
        <w:t xml:space="preserve">The amendments in this Division are to the </w:t>
      </w:r>
      <w:r>
        <w:rPr>
          <w:i/>
        </w:rPr>
        <w:t>Water Corporation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4 May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 Act No. 20 of 2002 and Gazette 24 May 2002 p. 2605</w:t>
      </w:r>
      <w:r>
        <w:rPr>
          <w:i/>
          <w:sz w:val="22"/>
        </w:rPr>
        <w:noBreakHyphen/>
        <w:t>17.</w:t>
      </w:r>
      <w:r>
        <w:rPr>
          <w:sz w:val="22"/>
        </w:rPr>
        <w:t>]</w:t>
      </w:r>
    </w:p>
    <w:p>
      <w:pPr>
        <w:pStyle w:val="yHeading5"/>
        <w:outlineLvl w:val="0"/>
      </w:pPr>
      <w:bookmarkStart w:id="934" w:name="_Toc58032134"/>
      <w:bookmarkStart w:id="935" w:name="_Toc131588097"/>
      <w:bookmarkStart w:id="936" w:name="_Toc196119930"/>
      <w:bookmarkStart w:id="937" w:name="_Toc157849934"/>
      <w:r>
        <w:rPr>
          <w:rStyle w:val="CharSClsNo"/>
        </w:rPr>
        <w:t>86</w:t>
      </w:r>
      <w:r>
        <w:t>.</w:t>
      </w:r>
      <w:r>
        <w:tab/>
        <w:t>Section 27 amended</w:t>
      </w:r>
      <w:bookmarkEnd w:id="934"/>
      <w:bookmarkEnd w:id="935"/>
      <w:bookmarkEnd w:id="936"/>
      <w:bookmarkEnd w:id="937"/>
    </w:p>
    <w:p>
      <w:pPr>
        <w:pStyle w:val="ySubsection"/>
      </w:pPr>
      <w:r>
        <w:tab/>
      </w:r>
      <w:r>
        <w:tab/>
        <w:t>Section 27(3)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938" w:name="_Toc58032135"/>
      <w:bookmarkStart w:id="939" w:name="_Toc131588098"/>
      <w:bookmarkStart w:id="940" w:name="_Toc196119931"/>
      <w:bookmarkStart w:id="941" w:name="_Toc157849935"/>
      <w:r>
        <w:rPr>
          <w:rStyle w:val="CharSClsNo"/>
        </w:rPr>
        <w:t>87</w:t>
      </w:r>
      <w:r>
        <w:t>.</w:t>
      </w:r>
      <w:r>
        <w:tab/>
        <w:t>Section 91 amended</w:t>
      </w:r>
      <w:bookmarkEnd w:id="938"/>
      <w:bookmarkEnd w:id="939"/>
      <w:bookmarkEnd w:id="940"/>
      <w:bookmarkEnd w:id="941"/>
    </w:p>
    <w:p>
      <w:pPr>
        <w:pStyle w:val="ySubsection"/>
      </w:pPr>
      <w:r>
        <w:tab/>
      </w:r>
      <w:r>
        <w:tab/>
        <w:t>Section 91(2)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0"/>
        <w:rPr>
          <w:rStyle w:val="CharDivText"/>
          <w:i/>
        </w:rPr>
      </w:pPr>
      <w:bookmarkStart w:id="942" w:name="_Toc58032136"/>
      <w:bookmarkStart w:id="943" w:name="_Toc131588099"/>
      <w:bookmarkStart w:id="944" w:name="_Toc139347266"/>
      <w:bookmarkStart w:id="945" w:name="_Toc139700853"/>
      <w:bookmarkStart w:id="946" w:name="_Toc157849936"/>
      <w:bookmarkStart w:id="947" w:name="_Toc196119932"/>
      <w:r>
        <w:rPr>
          <w:rStyle w:val="CharSDivNo"/>
        </w:rPr>
        <w:t>Division 18</w:t>
      </w:r>
      <w:r>
        <w:t xml:space="preserve"> — </w:t>
      </w:r>
      <w:r>
        <w:rPr>
          <w:rStyle w:val="CharSDivText"/>
          <w:i/>
          <w:iCs/>
        </w:rPr>
        <w:t>Water Services Coordination Act 1995</w:t>
      </w:r>
      <w:bookmarkEnd w:id="942"/>
      <w:bookmarkEnd w:id="943"/>
      <w:bookmarkEnd w:id="944"/>
      <w:bookmarkEnd w:id="945"/>
      <w:bookmarkEnd w:id="946"/>
      <w:bookmarkEnd w:id="947"/>
    </w:p>
    <w:p>
      <w:pPr>
        <w:pStyle w:val="yHeading5"/>
        <w:outlineLvl w:val="0"/>
      </w:pPr>
      <w:bookmarkStart w:id="948" w:name="_Toc58032137"/>
      <w:bookmarkStart w:id="949" w:name="_Toc131588100"/>
      <w:bookmarkStart w:id="950" w:name="_Toc196119933"/>
      <w:bookmarkStart w:id="951" w:name="_Toc157849937"/>
      <w:r>
        <w:rPr>
          <w:rStyle w:val="CharSClsNo"/>
        </w:rPr>
        <w:t>88</w:t>
      </w:r>
      <w:r>
        <w:t>.</w:t>
      </w:r>
      <w:r>
        <w:tab/>
        <w:t>The Act amended</w:t>
      </w:r>
      <w:bookmarkEnd w:id="948"/>
      <w:bookmarkEnd w:id="949"/>
      <w:bookmarkEnd w:id="950"/>
      <w:bookmarkEnd w:id="951"/>
    </w:p>
    <w:p>
      <w:pPr>
        <w:pStyle w:val="ySubsection"/>
      </w:pPr>
      <w:r>
        <w:tab/>
      </w:r>
      <w:r>
        <w:tab/>
        <w:t xml:space="preserve">The amendments in this Division are to the </w:t>
      </w:r>
      <w:r>
        <w:rPr>
          <w:i/>
        </w:rPr>
        <w:t>Water Services Coordination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28 July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404.</w:t>
      </w:r>
      <w:r>
        <w:rPr>
          <w:sz w:val="22"/>
        </w:rPr>
        <w:t>]</w:t>
      </w:r>
    </w:p>
    <w:p>
      <w:pPr>
        <w:pStyle w:val="yHeading5"/>
        <w:outlineLvl w:val="0"/>
      </w:pPr>
      <w:bookmarkStart w:id="952" w:name="_Toc58032138"/>
      <w:bookmarkStart w:id="953" w:name="_Toc131588101"/>
      <w:bookmarkStart w:id="954" w:name="_Toc196119934"/>
      <w:bookmarkStart w:id="955" w:name="_Toc157849938"/>
      <w:r>
        <w:rPr>
          <w:rStyle w:val="CharSClsNo"/>
        </w:rPr>
        <w:t>89</w:t>
      </w:r>
      <w:r>
        <w:t>.</w:t>
      </w:r>
      <w:r>
        <w:tab/>
        <w:t>Long title amended</w:t>
      </w:r>
      <w:bookmarkEnd w:id="952"/>
      <w:bookmarkEnd w:id="953"/>
      <w:bookmarkEnd w:id="954"/>
      <w:bookmarkEnd w:id="955"/>
    </w:p>
    <w:p>
      <w:pPr>
        <w:pStyle w:val="ySubsection"/>
      </w:pPr>
      <w:r>
        <w:tab/>
      </w:r>
      <w:r>
        <w:tab/>
        <w:t xml:space="preserve">The long title is amended by deleting the passage beginning “to provide for a public officer — ” and ending “to confer powers,” and inserting instead — </w:t>
      </w:r>
    </w:p>
    <w:p>
      <w:pPr>
        <w:pStyle w:val="MiscOpen"/>
      </w:pPr>
      <w:r>
        <w:t xml:space="preserve">“    </w:t>
      </w:r>
    </w:p>
    <w:p>
      <w:pPr>
        <w:pStyle w:val="zLongTitle"/>
      </w:pPr>
      <w:r>
        <w:t>to confer functions on the Economic Regulation Authority in respect of that scheme and other matters,</w:t>
      </w:r>
    </w:p>
    <w:p>
      <w:pPr>
        <w:pStyle w:val="MiscClose"/>
      </w:pPr>
      <w:r>
        <w:t xml:space="preserve">    ”.</w:t>
      </w:r>
    </w:p>
    <w:p>
      <w:pPr>
        <w:pStyle w:val="yHeading5"/>
        <w:outlineLvl w:val="0"/>
      </w:pPr>
      <w:bookmarkStart w:id="956" w:name="_Toc58032139"/>
      <w:bookmarkStart w:id="957" w:name="_Toc131588102"/>
      <w:bookmarkStart w:id="958" w:name="_Toc196119935"/>
      <w:bookmarkStart w:id="959" w:name="_Toc157849939"/>
      <w:r>
        <w:rPr>
          <w:rStyle w:val="CharSClsNo"/>
        </w:rPr>
        <w:t>90</w:t>
      </w:r>
      <w:r>
        <w:t>.</w:t>
      </w:r>
      <w:r>
        <w:tab/>
        <w:t>Section 1 amended</w:t>
      </w:r>
      <w:bookmarkEnd w:id="956"/>
      <w:bookmarkEnd w:id="957"/>
      <w:bookmarkEnd w:id="958"/>
      <w:bookmarkEnd w:id="959"/>
    </w:p>
    <w:p>
      <w:pPr>
        <w:pStyle w:val="ySubsection"/>
      </w:pPr>
      <w:r>
        <w:tab/>
      </w:r>
      <w:r>
        <w:tab/>
        <w:t>Section 1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960" w:name="_Toc58032140"/>
      <w:bookmarkStart w:id="961" w:name="_Toc131588103"/>
      <w:bookmarkStart w:id="962" w:name="_Toc196119936"/>
      <w:bookmarkStart w:id="963" w:name="_Toc157849940"/>
      <w:r>
        <w:rPr>
          <w:rStyle w:val="CharSClsNo"/>
        </w:rPr>
        <w:t>91</w:t>
      </w:r>
      <w:r>
        <w:t>.</w:t>
      </w:r>
      <w:r>
        <w:tab/>
        <w:t>Section 3 amended</w:t>
      </w:r>
      <w:bookmarkEnd w:id="960"/>
      <w:bookmarkEnd w:id="961"/>
      <w:bookmarkEnd w:id="962"/>
      <w:bookmarkEnd w:id="963"/>
    </w:p>
    <w:p>
      <w:pPr>
        <w:pStyle w:val="ySubsection"/>
      </w:pPr>
      <w:r>
        <w:tab/>
      </w:r>
      <w:r>
        <w:tab/>
        <w:t>Section 3 is amended as follows:</w:t>
      </w:r>
    </w:p>
    <w:p>
      <w:pPr>
        <w:pStyle w:val="yIndenta"/>
      </w:pPr>
      <w:r>
        <w:tab/>
        <w:t>(a)</w:t>
      </w:r>
      <w:r>
        <w:tab/>
        <w:t xml:space="preserve">by inserting before the definition of “Board” the following definition — </w:t>
      </w:r>
    </w:p>
    <w:p>
      <w:pPr>
        <w:pStyle w:val="MiscOpen"/>
        <w:ind w:left="879"/>
      </w:pPr>
      <w:r>
        <w:t xml:space="preserve">“    </w:t>
      </w:r>
    </w:p>
    <w:p>
      <w:pPr>
        <w:pStyle w:val="zDefstart"/>
        <w:spacing w:before="0"/>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Indenta"/>
      </w:pPr>
      <w:r>
        <w:tab/>
        <w:t>(b)</w:t>
      </w:r>
      <w:r>
        <w:tab/>
        <w:t>by deleting the definition of “Coordinator”;</w:t>
      </w:r>
    </w:p>
    <w:p>
      <w:pPr>
        <w:pStyle w:val="yIndenta"/>
      </w:pPr>
      <w:r>
        <w:tab/>
        <w:t>(c)</w:t>
      </w:r>
      <w:r>
        <w:tab/>
        <w:t xml:space="preserve">in the definition of “inspector” by deleting “the Coordinator” and inserting instead — </w:t>
      </w:r>
    </w:p>
    <w:p>
      <w:pPr>
        <w:pStyle w:val="yIndenta"/>
      </w:pPr>
      <w:r>
        <w:tab/>
      </w:r>
      <w:r>
        <w:tab/>
        <w:t xml:space="preserve">“    </w:t>
      </w:r>
      <w:r>
        <w:rPr>
          <w:sz w:val="24"/>
        </w:rPr>
        <w:t>a member of the Authority</w:t>
      </w:r>
      <w:r>
        <w:t xml:space="preserve">    ”.</w:t>
      </w:r>
    </w:p>
    <w:p>
      <w:pPr>
        <w:pStyle w:val="yHeading5"/>
        <w:outlineLvl w:val="0"/>
      </w:pPr>
      <w:bookmarkStart w:id="964" w:name="_Toc58032141"/>
      <w:bookmarkStart w:id="965" w:name="_Toc131588104"/>
      <w:bookmarkStart w:id="966" w:name="_Toc196119937"/>
      <w:bookmarkStart w:id="967" w:name="_Toc157849941"/>
      <w:r>
        <w:rPr>
          <w:rStyle w:val="CharSClsNo"/>
        </w:rPr>
        <w:t>92</w:t>
      </w:r>
      <w:r>
        <w:t>.</w:t>
      </w:r>
      <w:r>
        <w:tab/>
        <w:t>Part 2 replaced</w:t>
      </w:r>
      <w:bookmarkEnd w:id="964"/>
      <w:bookmarkEnd w:id="965"/>
      <w:bookmarkEnd w:id="966"/>
      <w:bookmarkEnd w:id="967"/>
    </w:p>
    <w:p>
      <w:pPr>
        <w:pStyle w:val="ySubsection"/>
      </w:pPr>
      <w:r>
        <w:tab/>
      </w:r>
      <w:r>
        <w:tab/>
        <w:t xml:space="preserve">Part 2 is repealed and the following Part is inserted instead — </w:t>
      </w:r>
    </w:p>
    <w:p>
      <w:pPr>
        <w:pStyle w:val="MiscOpen"/>
      </w:pPr>
      <w:r>
        <w:t xml:space="preserve">“    </w:t>
      </w:r>
    </w:p>
    <w:p>
      <w:pPr>
        <w:pStyle w:val="zHeading2"/>
        <w:spacing w:before="0"/>
      </w:pPr>
      <w:bookmarkStart w:id="968" w:name="_Toc139347272"/>
      <w:bookmarkStart w:id="969" w:name="_Toc139700859"/>
      <w:bookmarkStart w:id="970" w:name="_Toc157849942"/>
      <w:bookmarkStart w:id="971" w:name="_Toc196119938"/>
      <w:r>
        <w:t>Part 2 — Role of Economic Regulation Authority</w:t>
      </w:r>
      <w:bookmarkEnd w:id="968"/>
      <w:bookmarkEnd w:id="969"/>
      <w:bookmarkEnd w:id="970"/>
      <w:bookmarkEnd w:id="971"/>
    </w:p>
    <w:p>
      <w:pPr>
        <w:pStyle w:val="zHeading5"/>
      </w:pPr>
      <w:bookmarkStart w:id="972" w:name="_Toc196119939"/>
      <w:bookmarkStart w:id="973" w:name="_Toc157849943"/>
      <w:r>
        <w:t>4.</w:t>
      </w:r>
      <w:r>
        <w:tab/>
        <w:t>Functions of Authority</w:t>
      </w:r>
      <w:bookmarkEnd w:id="972"/>
      <w:bookmarkEnd w:id="973"/>
    </w:p>
    <w:p>
      <w:pPr>
        <w:pStyle w:val="zSubsection"/>
      </w:pPr>
      <w:r>
        <w:tab/>
      </w:r>
      <w:r>
        <w:tab/>
        <w:t xml:space="preserve">The functions of the Authority under this Act are — </w:t>
      </w:r>
    </w:p>
    <w:p>
      <w:pPr>
        <w:pStyle w:val="zIndenta"/>
      </w:pPr>
      <w:r>
        <w:tab/>
        <w:t>(a)</w:t>
      </w:r>
      <w:r>
        <w:tab/>
        <w:t>to administer the licensing scheme provided for in Part 3;</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operational standards or other requirements of its licence;</w:t>
      </w:r>
    </w:p>
    <w:p>
      <w:pPr>
        <w:pStyle w:val="zIndenta"/>
      </w:pPr>
      <w:r>
        <w:tab/>
        <w:t>(d)</w:t>
      </w:r>
      <w:r>
        <w:tab/>
        <w:t xml:space="preserve">to monitor — </w:t>
      </w:r>
    </w:p>
    <w:p>
      <w:pPr>
        <w:pStyle w:val="zIndenti"/>
      </w:pPr>
      <w:r>
        <w:tab/>
        <w:t>(i)</w:t>
      </w:r>
      <w:r>
        <w:tab/>
        <w:t>the performance of the water services industry and of those participating in that industry; and</w:t>
      </w:r>
    </w:p>
    <w:p>
      <w:pPr>
        <w:pStyle w:val="zIndenti"/>
      </w:pPr>
      <w:r>
        <w:tab/>
        <w:t>(ii)</w:t>
      </w:r>
      <w:r>
        <w:tab/>
        <w:t>the performance of providers of water services,</w:t>
      </w:r>
    </w:p>
    <w:p>
      <w:pPr>
        <w:pStyle w:val="zIndenta"/>
      </w:pPr>
      <w:r>
        <w:tab/>
      </w:r>
      <w:r>
        <w:tab/>
        <w:t>and, for the purposes of such monitoring, to consult with interested groups and persons; and</w:t>
      </w:r>
    </w:p>
    <w:p>
      <w:pPr>
        <w:pStyle w:val="zIndenta"/>
      </w:pPr>
      <w:r>
        <w:tab/>
        <w:t>(e)</w:t>
      </w:r>
      <w:r>
        <w:tab/>
        <w:t>the other functions conferred on the Authority by this Act.</w:t>
      </w:r>
    </w:p>
    <w:p>
      <w:pPr>
        <w:pStyle w:val="MiscClose"/>
      </w:pPr>
      <w:r>
        <w:t xml:space="preserve">    ”.</w:t>
      </w:r>
    </w:p>
    <w:p>
      <w:pPr>
        <w:pStyle w:val="yHeading5"/>
        <w:outlineLvl w:val="0"/>
      </w:pPr>
      <w:bookmarkStart w:id="974" w:name="_Toc58032142"/>
      <w:bookmarkStart w:id="975" w:name="_Toc131588105"/>
      <w:bookmarkStart w:id="976" w:name="_Toc196119940"/>
      <w:bookmarkStart w:id="977" w:name="_Toc157849944"/>
      <w:r>
        <w:rPr>
          <w:rStyle w:val="CharSClsNo"/>
        </w:rPr>
        <w:t>93</w:t>
      </w:r>
      <w:r>
        <w:t>.</w:t>
      </w:r>
      <w:r>
        <w:tab/>
        <w:t>Section 19 amended</w:t>
      </w:r>
      <w:bookmarkEnd w:id="974"/>
      <w:bookmarkEnd w:id="975"/>
      <w:bookmarkEnd w:id="976"/>
      <w:bookmarkEnd w:id="977"/>
    </w:p>
    <w:p>
      <w:pPr>
        <w:pStyle w:val="ySubsection"/>
      </w:pPr>
      <w:r>
        <w:tab/>
      </w:r>
      <w:r>
        <w:tab/>
        <w:t xml:space="preserve">After section 19(1) the following subsections are inserted — </w:t>
      </w:r>
    </w:p>
    <w:p>
      <w:pPr>
        <w:pStyle w:val="MiscOpen"/>
        <w:ind w:left="595"/>
      </w:pPr>
      <w:r>
        <w:t xml:space="preserve">“    </w:t>
      </w:r>
    </w:p>
    <w:p>
      <w:pPr>
        <w:pStyle w:val="zSubsection"/>
        <w:spacing w:before="0"/>
      </w:pPr>
      <w:r>
        <w:tab/>
        <w:t>(1a)</w:t>
      </w:r>
      <w:r>
        <w:tab/>
        <w:t>The Governor must not make an order under subsection (1) unless he or she is satisfied that it would not be contrary to the public interest to do so.</w:t>
      </w:r>
    </w:p>
    <w:p>
      <w:pPr>
        <w:pStyle w:val="zSubsection"/>
      </w:pPr>
      <w:r>
        <w:tab/>
        <w:t>(1b)</w:t>
      </w:r>
      <w:r>
        <w:tab/>
        <w:t xml:space="preserve">The Governor, in determining whether the making of the order would not be contrary to the public interest, may take into account one or more of the following matters — </w:t>
      </w:r>
    </w:p>
    <w:p>
      <w:pPr>
        <w:pStyle w:val="zIndenta"/>
      </w:pPr>
      <w:r>
        <w:tab/>
        <w:t>(a)</w:t>
      </w:r>
      <w:r>
        <w:tab/>
        <w:t>environmental considerations;</w:t>
      </w:r>
    </w:p>
    <w:p>
      <w:pPr>
        <w:pStyle w:val="zIndenta"/>
      </w:pPr>
      <w:r>
        <w:tab/>
        <w:t>(b)</w:t>
      </w:r>
      <w:r>
        <w:tab/>
        <w:t>social welfare and equity considerations, including community service obligations;</w:t>
      </w:r>
    </w:p>
    <w:p>
      <w:pPr>
        <w:pStyle w:val="zIndenta"/>
      </w:pPr>
      <w:r>
        <w:tab/>
        <w:t>(c)</w:t>
      </w:r>
      <w:r>
        <w:tab/>
        <w:t>economic and regional development, including employment and investment growth;</w:t>
      </w:r>
    </w:p>
    <w:p>
      <w:pPr>
        <w:pStyle w:val="zIndenta"/>
      </w:pPr>
      <w:r>
        <w:tab/>
        <w:t>(d)</w:t>
      </w:r>
      <w:r>
        <w:tab/>
        <w:t>the interests of water services customers generally or of a class of water services customers;</w:t>
      </w:r>
    </w:p>
    <w:p>
      <w:pPr>
        <w:pStyle w:val="zIndenta"/>
      </w:pPr>
      <w:r>
        <w:tab/>
        <w:t>(e)</w:t>
      </w:r>
      <w:r>
        <w:tab/>
        <w:t>the interests of any licensee, or applicant for a licence, in respect of the controlled area or part of a controlled area to which the order, if made, would apply;</w:t>
      </w:r>
    </w:p>
    <w:p>
      <w:pPr>
        <w:pStyle w:val="zIndenta"/>
      </w:pPr>
      <w:r>
        <w:tab/>
        <w:t>(f)</w:t>
      </w:r>
      <w:r>
        <w:tab/>
        <w:t>the importance of competition in water services industry markets;</w:t>
      </w:r>
    </w:p>
    <w:p>
      <w:pPr>
        <w:pStyle w:val="zIndenta"/>
      </w:pPr>
      <w:r>
        <w:tab/>
        <w:t>(g)</w:t>
      </w:r>
      <w:r>
        <w:tab/>
        <w:t>public health considerations in relation to the provision of a safe drinking water supply;</w:t>
      </w:r>
    </w:p>
    <w:p>
      <w:pPr>
        <w:pStyle w:val="zIndenta"/>
      </w:pPr>
      <w:r>
        <w:tab/>
        <w:t>(h)</w:t>
      </w:r>
      <w:r>
        <w:tab/>
        <w:t>the policy objectives of government in relation to water services;</w:t>
      </w:r>
    </w:p>
    <w:p>
      <w:pPr>
        <w:pStyle w:val="zIndenta"/>
      </w:pPr>
      <w:r>
        <w:tab/>
        <w:t>(i)</w:t>
      </w:r>
      <w:r>
        <w:tab/>
        <w:t>any other matter that he or she considers relevant.</w:t>
      </w:r>
    </w:p>
    <w:p>
      <w:pPr>
        <w:pStyle w:val="MiscClose"/>
      </w:pPr>
      <w:r>
        <w:t xml:space="preserve">    ”.</w:t>
      </w:r>
    </w:p>
    <w:p>
      <w:pPr>
        <w:pStyle w:val="yHeading5"/>
        <w:outlineLvl w:val="0"/>
      </w:pPr>
      <w:bookmarkStart w:id="978" w:name="_Toc58032143"/>
      <w:bookmarkStart w:id="979" w:name="_Toc131588106"/>
      <w:bookmarkStart w:id="980" w:name="_Toc196119941"/>
      <w:bookmarkStart w:id="981" w:name="_Toc157849945"/>
      <w:r>
        <w:rPr>
          <w:rStyle w:val="CharSClsNo"/>
        </w:rPr>
        <w:t>94</w:t>
      </w:r>
      <w:r>
        <w:t>.</w:t>
      </w:r>
      <w:r>
        <w:tab/>
        <w:t>Section 23 replaced</w:t>
      </w:r>
      <w:bookmarkEnd w:id="978"/>
      <w:bookmarkEnd w:id="979"/>
      <w:bookmarkEnd w:id="980"/>
      <w:bookmarkEnd w:id="981"/>
    </w:p>
    <w:p>
      <w:pPr>
        <w:pStyle w:val="ySubsection"/>
        <w:keepNext/>
      </w:pPr>
      <w:r>
        <w:tab/>
      </w:r>
      <w:r>
        <w:tab/>
        <w:t xml:space="preserve">Section 23 is repealed and the following section is inserted instead — </w:t>
      </w:r>
    </w:p>
    <w:p>
      <w:pPr>
        <w:pStyle w:val="MiscOpen"/>
      </w:pPr>
      <w:r>
        <w:t xml:space="preserve">“    </w:t>
      </w:r>
    </w:p>
    <w:p>
      <w:pPr>
        <w:pStyle w:val="zHeading5"/>
        <w:spacing w:before="0"/>
      </w:pPr>
      <w:bookmarkStart w:id="982" w:name="_Toc196119942"/>
      <w:bookmarkStart w:id="983" w:name="_Toc157849946"/>
      <w:r>
        <w:t>23.</w:t>
      </w:r>
      <w:r>
        <w:tab/>
        <w:t>Matters relevant to grant of licence</w:t>
      </w:r>
      <w:bookmarkEnd w:id="982"/>
      <w:bookmarkEnd w:id="983"/>
    </w:p>
    <w:p>
      <w:pPr>
        <w:pStyle w:val="zSubsection"/>
      </w:pPr>
      <w:r>
        <w:tab/>
      </w:r>
      <w:r>
        <w:tab/>
        <w:t xml:space="preserve">The Authority is not to grant a licence unless the Authority is satisfied that — </w:t>
      </w:r>
    </w:p>
    <w:p>
      <w:pPr>
        <w:pStyle w:val="zIndenta"/>
      </w:pPr>
      <w:r>
        <w:tab/>
        <w:t>(a)</w:t>
      </w:r>
      <w:r>
        <w:tab/>
        <w:t>the applicant has, and is likely to continue to have, the financial and technical ability to provide the water services that will be covered by the licence; and</w:t>
      </w:r>
    </w:p>
    <w:p>
      <w:pPr>
        <w:pStyle w:val="zIndenta"/>
      </w:pPr>
      <w:r>
        <w:tab/>
        <w:t>(b)</w:t>
      </w:r>
      <w:r>
        <w:tab/>
        <w:t>it would not be contrary to the public interest to grant the licence.</w:t>
      </w:r>
    </w:p>
    <w:p>
      <w:pPr>
        <w:pStyle w:val="MiscClose"/>
      </w:pPr>
      <w:r>
        <w:t xml:space="preserve">    ”.</w:t>
      </w:r>
    </w:p>
    <w:p>
      <w:pPr>
        <w:pStyle w:val="yHeading5"/>
        <w:outlineLvl w:val="0"/>
      </w:pPr>
      <w:bookmarkStart w:id="984" w:name="_Toc58032144"/>
      <w:bookmarkStart w:id="985" w:name="_Toc131588107"/>
      <w:bookmarkStart w:id="986" w:name="_Toc196119943"/>
      <w:bookmarkStart w:id="987" w:name="_Toc157849947"/>
      <w:r>
        <w:rPr>
          <w:rStyle w:val="CharSClsNo"/>
        </w:rPr>
        <w:t>95</w:t>
      </w:r>
      <w:r>
        <w:t>.</w:t>
      </w:r>
      <w:r>
        <w:tab/>
        <w:t>Section 27 amended</w:t>
      </w:r>
      <w:bookmarkEnd w:id="984"/>
      <w:bookmarkEnd w:id="985"/>
      <w:bookmarkEnd w:id="986"/>
      <w:bookmarkEnd w:id="987"/>
    </w:p>
    <w:p>
      <w:pPr>
        <w:pStyle w:val="ySubsection"/>
      </w:pPr>
      <w:r>
        <w:tab/>
      </w:r>
      <w:r>
        <w:tab/>
        <w:t xml:space="preserve">Section 27 is amended by deleting “Coordinator’s” and inserting instead — </w:t>
      </w:r>
    </w:p>
    <w:p>
      <w:pPr>
        <w:pStyle w:val="ySubsection"/>
      </w:pPr>
      <w:r>
        <w:tab/>
      </w:r>
      <w:r>
        <w:tab/>
        <w:t xml:space="preserve">“    </w:t>
      </w:r>
      <w:r>
        <w:rPr>
          <w:sz w:val="24"/>
        </w:rPr>
        <w:t>its</w:t>
      </w:r>
      <w:r>
        <w:t xml:space="preserve">    ”.</w:t>
      </w:r>
    </w:p>
    <w:p>
      <w:pPr>
        <w:pStyle w:val="yHeading5"/>
        <w:outlineLvl w:val="0"/>
      </w:pPr>
      <w:bookmarkStart w:id="988" w:name="_Toc58032145"/>
      <w:bookmarkStart w:id="989" w:name="_Toc131588108"/>
      <w:bookmarkStart w:id="990" w:name="_Toc196119944"/>
      <w:bookmarkStart w:id="991" w:name="_Toc157849948"/>
      <w:r>
        <w:rPr>
          <w:rStyle w:val="CharSClsNo"/>
        </w:rPr>
        <w:t>96</w:t>
      </w:r>
      <w:r>
        <w:t>.</w:t>
      </w:r>
      <w:r>
        <w:tab/>
        <w:t>Section 28 amended</w:t>
      </w:r>
      <w:bookmarkEnd w:id="988"/>
      <w:bookmarkEnd w:id="989"/>
      <w:bookmarkEnd w:id="990"/>
      <w:bookmarkEnd w:id="991"/>
    </w:p>
    <w:p>
      <w:pPr>
        <w:pStyle w:val="ySubsection"/>
      </w:pPr>
      <w:r>
        <w:tab/>
        <w:t>(1)</w:t>
      </w:r>
      <w:r>
        <w:tab/>
        <w:t>Section 28 is amended by inserting before “An” the subsection designation “(1)”.</w:t>
      </w:r>
    </w:p>
    <w:p>
      <w:pPr>
        <w:pStyle w:val="ySubsection"/>
      </w:pPr>
      <w:r>
        <w:tab/>
        <w:t>(2)</w:t>
      </w:r>
      <w:r>
        <w:tab/>
        <w:t xml:space="preserve">At the end of section 28 the following subsection is inserted — </w:t>
      </w:r>
    </w:p>
    <w:p>
      <w:pPr>
        <w:pStyle w:val="MiscOpen"/>
        <w:ind w:left="595"/>
      </w:pPr>
      <w:r>
        <w:t xml:space="preserve">“    </w:t>
      </w:r>
    </w:p>
    <w:p>
      <w:pPr>
        <w:pStyle w:val="zSubsection"/>
        <w:spacing w:before="0"/>
      </w:pPr>
      <w:r>
        <w:tab/>
        <w:t>(2)</w:t>
      </w:r>
      <w:r>
        <w:tab/>
        <w:t>The Authority is not to renew a licence unless the Authority is satisfied that it would not be contrary to the public interest to do so.</w:t>
      </w:r>
    </w:p>
    <w:p>
      <w:pPr>
        <w:pStyle w:val="MiscClose"/>
      </w:pPr>
      <w:r>
        <w:t xml:space="preserve">    ”.</w:t>
      </w:r>
    </w:p>
    <w:p>
      <w:pPr>
        <w:pStyle w:val="yHeading5"/>
        <w:outlineLvl w:val="0"/>
      </w:pPr>
      <w:bookmarkStart w:id="992" w:name="_Toc58032146"/>
      <w:bookmarkStart w:id="993" w:name="_Toc131588109"/>
      <w:bookmarkStart w:id="994" w:name="_Toc196119945"/>
      <w:bookmarkStart w:id="995" w:name="_Toc157849949"/>
      <w:r>
        <w:rPr>
          <w:rStyle w:val="CharSClsNo"/>
        </w:rPr>
        <w:t>97</w:t>
      </w:r>
      <w:r>
        <w:t>.</w:t>
      </w:r>
      <w:r>
        <w:tab/>
        <w:t>Section 30 replaced</w:t>
      </w:r>
      <w:bookmarkEnd w:id="992"/>
      <w:bookmarkEnd w:id="993"/>
      <w:bookmarkEnd w:id="994"/>
      <w:bookmarkEnd w:id="995"/>
    </w:p>
    <w:p>
      <w:pPr>
        <w:pStyle w:val="ySubsection"/>
        <w:keepNext/>
      </w:pPr>
      <w:r>
        <w:tab/>
      </w:r>
      <w:r>
        <w:tab/>
        <w:t xml:space="preserve">Section 30 is repealed and the following section is inserted instead — </w:t>
      </w:r>
    </w:p>
    <w:p>
      <w:pPr>
        <w:pStyle w:val="MiscOpen"/>
      </w:pPr>
      <w:r>
        <w:t xml:space="preserve">“    </w:t>
      </w:r>
    </w:p>
    <w:p>
      <w:pPr>
        <w:pStyle w:val="zHeading5"/>
        <w:spacing w:before="0"/>
      </w:pPr>
      <w:bookmarkStart w:id="996" w:name="_Toc196119946"/>
      <w:bookmarkStart w:id="997" w:name="_Toc157849950"/>
      <w:r>
        <w:t>30.</w:t>
      </w:r>
      <w:r>
        <w:tab/>
        <w:t>Transfer of licence</w:t>
      </w:r>
      <w:bookmarkEnd w:id="996"/>
      <w:bookmarkEnd w:id="997"/>
    </w:p>
    <w:p>
      <w:pPr>
        <w:pStyle w:val="zSubsection"/>
      </w:pPr>
      <w:r>
        <w:tab/>
        <w:t>(1)</w:t>
      </w:r>
      <w:r>
        <w:tab/>
        <w:t>The Authority may transfer a licence.</w:t>
      </w:r>
    </w:p>
    <w:p>
      <w:pPr>
        <w:pStyle w:val="zSubsection"/>
      </w:pPr>
      <w:r>
        <w:tab/>
        <w:t>(2)</w:t>
      </w:r>
      <w:r>
        <w:tab/>
        <w:t xml:space="preserve">An application for the transfer of a licence is to be — </w:t>
      </w:r>
    </w:p>
    <w:p>
      <w:pPr>
        <w:pStyle w:val="zIndenta"/>
      </w:pPr>
      <w:r>
        <w:tab/>
        <w:t>(a)</w:t>
      </w:r>
      <w:r>
        <w:tab/>
        <w:t>made in a form approved by the Authority by the person to whom the licence is to be transferred; and</w:t>
      </w:r>
    </w:p>
    <w:p>
      <w:pPr>
        <w:pStyle w:val="zIndenta"/>
      </w:pPr>
      <w:r>
        <w:tab/>
        <w:t>(b)</w:t>
      </w:r>
      <w:r>
        <w:tab/>
        <w:t xml:space="preserve">accompanied by — </w:t>
      </w:r>
    </w:p>
    <w:p>
      <w:pPr>
        <w:pStyle w:val="zIndenti"/>
      </w:pPr>
      <w:r>
        <w:tab/>
        <w:t>(i)</w:t>
      </w:r>
      <w:r>
        <w:tab/>
        <w:t>the licensee’s written consent to the transfer of the licence to the applicant; and</w:t>
      </w:r>
    </w:p>
    <w:p>
      <w:pPr>
        <w:pStyle w:val="zIndenti"/>
      </w:pPr>
      <w:r>
        <w:tab/>
        <w:t>(ii)</w:t>
      </w:r>
      <w:r>
        <w:tab/>
        <w:t>the prescribed fee.</w:t>
      </w:r>
    </w:p>
    <w:p>
      <w:pPr>
        <w:pStyle w:val="zSubsection"/>
      </w:pPr>
      <w:r>
        <w:tab/>
        <w:t>(3)</w:t>
      </w:r>
      <w:r>
        <w:tab/>
        <w:t>The applicant must provide any additional information that the Authority  requires for the proper consideration of the application.</w:t>
      </w:r>
    </w:p>
    <w:p>
      <w:pPr>
        <w:pStyle w:val="zSubsection"/>
      </w:pPr>
      <w:r>
        <w:tab/>
        <w:t>(4)</w:t>
      </w:r>
      <w:r>
        <w:tab/>
        <w:t xml:space="preserve">The Authority is not to transfer a licence unless the Authority is satisfied that — </w:t>
      </w:r>
    </w:p>
    <w:p>
      <w:pPr>
        <w:pStyle w:val="zIndenta"/>
      </w:pPr>
      <w:r>
        <w:tab/>
        <w:t>(a)</w:t>
      </w:r>
      <w:r>
        <w:tab/>
        <w:t>the applicant has, and is likely to continue to have, the financial and technical ability to provide the water services covered by the licence; and</w:t>
      </w:r>
    </w:p>
    <w:p>
      <w:pPr>
        <w:pStyle w:val="zIndenta"/>
      </w:pPr>
      <w:r>
        <w:tab/>
        <w:t>(b)</w:t>
      </w:r>
      <w:r>
        <w:tab/>
        <w:t>it would not be contrary to the public interest to transfer the licence.</w:t>
      </w:r>
    </w:p>
    <w:p>
      <w:pPr>
        <w:pStyle w:val="zSubsection"/>
      </w:pPr>
      <w:r>
        <w:tab/>
        <w:t>(5)</w:t>
      </w:r>
      <w:r>
        <w:tab/>
        <w:t>The transfer of a licence may be subject to any terms and conditions that the Authority considers appropriate.</w:t>
      </w:r>
    </w:p>
    <w:p>
      <w:pPr>
        <w:pStyle w:val="zSubsection"/>
      </w:pPr>
      <w:r>
        <w:tab/>
        <w:t>(6)</w:t>
      </w:r>
      <w:r>
        <w:tab/>
        <w:t>The transfer of a licence does not affect the term of the licence.</w:t>
      </w:r>
    </w:p>
    <w:p>
      <w:pPr>
        <w:pStyle w:val="z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zSubsection"/>
      </w:pPr>
      <w:r>
        <w:tab/>
        <w:t>(8)</w:t>
      </w:r>
      <w:r>
        <w:tab/>
        <w:t xml:space="preserve">The notice is to include — </w:t>
      </w:r>
    </w:p>
    <w:p>
      <w:pPr>
        <w:pStyle w:val="zIndenta"/>
      </w:pPr>
      <w:r>
        <w:tab/>
        <w:t>(a)</w:t>
      </w:r>
      <w:r>
        <w:tab/>
        <w:t>the classification of the licence;</w:t>
      </w:r>
    </w:p>
    <w:p>
      <w:pPr>
        <w:pStyle w:val="zIndenta"/>
      </w:pPr>
      <w:r>
        <w:tab/>
        <w:t>(b)</w:t>
      </w:r>
      <w:r>
        <w:tab/>
        <w:t>the name of the transferee;</w:t>
      </w:r>
    </w:p>
    <w:p>
      <w:pPr>
        <w:pStyle w:val="zIndenta"/>
      </w:pPr>
      <w:r>
        <w:tab/>
        <w:t>(c)</w:t>
      </w:r>
      <w:r>
        <w:tab/>
        <w:t>the term of the licence;</w:t>
      </w:r>
    </w:p>
    <w:p>
      <w:pPr>
        <w:pStyle w:val="zIndenta"/>
      </w:pPr>
      <w:r>
        <w:tab/>
        <w:t>(d)</w:t>
      </w:r>
      <w:r>
        <w:tab/>
        <w:t>the area or areas covered by the licence; and</w:t>
      </w:r>
    </w:p>
    <w:p>
      <w:pPr>
        <w:pStyle w:val="zIndenta"/>
      </w:pPr>
      <w:r>
        <w:tab/>
        <w:t>(e)</w:t>
      </w:r>
      <w:r>
        <w:tab/>
        <w:t>the place where a copy of the licence and any plan may be inspected under section 27.</w:t>
      </w:r>
    </w:p>
    <w:p>
      <w:pPr>
        <w:pStyle w:val="MiscClose"/>
      </w:pPr>
      <w:r>
        <w:t xml:space="preserve">    ”.</w:t>
      </w:r>
    </w:p>
    <w:p>
      <w:pPr>
        <w:pStyle w:val="yHeading5"/>
        <w:outlineLvl w:val="0"/>
      </w:pPr>
      <w:bookmarkStart w:id="998" w:name="_Toc58032147"/>
      <w:bookmarkStart w:id="999" w:name="_Toc131588110"/>
      <w:bookmarkStart w:id="1000" w:name="_Toc196119947"/>
      <w:bookmarkStart w:id="1001" w:name="_Toc157849951"/>
      <w:r>
        <w:rPr>
          <w:rStyle w:val="CharSClsNo"/>
        </w:rPr>
        <w:t>98</w:t>
      </w:r>
      <w:r>
        <w:t>.</w:t>
      </w:r>
      <w:r>
        <w:tab/>
        <w:t>Section 31 amended</w:t>
      </w:r>
      <w:bookmarkEnd w:id="998"/>
      <w:bookmarkEnd w:id="999"/>
      <w:bookmarkEnd w:id="1000"/>
      <w:bookmarkEnd w:id="1001"/>
    </w:p>
    <w:p>
      <w:pPr>
        <w:pStyle w:val="ySubsection"/>
      </w:pPr>
      <w:r>
        <w:tab/>
      </w:r>
      <w:r>
        <w:tab/>
        <w:t xml:space="preserve">After section 31(1) the following subsection is inserted — </w:t>
      </w:r>
    </w:p>
    <w:p>
      <w:pPr>
        <w:pStyle w:val="MiscOpen"/>
        <w:ind w:left="595"/>
      </w:pPr>
      <w:r>
        <w:t xml:space="preserve">“    </w:t>
      </w:r>
    </w:p>
    <w:p>
      <w:pPr>
        <w:pStyle w:val="zSubsection"/>
        <w:spacing w:before="0"/>
      </w:pPr>
      <w:r>
        <w:tab/>
        <w:t>(1a)</w:t>
      </w:r>
      <w:r>
        <w:tab/>
        <w:t>The Authority is not to make a determination under subsection (1) unless the Authority is satisfied that it would not be contrary to the public interest to do so.</w:t>
      </w:r>
    </w:p>
    <w:p>
      <w:pPr>
        <w:pStyle w:val="MiscClose"/>
      </w:pPr>
      <w:r>
        <w:t xml:space="preserve">    ”.</w:t>
      </w:r>
    </w:p>
    <w:p>
      <w:pPr>
        <w:pStyle w:val="yHeading5"/>
        <w:outlineLvl w:val="0"/>
      </w:pPr>
      <w:bookmarkStart w:id="1002" w:name="_Toc58032148"/>
      <w:bookmarkStart w:id="1003" w:name="_Toc131588111"/>
      <w:bookmarkStart w:id="1004" w:name="_Toc196119948"/>
      <w:bookmarkStart w:id="1005" w:name="_Toc157849952"/>
      <w:r>
        <w:rPr>
          <w:rStyle w:val="CharSClsNo"/>
        </w:rPr>
        <w:t>99</w:t>
      </w:r>
      <w:r>
        <w:t>.</w:t>
      </w:r>
      <w:r>
        <w:tab/>
        <w:t>Sections 31A and 31B inserted</w:t>
      </w:r>
      <w:bookmarkEnd w:id="1002"/>
      <w:bookmarkEnd w:id="1003"/>
      <w:bookmarkEnd w:id="1004"/>
      <w:bookmarkEnd w:id="1005"/>
    </w:p>
    <w:p>
      <w:pPr>
        <w:pStyle w:val="ySubsection"/>
      </w:pPr>
      <w:r>
        <w:tab/>
      </w:r>
      <w:r>
        <w:tab/>
        <w:t xml:space="preserve">After section 31 the following sections are inserted in Part 3 Division 4 — </w:t>
      </w:r>
    </w:p>
    <w:p>
      <w:pPr>
        <w:pStyle w:val="MiscOpen"/>
      </w:pPr>
      <w:r>
        <w:t xml:space="preserve">“    </w:t>
      </w:r>
    </w:p>
    <w:p>
      <w:pPr>
        <w:pStyle w:val="zHeading5"/>
        <w:spacing w:before="0"/>
      </w:pPr>
      <w:bookmarkStart w:id="1006" w:name="_Toc196119949"/>
      <w:bookmarkStart w:id="1007" w:name="_Toc157849953"/>
      <w:r>
        <w:t>31A.</w:t>
      </w:r>
      <w:r>
        <w:tab/>
        <w:t>Matters relevant to determination of public interest</w:t>
      </w:r>
      <w:bookmarkEnd w:id="1006"/>
      <w:bookmarkEnd w:id="1007"/>
    </w:p>
    <w:p>
      <w:pPr>
        <w:pStyle w:val="zSubsection"/>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zHeading5"/>
      </w:pPr>
      <w:bookmarkStart w:id="1008" w:name="_Toc196119950"/>
      <w:bookmarkStart w:id="1009" w:name="_Toc157849954"/>
      <w:r>
        <w:t>31B.</w:t>
      </w:r>
      <w:r>
        <w:tab/>
        <w:t>Regulations about public consultation</w:t>
      </w:r>
      <w:bookmarkEnd w:id="1008"/>
      <w:bookmarkEnd w:id="1009"/>
    </w:p>
    <w:p>
      <w:pPr>
        <w:pStyle w:val="z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0"/>
      </w:pPr>
      <w:bookmarkStart w:id="1010" w:name="_Toc58032149"/>
      <w:bookmarkStart w:id="1011" w:name="_Toc131588112"/>
      <w:bookmarkStart w:id="1012" w:name="_Toc196119951"/>
      <w:bookmarkStart w:id="1013" w:name="_Toc157849955"/>
      <w:r>
        <w:rPr>
          <w:rStyle w:val="CharSClsNo"/>
        </w:rPr>
        <w:t>100</w:t>
      </w:r>
      <w:r>
        <w:t>.</w:t>
      </w:r>
      <w:r>
        <w:tab/>
        <w:t>Section 33 amended</w:t>
      </w:r>
      <w:bookmarkEnd w:id="1010"/>
      <w:bookmarkEnd w:id="1011"/>
      <w:bookmarkEnd w:id="1012"/>
      <w:bookmarkEnd w:id="1013"/>
    </w:p>
    <w:p>
      <w:pPr>
        <w:pStyle w:val="ySubsection"/>
      </w:pPr>
      <w:r>
        <w:tab/>
      </w:r>
      <w:r>
        <w:tab/>
        <w:t xml:space="preserve">Section 33(2)(c) is amended by deleting “Coordinator’s” and inserting instead — </w:t>
      </w:r>
    </w:p>
    <w:p>
      <w:pPr>
        <w:pStyle w:val="ySubsection"/>
      </w:pPr>
      <w:r>
        <w:tab/>
      </w:r>
      <w:r>
        <w:tab/>
        <w:t xml:space="preserve">“    </w:t>
      </w:r>
      <w:r>
        <w:rPr>
          <w:sz w:val="24"/>
        </w:rPr>
        <w:t>Authority’s</w:t>
      </w:r>
      <w:r>
        <w:t xml:space="preserve">    ”.</w:t>
      </w:r>
    </w:p>
    <w:p>
      <w:pPr>
        <w:pStyle w:val="yHeading5"/>
        <w:outlineLvl w:val="0"/>
      </w:pPr>
      <w:bookmarkStart w:id="1014" w:name="_Toc58032150"/>
      <w:bookmarkStart w:id="1015" w:name="_Toc131588113"/>
      <w:bookmarkStart w:id="1016" w:name="_Toc196119952"/>
      <w:bookmarkStart w:id="1017" w:name="_Toc157849956"/>
      <w:r>
        <w:rPr>
          <w:rStyle w:val="CharSClsNo"/>
        </w:rPr>
        <w:t>101</w:t>
      </w:r>
      <w:r>
        <w:t>.</w:t>
      </w:r>
      <w:r>
        <w:tab/>
        <w:t>Section 37 amended</w:t>
      </w:r>
      <w:bookmarkEnd w:id="1014"/>
      <w:bookmarkEnd w:id="1015"/>
      <w:bookmarkEnd w:id="1016"/>
      <w:bookmarkEnd w:id="1017"/>
    </w:p>
    <w:p>
      <w:pPr>
        <w:pStyle w:val="ySubsection"/>
      </w:pPr>
      <w:r>
        <w:tab/>
      </w:r>
      <w:r>
        <w:tab/>
        <w:t xml:space="preserve">Section 37(3) is amended by deleting “his or her” and inserting instead — </w:t>
      </w:r>
    </w:p>
    <w:p>
      <w:pPr>
        <w:pStyle w:val="ySubsection"/>
      </w:pPr>
      <w:r>
        <w:tab/>
      </w:r>
      <w:r>
        <w:tab/>
        <w:t xml:space="preserve">“    </w:t>
      </w:r>
      <w:r>
        <w:rPr>
          <w:sz w:val="24"/>
        </w:rPr>
        <w:t>its</w:t>
      </w:r>
      <w:r>
        <w:t xml:space="preserve">    ”.</w:t>
      </w:r>
    </w:p>
    <w:p>
      <w:pPr>
        <w:pStyle w:val="yHeading5"/>
        <w:outlineLvl w:val="0"/>
      </w:pPr>
      <w:bookmarkStart w:id="1018" w:name="_Toc58032151"/>
      <w:bookmarkStart w:id="1019" w:name="_Toc131588114"/>
      <w:bookmarkStart w:id="1020" w:name="_Toc196119953"/>
      <w:bookmarkStart w:id="1021" w:name="_Toc157849957"/>
      <w:r>
        <w:rPr>
          <w:rStyle w:val="CharSClsNo"/>
        </w:rPr>
        <w:t>102</w:t>
      </w:r>
      <w:r>
        <w:t>.</w:t>
      </w:r>
      <w:r>
        <w:tab/>
        <w:t>Section 40 amended</w:t>
      </w:r>
      <w:bookmarkEnd w:id="1018"/>
      <w:bookmarkEnd w:id="1019"/>
      <w:bookmarkEnd w:id="1020"/>
      <w:bookmarkEnd w:id="1021"/>
    </w:p>
    <w:p>
      <w:pPr>
        <w:pStyle w:val="ySubsection"/>
      </w:pPr>
      <w:r>
        <w:tab/>
      </w:r>
      <w:r>
        <w:tab/>
        <w:t xml:space="preserve">Section 40 is amended by deleting “he or she” and inserting instead — </w:t>
      </w:r>
    </w:p>
    <w:p>
      <w:pPr>
        <w:pStyle w:val="ySubsection"/>
      </w:pPr>
      <w:r>
        <w:tab/>
      </w:r>
      <w:r>
        <w:tab/>
        <w:t xml:space="preserve">“    </w:t>
      </w:r>
      <w:r>
        <w:rPr>
          <w:sz w:val="24"/>
        </w:rPr>
        <w:t>it</w:t>
      </w:r>
      <w:r>
        <w:t xml:space="preserve">    ”.</w:t>
      </w:r>
    </w:p>
    <w:p>
      <w:pPr>
        <w:pStyle w:val="yHeading5"/>
        <w:outlineLvl w:val="0"/>
      </w:pPr>
      <w:bookmarkStart w:id="1022" w:name="_Toc58032152"/>
      <w:bookmarkStart w:id="1023" w:name="_Toc131588115"/>
      <w:bookmarkStart w:id="1024" w:name="_Toc196119954"/>
      <w:bookmarkStart w:id="1025" w:name="_Toc157849958"/>
      <w:r>
        <w:rPr>
          <w:rStyle w:val="CharSClsNo"/>
        </w:rPr>
        <w:t>103</w:t>
      </w:r>
      <w:r>
        <w:t>.</w:t>
      </w:r>
      <w:r>
        <w:tab/>
        <w:t>Section 43 repealed</w:t>
      </w:r>
      <w:bookmarkEnd w:id="1022"/>
      <w:bookmarkEnd w:id="1023"/>
      <w:bookmarkEnd w:id="1024"/>
      <w:bookmarkEnd w:id="1025"/>
    </w:p>
    <w:p>
      <w:pPr>
        <w:pStyle w:val="ySubsection"/>
      </w:pPr>
      <w:r>
        <w:tab/>
      </w:r>
      <w:r>
        <w:tab/>
        <w:t>Section 43 is repealed.</w:t>
      </w:r>
    </w:p>
    <w:p>
      <w:pPr>
        <w:pStyle w:val="yHeading5"/>
        <w:outlineLvl w:val="0"/>
      </w:pPr>
      <w:bookmarkStart w:id="1026" w:name="_Toc58032153"/>
      <w:bookmarkStart w:id="1027" w:name="_Toc131588116"/>
      <w:bookmarkStart w:id="1028" w:name="_Toc196119955"/>
      <w:bookmarkStart w:id="1029" w:name="_Toc157849959"/>
      <w:r>
        <w:rPr>
          <w:rStyle w:val="CharSClsNo"/>
        </w:rPr>
        <w:t>104</w:t>
      </w:r>
      <w:r>
        <w:t>.</w:t>
      </w:r>
      <w:r>
        <w:tab/>
        <w:t>Section 44 amended</w:t>
      </w:r>
      <w:bookmarkEnd w:id="1026"/>
      <w:bookmarkEnd w:id="1027"/>
      <w:bookmarkEnd w:id="1028"/>
      <w:bookmarkEnd w:id="1029"/>
    </w:p>
    <w:p>
      <w:pPr>
        <w:pStyle w:val="ySubsection"/>
      </w:pPr>
      <w:r>
        <w:tab/>
      </w:r>
      <w:r>
        <w:tab/>
        <w:t xml:space="preserve">Section 44(1)(a) is amended by deleting “or renew” and inserting instead — </w:t>
      </w:r>
    </w:p>
    <w:p>
      <w:pPr>
        <w:pStyle w:val="ySubsection"/>
      </w:pPr>
      <w:r>
        <w:tab/>
      </w:r>
      <w:r>
        <w:tab/>
        <w:t xml:space="preserve">“    </w:t>
      </w:r>
      <w:r>
        <w:rPr>
          <w:sz w:val="24"/>
        </w:rPr>
        <w:t>, renew or transfer</w:t>
      </w:r>
      <w:r>
        <w:t xml:space="preserve">    ”.</w:t>
      </w:r>
    </w:p>
    <w:p>
      <w:pPr>
        <w:pStyle w:val="yHeading5"/>
        <w:outlineLvl w:val="0"/>
      </w:pPr>
      <w:bookmarkStart w:id="1030" w:name="_Toc58032154"/>
      <w:bookmarkStart w:id="1031" w:name="_Toc131588117"/>
      <w:bookmarkStart w:id="1032" w:name="_Toc196119956"/>
      <w:bookmarkStart w:id="1033" w:name="_Toc157849960"/>
      <w:r>
        <w:rPr>
          <w:rStyle w:val="CharSClsNo"/>
        </w:rPr>
        <w:t>105</w:t>
      </w:r>
      <w:r>
        <w:t>.</w:t>
      </w:r>
      <w:r>
        <w:tab/>
        <w:t>Section 47 amended</w:t>
      </w:r>
      <w:bookmarkEnd w:id="1030"/>
      <w:bookmarkEnd w:id="1031"/>
      <w:bookmarkEnd w:id="1032"/>
      <w:bookmarkEnd w:id="1033"/>
    </w:p>
    <w:p>
      <w:pPr>
        <w:pStyle w:val="ySubsection"/>
        <w:spacing w:before="120"/>
      </w:pPr>
      <w:r>
        <w:tab/>
      </w:r>
      <w:r>
        <w:tab/>
        <w:t xml:space="preserve">Section 47(4) is amended by deleting “The Coordinator” and inserting instead — </w:t>
      </w:r>
    </w:p>
    <w:p>
      <w:pPr>
        <w:pStyle w:val="ySubsection"/>
      </w:pPr>
      <w:r>
        <w:tab/>
      </w:r>
      <w:r>
        <w:tab/>
        <w:t xml:space="preserve">“    </w:t>
      </w:r>
      <w:r>
        <w:rPr>
          <w:sz w:val="24"/>
        </w:rPr>
        <w:t>A member of the Authority</w:t>
      </w:r>
      <w:r>
        <w:t xml:space="preserve">    ”.</w:t>
      </w:r>
    </w:p>
    <w:p>
      <w:pPr>
        <w:pStyle w:val="yHeading5"/>
        <w:outlineLvl w:val="0"/>
      </w:pPr>
      <w:bookmarkStart w:id="1034" w:name="_Toc58032155"/>
      <w:bookmarkStart w:id="1035" w:name="_Toc131588118"/>
      <w:bookmarkStart w:id="1036" w:name="_Toc196119957"/>
      <w:bookmarkStart w:id="1037" w:name="_Toc157849961"/>
      <w:r>
        <w:rPr>
          <w:rStyle w:val="CharSClsNo"/>
        </w:rPr>
        <w:t>106</w:t>
      </w:r>
      <w:r>
        <w:t>.</w:t>
      </w:r>
      <w:r>
        <w:tab/>
        <w:t>Section 53 amended</w:t>
      </w:r>
      <w:bookmarkEnd w:id="1034"/>
      <w:bookmarkEnd w:id="1035"/>
      <w:bookmarkEnd w:id="1036"/>
      <w:bookmarkEnd w:id="1037"/>
    </w:p>
    <w:p>
      <w:pPr>
        <w:pStyle w:val="ySubsection"/>
        <w:spacing w:before="120"/>
      </w:pPr>
      <w:r>
        <w:tab/>
      </w:r>
      <w:r>
        <w:tab/>
        <w:t xml:space="preserve">Section 53(1) is amended by deleting “a water services” and inserting instead — </w:t>
      </w:r>
    </w:p>
    <w:p>
      <w:pPr>
        <w:pStyle w:val="ySubsection"/>
      </w:pPr>
      <w:r>
        <w:tab/>
      </w:r>
      <w:r>
        <w:tab/>
        <w:t xml:space="preserve">“    </w:t>
      </w:r>
      <w:r>
        <w:rPr>
          <w:sz w:val="24"/>
        </w:rPr>
        <w:t>an operating</w:t>
      </w:r>
      <w:r>
        <w:t xml:space="preserve">    ”.</w:t>
      </w:r>
    </w:p>
    <w:p>
      <w:pPr>
        <w:pStyle w:val="yHeading5"/>
        <w:outlineLvl w:val="0"/>
      </w:pPr>
      <w:bookmarkStart w:id="1038" w:name="_Toc58032156"/>
      <w:bookmarkStart w:id="1039" w:name="_Toc131588119"/>
      <w:bookmarkStart w:id="1040" w:name="_Toc196119958"/>
      <w:bookmarkStart w:id="1041" w:name="_Toc157849962"/>
      <w:r>
        <w:rPr>
          <w:rStyle w:val="CharSClsNo"/>
        </w:rPr>
        <w:t>107</w:t>
      </w:r>
      <w:r>
        <w:t>.</w:t>
      </w:r>
      <w:r>
        <w:tab/>
        <w:t>Part 5 repealed</w:t>
      </w:r>
      <w:bookmarkEnd w:id="1038"/>
      <w:bookmarkEnd w:id="1039"/>
      <w:bookmarkEnd w:id="1040"/>
      <w:bookmarkEnd w:id="1041"/>
    </w:p>
    <w:p>
      <w:pPr>
        <w:pStyle w:val="ySubsection"/>
        <w:spacing w:before="120"/>
      </w:pPr>
      <w:r>
        <w:tab/>
      </w:r>
      <w:r>
        <w:tab/>
        <w:t>Part 5 is repealed.</w:t>
      </w:r>
    </w:p>
    <w:p>
      <w:pPr>
        <w:pStyle w:val="yHeading5"/>
        <w:outlineLvl w:val="0"/>
      </w:pPr>
      <w:bookmarkStart w:id="1042" w:name="_Toc58032157"/>
      <w:bookmarkStart w:id="1043" w:name="_Toc131588120"/>
      <w:bookmarkStart w:id="1044" w:name="_Toc196119959"/>
      <w:bookmarkStart w:id="1045" w:name="_Toc157849963"/>
      <w:r>
        <w:rPr>
          <w:rStyle w:val="CharSClsNo"/>
        </w:rPr>
        <w:t>108</w:t>
      </w:r>
      <w:r>
        <w:t>.</w:t>
      </w:r>
      <w:r>
        <w:tab/>
        <w:t>Section 59B amended</w:t>
      </w:r>
      <w:bookmarkEnd w:id="1042"/>
      <w:bookmarkEnd w:id="1043"/>
      <w:bookmarkEnd w:id="1044"/>
      <w:bookmarkEnd w:id="1045"/>
    </w:p>
    <w:p>
      <w:pPr>
        <w:pStyle w:val="ySubsection"/>
        <w:spacing w:before="120"/>
      </w:pPr>
      <w:r>
        <w:tab/>
      </w:r>
      <w:r>
        <w:tab/>
        <w:t>Section 59B(1)(a) and (b) are amended by deleting “and the Coordinator”.</w:t>
      </w:r>
    </w:p>
    <w:p>
      <w:pPr>
        <w:pStyle w:val="yHeading5"/>
        <w:outlineLvl w:val="0"/>
      </w:pPr>
      <w:bookmarkStart w:id="1046" w:name="_Toc58032158"/>
      <w:bookmarkStart w:id="1047" w:name="_Toc131588121"/>
      <w:bookmarkStart w:id="1048" w:name="_Toc196119960"/>
      <w:bookmarkStart w:id="1049" w:name="_Toc157849964"/>
      <w:r>
        <w:rPr>
          <w:rStyle w:val="CharSClsNo"/>
        </w:rPr>
        <w:t>109</w:t>
      </w:r>
      <w:r>
        <w:t>.</w:t>
      </w:r>
      <w:r>
        <w:tab/>
        <w:t>Section 60 repealed</w:t>
      </w:r>
      <w:bookmarkEnd w:id="1046"/>
      <w:bookmarkEnd w:id="1047"/>
      <w:bookmarkEnd w:id="1048"/>
      <w:bookmarkEnd w:id="1049"/>
    </w:p>
    <w:p>
      <w:pPr>
        <w:pStyle w:val="ySubsection"/>
        <w:spacing w:before="120"/>
      </w:pPr>
      <w:r>
        <w:tab/>
      </w:r>
      <w:r>
        <w:tab/>
        <w:t>Section 60 is repealed.</w:t>
      </w:r>
    </w:p>
    <w:p>
      <w:pPr>
        <w:pStyle w:val="yHeading5"/>
        <w:outlineLvl w:val="0"/>
      </w:pPr>
      <w:bookmarkStart w:id="1050" w:name="_Toc58032159"/>
      <w:bookmarkStart w:id="1051" w:name="_Toc131588122"/>
      <w:bookmarkStart w:id="1052" w:name="_Toc196119961"/>
      <w:bookmarkStart w:id="1053" w:name="_Toc157849965"/>
      <w:r>
        <w:rPr>
          <w:rStyle w:val="CharSClsNo"/>
        </w:rPr>
        <w:t>110</w:t>
      </w:r>
      <w:r>
        <w:t>.</w:t>
      </w:r>
      <w:r>
        <w:tab/>
        <w:t>Section 60A amended</w:t>
      </w:r>
      <w:bookmarkEnd w:id="1050"/>
      <w:bookmarkEnd w:id="1051"/>
      <w:bookmarkEnd w:id="1052"/>
      <w:bookmarkEnd w:id="1053"/>
    </w:p>
    <w:p>
      <w:pPr>
        <w:pStyle w:val="ySubsection"/>
        <w:spacing w:before="120"/>
      </w:pPr>
      <w:r>
        <w:tab/>
      </w:r>
      <w:r>
        <w:tab/>
        <w:t xml:space="preserve">After section 60A(1) the following subsection is inserted — </w:t>
      </w:r>
    </w:p>
    <w:p>
      <w:pPr>
        <w:pStyle w:val="MiscOpen"/>
        <w:ind w:left="600"/>
      </w:pPr>
      <w:r>
        <w:t xml:space="preserve">“    </w:t>
      </w:r>
    </w:p>
    <w:p>
      <w:pPr>
        <w:pStyle w:val="zSubsection"/>
        <w:spacing w:before="0"/>
      </w:pPr>
      <w:r>
        <w:tab/>
        <w:t>(1a)</w:t>
      </w:r>
      <w:r>
        <w:tab/>
        <w:t xml:space="preserve">Subsection (1) does not apply to a person referred to in section 56(1) of the </w:t>
      </w:r>
      <w:r>
        <w:rPr>
          <w:i/>
        </w:rPr>
        <w:t>Economic Regulation Authority Act 2003</w:t>
      </w:r>
      <w:r>
        <w:t>.</w:t>
      </w:r>
    </w:p>
    <w:p>
      <w:pPr>
        <w:pStyle w:val="MiscClose"/>
      </w:pPr>
      <w:r>
        <w:t xml:space="preserve">    ”.</w:t>
      </w:r>
    </w:p>
    <w:p>
      <w:pPr>
        <w:pStyle w:val="yHeading5"/>
        <w:spacing w:before="120"/>
        <w:outlineLvl w:val="0"/>
      </w:pPr>
      <w:bookmarkStart w:id="1054" w:name="_Toc58032160"/>
      <w:bookmarkStart w:id="1055" w:name="_Toc131588123"/>
      <w:bookmarkStart w:id="1056" w:name="_Toc196119962"/>
      <w:bookmarkStart w:id="1057" w:name="_Toc157849966"/>
      <w:r>
        <w:rPr>
          <w:rStyle w:val="CharSClsNo"/>
        </w:rPr>
        <w:t>111</w:t>
      </w:r>
      <w:r>
        <w:t>.</w:t>
      </w:r>
      <w:r>
        <w:tab/>
        <w:t>Section 60B amended</w:t>
      </w:r>
      <w:bookmarkEnd w:id="1054"/>
      <w:bookmarkEnd w:id="1055"/>
      <w:bookmarkEnd w:id="1056"/>
      <w:bookmarkEnd w:id="1057"/>
    </w:p>
    <w:p>
      <w:pPr>
        <w:pStyle w:val="ySubsection"/>
        <w:spacing w:before="120"/>
      </w:pPr>
      <w:r>
        <w:tab/>
        <w:t>(1)</w:t>
      </w:r>
      <w:r>
        <w:tab/>
        <w:t xml:space="preserve">Section 60B(1) is repealed and the following subsection is inserted instead — </w:t>
      </w:r>
    </w:p>
    <w:p>
      <w:pPr>
        <w:pStyle w:val="MiscOpen"/>
        <w:ind w:left="595"/>
      </w:pPr>
      <w:r>
        <w:t xml:space="preserve">“    </w:t>
      </w:r>
    </w:p>
    <w:p>
      <w:pPr>
        <w:pStyle w:val="zSubsection"/>
        <w:spacing w:before="0"/>
        <w:outlineLvl w:val="0"/>
      </w:pPr>
      <w:r>
        <w:tab/>
        <w:t>(1)</w:t>
      </w:r>
      <w:r>
        <w:tab/>
        <w:t xml:space="preserve">This section applies to a person — </w:t>
      </w:r>
    </w:p>
    <w:p>
      <w:pPr>
        <w:pStyle w:val="zIndenta"/>
      </w:pPr>
      <w:r>
        <w:tab/>
        <w:t>(a)</w:t>
      </w:r>
      <w:r>
        <w:tab/>
        <w:t>who has been the Coordinator of Water Services under this Act;</w:t>
      </w:r>
    </w:p>
    <w:p>
      <w:pPr>
        <w:pStyle w:val="zIndenta"/>
      </w:pPr>
      <w:r>
        <w:tab/>
        <w:t>(b)</w:t>
      </w:r>
      <w:r>
        <w:tab/>
        <w:t>who is or has been a member of the Board; or</w:t>
      </w:r>
    </w:p>
    <w:p>
      <w:pPr>
        <w:pStyle w:val="zIndenta"/>
      </w:pPr>
      <w:r>
        <w:tab/>
        <w:t>(c)</w:t>
      </w:r>
      <w:r>
        <w:tab/>
        <w:t>who is or has been a person performing functions under this Act.</w:t>
      </w:r>
    </w:p>
    <w:p>
      <w:pPr>
        <w:pStyle w:val="MiscClose"/>
      </w:pPr>
      <w:r>
        <w:t xml:space="preserve">    ”.</w:t>
      </w:r>
    </w:p>
    <w:p>
      <w:pPr>
        <w:pStyle w:val="ySubsection"/>
        <w:outlineLvl w:val="0"/>
      </w:pPr>
      <w:r>
        <w:tab/>
        <w:t>(2)</w:t>
      </w:r>
      <w:r>
        <w:tab/>
        <w:t xml:space="preserve">Section 60B is amended by deleting the penalty provision at the end of subsection (2) and inserting instead — </w:t>
      </w:r>
    </w:p>
    <w:p>
      <w:pPr>
        <w:pStyle w:val="MiscOpen"/>
        <w:ind w:left="880"/>
      </w:pPr>
      <w:r>
        <w:t xml:space="preserve">“    </w:t>
      </w:r>
    </w:p>
    <w:p>
      <w:pPr>
        <w:pStyle w:val="zPenstart"/>
        <w:spacing w:before="0"/>
      </w:pPr>
      <w:r>
        <w:tab/>
        <w:t>Penalty: $5 000.</w:t>
      </w:r>
    </w:p>
    <w:p>
      <w:pPr>
        <w:pStyle w:val="MiscClose"/>
      </w:pPr>
      <w:r>
        <w:t xml:space="preserve">    ”.</w:t>
      </w:r>
    </w:p>
    <w:p>
      <w:pPr>
        <w:pStyle w:val="yHeading5"/>
        <w:outlineLvl w:val="0"/>
      </w:pPr>
      <w:bookmarkStart w:id="1058" w:name="_Toc58032161"/>
      <w:bookmarkStart w:id="1059" w:name="_Toc131588124"/>
      <w:bookmarkStart w:id="1060" w:name="_Toc196119963"/>
      <w:bookmarkStart w:id="1061" w:name="_Toc157849967"/>
      <w:r>
        <w:rPr>
          <w:rStyle w:val="CharSClsNo"/>
        </w:rPr>
        <w:t>112</w:t>
      </w:r>
      <w:r>
        <w:t>.</w:t>
      </w:r>
      <w:r>
        <w:tab/>
        <w:t>Section 62 amended</w:t>
      </w:r>
      <w:bookmarkEnd w:id="1058"/>
      <w:bookmarkEnd w:id="1059"/>
      <w:bookmarkEnd w:id="1060"/>
      <w:bookmarkEnd w:id="1061"/>
    </w:p>
    <w:p>
      <w:pPr>
        <w:pStyle w:val="ySubsection"/>
      </w:pPr>
      <w:r>
        <w:tab/>
      </w:r>
      <w:r>
        <w:tab/>
        <w:t>Section 62(2)(a) and (b) are deleted.</w:t>
      </w:r>
    </w:p>
    <w:p>
      <w:pPr>
        <w:pStyle w:val="yHeading5"/>
        <w:outlineLvl w:val="0"/>
      </w:pPr>
      <w:bookmarkStart w:id="1062" w:name="_Toc58032162"/>
      <w:bookmarkStart w:id="1063" w:name="_Toc131588125"/>
      <w:bookmarkStart w:id="1064" w:name="_Toc196119964"/>
      <w:bookmarkStart w:id="1065" w:name="_Toc157849968"/>
      <w:r>
        <w:rPr>
          <w:rStyle w:val="CharSClsNo"/>
        </w:rPr>
        <w:t>113</w:t>
      </w:r>
      <w:r>
        <w:t>.</w:t>
      </w:r>
      <w:r>
        <w:tab/>
        <w:t>Schedule 1 amended</w:t>
      </w:r>
      <w:bookmarkEnd w:id="1062"/>
      <w:bookmarkEnd w:id="1063"/>
      <w:bookmarkEnd w:id="1064"/>
      <w:bookmarkEnd w:id="1065"/>
    </w:p>
    <w:p>
      <w:pPr>
        <w:pStyle w:val="ySubsection"/>
      </w:pPr>
      <w:r>
        <w:tab/>
      </w:r>
      <w:r>
        <w:tab/>
        <w:t>Schedule 1 is amended as follows:</w:t>
      </w:r>
    </w:p>
    <w:p>
      <w:pPr>
        <w:pStyle w:val="yIndenta"/>
      </w:pPr>
      <w:r>
        <w:tab/>
        <w:t>(a)</w:t>
      </w:r>
      <w:r>
        <w:tab/>
        <w:t xml:space="preserve">by deleting “A water services” and inserting instead — </w:t>
      </w:r>
    </w:p>
    <w:p>
      <w:pPr>
        <w:pStyle w:val="yIndenta"/>
      </w:pPr>
      <w:r>
        <w:tab/>
      </w:r>
      <w:r>
        <w:tab/>
        <w:t>“    An operating    ”;</w:t>
      </w:r>
    </w:p>
    <w:p>
      <w:pPr>
        <w:pStyle w:val="yIndenta"/>
      </w:pPr>
      <w:r>
        <w:tab/>
        <w:t>(b)</w:t>
      </w:r>
      <w:r>
        <w:tab/>
        <w:t xml:space="preserve">by deleting paragraph (h) and inserting the following paragraph instead — </w:t>
      </w:r>
    </w:p>
    <w:p>
      <w:pPr>
        <w:pStyle w:val="MiscOpen"/>
        <w:ind w:left="1332"/>
      </w:pPr>
      <w:r>
        <w:t xml:space="preserve">“    </w:t>
      </w:r>
    </w:p>
    <w:p>
      <w:pPr>
        <w:pStyle w:val="zyIndenta"/>
        <w:spacing w:before="0"/>
      </w:pPr>
      <w:r>
        <w:tab/>
        <w:t>(h)</w:t>
      </w:r>
      <w: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MiscClose"/>
      </w:pPr>
      <w:r>
        <w:t xml:space="preserve">    ”.</w:t>
      </w:r>
    </w:p>
    <w:p>
      <w:pPr>
        <w:pStyle w:val="yHeading5"/>
        <w:outlineLvl w:val="0"/>
      </w:pPr>
      <w:bookmarkStart w:id="1066" w:name="_Toc58032163"/>
      <w:bookmarkStart w:id="1067" w:name="_Toc131588126"/>
      <w:bookmarkStart w:id="1068" w:name="_Toc196119965"/>
      <w:bookmarkStart w:id="1069" w:name="_Toc157849969"/>
      <w:r>
        <w:rPr>
          <w:rStyle w:val="CharSClsNo"/>
        </w:rPr>
        <w:t>114</w:t>
      </w:r>
      <w:r>
        <w:t>.</w:t>
      </w:r>
      <w:r>
        <w:tab/>
        <w:t>Various references to “Coordinator” changed to “Authority”</w:t>
      </w:r>
      <w:bookmarkEnd w:id="1066"/>
      <w:bookmarkEnd w:id="1067"/>
      <w:bookmarkEnd w:id="1068"/>
      <w:bookmarkEnd w:id="1069"/>
    </w:p>
    <w:p>
      <w:pPr>
        <w:pStyle w:val="ySubsection"/>
      </w:pPr>
      <w:r>
        <w:tab/>
      </w:r>
      <w:r>
        <w:tab/>
        <w:t xml:space="preserve">The provisions specified in the Table to this clause are amended by deleting “Coordinator” in each place where it occurs and inserting instead — </w:t>
      </w:r>
    </w:p>
    <w:p>
      <w:pPr>
        <w:pStyle w:val="ySubsection"/>
      </w:pPr>
      <w:r>
        <w:tab/>
      </w:r>
      <w:r>
        <w:tab/>
        <w:t xml:space="preserve">“    </w:t>
      </w:r>
      <w:r>
        <w:rPr>
          <w:sz w:val="24"/>
        </w:rPr>
        <w:t>Authority</w:t>
      </w:r>
      <w:r>
        <w:t xml:space="preserve">    ”.</w:t>
      </w:r>
    </w:p>
    <w:p>
      <w:pPr>
        <w:pStyle w:val="yMiscellaneousHeading"/>
        <w:outlineLvl w:val="0"/>
        <w:rPr>
          <w:b/>
        </w:rPr>
      </w:pPr>
      <w:r>
        <w:rPr>
          <w:b/>
        </w:rPr>
        <w:t>Table</w:t>
      </w:r>
    </w:p>
    <w:tbl>
      <w:tblPr>
        <w:tblW w:w="0" w:type="auto"/>
        <w:tblInd w:w="1384" w:type="dxa"/>
        <w:tblLayout w:type="fixed"/>
        <w:tblLook w:val="0000" w:firstRow="0" w:lastRow="0" w:firstColumn="0" w:lastColumn="0" w:noHBand="0" w:noVBand="0"/>
      </w:tblPr>
      <w:tblGrid>
        <w:gridCol w:w="2622"/>
        <w:gridCol w:w="2765"/>
      </w:tblGrid>
      <w:tr>
        <w:tc>
          <w:tcPr>
            <w:tcW w:w="2622" w:type="dxa"/>
          </w:tcPr>
          <w:p>
            <w:pPr>
              <w:pStyle w:val="yTable"/>
            </w:pPr>
            <w:r>
              <w:t>s. 18(1)</w:t>
            </w:r>
          </w:p>
        </w:tc>
        <w:tc>
          <w:tcPr>
            <w:tcW w:w="2765" w:type="dxa"/>
          </w:tcPr>
          <w:p>
            <w:pPr>
              <w:pStyle w:val="yTable"/>
            </w:pPr>
            <w:r>
              <w:t>s. 37(3)</w:t>
            </w:r>
          </w:p>
        </w:tc>
      </w:tr>
      <w:tr>
        <w:tc>
          <w:tcPr>
            <w:tcW w:w="2622" w:type="dxa"/>
          </w:tcPr>
          <w:p>
            <w:pPr>
              <w:pStyle w:val="yTable"/>
            </w:pPr>
            <w:r>
              <w:t>s. 20(1) and (2)</w:t>
            </w:r>
          </w:p>
        </w:tc>
        <w:tc>
          <w:tcPr>
            <w:tcW w:w="2765" w:type="dxa"/>
          </w:tcPr>
          <w:p>
            <w:pPr>
              <w:pStyle w:val="yTable"/>
            </w:pPr>
            <w:r>
              <w:t>s. 38(1)</w:t>
            </w:r>
          </w:p>
        </w:tc>
      </w:tr>
      <w:tr>
        <w:tc>
          <w:tcPr>
            <w:tcW w:w="2622" w:type="dxa"/>
          </w:tcPr>
          <w:p>
            <w:pPr>
              <w:pStyle w:val="yTable"/>
            </w:pPr>
            <w:r>
              <w:t>s. 22(1)(a), (2) and (3)</w:t>
            </w:r>
          </w:p>
        </w:tc>
        <w:tc>
          <w:tcPr>
            <w:tcW w:w="2765" w:type="dxa"/>
          </w:tcPr>
          <w:p>
            <w:pPr>
              <w:pStyle w:val="yTable"/>
            </w:pPr>
            <w:r>
              <w:t>s. 42(3)</w:t>
            </w:r>
          </w:p>
        </w:tc>
      </w:tr>
      <w:tr>
        <w:tc>
          <w:tcPr>
            <w:tcW w:w="2622" w:type="dxa"/>
          </w:tcPr>
          <w:p>
            <w:pPr>
              <w:pStyle w:val="yTable"/>
            </w:pPr>
            <w:r>
              <w:t>s. 24(1)</w:t>
            </w:r>
          </w:p>
        </w:tc>
        <w:tc>
          <w:tcPr>
            <w:tcW w:w="2765" w:type="dxa"/>
          </w:tcPr>
          <w:p>
            <w:pPr>
              <w:pStyle w:val="yTable"/>
            </w:pPr>
            <w:r>
              <w:t>s. 44(1)</w:t>
            </w:r>
          </w:p>
        </w:tc>
      </w:tr>
      <w:tr>
        <w:tc>
          <w:tcPr>
            <w:tcW w:w="2622" w:type="dxa"/>
          </w:tcPr>
          <w:p>
            <w:pPr>
              <w:pStyle w:val="yTable"/>
            </w:pPr>
            <w:r>
              <w:t>s. 25</w:t>
            </w:r>
          </w:p>
        </w:tc>
        <w:tc>
          <w:tcPr>
            <w:tcW w:w="2765" w:type="dxa"/>
          </w:tcPr>
          <w:p>
            <w:pPr>
              <w:pStyle w:val="yTable"/>
            </w:pPr>
            <w:r>
              <w:t>s. 46H(3)(a) and (b)</w:t>
            </w:r>
          </w:p>
        </w:tc>
      </w:tr>
      <w:tr>
        <w:tc>
          <w:tcPr>
            <w:tcW w:w="2622" w:type="dxa"/>
          </w:tcPr>
          <w:p>
            <w:pPr>
              <w:pStyle w:val="yTable"/>
            </w:pPr>
            <w:r>
              <w:t>s. 26</w:t>
            </w:r>
          </w:p>
        </w:tc>
        <w:tc>
          <w:tcPr>
            <w:tcW w:w="2765" w:type="dxa"/>
          </w:tcPr>
          <w:p>
            <w:pPr>
              <w:pStyle w:val="yTable"/>
            </w:pPr>
            <w:r>
              <w:t>s. 46K</w:t>
            </w:r>
          </w:p>
        </w:tc>
      </w:tr>
      <w:tr>
        <w:tc>
          <w:tcPr>
            <w:tcW w:w="2622" w:type="dxa"/>
          </w:tcPr>
          <w:p>
            <w:pPr>
              <w:pStyle w:val="yTable"/>
            </w:pPr>
            <w:r>
              <w:t>s. 27</w:t>
            </w:r>
          </w:p>
        </w:tc>
        <w:tc>
          <w:tcPr>
            <w:tcW w:w="2765" w:type="dxa"/>
          </w:tcPr>
          <w:p>
            <w:pPr>
              <w:pStyle w:val="yTable"/>
            </w:pPr>
            <w:r>
              <w:t>s. 47(1)</w:t>
            </w:r>
          </w:p>
        </w:tc>
      </w:tr>
      <w:tr>
        <w:tc>
          <w:tcPr>
            <w:tcW w:w="2622" w:type="dxa"/>
          </w:tcPr>
          <w:p>
            <w:pPr>
              <w:pStyle w:val="yTable"/>
            </w:pPr>
            <w:r>
              <w:t>s. 28(a)</w:t>
            </w:r>
          </w:p>
        </w:tc>
        <w:tc>
          <w:tcPr>
            <w:tcW w:w="2765" w:type="dxa"/>
          </w:tcPr>
          <w:p>
            <w:pPr>
              <w:pStyle w:val="yTable"/>
            </w:pPr>
            <w:r>
              <w:t>s. 48(1)</w:t>
            </w:r>
          </w:p>
        </w:tc>
      </w:tr>
      <w:tr>
        <w:tc>
          <w:tcPr>
            <w:tcW w:w="2622" w:type="dxa"/>
          </w:tcPr>
          <w:p>
            <w:pPr>
              <w:pStyle w:val="yTable"/>
            </w:pPr>
            <w:r>
              <w:t>s. 31(1) and (4)</w:t>
            </w:r>
          </w:p>
        </w:tc>
        <w:tc>
          <w:tcPr>
            <w:tcW w:w="2765" w:type="dxa"/>
          </w:tcPr>
          <w:p>
            <w:pPr>
              <w:pStyle w:val="yTable"/>
            </w:pPr>
            <w:r>
              <w:t>s. 53(1) and (2)</w:t>
            </w:r>
          </w:p>
        </w:tc>
      </w:tr>
      <w:tr>
        <w:tc>
          <w:tcPr>
            <w:tcW w:w="2622" w:type="dxa"/>
          </w:tcPr>
          <w:p>
            <w:pPr>
              <w:pStyle w:val="yTable"/>
            </w:pPr>
            <w:r>
              <w:t>s. 33(2)(b)</w:t>
            </w:r>
          </w:p>
        </w:tc>
        <w:tc>
          <w:tcPr>
            <w:tcW w:w="2765" w:type="dxa"/>
          </w:tcPr>
          <w:p>
            <w:pPr>
              <w:pStyle w:val="yTable"/>
            </w:pPr>
            <w:r>
              <w:t>s. 54(1)</w:t>
            </w:r>
          </w:p>
        </w:tc>
      </w:tr>
      <w:tr>
        <w:trPr>
          <w:cantSplit/>
          <w:trHeight w:val="280"/>
        </w:trPr>
        <w:tc>
          <w:tcPr>
            <w:tcW w:w="2622" w:type="dxa"/>
          </w:tcPr>
          <w:p>
            <w:pPr>
              <w:pStyle w:val="yTable"/>
            </w:pPr>
            <w:r>
              <w:t>s. 36(1)(b) and (c)</w:t>
            </w:r>
          </w:p>
        </w:tc>
        <w:tc>
          <w:tcPr>
            <w:tcW w:w="2765" w:type="dxa"/>
            <w:vMerge w:val="restart"/>
          </w:tcPr>
          <w:p>
            <w:pPr>
              <w:pStyle w:val="yTable"/>
            </w:pPr>
            <w:r>
              <w:t>Sch. 1 para. (b) and (m)(ii)</w:t>
            </w:r>
          </w:p>
        </w:tc>
      </w:tr>
      <w:tr>
        <w:trPr>
          <w:cantSplit/>
          <w:trHeight w:val="280"/>
        </w:trPr>
        <w:tc>
          <w:tcPr>
            <w:tcW w:w="2622" w:type="dxa"/>
          </w:tcPr>
          <w:p>
            <w:pPr>
              <w:pStyle w:val="yTable"/>
            </w:pPr>
            <w:r>
              <w:t>s. 37(1)</w:t>
            </w:r>
          </w:p>
        </w:tc>
        <w:tc>
          <w:tcPr>
            <w:tcW w:w="2765" w:type="dxa"/>
            <w:vMerge/>
          </w:tcPr>
          <w:p>
            <w:pPr>
              <w:pStyle w:val="yTable"/>
            </w:pPr>
          </w:p>
        </w:tc>
      </w:tr>
    </w:tbl>
    <w:p>
      <w:pPr>
        <w:pStyle w:val="yHeading5"/>
        <w:spacing w:before="160"/>
        <w:outlineLvl w:val="9"/>
      </w:pPr>
      <w:bookmarkStart w:id="1070" w:name="_Toc58032164"/>
      <w:bookmarkStart w:id="1071" w:name="_Toc131588127"/>
      <w:bookmarkStart w:id="1072" w:name="_Toc196119966"/>
      <w:bookmarkStart w:id="1073" w:name="_Toc157849970"/>
      <w:r>
        <w:rPr>
          <w:rStyle w:val="CharSClsNo"/>
        </w:rPr>
        <w:t>115</w:t>
      </w:r>
      <w:r>
        <w:t>.</w:t>
      </w:r>
      <w:r>
        <w:tab/>
        <w:t>Various references to “Minister” changed to “Authority”</w:t>
      </w:r>
      <w:bookmarkEnd w:id="1070"/>
      <w:bookmarkEnd w:id="1071"/>
      <w:bookmarkEnd w:id="1072"/>
      <w:bookmarkEnd w:id="1073"/>
    </w:p>
    <w:p>
      <w:pPr>
        <w:pStyle w:val="ySubsection"/>
      </w:pPr>
      <w:r>
        <w:tab/>
      </w:r>
      <w:r>
        <w:tab/>
        <w:t xml:space="preserve">The provisions specified in the Table to this clause are amended by deleting “Minister” in each place where it occurs and inserting instead — </w:t>
      </w:r>
    </w:p>
    <w:p>
      <w:pPr>
        <w:pStyle w:val="ySubsection"/>
      </w:pPr>
      <w:r>
        <w:tab/>
      </w:r>
      <w:r>
        <w:tab/>
        <w:t xml:space="preserve">“    </w:t>
      </w:r>
      <w:r>
        <w:rPr>
          <w:sz w:val="24"/>
        </w:rPr>
        <w:t>Authority</w:t>
      </w:r>
      <w:r>
        <w:t xml:space="preserve">    ”.</w:t>
      </w:r>
    </w:p>
    <w:p>
      <w:pPr>
        <w:pStyle w:val="yMiscellaneousHeading"/>
        <w:outlineLvl w:val="0"/>
        <w:rPr>
          <w:b/>
        </w:rPr>
      </w:pPr>
      <w:r>
        <w:rPr>
          <w:b/>
        </w:rPr>
        <w:t>Table</w:t>
      </w:r>
    </w:p>
    <w:tbl>
      <w:tblPr>
        <w:tblW w:w="0" w:type="auto"/>
        <w:jc w:val="center"/>
        <w:tblLayout w:type="fixed"/>
        <w:tblLook w:val="0000" w:firstRow="0" w:lastRow="0" w:firstColumn="0" w:lastColumn="0" w:noHBand="0" w:noVBand="0"/>
      </w:tblPr>
      <w:tblGrid>
        <w:gridCol w:w="3047"/>
      </w:tblGrid>
      <w:tr>
        <w:trPr>
          <w:jc w:val="center"/>
        </w:trPr>
        <w:tc>
          <w:tcPr>
            <w:tcW w:w="3047" w:type="dxa"/>
          </w:tcPr>
          <w:p>
            <w:pPr>
              <w:pStyle w:val="yTable"/>
            </w:pPr>
            <w:r>
              <w:t>s. 39(1), (2), (3) and (4)</w:t>
            </w:r>
          </w:p>
        </w:tc>
      </w:tr>
      <w:tr>
        <w:trPr>
          <w:jc w:val="center"/>
        </w:trPr>
        <w:tc>
          <w:tcPr>
            <w:tcW w:w="3047" w:type="dxa"/>
          </w:tcPr>
          <w:p>
            <w:pPr>
              <w:pStyle w:val="yTable"/>
            </w:pPr>
            <w:r>
              <w:t>s. 40</w:t>
            </w:r>
          </w:p>
        </w:tc>
      </w:tr>
      <w:tr>
        <w:trPr>
          <w:jc w:val="center"/>
        </w:trPr>
        <w:tc>
          <w:tcPr>
            <w:tcW w:w="3047" w:type="dxa"/>
          </w:tcPr>
          <w:p>
            <w:pPr>
              <w:pStyle w:val="yTable"/>
            </w:pPr>
            <w:r>
              <w:t>s. 41</w:t>
            </w:r>
          </w:p>
        </w:tc>
      </w:tr>
    </w:tbl>
    <w:p>
      <w:pPr>
        <w:pStyle w:val="yHeading3"/>
        <w:outlineLvl w:val="9"/>
        <w:rPr>
          <w:rStyle w:val="CharDivText"/>
          <w:i/>
        </w:rPr>
      </w:pPr>
      <w:bookmarkStart w:id="1074" w:name="_Toc58032165"/>
      <w:bookmarkStart w:id="1075" w:name="_Toc131588128"/>
      <w:bookmarkStart w:id="1076" w:name="_Toc139347301"/>
      <w:bookmarkStart w:id="1077" w:name="_Toc139700888"/>
      <w:bookmarkStart w:id="1078" w:name="_Toc157849971"/>
      <w:bookmarkStart w:id="1079" w:name="_Toc196119967"/>
      <w:r>
        <w:rPr>
          <w:rStyle w:val="CharSDivNo"/>
        </w:rPr>
        <w:t>Division 19</w:t>
      </w:r>
      <w:r>
        <w:rPr>
          <w:b w:val="0"/>
        </w:rPr>
        <w:t> — </w:t>
      </w:r>
      <w:r>
        <w:rPr>
          <w:rStyle w:val="CharSDivText"/>
          <w:i/>
        </w:rPr>
        <w:t>Western Australian Planning Commission Act 1985</w:t>
      </w:r>
      <w:bookmarkEnd w:id="1074"/>
      <w:bookmarkEnd w:id="1075"/>
      <w:bookmarkEnd w:id="1076"/>
      <w:bookmarkEnd w:id="1077"/>
      <w:bookmarkEnd w:id="1078"/>
      <w:bookmarkEnd w:id="1079"/>
    </w:p>
    <w:p>
      <w:pPr>
        <w:pStyle w:val="yHeading5"/>
        <w:spacing w:before="160"/>
        <w:outlineLvl w:val="0"/>
      </w:pPr>
      <w:bookmarkStart w:id="1080" w:name="_Toc58032166"/>
      <w:bookmarkStart w:id="1081" w:name="_Toc131588129"/>
      <w:bookmarkStart w:id="1082" w:name="_Toc196119968"/>
      <w:bookmarkStart w:id="1083" w:name="_Toc157849972"/>
      <w:r>
        <w:rPr>
          <w:rStyle w:val="CharSClsNo"/>
        </w:rPr>
        <w:t>116</w:t>
      </w:r>
      <w:r>
        <w:t>.</w:t>
      </w:r>
      <w:r>
        <w:tab/>
        <w:t>The Act amended</w:t>
      </w:r>
      <w:bookmarkEnd w:id="1080"/>
      <w:bookmarkEnd w:id="1081"/>
      <w:bookmarkEnd w:id="1082"/>
      <w:bookmarkEnd w:id="1083"/>
    </w:p>
    <w:p>
      <w:pPr>
        <w:pStyle w:val="ySubsection"/>
      </w:pPr>
      <w:r>
        <w:tab/>
      </w:r>
      <w:r>
        <w:tab/>
        <w:t xml:space="preserve">The amendments in this Division are to the </w:t>
      </w:r>
      <w:r>
        <w:rPr>
          <w:i/>
        </w:rPr>
        <w:t>Western Australian Planning Commission Act 1985*.</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0"/>
      </w:pPr>
      <w:bookmarkStart w:id="1084" w:name="_Toc58032167"/>
      <w:bookmarkStart w:id="1085" w:name="_Toc131588130"/>
      <w:bookmarkStart w:id="1086" w:name="_Toc196119969"/>
      <w:bookmarkStart w:id="1087" w:name="_Toc157849973"/>
      <w:r>
        <w:rPr>
          <w:rStyle w:val="CharSClsNo"/>
        </w:rPr>
        <w:t>117</w:t>
      </w:r>
      <w:r>
        <w:t>.</w:t>
      </w:r>
      <w:r>
        <w:tab/>
        <w:t>Section 19 amended</w:t>
      </w:r>
      <w:bookmarkEnd w:id="1084"/>
      <w:bookmarkEnd w:id="1085"/>
      <w:bookmarkEnd w:id="1086"/>
      <w:bookmarkEnd w:id="1087"/>
    </w:p>
    <w:p>
      <w:pPr>
        <w:pStyle w:val="ySubsection"/>
        <w:keepNext/>
      </w:pPr>
      <w:r>
        <w:tab/>
      </w:r>
      <w:r>
        <w:tab/>
        <w:t>Section 19(1g)(a) is amended as follows:</w:t>
      </w:r>
    </w:p>
    <w:p>
      <w:pPr>
        <w:pStyle w:val="yIndenta"/>
      </w:pPr>
      <w:r>
        <w:tab/>
        <w:t>(a)</w:t>
      </w:r>
      <w:r>
        <w:tab/>
        <w:t>by deleting subparagraph (iia);</w:t>
      </w:r>
    </w:p>
    <w:p>
      <w:pPr>
        <w:pStyle w:val="yIndenta"/>
      </w:pPr>
      <w:r>
        <w:tab/>
        <w:t>(b)</w:t>
      </w:r>
      <w:r>
        <w:tab/>
        <w:t xml:space="preserve">after subparagraph (viii) by inserting the following subparagraph — </w:t>
      </w:r>
    </w:p>
    <w:p>
      <w:pPr>
        <w:pStyle w:val="MiscOpen"/>
        <w:ind w:left="1480"/>
      </w:pPr>
      <w:r>
        <w:t xml:space="preserve">“    </w:t>
      </w:r>
    </w:p>
    <w:p>
      <w:pPr>
        <w:pStyle w:val="zyIndenti"/>
      </w:pPr>
      <w:r>
        <w:tab/>
        <w:t>(viiia)</w:t>
      </w:r>
      <w:r>
        <w:tab/>
        <w:t xml:space="preserve">the chief executive officer of the department principally assisting the Minister to whom the administration of the </w:t>
      </w:r>
      <w:r>
        <w:rPr>
          <w:i/>
        </w:rPr>
        <w:t>Water Agencies (Powers) Act 1984</w:t>
      </w:r>
      <w:r>
        <w:t xml:space="preserve"> is for the time being committed by the Governor in that administration, or a person nominated by that chief executive officer and approved by the Minister;</w:t>
      </w:r>
    </w:p>
    <w:p>
      <w:pPr>
        <w:pStyle w:val="MiscClose"/>
      </w:pPr>
      <w:r>
        <w:t xml:space="preserve">    ”.</w:t>
      </w:r>
    </w:p>
    <w:p>
      <w:pPr>
        <w:pStyle w:val="yScheduleHeading"/>
      </w:pPr>
      <w:bookmarkStart w:id="1088" w:name="_Toc26174504"/>
      <w:bookmarkStart w:id="1089" w:name="_Toc26177398"/>
      <w:bookmarkStart w:id="1090" w:name="_Toc58032168"/>
      <w:bookmarkStart w:id="1091" w:name="_Toc131588131"/>
      <w:bookmarkStart w:id="1092" w:name="_Toc139347304"/>
      <w:bookmarkStart w:id="1093" w:name="_Toc139700891"/>
      <w:bookmarkStart w:id="1094" w:name="_Toc157849974"/>
      <w:bookmarkStart w:id="1095" w:name="_Toc196119970"/>
      <w:r>
        <w:rPr>
          <w:rStyle w:val="CharSchNo"/>
        </w:rPr>
        <w:t>Schedule 3</w:t>
      </w:r>
      <w:r>
        <w:t> — </w:t>
      </w:r>
      <w:r>
        <w:rPr>
          <w:rStyle w:val="CharSchText"/>
        </w:rPr>
        <w:t>Transitional and saving provisions for amendments in Schedule 2 Divisions 8, 12 and 18</w:t>
      </w:r>
      <w:bookmarkEnd w:id="1088"/>
      <w:bookmarkEnd w:id="1089"/>
      <w:bookmarkEnd w:id="1090"/>
      <w:bookmarkEnd w:id="1091"/>
      <w:bookmarkEnd w:id="1092"/>
      <w:bookmarkEnd w:id="1093"/>
      <w:bookmarkEnd w:id="1094"/>
      <w:bookmarkEnd w:id="1095"/>
    </w:p>
    <w:p>
      <w:pPr>
        <w:pStyle w:val="yShoulderClause"/>
      </w:pPr>
      <w:r>
        <w:t>[s. 63(1)]</w:t>
      </w:r>
    </w:p>
    <w:p>
      <w:pPr>
        <w:pStyle w:val="yHeading5"/>
        <w:outlineLvl w:val="0"/>
      </w:pPr>
      <w:bookmarkStart w:id="1096" w:name="_Toc12070351"/>
      <w:bookmarkStart w:id="1097" w:name="_Toc58032169"/>
      <w:bookmarkStart w:id="1098" w:name="_Toc131588132"/>
      <w:bookmarkStart w:id="1099" w:name="_Toc196119971"/>
      <w:bookmarkStart w:id="1100" w:name="_Toc157849975"/>
      <w:r>
        <w:rPr>
          <w:rStyle w:val="CharSClsNo"/>
        </w:rPr>
        <w:t>1</w:t>
      </w:r>
      <w:r>
        <w:t>.</w:t>
      </w:r>
      <w:r>
        <w:tab/>
        <w:t>Definitions</w:t>
      </w:r>
      <w:bookmarkEnd w:id="1096"/>
      <w:bookmarkEnd w:id="1097"/>
      <w:bookmarkEnd w:id="1098"/>
      <w:bookmarkEnd w:id="1099"/>
      <w:bookmarkEnd w:id="1100"/>
    </w:p>
    <w:p>
      <w:pPr>
        <w:pStyle w:val="ySubsection"/>
      </w:pPr>
      <w:r>
        <w:tab/>
      </w:r>
      <w:r>
        <w:tab/>
        <w:t xml:space="preserve">In this Schedule — </w:t>
      </w:r>
    </w:p>
    <w:p>
      <w:pPr>
        <w:pStyle w:val="yDefstart"/>
      </w:pPr>
      <w:r>
        <w:tab/>
      </w:r>
      <w:r>
        <w:rPr>
          <w:b/>
        </w:rPr>
        <w:t>“</w:t>
      </w:r>
      <w:r>
        <w:rPr>
          <w:rStyle w:val="CharDefText"/>
        </w:rPr>
        <w:t>commencement day</w:t>
      </w:r>
      <w:r>
        <w:rPr>
          <w:b/>
        </w:rPr>
        <w:t>”</w:t>
      </w:r>
      <w:r>
        <w:t xml:space="preserve"> means the day on which this Schedule comes into operation;</w:t>
      </w:r>
    </w:p>
    <w:p>
      <w:pPr>
        <w:pStyle w:val="yDefstart"/>
      </w:pPr>
      <w:r>
        <w:rPr>
          <w:b/>
        </w:rPr>
        <w:tab/>
        <w:t>“</w:t>
      </w:r>
      <w:r>
        <w:rPr>
          <w:rStyle w:val="CharDefText"/>
        </w:rPr>
        <w:t>former official</w:t>
      </w:r>
      <w:r>
        <w:rPr>
          <w:b/>
        </w:rPr>
        <w:t>”</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1101" w:name="_Toc12070352"/>
      <w:bookmarkStart w:id="1102" w:name="_Toc58032170"/>
      <w:bookmarkStart w:id="1103" w:name="_Toc131588133"/>
      <w:bookmarkStart w:id="1104" w:name="_Toc196119972"/>
      <w:bookmarkStart w:id="1105" w:name="_Toc157849976"/>
      <w:r>
        <w:rPr>
          <w:rStyle w:val="CharSClsNo"/>
        </w:rPr>
        <w:t>2</w:t>
      </w:r>
      <w:r>
        <w:t>.</w:t>
      </w:r>
      <w:r>
        <w:tab/>
      </w:r>
      <w:r>
        <w:rPr>
          <w:i/>
        </w:rPr>
        <w:t>Interpretation Act 1984</w:t>
      </w:r>
      <w:r>
        <w:t xml:space="preserve"> to apply</w:t>
      </w:r>
      <w:bookmarkEnd w:id="1101"/>
      <w:bookmarkEnd w:id="1102"/>
      <w:bookmarkEnd w:id="1103"/>
      <w:bookmarkEnd w:id="1104"/>
      <w:bookmarkEnd w:id="1105"/>
    </w:p>
    <w:p>
      <w:pPr>
        <w:pStyle w:val="ySubsection"/>
      </w:pPr>
      <w:r>
        <w:tab/>
      </w:r>
      <w:r>
        <w:tab/>
        <w:t xml:space="preserve">This Schedule does not limit the operation of the </w:t>
      </w:r>
      <w:r>
        <w:rPr>
          <w:i/>
        </w:rPr>
        <w:t>Interpretation Act 1984</w:t>
      </w:r>
      <w:r>
        <w:t>.</w:t>
      </w:r>
    </w:p>
    <w:p>
      <w:pPr>
        <w:pStyle w:val="yHeading5"/>
        <w:outlineLvl w:val="0"/>
      </w:pPr>
      <w:bookmarkStart w:id="1106" w:name="_Toc58032171"/>
      <w:bookmarkStart w:id="1107" w:name="_Toc131588134"/>
      <w:bookmarkStart w:id="1108" w:name="_Toc196119973"/>
      <w:bookmarkStart w:id="1109" w:name="_Toc157849977"/>
      <w:r>
        <w:rPr>
          <w:rStyle w:val="CharSClsNo"/>
        </w:rPr>
        <w:t>3</w:t>
      </w:r>
      <w:r>
        <w:t>.</w:t>
      </w:r>
      <w:r>
        <w:tab/>
        <w:t>Decisions of Gas Pipelines Access Regulator</w:t>
      </w:r>
      <w:bookmarkEnd w:id="1106"/>
      <w:bookmarkEnd w:id="1107"/>
      <w:bookmarkEnd w:id="1108"/>
      <w:bookmarkEnd w:id="1109"/>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1110" w:name="_Toc58032172"/>
      <w:bookmarkStart w:id="1111" w:name="_Toc131588135"/>
      <w:bookmarkStart w:id="1112" w:name="_Toc196119974"/>
      <w:bookmarkStart w:id="1113" w:name="_Toc157849978"/>
      <w:r>
        <w:rPr>
          <w:rStyle w:val="CharSClsNo"/>
        </w:rPr>
        <w:t>4</w:t>
      </w:r>
      <w:r>
        <w:t>.</w:t>
      </w:r>
      <w:r>
        <w:tab/>
        <w:t>Decisions of Rail Access Regulator</w:t>
      </w:r>
      <w:bookmarkEnd w:id="1110"/>
      <w:bookmarkEnd w:id="1111"/>
      <w:bookmarkEnd w:id="1112"/>
      <w:bookmarkEnd w:id="1113"/>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1114" w:name="_Toc58032173"/>
      <w:bookmarkStart w:id="1115" w:name="_Toc131588136"/>
      <w:bookmarkStart w:id="1116" w:name="_Toc196119975"/>
      <w:bookmarkStart w:id="1117" w:name="_Toc157849979"/>
      <w:r>
        <w:t>5.</w:t>
      </w:r>
      <w:r>
        <w:tab/>
        <w:t xml:space="preserve">Licences under Part 3 of the </w:t>
      </w:r>
      <w:r>
        <w:rPr>
          <w:i/>
        </w:rPr>
        <w:t>Water Services Coordination Act 1995</w:t>
      </w:r>
      <w:bookmarkEnd w:id="1114"/>
      <w:bookmarkEnd w:id="1115"/>
      <w:bookmarkEnd w:id="1116"/>
      <w:bookmarkEnd w:id="1117"/>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yHeading5"/>
        <w:outlineLvl w:val="0"/>
      </w:pPr>
      <w:bookmarkStart w:id="1118" w:name="_Toc58032174"/>
      <w:bookmarkStart w:id="1119" w:name="_Toc131588137"/>
      <w:bookmarkStart w:id="1120" w:name="_Toc196119976"/>
      <w:bookmarkStart w:id="1121" w:name="_Toc157849980"/>
      <w:r>
        <w:t>6.</w:t>
      </w:r>
      <w:r>
        <w:tab/>
        <w:t>Continuing effect of things done</w:t>
      </w:r>
      <w:bookmarkEnd w:id="1118"/>
      <w:bookmarkEnd w:id="1119"/>
      <w:bookmarkEnd w:id="1120"/>
      <w:bookmarkEnd w:id="1121"/>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1122" w:name="_Toc58032175"/>
      <w:bookmarkStart w:id="1123" w:name="_Toc131588138"/>
      <w:bookmarkStart w:id="1124" w:name="_Toc196119977"/>
      <w:bookmarkStart w:id="1125" w:name="_Toc157849981"/>
      <w:r>
        <w:t>7.</w:t>
      </w:r>
      <w:r>
        <w:tab/>
        <w:t>Completion of things begun</w:t>
      </w:r>
      <w:bookmarkEnd w:id="1122"/>
      <w:bookmarkEnd w:id="1123"/>
      <w:bookmarkEnd w:id="1124"/>
      <w:bookmarkEnd w:id="1125"/>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1126" w:name="_Toc58032176"/>
      <w:bookmarkStart w:id="1127" w:name="_Toc131588139"/>
      <w:bookmarkStart w:id="1128" w:name="_Toc196119978"/>
      <w:bookmarkStart w:id="1129" w:name="_Toc157849982"/>
      <w:r>
        <w:t>8.</w:t>
      </w:r>
      <w:r>
        <w:tab/>
        <w:t>Proceedings etc.</w:t>
      </w:r>
      <w:bookmarkEnd w:id="1126"/>
      <w:bookmarkEnd w:id="1127"/>
      <w:bookmarkEnd w:id="1128"/>
      <w:bookmarkEnd w:id="1129"/>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1130" w:name="_Toc58032177"/>
      <w:bookmarkStart w:id="1131" w:name="_Toc131588140"/>
      <w:bookmarkStart w:id="1132" w:name="_Toc196119979"/>
      <w:bookmarkStart w:id="1133" w:name="_Toc157849983"/>
      <w:r>
        <w:t>9.</w:t>
      </w:r>
      <w:r>
        <w:tab/>
        <w:t>Records</w:t>
      </w:r>
      <w:bookmarkEnd w:id="1130"/>
      <w:bookmarkEnd w:id="1131"/>
      <w:bookmarkEnd w:id="1132"/>
      <w:bookmarkEnd w:id="1133"/>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1134" w:name="_Toc58032178"/>
      <w:bookmarkStart w:id="1135" w:name="_Toc131588141"/>
      <w:bookmarkStart w:id="1136" w:name="_Toc196119980"/>
      <w:bookmarkStart w:id="1137" w:name="_Toc157849984"/>
      <w:r>
        <w:t>10.</w:t>
      </w:r>
      <w:r>
        <w:tab/>
        <w:t>Bank accounts</w:t>
      </w:r>
      <w:bookmarkEnd w:id="1134"/>
      <w:bookmarkEnd w:id="1135"/>
      <w:bookmarkEnd w:id="1136"/>
      <w:bookmarkEnd w:id="1137"/>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138" w:name="_Hlt17789400"/>
      <w:r>
        <w:t> </w:t>
      </w:r>
      <w:bookmarkEnd w:id="1138"/>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1139" w:name="_Toc12070355"/>
      <w:bookmarkStart w:id="1140" w:name="_Toc58032179"/>
      <w:bookmarkStart w:id="1141" w:name="_Toc131588142"/>
      <w:bookmarkStart w:id="1142" w:name="_Toc196119981"/>
      <w:bookmarkStart w:id="1143" w:name="_Toc157849985"/>
      <w:r>
        <w:t>11.</w:t>
      </w:r>
      <w:r>
        <w:tab/>
        <w:t>References to former official in agreements and instruments</w:t>
      </w:r>
      <w:bookmarkEnd w:id="1139"/>
      <w:bookmarkEnd w:id="1140"/>
      <w:bookmarkEnd w:id="1141"/>
      <w:bookmarkEnd w:id="1142"/>
      <w:bookmarkEnd w:id="1143"/>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1144" w:name="_Toc12070356"/>
      <w:bookmarkStart w:id="1145" w:name="_Toc58032180"/>
      <w:bookmarkStart w:id="1146" w:name="_Toc131588143"/>
      <w:bookmarkStart w:id="1147" w:name="_Toc196119982"/>
      <w:bookmarkStart w:id="1148" w:name="_Toc157849986"/>
      <w:r>
        <w:t>12.</w:t>
      </w:r>
      <w:r>
        <w:tab/>
        <w:t>References to former official in written law</w:t>
      </w:r>
      <w:bookmarkEnd w:id="1144"/>
      <w:bookmarkEnd w:id="1145"/>
      <w:bookmarkEnd w:id="1146"/>
      <w:bookmarkEnd w:id="1147"/>
      <w:bookmarkEnd w:id="1148"/>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1149" w:name="_Toc12070359"/>
      <w:bookmarkStart w:id="1150" w:name="_Toc58032181"/>
      <w:bookmarkStart w:id="1151" w:name="_Toc131588144"/>
      <w:bookmarkStart w:id="1152" w:name="_Toc196119983"/>
      <w:bookmarkStart w:id="1153" w:name="_Toc157849987"/>
      <w:r>
        <w:t>13.</w:t>
      </w:r>
      <w:r>
        <w:tab/>
        <w:t>Immunity</w:t>
      </w:r>
      <w:bookmarkEnd w:id="1149"/>
      <w:r>
        <w:t xml:space="preserve"> to continue</w:t>
      </w:r>
      <w:bookmarkEnd w:id="1150"/>
      <w:bookmarkEnd w:id="1151"/>
      <w:bookmarkEnd w:id="1152"/>
      <w:bookmarkEnd w:id="1153"/>
    </w:p>
    <w:p>
      <w:pPr>
        <w:pStyle w:val="y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1154" w:name="_Toc12070362"/>
      <w:bookmarkStart w:id="1155" w:name="_Toc58032182"/>
      <w:bookmarkStart w:id="1156" w:name="_Toc131588145"/>
      <w:bookmarkStart w:id="1157" w:name="_Toc196119984"/>
      <w:bookmarkStart w:id="1158" w:name="_Toc157849988"/>
      <w:r>
        <w:t>14.</w:t>
      </w:r>
      <w:r>
        <w:tab/>
        <w:t>Saving</w:t>
      </w:r>
      <w:bookmarkEnd w:id="1154"/>
      <w:bookmarkEnd w:id="1155"/>
      <w:bookmarkEnd w:id="1156"/>
      <w:bookmarkEnd w:id="1157"/>
      <w:bookmarkEnd w:id="1158"/>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1159" w:name="_Toc131588146"/>
      <w:bookmarkStart w:id="1160" w:name="_Toc139347319"/>
      <w:bookmarkStart w:id="1161" w:name="_Toc139700906"/>
      <w:bookmarkStart w:id="1162" w:name="_Toc157849989"/>
      <w:bookmarkStart w:id="1163" w:name="_Toc196119985"/>
      <w:r>
        <w:rPr>
          <w:rStyle w:val="CharSchNo"/>
        </w:rPr>
        <w:t>Schedule 4</w:t>
      </w:r>
      <w:r>
        <w:t> — </w:t>
      </w:r>
      <w:r>
        <w:rPr>
          <w:rStyle w:val="CharSchText"/>
        </w:rPr>
        <w:t>Transitional and saving provisions for amendments in Schedule 2 Division 4</w:t>
      </w:r>
      <w:bookmarkEnd w:id="1159"/>
      <w:bookmarkEnd w:id="1160"/>
      <w:bookmarkEnd w:id="1161"/>
      <w:bookmarkEnd w:id="1162"/>
      <w:bookmarkEnd w:id="1163"/>
    </w:p>
    <w:p>
      <w:pPr>
        <w:pStyle w:val="yShoulderClause"/>
      </w:pPr>
      <w:r>
        <w:t>[s. 63(2)]</w:t>
      </w:r>
    </w:p>
    <w:p>
      <w:pPr>
        <w:pStyle w:val="yHeading5"/>
        <w:outlineLvl w:val="0"/>
      </w:pPr>
      <w:bookmarkStart w:id="1164" w:name="_Toc131588147"/>
      <w:bookmarkStart w:id="1165" w:name="_Toc196119986"/>
      <w:bookmarkStart w:id="1166" w:name="_Toc157849990"/>
      <w:r>
        <w:t>1.</w:t>
      </w:r>
      <w:r>
        <w:tab/>
        <w:t>Definitions</w:t>
      </w:r>
      <w:bookmarkEnd w:id="1164"/>
      <w:bookmarkEnd w:id="1165"/>
      <w:bookmarkEnd w:id="1166"/>
    </w:p>
    <w:p>
      <w:pPr>
        <w:pStyle w:val="ySubsection"/>
      </w:pPr>
      <w:r>
        <w:tab/>
      </w:r>
      <w:r>
        <w:tab/>
        <w:t xml:space="preserve">In this Schedule — </w:t>
      </w:r>
    </w:p>
    <w:p>
      <w:pPr>
        <w:pStyle w:val="yDefstart"/>
      </w:pPr>
      <w:r>
        <w:tab/>
      </w:r>
      <w:r>
        <w:rPr>
          <w:b/>
        </w:rPr>
        <w:t>“commencement day”</w:t>
      </w:r>
      <w:r>
        <w:t xml:space="preserve"> means the day on which this Schedule comes into operation;</w:t>
      </w:r>
    </w:p>
    <w:p>
      <w:pPr>
        <w:pStyle w:val="yDefstart"/>
      </w:pPr>
      <w:r>
        <w:tab/>
      </w:r>
      <w:r>
        <w:rPr>
          <w:b/>
        </w:rPr>
        <w:t>“Coordinator”</w:t>
      </w:r>
      <w:r>
        <w:t xml:space="preserve"> means the Coordinator of Energy referred to in section 4 of the </w:t>
      </w:r>
      <w:r>
        <w:rPr>
          <w:i/>
        </w:rPr>
        <w:t>Energy Coordination Act 1994</w:t>
      </w:r>
      <w:r>
        <w:t>;</w:t>
      </w:r>
    </w:p>
    <w:p>
      <w:pPr>
        <w:pStyle w:val="yDefstart"/>
      </w:pPr>
      <w:r>
        <w:tab/>
      </w:r>
      <w:r>
        <w:rPr>
          <w:b/>
        </w:rPr>
        <w:t>“licensing functions”</w:t>
      </w:r>
      <w:r>
        <w:t xml:space="preserve"> means the functions of the Coordinator under Part 2A;</w:t>
      </w:r>
    </w:p>
    <w:p>
      <w:pPr>
        <w:pStyle w:val="yDefstart"/>
      </w:pPr>
      <w:r>
        <w:tab/>
      </w:r>
      <w:r>
        <w:rPr>
          <w:b/>
        </w:rPr>
        <w:t>“Part 2A”</w:t>
      </w:r>
      <w:r>
        <w:t xml:space="preserve"> means Part 2A of the </w:t>
      </w:r>
      <w:r>
        <w:rPr>
          <w:i/>
        </w:rPr>
        <w:t>Energy Coordination Act 1994</w:t>
      </w:r>
      <w:r>
        <w:t xml:space="preserve"> as in effect before the commencement day.</w:t>
      </w:r>
    </w:p>
    <w:p>
      <w:pPr>
        <w:pStyle w:val="yHeading5"/>
        <w:outlineLvl w:val="0"/>
      </w:pPr>
      <w:bookmarkStart w:id="1167" w:name="_Toc131588148"/>
      <w:bookmarkStart w:id="1168" w:name="_Toc196119987"/>
      <w:bookmarkStart w:id="1169" w:name="_Toc157849991"/>
      <w:r>
        <w:t>2.</w:t>
      </w:r>
      <w:r>
        <w:tab/>
      </w:r>
      <w:r>
        <w:rPr>
          <w:i/>
        </w:rPr>
        <w:t>Interpretation Act 1984</w:t>
      </w:r>
      <w:r>
        <w:t xml:space="preserve"> to apply</w:t>
      </w:r>
      <w:bookmarkEnd w:id="1167"/>
      <w:bookmarkEnd w:id="1168"/>
      <w:bookmarkEnd w:id="1169"/>
    </w:p>
    <w:p>
      <w:pPr>
        <w:pStyle w:val="ySubsection"/>
      </w:pPr>
      <w:r>
        <w:tab/>
      </w:r>
      <w:r>
        <w:tab/>
        <w:t xml:space="preserve">This Schedule does not limit the operation of the </w:t>
      </w:r>
      <w:r>
        <w:rPr>
          <w:i/>
        </w:rPr>
        <w:t>Interpretation Act 1984</w:t>
      </w:r>
      <w:r>
        <w:t>.</w:t>
      </w:r>
    </w:p>
    <w:p>
      <w:pPr>
        <w:pStyle w:val="yHeading5"/>
        <w:outlineLvl w:val="0"/>
      </w:pPr>
      <w:bookmarkStart w:id="1170" w:name="_Toc131588149"/>
      <w:bookmarkStart w:id="1171" w:name="_Toc196119988"/>
      <w:bookmarkStart w:id="1172" w:name="_Toc157849992"/>
      <w:r>
        <w:t>3.</w:t>
      </w:r>
      <w:r>
        <w:tab/>
        <w:t>Licences under Part 2A</w:t>
      </w:r>
      <w:bookmarkEnd w:id="1170"/>
      <w:bookmarkEnd w:id="1171"/>
      <w:bookmarkEnd w:id="1172"/>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p>
    <w:p>
      <w:pPr>
        <w:pStyle w:val="yHeading5"/>
        <w:outlineLvl w:val="0"/>
      </w:pPr>
      <w:bookmarkStart w:id="1173" w:name="_Toc131588150"/>
      <w:bookmarkStart w:id="1174" w:name="_Toc196119989"/>
      <w:bookmarkStart w:id="1175" w:name="_Toc157849993"/>
      <w:r>
        <w:t>4.</w:t>
      </w:r>
      <w:r>
        <w:tab/>
        <w:t>Continuing effect of things done</w:t>
      </w:r>
      <w:bookmarkEnd w:id="1173"/>
      <w:bookmarkEnd w:id="1174"/>
      <w:bookmarkEnd w:id="1175"/>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1176" w:name="_Toc131588151"/>
      <w:bookmarkStart w:id="1177" w:name="_Toc196119990"/>
      <w:bookmarkStart w:id="1178" w:name="_Toc157849994"/>
      <w:r>
        <w:t>5.</w:t>
      </w:r>
      <w:r>
        <w:tab/>
        <w:t>Completion of things begun</w:t>
      </w:r>
      <w:bookmarkEnd w:id="1176"/>
      <w:bookmarkEnd w:id="1177"/>
      <w:bookmarkEnd w:id="1178"/>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1179" w:name="_Toc131588152"/>
      <w:bookmarkStart w:id="1180" w:name="_Toc196119991"/>
      <w:bookmarkStart w:id="1181" w:name="_Toc157849995"/>
      <w:r>
        <w:t>6.</w:t>
      </w:r>
      <w:r>
        <w:tab/>
        <w:t>Proceedings etc.</w:t>
      </w:r>
      <w:bookmarkEnd w:id="1179"/>
      <w:bookmarkEnd w:id="1180"/>
      <w:bookmarkEnd w:id="1181"/>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1182" w:name="_Toc131588153"/>
      <w:bookmarkStart w:id="1183" w:name="_Toc196119992"/>
      <w:bookmarkStart w:id="1184" w:name="_Toc157849996"/>
      <w:r>
        <w:t>7.</w:t>
      </w:r>
      <w:r>
        <w:tab/>
        <w:t>Records</w:t>
      </w:r>
      <w:bookmarkEnd w:id="1182"/>
      <w:bookmarkEnd w:id="1183"/>
      <w:bookmarkEnd w:id="1184"/>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1185" w:name="_Toc131588154"/>
      <w:bookmarkStart w:id="1186" w:name="_Toc196119993"/>
      <w:bookmarkStart w:id="1187" w:name="_Toc157849997"/>
      <w:r>
        <w:t>8.</w:t>
      </w:r>
      <w:r>
        <w:tab/>
        <w:t>References to Coordinator in agreements and instruments</w:t>
      </w:r>
      <w:bookmarkEnd w:id="1185"/>
      <w:bookmarkEnd w:id="1186"/>
      <w:bookmarkEnd w:id="1187"/>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b/>
        </w:rPr>
        <w:t>“agreement or instrument”</w:t>
      </w:r>
      <w:r>
        <w:t xml:space="preserve"> means an agreement or instrument relating to licensing functions.</w:t>
      </w:r>
    </w:p>
    <w:p>
      <w:pPr>
        <w:pStyle w:val="yHeading5"/>
        <w:outlineLvl w:val="0"/>
      </w:pPr>
      <w:bookmarkStart w:id="1188" w:name="_Toc131588155"/>
      <w:bookmarkStart w:id="1189" w:name="_Toc196119994"/>
      <w:bookmarkStart w:id="1190" w:name="_Toc157849998"/>
      <w:r>
        <w:t>9.</w:t>
      </w:r>
      <w:r>
        <w:tab/>
        <w:t>References to Coordinator in written law</w:t>
      </w:r>
      <w:bookmarkEnd w:id="1188"/>
      <w:bookmarkEnd w:id="1189"/>
      <w:bookmarkEnd w:id="1190"/>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1191" w:name="_Toc131588156"/>
      <w:bookmarkStart w:id="1192" w:name="_Toc196119995"/>
      <w:bookmarkStart w:id="1193" w:name="_Toc157849999"/>
      <w:r>
        <w:t>10.</w:t>
      </w:r>
      <w:r>
        <w:tab/>
        <w:t>Immunity to continue</w:t>
      </w:r>
      <w:bookmarkEnd w:id="1191"/>
      <w:bookmarkEnd w:id="1192"/>
      <w:bookmarkEnd w:id="1193"/>
    </w:p>
    <w:p>
      <w:pPr>
        <w:pStyle w:val="ySubsection"/>
      </w:pPr>
      <w:r>
        <w:tab/>
      </w:r>
      <w:r>
        <w:tab/>
        <w:t>Despite the amendments made in Schedule 2 Division 4,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1194" w:name="_Toc131588157"/>
      <w:bookmarkStart w:id="1195" w:name="_Toc196119996"/>
      <w:bookmarkStart w:id="1196" w:name="_Toc157850000"/>
      <w:r>
        <w:t>11.</w:t>
      </w:r>
      <w:r>
        <w:tab/>
        <w:t>Saving</w:t>
      </w:r>
      <w:bookmarkEnd w:id="1194"/>
      <w:bookmarkEnd w:id="1195"/>
      <w:bookmarkEnd w:id="1196"/>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197" w:name="_Toc117487339"/>
      <w:bookmarkStart w:id="1198" w:name="_Toc131587904"/>
      <w:bookmarkStart w:id="1199" w:name="_Toc131588158"/>
      <w:bookmarkStart w:id="1200" w:name="_Toc139347331"/>
      <w:bookmarkStart w:id="1201" w:name="_Toc139700918"/>
      <w:bookmarkStart w:id="1202" w:name="_Toc157850001"/>
      <w:bookmarkStart w:id="1203" w:name="_Toc196119997"/>
      <w:r>
        <w:t>Notes</w:t>
      </w:r>
      <w:bookmarkEnd w:id="1197"/>
      <w:bookmarkEnd w:id="1198"/>
      <w:bookmarkEnd w:id="1199"/>
      <w:bookmarkEnd w:id="1200"/>
      <w:bookmarkEnd w:id="1201"/>
      <w:bookmarkEnd w:id="1202"/>
      <w:bookmarkEnd w:id="1203"/>
    </w:p>
    <w:p>
      <w:pPr>
        <w:pStyle w:val="nSubsection"/>
        <w:rPr>
          <w:snapToGrid w:val="0"/>
        </w:rPr>
      </w:pPr>
      <w:r>
        <w:rPr>
          <w:snapToGrid w:val="0"/>
          <w:vertAlign w:val="superscript"/>
        </w:rPr>
        <w:t>1</w:t>
      </w:r>
      <w:r>
        <w:rPr>
          <w:snapToGrid w:val="0"/>
        </w:rPr>
        <w:tab/>
        <w:t xml:space="preserve">This is a compilation of the </w:t>
      </w:r>
      <w:r>
        <w:rPr>
          <w:i/>
          <w:snapToGrid w:val="0"/>
        </w:rPr>
        <w:t>Economic Regulation Authority Act 2003</w:t>
      </w:r>
      <w:r>
        <w:rPr>
          <w:snapToGrid w:val="0"/>
        </w:rPr>
        <w:t xml:space="preserve"> and includes the amendments made by the other written laws referred to in the following table</w:t>
      </w:r>
      <w:ins w:id="1204" w:author="svcMRProcess" w:date="2018-08-28T13:31:00Z">
        <w:r>
          <w:rPr>
            <w:snapToGrid w:val="0"/>
          </w:rPr>
          <w:t> </w:t>
        </w:r>
        <w:r>
          <w:rPr>
            <w:snapToGrid w:val="0"/>
            <w:vertAlign w:val="superscript"/>
          </w:rPr>
          <w:t>1a</w:t>
        </w:r>
      </w:ins>
      <w:r>
        <w:rPr>
          <w:snapToGrid w:val="0"/>
        </w:rPr>
        <w:t xml:space="preserve">. </w:t>
      </w:r>
    </w:p>
    <w:p>
      <w:pPr>
        <w:pStyle w:val="nHeading3"/>
        <w:outlineLvl w:val="0"/>
        <w:rPr>
          <w:snapToGrid w:val="0"/>
        </w:rPr>
      </w:pPr>
      <w:bookmarkStart w:id="1205" w:name="_Toc512403484"/>
      <w:bookmarkStart w:id="1206" w:name="_Toc512403627"/>
      <w:bookmarkStart w:id="1207" w:name="_Toc131588159"/>
      <w:bookmarkStart w:id="1208" w:name="_Toc196119998"/>
      <w:bookmarkStart w:id="1209" w:name="_Toc157850002"/>
      <w:r>
        <w:rPr>
          <w:snapToGrid w:val="0"/>
        </w:rPr>
        <w:t>Compilation table</w:t>
      </w:r>
      <w:bookmarkEnd w:id="1205"/>
      <w:bookmarkEnd w:id="1206"/>
      <w:bookmarkEnd w:id="1207"/>
      <w:bookmarkEnd w:id="1208"/>
      <w:bookmarkEnd w:id="12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ind w:right="156"/>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Economic Regulation Authority Act 2003</w:t>
            </w:r>
          </w:p>
        </w:tc>
        <w:tc>
          <w:tcPr>
            <w:tcW w:w="1134" w:type="dxa"/>
            <w:tcBorders>
              <w:top w:val="single" w:sz="4" w:space="0" w:color="auto"/>
            </w:tcBorders>
          </w:tcPr>
          <w:p>
            <w:pPr>
              <w:pStyle w:val="nTable"/>
              <w:spacing w:before="100"/>
              <w:rPr>
                <w:sz w:val="19"/>
              </w:rPr>
            </w:pPr>
            <w:r>
              <w:rPr>
                <w:sz w:val="19"/>
              </w:rPr>
              <w:t>67 of 2003</w:t>
            </w:r>
          </w:p>
        </w:tc>
        <w:tc>
          <w:tcPr>
            <w:tcW w:w="1134" w:type="dxa"/>
            <w:tcBorders>
              <w:top w:val="single" w:sz="4" w:space="0" w:color="auto"/>
            </w:tcBorders>
          </w:tcPr>
          <w:p>
            <w:pPr>
              <w:pStyle w:val="nTable"/>
              <w:spacing w:before="100"/>
              <w:rPr>
                <w:sz w:val="19"/>
              </w:rPr>
            </w:pPr>
            <w:r>
              <w:rPr>
                <w:sz w:val="19"/>
              </w:rPr>
              <w:t>5 Dec 2003</w:t>
            </w:r>
          </w:p>
        </w:tc>
        <w:tc>
          <w:tcPr>
            <w:tcW w:w="2552" w:type="dxa"/>
            <w:tcBorders>
              <w:top w:val="single" w:sz="4" w:space="0" w:color="auto"/>
            </w:tcBorders>
          </w:tcPr>
          <w:p>
            <w:pPr>
              <w:pStyle w:val="nTable"/>
              <w:spacing w:before="100"/>
              <w:ind w:right="156"/>
              <w:rPr>
                <w:sz w:val="19"/>
              </w:rPr>
            </w:pPr>
            <w:r>
              <w:rPr>
                <w:sz w:val="19"/>
              </w:rPr>
              <w:t xml:space="preserve">Act other than s. 25(b), 63(2), Sch. 2 Div. 4 and Sch. 4: 1 Jan 2004 (see s. 2 and </w:t>
            </w:r>
            <w:r>
              <w:rPr>
                <w:i/>
                <w:sz w:val="19"/>
              </w:rPr>
              <w:t>Gazette</w:t>
            </w:r>
            <w:r>
              <w:rPr>
                <w:sz w:val="19"/>
              </w:rPr>
              <w:t xml:space="preserve"> 30 Dec 2003 p. 5723); s. 25(b), 63(2), Sch. 2 Div. 4 and Sch. 4: 19 Mar 2004 (see s. 2(3) and </w:t>
            </w:r>
            <w:r>
              <w:rPr>
                <w:i/>
                <w:sz w:val="19"/>
              </w:rPr>
              <w:t>Gazette</w:t>
            </w:r>
            <w:r>
              <w:rPr>
                <w:sz w:val="19"/>
              </w:rPr>
              <w:t xml:space="preserve"> 19 Mar 2004 p. 914)</w:t>
            </w:r>
          </w:p>
        </w:tc>
      </w:tr>
      <w:tr>
        <w:tc>
          <w:tcPr>
            <w:tcW w:w="2268" w:type="dxa"/>
          </w:tcPr>
          <w:p>
            <w:pPr>
              <w:pStyle w:val="nTable"/>
              <w:spacing w:before="10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before="100"/>
              <w:rPr>
                <w:sz w:val="19"/>
              </w:rPr>
            </w:pPr>
            <w:r>
              <w:rPr>
                <w:sz w:val="19"/>
              </w:rPr>
              <w:t>18 of 2005</w:t>
            </w:r>
          </w:p>
        </w:tc>
        <w:tc>
          <w:tcPr>
            <w:tcW w:w="1134" w:type="dxa"/>
          </w:tcPr>
          <w:p>
            <w:pPr>
              <w:pStyle w:val="nTable"/>
              <w:spacing w:before="100"/>
              <w:rPr>
                <w:sz w:val="19"/>
              </w:rPr>
            </w:pPr>
            <w:r>
              <w:rPr>
                <w:sz w:val="19"/>
              </w:rPr>
              <w:t>13 Oct 2005</w:t>
            </w:r>
          </w:p>
        </w:tc>
        <w:tc>
          <w:tcPr>
            <w:tcW w:w="2552" w:type="dxa"/>
          </w:tcPr>
          <w:p>
            <w:pPr>
              <w:pStyle w:val="nTable"/>
              <w:spacing w:before="100"/>
              <w:ind w:right="156"/>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before="10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before="100"/>
              <w:rPr>
                <w:sz w:val="19"/>
              </w:rPr>
            </w:pPr>
            <w:r>
              <w:rPr>
                <w:snapToGrid w:val="0"/>
                <w:sz w:val="19"/>
                <w:lang w:val="en-US"/>
              </w:rPr>
              <w:t>28 of 2006</w:t>
            </w:r>
          </w:p>
        </w:tc>
        <w:tc>
          <w:tcPr>
            <w:tcW w:w="1134" w:type="dxa"/>
          </w:tcPr>
          <w:p>
            <w:pPr>
              <w:pStyle w:val="nTable"/>
              <w:spacing w:before="100"/>
              <w:rPr>
                <w:sz w:val="19"/>
              </w:rPr>
            </w:pPr>
            <w:r>
              <w:rPr>
                <w:sz w:val="19"/>
              </w:rPr>
              <w:t>26 Jun 2006</w:t>
            </w:r>
          </w:p>
        </w:tc>
        <w:tc>
          <w:tcPr>
            <w:tcW w:w="2552" w:type="dxa"/>
          </w:tcPr>
          <w:p>
            <w:pPr>
              <w:pStyle w:val="nTable"/>
              <w:spacing w:before="100"/>
              <w:ind w:right="156"/>
              <w:rPr>
                <w:sz w:val="19"/>
              </w:rPr>
            </w:pPr>
            <w:r>
              <w:rPr>
                <w:sz w:val="19"/>
              </w:rPr>
              <w:t xml:space="preserve">1 Jul 2006 (see s. 2 and </w:t>
            </w:r>
            <w:r>
              <w:rPr>
                <w:i/>
                <w:iCs/>
                <w:sz w:val="19"/>
              </w:rPr>
              <w:t>Gazette</w:t>
            </w:r>
            <w:r>
              <w:rPr>
                <w:sz w:val="19"/>
              </w:rPr>
              <w:t xml:space="preserve"> 27 Jun 2006 p. 2347)</w:t>
            </w:r>
          </w:p>
        </w:tc>
      </w:tr>
      <w:tr>
        <w:tc>
          <w:tcPr>
            <w:tcW w:w="2268" w:type="dxa"/>
            <w:tcBorders>
              <w:bottom w:val="single" w:sz="4" w:space="0" w:color="auto"/>
            </w:tcBorders>
          </w:tcPr>
          <w:p>
            <w:pPr>
              <w:pStyle w:val="nTable"/>
              <w:spacing w:before="10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100"/>
              <w:rPr>
                <w:sz w:val="19"/>
              </w:rPr>
            </w:pPr>
            <w:r>
              <w:rPr>
                <w:snapToGrid w:val="0"/>
                <w:sz w:val="19"/>
                <w:lang w:val="en-US"/>
              </w:rPr>
              <w:t>21 Dec 2006</w:t>
            </w:r>
          </w:p>
        </w:tc>
        <w:tc>
          <w:tcPr>
            <w:tcW w:w="2552" w:type="dxa"/>
            <w:tcBorders>
              <w:bottom w:val="single" w:sz="4" w:space="0" w:color="auto"/>
            </w:tcBorders>
          </w:tcPr>
          <w:p>
            <w:pPr>
              <w:pStyle w:val="nTable"/>
              <w:spacing w:before="100"/>
              <w:ind w:right="156"/>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1210" w:author="svcMRProcess" w:date="2018-08-28T13:31:00Z"/>
          <w:snapToGrid w:val="0"/>
        </w:rPr>
      </w:pPr>
      <w:ins w:id="1211" w:author="svcMRProcess" w:date="2018-08-28T13: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12" w:author="svcMRProcess" w:date="2018-08-28T13:31:00Z"/>
        </w:rPr>
      </w:pPr>
      <w:bookmarkStart w:id="1213" w:name="_Toc7405065"/>
      <w:bookmarkStart w:id="1214" w:name="_Toc181500909"/>
      <w:bookmarkStart w:id="1215" w:name="_Toc193100050"/>
      <w:bookmarkStart w:id="1216" w:name="_Toc196119999"/>
      <w:ins w:id="1217" w:author="svcMRProcess" w:date="2018-08-28T13:31:00Z">
        <w:r>
          <w:t>Provisions that have not come into operation</w:t>
        </w:r>
        <w:bookmarkEnd w:id="1213"/>
        <w:bookmarkEnd w:id="1214"/>
        <w:bookmarkEnd w:id="1215"/>
        <w:bookmarkEnd w:id="121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218" w:author="svcMRProcess" w:date="2018-08-28T13:31:00Z"/>
        </w:trPr>
        <w:tc>
          <w:tcPr>
            <w:tcW w:w="2268" w:type="dxa"/>
            <w:tcBorders>
              <w:top w:val="single" w:sz="8" w:space="0" w:color="auto"/>
              <w:bottom w:val="single" w:sz="8" w:space="0" w:color="auto"/>
            </w:tcBorders>
          </w:tcPr>
          <w:p>
            <w:pPr>
              <w:pStyle w:val="nTable"/>
              <w:spacing w:after="40"/>
              <w:rPr>
                <w:ins w:id="1219" w:author="svcMRProcess" w:date="2018-08-28T13:31:00Z"/>
                <w:b/>
                <w:sz w:val="19"/>
              </w:rPr>
            </w:pPr>
            <w:ins w:id="1220" w:author="svcMRProcess" w:date="2018-08-28T13:31:00Z">
              <w:r>
                <w:rPr>
                  <w:b/>
                  <w:sz w:val="19"/>
                </w:rPr>
                <w:t>Short title</w:t>
              </w:r>
            </w:ins>
          </w:p>
        </w:tc>
        <w:tc>
          <w:tcPr>
            <w:tcW w:w="1134" w:type="dxa"/>
            <w:tcBorders>
              <w:top w:val="single" w:sz="8" w:space="0" w:color="auto"/>
              <w:bottom w:val="single" w:sz="8" w:space="0" w:color="auto"/>
            </w:tcBorders>
          </w:tcPr>
          <w:p>
            <w:pPr>
              <w:pStyle w:val="nTable"/>
              <w:spacing w:after="40"/>
              <w:rPr>
                <w:ins w:id="1221" w:author="svcMRProcess" w:date="2018-08-28T13:31:00Z"/>
                <w:b/>
                <w:sz w:val="19"/>
              </w:rPr>
            </w:pPr>
            <w:ins w:id="1222" w:author="svcMRProcess" w:date="2018-08-28T13:31:00Z">
              <w:r>
                <w:rPr>
                  <w:b/>
                  <w:sz w:val="19"/>
                </w:rPr>
                <w:t>Number and year</w:t>
              </w:r>
            </w:ins>
          </w:p>
        </w:tc>
        <w:tc>
          <w:tcPr>
            <w:tcW w:w="1134" w:type="dxa"/>
            <w:tcBorders>
              <w:top w:val="single" w:sz="8" w:space="0" w:color="auto"/>
              <w:bottom w:val="single" w:sz="8" w:space="0" w:color="auto"/>
            </w:tcBorders>
          </w:tcPr>
          <w:p>
            <w:pPr>
              <w:pStyle w:val="nTable"/>
              <w:spacing w:after="40"/>
              <w:rPr>
                <w:ins w:id="1223" w:author="svcMRProcess" w:date="2018-08-28T13:31:00Z"/>
                <w:b/>
                <w:sz w:val="19"/>
              </w:rPr>
            </w:pPr>
            <w:ins w:id="1224" w:author="svcMRProcess" w:date="2018-08-28T13:31:00Z">
              <w:r>
                <w:rPr>
                  <w:b/>
                  <w:sz w:val="19"/>
                </w:rPr>
                <w:t>Assent</w:t>
              </w:r>
            </w:ins>
          </w:p>
        </w:tc>
        <w:tc>
          <w:tcPr>
            <w:tcW w:w="2552" w:type="dxa"/>
            <w:tcBorders>
              <w:top w:val="single" w:sz="8" w:space="0" w:color="auto"/>
              <w:bottom w:val="single" w:sz="8" w:space="0" w:color="auto"/>
            </w:tcBorders>
          </w:tcPr>
          <w:p>
            <w:pPr>
              <w:pStyle w:val="nTable"/>
              <w:spacing w:after="40"/>
              <w:rPr>
                <w:ins w:id="1225" w:author="svcMRProcess" w:date="2018-08-28T13:31:00Z"/>
                <w:b/>
                <w:sz w:val="19"/>
              </w:rPr>
            </w:pPr>
            <w:ins w:id="1226" w:author="svcMRProcess" w:date="2018-08-28T13:31:00Z">
              <w:r>
                <w:rPr>
                  <w:b/>
                  <w:sz w:val="19"/>
                </w:rPr>
                <w:t>Commencement</w:t>
              </w:r>
            </w:ins>
          </w:p>
        </w:tc>
      </w:tr>
      <w:tr>
        <w:trPr>
          <w:cantSplit/>
          <w:ins w:id="1227" w:author="svcMRProcess" w:date="2018-08-28T13:31:00Z"/>
        </w:trPr>
        <w:tc>
          <w:tcPr>
            <w:tcW w:w="2268" w:type="dxa"/>
            <w:tcBorders>
              <w:top w:val="single" w:sz="8" w:space="0" w:color="auto"/>
              <w:bottom w:val="single" w:sz="4" w:space="0" w:color="auto"/>
            </w:tcBorders>
          </w:tcPr>
          <w:p>
            <w:pPr>
              <w:pStyle w:val="nTable"/>
              <w:spacing w:after="40"/>
              <w:rPr>
                <w:ins w:id="1228" w:author="svcMRProcess" w:date="2018-08-28T13:31:00Z"/>
                <w:iCs/>
                <w:sz w:val="19"/>
                <w:vertAlign w:val="superscript"/>
              </w:rPr>
            </w:pPr>
            <w:ins w:id="1229" w:author="svcMRProcess" w:date="2018-08-28T13:31:00Z">
              <w:r>
                <w:rPr>
                  <w:i/>
                  <w:sz w:val="19"/>
                </w:rPr>
                <w:t>Duties Legislation Amendment Act 2008</w:t>
              </w:r>
              <w:r>
                <w:rPr>
                  <w:iCs/>
                  <w:sz w:val="19"/>
                </w:rPr>
                <w:t xml:space="preserve"> s. 52 </w:t>
              </w:r>
              <w:r>
                <w:rPr>
                  <w:iCs/>
                  <w:sz w:val="19"/>
                  <w:vertAlign w:val="superscript"/>
                </w:rPr>
                <w:t>2</w:t>
              </w:r>
            </w:ins>
          </w:p>
        </w:tc>
        <w:tc>
          <w:tcPr>
            <w:tcW w:w="1134" w:type="dxa"/>
            <w:tcBorders>
              <w:top w:val="single" w:sz="8" w:space="0" w:color="auto"/>
              <w:bottom w:val="single" w:sz="4" w:space="0" w:color="auto"/>
            </w:tcBorders>
          </w:tcPr>
          <w:p>
            <w:pPr>
              <w:pStyle w:val="nTable"/>
              <w:spacing w:after="40"/>
              <w:rPr>
                <w:ins w:id="1230" w:author="svcMRProcess" w:date="2018-08-28T13:31:00Z"/>
                <w:sz w:val="19"/>
              </w:rPr>
            </w:pPr>
            <w:ins w:id="1231" w:author="svcMRProcess" w:date="2018-08-28T13:31:00Z">
              <w:r>
                <w:rPr>
                  <w:sz w:val="19"/>
                </w:rPr>
                <w:t>12 of 2008</w:t>
              </w:r>
            </w:ins>
          </w:p>
        </w:tc>
        <w:tc>
          <w:tcPr>
            <w:tcW w:w="1134" w:type="dxa"/>
            <w:tcBorders>
              <w:top w:val="single" w:sz="8" w:space="0" w:color="auto"/>
              <w:bottom w:val="single" w:sz="4" w:space="0" w:color="auto"/>
            </w:tcBorders>
          </w:tcPr>
          <w:p>
            <w:pPr>
              <w:pStyle w:val="nTable"/>
              <w:spacing w:after="40"/>
              <w:rPr>
                <w:ins w:id="1232" w:author="svcMRProcess" w:date="2018-08-28T13:31:00Z"/>
                <w:sz w:val="19"/>
              </w:rPr>
            </w:pPr>
            <w:ins w:id="1233" w:author="svcMRProcess" w:date="2018-08-28T13:31:00Z">
              <w:r>
                <w:rPr>
                  <w:sz w:val="19"/>
                </w:rPr>
                <w:t>14 Apr 2008</w:t>
              </w:r>
            </w:ins>
          </w:p>
        </w:tc>
        <w:tc>
          <w:tcPr>
            <w:tcW w:w="2552" w:type="dxa"/>
            <w:tcBorders>
              <w:top w:val="single" w:sz="8" w:space="0" w:color="auto"/>
              <w:bottom w:val="single" w:sz="4" w:space="0" w:color="auto"/>
            </w:tcBorders>
          </w:tcPr>
          <w:p>
            <w:pPr>
              <w:pStyle w:val="nTable"/>
              <w:spacing w:after="40"/>
              <w:rPr>
                <w:ins w:id="1234" w:author="svcMRProcess" w:date="2018-08-28T13:31:00Z"/>
                <w:sz w:val="19"/>
              </w:rPr>
            </w:pPr>
            <w:ins w:id="1235" w:author="svcMRProcess" w:date="2018-08-28T13:31:00Z">
              <w:r>
                <w:rPr>
                  <w:sz w:val="19"/>
                </w:rPr>
                <w:t>1 Jul 2008 (see s. 2(d))</w:t>
              </w:r>
            </w:ins>
          </w:p>
        </w:tc>
      </w:tr>
    </w:tbl>
    <w:p>
      <w:pPr>
        <w:pStyle w:val="nSubsection"/>
        <w:keepLines/>
        <w:rPr>
          <w:ins w:id="1236" w:author="svcMRProcess" w:date="2018-08-28T13:31:00Z"/>
          <w:snapToGrid w:val="0"/>
        </w:rPr>
      </w:pPr>
      <w:ins w:id="1237" w:author="svcMRProcess" w:date="2018-08-28T13:31: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7, </w:t>
        </w:r>
        <w:r>
          <w:rPr>
            <w:snapToGrid w:val="0"/>
          </w:rPr>
          <w:t>had not come into operation.  It reads as follows:</w:t>
        </w:r>
      </w:ins>
    </w:p>
    <w:p>
      <w:pPr>
        <w:pStyle w:val="MiscOpen"/>
        <w:rPr>
          <w:ins w:id="1238" w:author="svcMRProcess" w:date="2018-08-28T13:31:00Z"/>
        </w:rPr>
      </w:pPr>
      <w:ins w:id="1239" w:author="svcMRProcess" w:date="2018-08-28T13:31:00Z">
        <w:r>
          <w:t>“</w:t>
        </w:r>
      </w:ins>
    </w:p>
    <w:p>
      <w:pPr>
        <w:pStyle w:val="nzHeading5"/>
        <w:rPr>
          <w:ins w:id="1240" w:author="svcMRProcess" w:date="2018-08-28T13:31:00Z"/>
          <w:snapToGrid w:val="0"/>
        </w:rPr>
      </w:pPr>
      <w:bookmarkStart w:id="1241" w:name="_Toc195421061"/>
      <w:ins w:id="1242" w:author="svcMRProcess" w:date="2018-08-28T13:31:00Z">
        <w:r>
          <w:rPr>
            <w:rStyle w:val="CharSectno"/>
          </w:rPr>
          <w:t>52</w:t>
        </w:r>
        <w:r>
          <w:rPr>
            <w:snapToGrid w:val="0"/>
          </w:rPr>
          <w:t>.</w:t>
        </w:r>
        <w:r>
          <w:rPr>
            <w:snapToGrid w:val="0"/>
          </w:rPr>
          <w:tab/>
          <w:t>Various Acts amended</w:t>
        </w:r>
        <w:bookmarkEnd w:id="1241"/>
      </w:ins>
    </w:p>
    <w:p>
      <w:pPr>
        <w:pStyle w:val="nzSubsection"/>
        <w:rPr>
          <w:ins w:id="1243" w:author="svcMRProcess" w:date="2018-08-28T13:31:00Z"/>
        </w:rPr>
      </w:pPr>
      <w:ins w:id="1244" w:author="svcMRProcess" w:date="2018-08-28T13:31:00Z">
        <w:r>
          <w:tab/>
        </w:r>
        <w:r>
          <w:tab/>
          <w:t>Schedule 1 sets out how various Acts listed in that Schedule are to be amended.</w:t>
        </w:r>
      </w:ins>
    </w:p>
    <w:p>
      <w:pPr>
        <w:pStyle w:val="MiscClose"/>
        <w:rPr>
          <w:ins w:id="1245" w:author="svcMRProcess" w:date="2018-08-28T13:31:00Z"/>
        </w:rPr>
      </w:pPr>
      <w:ins w:id="1246" w:author="svcMRProcess" w:date="2018-08-28T13:31:00Z">
        <w:r>
          <w:t>”.</w:t>
        </w:r>
      </w:ins>
    </w:p>
    <w:p>
      <w:pPr>
        <w:pStyle w:val="nSubsection"/>
        <w:keepLines/>
        <w:rPr>
          <w:ins w:id="1247" w:author="svcMRProcess" w:date="2018-08-28T13:31:00Z"/>
          <w:snapToGrid w:val="0"/>
        </w:rPr>
      </w:pPr>
      <w:ins w:id="1248" w:author="svcMRProcess" w:date="2018-08-28T13:31:00Z">
        <w:r>
          <w:rPr>
            <w:snapToGrid w:val="0"/>
          </w:rPr>
          <w:tab/>
          <w:t>Schedule 1 cl. 7 reads as follows:</w:t>
        </w:r>
      </w:ins>
    </w:p>
    <w:p>
      <w:pPr>
        <w:pStyle w:val="MiscOpen"/>
        <w:rPr>
          <w:ins w:id="1249" w:author="svcMRProcess" w:date="2018-08-28T13:31:00Z"/>
        </w:rPr>
      </w:pPr>
      <w:ins w:id="1250" w:author="svcMRProcess" w:date="2018-08-28T13:31:00Z">
        <w:r>
          <w:t>“</w:t>
        </w:r>
      </w:ins>
    </w:p>
    <w:p>
      <w:pPr>
        <w:pStyle w:val="nzHeading2"/>
        <w:rPr>
          <w:ins w:id="1251" w:author="svcMRProcess" w:date="2018-08-28T13:31:00Z"/>
        </w:rPr>
      </w:pPr>
      <w:bookmarkStart w:id="1252" w:name="_Toc183919940"/>
      <w:bookmarkStart w:id="1253" w:name="_Toc183921922"/>
      <w:bookmarkStart w:id="1254" w:name="_Toc183943149"/>
      <w:bookmarkStart w:id="1255" w:name="_Toc195421062"/>
      <w:ins w:id="1256" w:author="svcMRProcess" w:date="2018-08-28T13:31:00Z">
        <w:r>
          <w:rPr>
            <w:rStyle w:val="CharSchNo"/>
          </w:rPr>
          <w:t>Schedule 1</w:t>
        </w:r>
        <w:r>
          <w:rPr>
            <w:rStyle w:val="CharSDivNo"/>
          </w:rPr>
          <w:t> </w:t>
        </w:r>
        <w:r>
          <w:t>—</w:t>
        </w:r>
        <w:bookmarkStart w:id="1257" w:name="AutoSch"/>
        <w:bookmarkEnd w:id="1257"/>
        <w:r>
          <w:rPr>
            <w:rStyle w:val="CharSDivText"/>
          </w:rPr>
          <w:t> </w:t>
        </w:r>
        <w:r>
          <w:rPr>
            <w:rStyle w:val="CharSchText"/>
          </w:rPr>
          <w:t>Amendments to various Acts</w:t>
        </w:r>
        <w:bookmarkEnd w:id="1252"/>
        <w:bookmarkEnd w:id="1253"/>
        <w:bookmarkEnd w:id="1254"/>
        <w:bookmarkEnd w:id="1255"/>
      </w:ins>
    </w:p>
    <w:p>
      <w:pPr>
        <w:pStyle w:val="nzMiscellaneousBody"/>
        <w:jc w:val="right"/>
        <w:rPr>
          <w:ins w:id="1258" w:author="svcMRProcess" w:date="2018-08-28T13:31:00Z"/>
        </w:rPr>
      </w:pPr>
      <w:ins w:id="1259" w:author="svcMRProcess" w:date="2018-08-28T13:31:00Z">
        <w:r>
          <w:t>[s. 52]</w:t>
        </w:r>
      </w:ins>
    </w:p>
    <w:p>
      <w:pPr>
        <w:pStyle w:val="nzHeading5"/>
        <w:rPr>
          <w:ins w:id="1260" w:author="svcMRProcess" w:date="2018-08-28T13:31:00Z"/>
        </w:rPr>
      </w:pPr>
      <w:bookmarkStart w:id="1261" w:name="_Toc195421069"/>
      <w:ins w:id="1262" w:author="svcMRProcess" w:date="2018-08-28T13:31:00Z">
        <w:r>
          <w:rPr>
            <w:rStyle w:val="CharSClsNo"/>
          </w:rPr>
          <w:t>7</w:t>
        </w:r>
        <w:r>
          <w:t>.</w:t>
        </w:r>
        <w:r>
          <w:tab/>
        </w:r>
        <w:r>
          <w:rPr>
            <w:i/>
          </w:rPr>
          <w:t>Economic Regulation Authority Act 2003</w:t>
        </w:r>
        <w:bookmarkEnd w:id="1261"/>
      </w:ins>
    </w:p>
    <w:p>
      <w:pPr>
        <w:pStyle w:val="nzSubsection"/>
        <w:rPr>
          <w:ins w:id="1263" w:author="svcMRProcess" w:date="2018-08-28T13:31:00Z"/>
        </w:rPr>
      </w:pPr>
      <w:ins w:id="1264" w:author="svcMRProcess" w:date="2018-08-28T13:31:00Z">
        <w:r>
          <w:tab/>
        </w:r>
        <w:r>
          <w:tab/>
          <w:t>Section 3 is amended in paragraph (b) of the definition of “price” by deleting “stamp duty,”.</w:t>
        </w:r>
      </w:ins>
    </w:p>
    <w:p>
      <w:pPr>
        <w:pStyle w:val="MiscClose"/>
        <w:rPr>
          <w:ins w:id="1265" w:author="svcMRProcess" w:date="2018-08-28T13:31:00Z"/>
        </w:rPr>
      </w:pPr>
      <w:ins w:id="1266" w:author="svcMRProcess" w:date="2018-08-28T13:31:00Z">
        <w:r>
          <w:t>”.</w:t>
        </w:r>
      </w:ins>
    </w:p>
    <w:p>
      <w:bookmarkStart w:id="1267" w:name="UpToHere"/>
      <w:bookmarkEnd w:id="1267"/>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Economic Regulation Authority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110"/>
    <w:docVar w:name="WAFER_20151210093110" w:val="RemoveTrackChanges"/>
    <w:docVar w:name="WAFER_20151210093110_GUID" w:val="2c778102-7e6e-47e6-88fc-190d308a69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14814</Words>
  <Characters>72890</Characters>
  <Application>Microsoft Office Word</Application>
  <DocSecurity>0</DocSecurity>
  <Lines>2143</Lines>
  <Paragraphs>1461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86243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00-d0-04 - 00-e0-02</dc:title>
  <dc:subject/>
  <dc:creator/>
  <cp:keywords/>
  <dc:description/>
  <cp:lastModifiedBy>svcMRProcess</cp:lastModifiedBy>
  <cp:revision>2</cp:revision>
  <cp:lastPrinted>2003-12-08T00:18:00Z</cp:lastPrinted>
  <dcterms:created xsi:type="dcterms:W3CDTF">2018-08-28T05:30:00Z</dcterms:created>
  <dcterms:modified xsi:type="dcterms:W3CDTF">2018-08-28T05:31:00Z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6994</vt:i4>
  </property>
  <property fmtid="{D5CDD505-2E9C-101B-9397-08002B2CF9AE}" pid="6" name="FromSuffix">
    <vt:lpwstr>00-d0-04</vt:lpwstr>
  </property>
  <property fmtid="{D5CDD505-2E9C-101B-9397-08002B2CF9AE}" pid="7" name="FromAsAtDate">
    <vt:lpwstr>01 Feb 2007</vt:lpwstr>
  </property>
  <property fmtid="{D5CDD505-2E9C-101B-9397-08002B2CF9AE}" pid="8" name="ToSuffix">
    <vt:lpwstr>00-e0-02</vt:lpwstr>
  </property>
  <property fmtid="{D5CDD505-2E9C-101B-9397-08002B2CF9AE}" pid="9" name="ToAsAtDate">
    <vt:lpwstr>14 Apr 2008</vt:lpwstr>
  </property>
</Properties>
</file>