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Uniting Church in Australia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640"/>
      </w:pPr>
      <w:r>
        <w:t xml:space="preserve">Uniting Church in Australia Act 1976 </w:t>
      </w:r>
    </w:p>
    <w:p>
      <w:pPr>
        <w:pStyle w:val="LongTitle"/>
        <w:rPr>
          <w:snapToGrid w:val="0"/>
        </w:rPr>
      </w:pPr>
      <w:r>
        <w:rPr>
          <w:snapToGrid w:val="0"/>
        </w:rPr>
        <w:t>A</w:t>
      </w:r>
      <w:bookmarkStart w:id="0" w:name="_GoBack"/>
      <w:bookmarkEnd w:id="0"/>
      <w:r>
        <w:rPr>
          <w:snapToGrid w:val="0"/>
        </w:rPr>
        <w:t xml:space="preserve">n Act to make provision for the inauguration of the Uniting Church in Australia in accordance with the Basis of Union and to constitute the Uniting Church in Australia Property Trust (W.A.) and for other and incidental purposes. </w:t>
      </w:r>
    </w:p>
    <w:p>
      <w:pPr>
        <w:pStyle w:val="Heading2"/>
      </w:pPr>
      <w:bookmarkStart w:id="1" w:name="_Toc196194929"/>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17983413"/>
      <w:bookmarkStart w:id="3" w:name="_Toc12693387"/>
      <w:bookmarkStart w:id="4" w:name="_Toc196194930"/>
      <w:bookmarkStart w:id="5" w:name="_Toc20826202"/>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6" w:name="_Toc417983414"/>
      <w:bookmarkStart w:id="7" w:name="_Toc12693388"/>
      <w:bookmarkStart w:id="8" w:name="_Toc196194931"/>
      <w:bookmarkStart w:id="9" w:name="_Toc20826203"/>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 xml:space="preserve">Repealed by No. 42 of 1991 s. 4.] </w:t>
      </w:r>
    </w:p>
    <w:p>
      <w:pPr>
        <w:pStyle w:val="Heading5"/>
        <w:rPr>
          <w:snapToGrid w:val="0"/>
        </w:rPr>
      </w:pPr>
      <w:bookmarkStart w:id="10" w:name="_Toc417983415"/>
      <w:bookmarkStart w:id="11" w:name="_Toc12693389"/>
      <w:bookmarkStart w:id="12" w:name="_Toc196194932"/>
      <w:bookmarkStart w:id="13" w:name="_Toc20826204"/>
      <w:r>
        <w:rPr>
          <w:rStyle w:val="CharSectno"/>
        </w:rPr>
        <w:t>5</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t>“</w:t>
      </w:r>
      <w:r>
        <w:rPr>
          <w:rStyle w:val="CharDefText"/>
        </w:rPr>
        <w:t>appointed day</w:t>
      </w:r>
      <w:r>
        <w:rPr>
          <w:b/>
        </w:rPr>
        <w:t>”</w:t>
      </w:r>
      <w:r>
        <w:t xml:space="preserve"> means the day appointed pursuant to section 2;</w:t>
      </w:r>
    </w:p>
    <w:p>
      <w:pPr>
        <w:pStyle w:val="Defstart"/>
      </w:pPr>
      <w:r>
        <w:rPr>
          <w:b/>
        </w:rPr>
        <w:tab/>
        <w:t>“</w:t>
      </w:r>
      <w:r>
        <w:rPr>
          <w:rStyle w:val="CharDefText"/>
        </w:rPr>
        <w:t>Assembly</w:t>
      </w:r>
      <w:r>
        <w:rPr>
          <w:b/>
        </w:rPr>
        <w:t>”</w:t>
      </w:r>
      <w:r>
        <w:t xml:space="preserve"> means the Assembly of the Uniting Church in Australia as referred to in the Basis of Union;</w:t>
      </w:r>
    </w:p>
    <w:p>
      <w:pPr>
        <w:pStyle w:val="Defstart"/>
      </w:pPr>
      <w:r>
        <w:rPr>
          <w:b/>
        </w:rPr>
        <w:tab/>
        <w:t>“</w:t>
      </w:r>
      <w:r>
        <w:rPr>
          <w:rStyle w:val="CharDefText"/>
        </w:rPr>
        <w:t>Basis of Union</w:t>
      </w:r>
      <w:r>
        <w:rPr>
          <w:b/>
        </w:rPr>
        <w:t>”</w:t>
      </w:r>
      <w:r>
        <w:t xml:space="preserve"> means the Basis of Union set forth in the Schedule;</w:t>
      </w:r>
    </w:p>
    <w:p>
      <w:pPr>
        <w:pStyle w:val="Defstart"/>
      </w:pPr>
      <w:r>
        <w:rPr>
          <w:b/>
        </w:rPr>
        <w:tab/>
        <w:t>“</w:t>
      </w:r>
      <w:r>
        <w:rPr>
          <w:rStyle w:val="CharDefText"/>
        </w:rPr>
        <w:t>Church</w:t>
      </w:r>
      <w:r>
        <w:rPr>
          <w:b/>
        </w:rPr>
        <w:t>”</w:t>
      </w:r>
      <w:r>
        <w:t xml:space="preserve"> means the Uniting Church in Australia;</w:t>
      </w:r>
    </w:p>
    <w:p>
      <w:pPr>
        <w:pStyle w:val="Defstart"/>
      </w:pPr>
      <w:r>
        <w:rPr>
          <w:b/>
        </w:rPr>
        <w:tab/>
        <w:t>“</w:t>
      </w:r>
      <w:r>
        <w:rPr>
          <w:rStyle w:val="CharDefText"/>
        </w:rPr>
        <w:t>Church instrumentality</w:t>
      </w:r>
      <w:r>
        <w:rPr>
          <w:b/>
        </w:rPr>
        <w:t>”</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t>“</w:t>
      </w:r>
      <w:r>
        <w:rPr>
          <w:rStyle w:val="CharDefText"/>
        </w:rPr>
        <w:t>Congregational Church</w:t>
      </w:r>
      <w:r>
        <w:rPr>
          <w:b/>
        </w:rPr>
        <w:t>”</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t>“</w:t>
      </w:r>
      <w:r>
        <w:rPr>
          <w:rStyle w:val="CharDefText"/>
        </w:rPr>
        <w:t>Methodist Church</w:t>
      </w:r>
      <w:r>
        <w:rPr>
          <w:b/>
        </w:rPr>
        <w:t>”</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t>“</w:t>
      </w:r>
      <w:r>
        <w:rPr>
          <w:rStyle w:val="CharDefText"/>
        </w:rPr>
        <w:t>Presbyterian Church</w:t>
      </w:r>
      <w:r>
        <w:rPr>
          <w:b/>
        </w:rPr>
        <w:t>”</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t>“</w:t>
      </w:r>
      <w:r>
        <w:rPr>
          <w:rStyle w:val="CharDefText"/>
        </w:rPr>
        <w:t>property</w:t>
      </w:r>
      <w:r>
        <w:rPr>
          <w:b/>
        </w:rPr>
        <w:t>”</w:t>
      </w:r>
      <w:r>
        <w:t xml:space="preserve"> includes real and personal property and any estate or interest therein;</w:t>
      </w:r>
    </w:p>
    <w:p>
      <w:pPr>
        <w:pStyle w:val="Defstart"/>
      </w:pPr>
      <w:r>
        <w:rPr>
          <w:b/>
        </w:rPr>
        <w:tab/>
        <w:t>“</w:t>
      </w:r>
      <w:r>
        <w:rPr>
          <w:rStyle w:val="CharDefText"/>
        </w:rPr>
        <w:t>Synod</w:t>
      </w:r>
      <w:r>
        <w:rPr>
          <w:b/>
        </w:rPr>
        <w:t>”</w:t>
      </w:r>
      <w:r>
        <w:t xml:space="preserve"> means the Synod of the Church within Western Australia;</w:t>
      </w:r>
    </w:p>
    <w:p>
      <w:pPr>
        <w:pStyle w:val="Defstart"/>
      </w:pPr>
      <w:r>
        <w:rPr>
          <w:b/>
        </w:rPr>
        <w:tab/>
        <w:t>“</w:t>
      </w:r>
      <w:r>
        <w:rPr>
          <w:rStyle w:val="CharDefText"/>
        </w:rPr>
        <w:t>Trust</w:t>
      </w:r>
      <w:r>
        <w:rPr>
          <w:b/>
        </w:rPr>
        <w:t>”</w:t>
      </w:r>
      <w:r>
        <w:t xml:space="preserve"> means Uniting Church in Australia Property Trust (W.A.) constituted by this Act;</w:t>
      </w:r>
    </w:p>
    <w:p>
      <w:pPr>
        <w:pStyle w:val="Defstart"/>
      </w:pPr>
      <w:r>
        <w:rPr>
          <w:b/>
        </w:rPr>
        <w:tab/>
        <w:t>“</w:t>
      </w:r>
      <w:r>
        <w:rPr>
          <w:rStyle w:val="CharDefText"/>
        </w:rPr>
        <w:t>Trust property</w:t>
      </w:r>
      <w:r>
        <w:rPr>
          <w:b/>
        </w:rPr>
        <w:t>”</w:t>
      </w:r>
      <w:r>
        <w:t xml:space="preserve"> means property vested in or acquired by the Trust by or pursuant to this Act;</w:t>
      </w:r>
    </w:p>
    <w:p>
      <w:pPr>
        <w:pStyle w:val="Defstart"/>
      </w:pPr>
      <w:r>
        <w:rPr>
          <w:b/>
        </w:rPr>
        <w:tab/>
        <w:t>“</w:t>
      </w:r>
      <w:r>
        <w:rPr>
          <w:rStyle w:val="CharDefText"/>
        </w:rPr>
        <w:t>Uniting Churches</w:t>
      </w:r>
      <w:r>
        <w:rPr>
          <w:b/>
        </w:rPr>
        <w:t>”</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bookmarkStart w:id="14" w:name="_Toc196194933"/>
      <w:r>
        <w:rPr>
          <w:rStyle w:val="CharPartNo"/>
        </w:rPr>
        <w:t>Part II</w:t>
      </w:r>
      <w:r>
        <w:rPr>
          <w:rStyle w:val="CharDivNo"/>
        </w:rPr>
        <w:t> </w:t>
      </w:r>
      <w:r>
        <w:t>—</w:t>
      </w:r>
      <w:r>
        <w:rPr>
          <w:rStyle w:val="CharDivText"/>
        </w:rPr>
        <w:t> </w:t>
      </w:r>
      <w:r>
        <w:rPr>
          <w:rStyle w:val="CharPartText"/>
        </w:rPr>
        <w:t>Inauguration of the Church</w:t>
      </w:r>
      <w:bookmarkEnd w:id="14"/>
      <w:r>
        <w:rPr>
          <w:rStyle w:val="CharPartText"/>
        </w:rPr>
        <w:t xml:space="preserve"> </w:t>
      </w:r>
    </w:p>
    <w:p>
      <w:pPr>
        <w:pStyle w:val="Heading5"/>
        <w:rPr>
          <w:snapToGrid w:val="0"/>
        </w:rPr>
      </w:pPr>
      <w:bookmarkStart w:id="15" w:name="_Toc417983416"/>
      <w:bookmarkStart w:id="16" w:name="_Toc12693390"/>
      <w:bookmarkStart w:id="17" w:name="_Toc196194934"/>
      <w:bookmarkStart w:id="18" w:name="_Toc20826205"/>
      <w:r>
        <w:rPr>
          <w:rStyle w:val="CharSectno"/>
        </w:rPr>
        <w:t>6</w:t>
      </w:r>
      <w:r>
        <w:rPr>
          <w:snapToGrid w:val="0"/>
        </w:rPr>
        <w:t>.</w:t>
      </w:r>
      <w:r>
        <w:rPr>
          <w:snapToGrid w:val="0"/>
        </w:rPr>
        <w:tab/>
        <w:t>Authority to unite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19" w:name="_Toc417983417"/>
      <w:bookmarkStart w:id="20" w:name="_Toc12693391"/>
      <w:bookmarkStart w:id="21" w:name="_Toc196194935"/>
      <w:bookmarkStart w:id="22" w:name="_Toc20826206"/>
      <w:r>
        <w:rPr>
          <w:rStyle w:val="CharSectno"/>
        </w:rPr>
        <w:t>7</w:t>
      </w:r>
      <w:r>
        <w:rPr>
          <w:snapToGrid w:val="0"/>
        </w:rPr>
        <w:t>.</w:t>
      </w:r>
      <w:r>
        <w:rPr>
          <w:snapToGrid w:val="0"/>
        </w:rPr>
        <w:tab/>
        <w:t>Name of Church</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23" w:name="_Toc417983418"/>
      <w:bookmarkStart w:id="24" w:name="_Toc12693392"/>
      <w:bookmarkStart w:id="25" w:name="_Toc196194936"/>
      <w:bookmarkStart w:id="26" w:name="_Toc20826207"/>
      <w:r>
        <w:rPr>
          <w:rStyle w:val="CharSectno"/>
        </w:rPr>
        <w:t>8</w:t>
      </w:r>
      <w:r>
        <w:rPr>
          <w:snapToGrid w:val="0"/>
        </w:rPr>
        <w:t>.</w:t>
      </w:r>
      <w:r>
        <w:rPr>
          <w:snapToGrid w:val="0"/>
        </w:rPr>
        <w:tab/>
        <w:t>Inaugurating Assembly</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27" w:name="_Toc417983419"/>
      <w:bookmarkStart w:id="28" w:name="_Toc12693393"/>
      <w:bookmarkStart w:id="29" w:name="_Toc196194937"/>
      <w:bookmarkStart w:id="30" w:name="_Toc20826208"/>
      <w:r>
        <w:rPr>
          <w:rStyle w:val="CharSectno"/>
        </w:rPr>
        <w:t>9</w:t>
      </w:r>
      <w:r>
        <w:rPr>
          <w:snapToGrid w:val="0"/>
        </w:rPr>
        <w:t>.</w:t>
      </w:r>
      <w:r>
        <w:rPr>
          <w:snapToGrid w:val="0"/>
        </w:rPr>
        <w:tab/>
        <w:t>Adoption of Constitution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31" w:name="_Toc417983420"/>
      <w:bookmarkStart w:id="32" w:name="_Toc12693394"/>
      <w:bookmarkStart w:id="33" w:name="_Toc196194938"/>
      <w:bookmarkStart w:id="34" w:name="_Toc20826209"/>
      <w:r>
        <w:rPr>
          <w:rStyle w:val="CharSectno"/>
        </w:rPr>
        <w:t>10</w:t>
      </w:r>
      <w:r>
        <w:rPr>
          <w:snapToGrid w:val="0"/>
        </w:rPr>
        <w:t>.</w:t>
      </w:r>
      <w:r>
        <w:rPr>
          <w:snapToGrid w:val="0"/>
        </w:rPr>
        <w:tab/>
        <w:t>Amendment of Constitution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35" w:name="_Toc417983421"/>
      <w:bookmarkStart w:id="36" w:name="_Toc12693395"/>
      <w:bookmarkStart w:id="37" w:name="_Toc196194939"/>
      <w:bookmarkStart w:id="38" w:name="_Toc20826210"/>
      <w:r>
        <w:rPr>
          <w:rStyle w:val="CharSectno"/>
        </w:rPr>
        <w:t>11</w:t>
      </w:r>
      <w:r>
        <w:rPr>
          <w:snapToGrid w:val="0"/>
        </w:rPr>
        <w:t>.</w:t>
      </w:r>
      <w:r>
        <w:rPr>
          <w:snapToGrid w:val="0"/>
        </w:rPr>
        <w:tab/>
        <w:t>Further unions, etc.</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bookmarkStart w:id="39" w:name="_Toc196194940"/>
      <w:r>
        <w:rPr>
          <w:rStyle w:val="CharPartNo"/>
        </w:rPr>
        <w:t>Part III</w:t>
      </w:r>
      <w:r>
        <w:rPr>
          <w:rStyle w:val="CharDivNo"/>
        </w:rPr>
        <w:t> </w:t>
      </w:r>
      <w:r>
        <w:t>—</w:t>
      </w:r>
      <w:r>
        <w:rPr>
          <w:rStyle w:val="CharDivText"/>
        </w:rPr>
        <w:t> </w:t>
      </w:r>
      <w:r>
        <w:rPr>
          <w:rStyle w:val="CharPartText"/>
        </w:rPr>
        <w:t>Constitution of the Trust</w:t>
      </w:r>
      <w:bookmarkEnd w:id="39"/>
      <w:r>
        <w:rPr>
          <w:rStyle w:val="CharPartText"/>
        </w:rPr>
        <w:t xml:space="preserve"> </w:t>
      </w:r>
    </w:p>
    <w:p>
      <w:pPr>
        <w:pStyle w:val="Heading5"/>
        <w:rPr>
          <w:snapToGrid w:val="0"/>
        </w:rPr>
      </w:pPr>
      <w:bookmarkStart w:id="40" w:name="_Toc417983422"/>
      <w:bookmarkStart w:id="41" w:name="_Toc12693396"/>
      <w:bookmarkStart w:id="42" w:name="_Toc196194941"/>
      <w:bookmarkStart w:id="43" w:name="_Toc20826211"/>
      <w:r>
        <w:rPr>
          <w:rStyle w:val="CharSectno"/>
        </w:rPr>
        <w:t>12</w:t>
      </w:r>
      <w:r>
        <w:rPr>
          <w:snapToGrid w:val="0"/>
        </w:rPr>
        <w:t>.</w:t>
      </w:r>
      <w:r>
        <w:rPr>
          <w:snapToGrid w:val="0"/>
        </w:rPr>
        <w:tab/>
      </w:r>
      <w:bookmarkEnd w:id="40"/>
      <w:r>
        <w:rPr>
          <w:snapToGrid w:val="0"/>
        </w:rPr>
        <w:t>Uniting Church in Australia Property Trust (W.A.) established</w:t>
      </w:r>
      <w:bookmarkEnd w:id="41"/>
      <w:bookmarkEnd w:id="42"/>
      <w:bookmarkEnd w:id="43"/>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44" w:name="_Toc417983423"/>
      <w:bookmarkStart w:id="45" w:name="_Toc12693397"/>
      <w:bookmarkStart w:id="46" w:name="_Toc196194942"/>
      <w:bookmarkStart w:id="47" w:name="_Toc20826212"/>
      <w:r>
        <w:rPr>
          <w:rStyle w:val="CharSectno"/>
        </w:rPr>
        <w:t>13</w:t>
      </w:r>
      <w:r>
        <w:rPr>
          <w:snapToGrid w:val="0"/>
        </w:rPr>
        <w:t>.</w:t>
      </w:r>
      <w:r>
        <w:rPr>
          <w:snapToGrid w:val="0"/>
        </w:rPr>
        <w:tab/>
        <w:t>Powers and duties of Trust</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48" w:name="_Toc417983424"/>
      <w:bookmarkStart w:id="49" w:name="_Toc12693398"/>
      <w:bookmarkStart w:id="50" w:name="_Toc196194943"/>
      <w:bookmarkStart w:id="51" w:name="_Toc20826213"/>
      <w:r>
        <w:rPr>
          <w:rStyle w:val="CharSectno"/>
        </w:rPr>
        <w:t>14</w:t>
      </w:r>
      <w:r>
        <w:rPr>
          <w:snapToGrid w:val="0"/>
        </w:rPr>
        <w:t>.</w:t>
      </w:r>
      <w:r>
        <w:rPr>
          <w:snapToGrid w:val="0"/>
        </w:rPr>
        <w:tab/>
        <w:t>Quorum</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52" w:name="_Toc417983425"/>
      <w:bookmarkStart w:id="53" w:name="_Toc12693399"/>
      <w:bookmarkStart w:id="54" w:name="_Toc196194944"/>
      <w:bookmarkStart w:id="55" w:name="_Toc20826214"/>
      <w:r>
        <w:rPr>
          <w:rStyle w:val="CharSectno"/>
        </w:rPr>
        <w:t>15</w:t>
      </w:r>
      <w:r>
        <w:rPr>
          <w:snapToGrid w:val="0"/>
        </w:rPr>
        <w:t>.</w:t>
      </w:r>
      <w:r>
        <w:rPr>
          <w:snapToGrid w:val="0"/>
        </w:rPr>
        <w:tab/>
        <w:t>Vacation of office</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notice in writing to the Trust;</w:t>
      </w:r>
    </w:p>
    <w:p>
      <w:pPr>
        <w:pStyle w:val="Indenta"/>
        <w:rPr>
          <w:snapToGrid w:val="0"/>
        </w:rPr>
      </w:pPr>
      <w:r>
        <w:rPr>
          <w:snapToGrid w:val="0"/>
        </w:rPr>
        <w:tab/>
        <w:t>(c)</w:t>
      </w:r>
      <w:r>
        <w:rPr>
          <w:snapToGrid w:val="0"/>
        </w:rPr>
        <w:tab/>
        <w:t>becomes bankrupt or makes any arrangement or composition with his creditors generally;</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(e)</w:t>
      </w:r>
      <w:r>
        <w:rPr>
          <w:snapToGrid w:val="0"/>
        </w:rPr>
        <w:tab/>
        <w:t>ceases to be a member of the Church;</w:t>
      </w:r>
    </w:p>
    <w:p>
      <w:pPr>
        <w:pStyle w:val="Indenta"/>
        <w:rPr>
          <w:snapToGrid w:val="0"/>
        </w:rPr>
      </w:pPr>
      <w:r>
        <w:rPr>
          <w:snapToGrid w:val="0"/>
        </w:rPr>
        <w:tab/>
        <w:t>(f)</w:t>
      </w:r>
      <w:r>
        <w:rPr>
          <w:snapToGrid w:val="0"/>
        </w:rPr>
        <w:tab/>
        <w:t>is removed by resolution of the Synod or its Standing Committee.</w:t>
      </w:r>
    </w:p>
    <w:p>
      <w:pPr>
        <w:pStyle w:val="Footnotesection"/>
      </w:pPr>
      <w:r>
        <w:tab/>
        <w:t xml:space="preserve">[Section 15 amended by No. 24 of 1990 s. 123.] </w:t>
      </w:r>
    </w:p>
    <w:p>
      <w:pPr>
        <w:pStyle w:val="Heading5"/>
        <w:rPr>
          <w:snapToGrid w:val="0"/>
        </w:rPr>
      </w:pPr>
      <w:bookmarkStart w:id="56" w:name="_Toc417983426"/>
      <w:bookmarkStart w:id="57" w:name="_Toc12693400"/>
      <w:bookmarkStart w:id="58" w:name="_Toc196194945"/>
      <w:bookmarkStart w:id="59" w:name="_Toc20826215"/>
      <w:r>
        <w:rPr>
          <w:rStyle w:val="CharSectno"/>
        </w:rPr>
        <w:t>16</w:t>
      </w:r>
      <w:r>
        <w:rPr>
          <w:snapToGrid w:val="0"/>
        </w:rPr>
        <w:t>.</w:t>
      </w:r>
      <w:r>
        <w:rPr>
          <w:snapToGrid w:val="0"/>
        </w:rPr>
        <w:tab/>
        <w:t>Casual vacancies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60" w:name="_Toc417983427"/>
      <w:bookmarkStart w:id="61" w:name="_Toc12693401"/>
      <w:bookmarkStart w:id="62" w:name="_Toc196194946"/>
      <w:bookmarkStart w:id="63" w:name="_Toc20826216"/>
      <w:r>
        <w:rPr>
          <w:rStyle w:val="CharSectno"/>
        </w:rPr>
        <w:t>17</w:t>
      </w:r>
      <w:r>
        <w:rPr>
          <w:snapToGrid w:val="0"/>
        </w:rPr>
        <w:t>.</w:t>
      </w:r>
      <w:r>
        <w:rPr>
          <w:snapToGrid w:val="0"/>
        </w:rPr>
        <w:tab/>
        <w:t>Common seal</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64" w:name="_Toc417983428"/>
      <w:bookmarkStart w:id="65" w:name="_Toc12693402"/>
      <w:bookmarkStart w:id="66" w:name="_Toc196194947"/>
      <w:bookmarkStart w:id="67" w:name="_Toc20826217"/>
      <w:r>
        <w:rPr>
          <w:rStyle w:val="CharSectno"/>
        </w:rPr>
        <w:t>18</w:t>
      </w:r>
      <w:r>
        <w:rPr>
          <w:snapToGrid w:val="0"/>
        </w:rPr>
        <w:t>.</w:t>
      </w:r>
      <w:r>
        <w:rPr>
          <w:snapToGrid w:val="0"/>
        </w:rPr>
        <w:tab/>
        <w:t>Form and execution of certain contracts, etc.</w:t>
      </w:r>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68" w:name="_Toc417983429"/>
      <w:bookmarkStart w:id="69" w:name="_Toc12693403"/>
      <w:bookmarkStart w:id="70" w:name="_Toc196194948"/>
      <w:bookmarkStart w:id="71" w:name="_Toc20826218"/>
      <w:r>
        <w:rPr>
          <w:rStyle w:val="CharSectno"/>
        </w:rPr>
        <w:t>19</w:t>
      </w:r>
      <w:r>
        <w:rPr>
          <w:snapToGrid w:val="0"/>
        </w:rPr>
        <w:t>.</w:t>
      </w:r>
      <w:r>
        <w:rPr>
          <w:snapToGrid w:val="0"/>
        </w:rPr>
        <w:tab/>
        <w:t>Execution under seal by agent, etc.</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bookmarkStart w:id="72" w:name="_Toc196194949"/>
      <w:r>
        <w:rPr>
          <w:rStyle w:val="CharPartNo"/>
        </w:rPr>
        <w:t>Part IV</w:t>
      </w:r>
      <w:r>
        <w:rPr>
          <w:rStyle w:val="CharDivNo"/>
        </w:rPr>
        <w:t> </w:t>
      </w:r>
      <w:r>
        <w:t>—</w:t>
      </w:r>
      <w:r>
        <w:rPr>
          <w:rStyle w:val="CharDivText"/>
        </w:rPr>
        <w:t> </w:t>
      </w:r>
      <w:r>
        <w:rPr>
          <w:rStyle w:val="CharPartText"/>
        </w:rPr>
        <w:t>Trust property</w:t>
      </w:r>
      <w:bookmarkEnd w:id="72"/>
      <w:r>
        <w:rPr>
          <w:rStyle w:val="CharPartText"/>
        </w:rPr>
        <w:t xml:space="preserve"> </w:t>
      </w:r>
    </w:p>
    <w:p>
      <w:pPr>
        <w:pStyle w:val="Footnoteheading"/>
      </w:pPr>
      <w:r>
        <w:tab/>
        <w:t xml:space="preserve">[Heading amended by No. 42 of 1991 s. 5.] </w:t>
      </w:r>
    </w:p>
    <w:p>
      <w:pPr>
        <w:pStyle w:val="Heading5"/>
        <w:rPr>
          <w:snapToGrid w:val="0"/>
        </w:rPr>
      </w:pPr>
      <w:bookmarkStart w:id="73" w:name="_Toc417983430"/>
      <w:bookmarkStart w:id="74" w:name="_Toc12693404"/>
      <w:bookmarkStart w:id="75" w:name="_Toc196194950"/>
      <w:bookmarkStart w:id="76" w:name="_Toc20826219"/>
      <w:r>
        <w:rPr>
          <w:rStyle w:val="CharSectno"/>
        </w:rPr>
        <w:t>20</w:t>
      </w:r>
      <w:r>
        <w:rPr>
          <w:snapToGrid w:val="0"/>
        </w:rPr>
        <w:t>.</w:t>
      </w:r>
      <w:r>
        <w:rPr>
          <w:snapToGrid w:val="0"/>
        </w:rPr>
        <w:tab/>
        <w:t>Vesting of certain property in the Trust</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(b)</w:t>
      </w:r>
      <w:r>
        <w:rPr>
          <w:snapToGrid w:val="0"/>
        </w:rPr>
        <w:tab/>
        <w:t xml:space="preserve">Notwithstanding anything contained in this Act, this subsection shall commence on the day specified in that behalf by the Governor and notified by proclamation published in the Gazette 2.. </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subsections (1), (2) and (3) becomes vested in the Trust is freed and discharged from all of the provisions and trusts of the </w:t>
      </w:r>
      <w:r>
        <w:rPr>
          <w:i/>
          <w:snapToGrid w:val="0"/>
          <w:spacing w:val="-2"/>
        </w:rPr>
        <w:t>Congregational Church Lands Act 1855</w:t>
      </w:r>
      <w:r>
        <w:rPr>
          <w:snapToGrid w:val="0"/>
          <w:spacing w:val="-2"/>
        </w:rPr>
        <w:t xml:space="preserve"> comprising Ordinance 18 Victoriae No. 16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subsections (1), (2) and (3) of this section shall be without prejudice to — </w:t>
      </w:r>
    </w:p>
    <w:p>
      <w:pPr>
        <w:pStyle w:val="Indenta"/>
        <w:rPr>
          <w:snapToGrid w:val="0"/>
        </w:rPr>
      </w:pPr>
      <w:r>
        <w:rPr>
          <w:snapToGrid w:val="0"/>
        </w:rPr>
        <w:tab/>
        <w:t>(a)</w:t>
      </w:r>
      <w:r>
        <w:rPr>
          <w:snapToGrid w:val="0"/>
        </w:rPr>
        <w:tab/>
        <w:t>any special trust;</w:t>
      </w:r>
    </w:p>
    <w:p>
      <w:pPr>
        <w:pStyle w:val="Indenta"/>
        <w:rPr>
          <w:snapToGrid w:val="0"/>
        </w:rPr>
      </w:pPr>
      <w:r>
        <w:rPr>
          <w:snapToGrid w:val="0"/>
        </w:rPr>
        <w:tab/>
        <w:t>(b)</w:t>
      </w:r>
      <w:r>
        <w:rPr>
          <w:snapToGrid w:val="0"/>
        </w:rPr>
        <w:tab/>
        <w:t>any resulting trust;</w:t>
      </w:r>
    </w:p>
    <w:p>
      <w:pPr>
        <w:pStyle w:val="Indenta"/>
        <w:rPr>
          <w:snapToGrid w:val="0"/>
        </w:rPr>
      </w:pPr>
      <w:r>
        <w:rPr>
          <w:snapToGrid w:val="0"/>
        </w:rPr>
        <w:tab/>
        <w:t>(c)</w:t>
      </w:r>
      <w:r>
        <w:rPr>
          <w:snapToGrid w:val="0"/>
        </w:rPr>
        <w:tab/>
        <w:t>any trust in favour of a donor;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r>
        <w:rPr>
          <w:b/>
          <w:snapToGrid w:val="0"/>
        </w:rPr>
        <w:t>“</w:t>
      </w:r>
      <w:bookmarkStart w:id="77" w:name="endcomma"/>
      <w:bookmarkEnd w:id="77"/>
      <w:r>
        <w:rPr>
          <w:rStyle w:val="CharDefText"/>
        </w:rPr>
        <w:t>special trust</w:t>
      </w:r>
      <w:r>
        <w:rPr>
          <w:b/>
          <w:snapToGrid w:val="0"/>
        </w:rPr>
        <w:t>”</w:t>
      </w:r>
      <w:r>
        <w:rPr>
          <w:snapToGrid w:val="0"/>
        </w:rPr>
        <w:t xml:space="preserve"> </w:t>
      </w:r>
      <w:bookmarkStart w:id="78" w:name="comma"/>
      <w:bookmarkEnd w:id="78"/>
      <w:r>
        <w:rPr>
          <w:snapToGrid w:val="0"/>
        </w:rPr>
        <w:t>shall mean any trust other than a trust for the general purposes of the Methodist, Congregational or Presbyterian Churches, or of any congregation, mission or institution thereof.</w:t>
      </w:r>
    </w:p>
    <w:p>
      <w:pPr>
        <w:pStyle w:val="Heading5"/>
        <w:rPr>
          <w:snapToGrid w:val="0"/>
        </w:rPr>
      </w:pPr>
      <w:bookmarkStart w:id="79" w:name="_Toc417983431"/>
      <w:bookmarkStart w:id="80" w:name="_Toc12693405"/>
      <w:bookmarkStart w:id="81" w:name="_Toc196194951"/>
      <w:bookmarkStart w:id="82" w:name="_Toc20826220"/>
      <w:r>
        <w:rPr>
          <w:rStyle w:val="CharSectno"/>
        </w:rPr>
        <w:t>21</w:t>
      </w:r>
      <w:r>
        <w:rPr>
          <w:snapToGrid w:val="0"/>
        </w:rPr>
        <w:t>.</w:t>
      </w:r>
      <w:r>
        <w:rPr>
          <w:snapToGrid w:val="0"/>
        </w:rPr>
        <w:tab/>
        <w:t>Construction of certain instruments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83" w:name="_Toc417983432"/>
      <w:bookmarkStart w:id="84" w:name="_Toc12693406"/>
      <w:bookmarkStart w:id="85" w:name="_Toc196194952"/>
      <w:bookmarkStart w:id="86" w:name="_Toc20826221"/>
      <w:r>
        <w:rPr>
          <w:rStyle w:val="CharSectno"/>
        </w:rPr>
        <w:t>22</w:t>
      </w:r>
      <w:r>
        <w:rPr>
          <w:snapToGrid w:val="0"/>
        </w:rPr>
        <w:t>.</w:t>
      </w:r>
      <w:r>
        <w:rPr>
          <w:snapToGrid w:val="0"/>
        </w:rPr>
        <w:tab/>
      </w:r>
      <w:bookmarkEnd w:id="83"/>
      <w:r>
        <w:rPr>
          <w:snapToGrid w:val="0"/>
        </w:rPr>
        <w:t>Validity of titles to land vested in Trust</w:t>
      </w:r>
      <w:bookmarkEnd w:id="84"/>
      <w:bookmarkEnd w:id="85"/>
      <w:bookmarkEnd w:id="86"/>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87" w:name="_Toc417983433"/>
      <w:bookmarkStart w:id="88" w:name="_Toc12693407"/>
      <w:bookmarkStart w:id="89" w:name="_Toc196194953"/>
      <w:bookmarkStart w:id="90" w:name="_Toc20826222"/>
      <w:r>
        <w:rPr>
          <w:rStyle w:val="CharSectno"/>
        </w:rPr>
        <w:t>23</w:t>
      </w:r>
      <w:r>
        <w:rPr>
          <w:snapToGrid w:val="0"/>
        </w:rPr>
        <w:t>.</w:t>
      </w:r>
      <w:r>
        <w:rPr>
          <w:snapToGrid w:val="0"/>
        </w:rPr>
        <w:tab/>
        <w:t>Evidence</w:t>
      </w:r>
      <w:bookmarkEnd w:id="87"/>
      <w:r>
        <w:rPr>
          <w:snapToGrid w:val="0"/>
        </w:rPr>
        <w:t xml:space="preserve"> as to Trust’s property</w:t>
      </w:r>
      <w:bookmarkEnd w:id="88"/>
      <w:bookmarkEnd w:id="89"/>
      <w:bookmarkEnd w:id="90"/>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by No. 31 of 1997 s. 134(1).]</w:t>
      </w:r>
    </w:p>
    <w:p>
      <w:pPr>
        <w:pStyle w:val="Heading5"/>
        <w:rPr>
          <w:snapToGrid w:val="0"/>
        </w:rPr>
      </w:pPr>
      <w:bookmarkStart w:id="91" w:name="_Toc417983434"/>
      <w:bookmarkStart w:id="92" w:name="_Toc12693408"/>
      <w:bookmarkStart w:id="93" w:name="_Toc196194954"/>
      <w:bookmarkStart w:id="94" w:name="_Toc20826223"/>
      <w:r>
        <w:rPr>
          <w:rStyle w:val="CharSectno"/>
        </w:rPr>
        <w:t>24</w:t>
      </w:r>
      <w:r>
        <w:rPr>
          <w:snapToGrid w:val="0"/>
        </w:rPr>
        <w:t>.</w:t>
      </w:r>
      <w:r>
        <w:rPr>
          <w:snapToGrid w:val="0"/>
        </w:rPr>
        <w:tab/>
        <w:t>Certain rights enforceable by the Trust</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95" w:name="_Toc417983435"/>
      <w:bookmarkStart w:id="96" w:name="_Toc12693409"/>
      <w:bookmarkStart w:id="97" w:name="_Toc196194955"/>
      <w:bookmarkStart w:id="98" w:name="_Toc20826224"/>
      <w:r>
        <w:rPr>
          <w:rStyle w:val="CharSectno"/>
        </w:rPr>
        <w:t>24A</w:t>
      </w:r>
      <w:r>
        <w:rPr>
          <w:snapToGrid w:val="0"/>
        </w:rPr>
        <w:t>.</w:t>
      </w:r>
      <w:r>
        <w:rPr>
          <w:snapToGrid w:val="0"/>
        </w:rPr>
        <w:tab/>
        <w:t>Power to sell, lease or mortgage lands granted by the Crown upon trust</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p>
    <w:p>
      <w:pPr>
        <w:pStyle w:val="Indenta"/>
        <w:rPr>
          <w:snapToGrid w:val="0"/>
        </w:rPr>
      </w:pPr>
      <w:r>
        <w:rPr>
          <w:snapToGrid w:val="0"/>
        </w:rPr>
        <w:tab/>
        <w:t>(b)</w:t>
      </w:r>
      <w:r>
        <w:rPr>
          <w:snapToGrid w:val="0"/>
        </w:rPr>
        <w:tab/>
        <w:t>a mortgage or other encumbrance; or</w:t>
      </w:r>
    </w:p>
    <w:p>
      <w:pPr>
        <w:pStyle w:val="Indenta"/>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by No. 42 of 1991 s. 6.] </w:t>
      </w:r>
    </w:p>
    <w:p>
      <w:pPr>
        <w:pStyle w:val="Heading2"/>
      </w:pPr>
      <w:bookmarkStart w:id="99" w:name="_Toc196194956"/>
      <w:r>
        <w:rPr>
          <w:rStyle w:val="CharPartNo"/>
        </w:rPr>
        <w:t>Part V</w:t>
      </w:r>
      <w:r>
        <w:rPr>
          <w:rStyle w:val="CharDivNo"/>
        </w:rPr>
        <w:t> </w:t>
      </w:r>
      <w:r>
        <w:t>—</w:t>
      </w:r>
      <w:r>
        <w:rPr>
          <w:rStyle w:val="CharDivText"/>
        </w:rPr>
        <w:t> </w:t>
      </w:r>
      <w:r>
        <w:rPr>
          <w:rStyle w:val="CharPartText"/>
        </w:rPr>
        <w:t>Variation of trusts</w:t>
      </w:r>
      <w:bookmarkEnd w:id="99"/>
      <w:r>
        <w:rPr>
          <w:rStyle w:val="CharPartText"/>
        </w:rPr>
        <w:t xml:space="preserve"> </w:t>
      </w:r>
    </w:p>
    <w:p>
      <w:pPr>
        <w:pStyle w:val="Heading5"/>
        <w:rPr>
          <w:snapToGrid w:val="0"/>
        </w:rPr>
      </w:pPr>
      <w:bookmarkStart w:id="100" w:name="_Toc417983436"/>
      <w:bookmarkStart w:id="101" w:name="_Toc12693410"/>
      <w:bookmarkStart w:id="102" w:name="_Toc196194957"/>
      <w:bookmarkStart w:id="103" w:name="_Toc20826225"/>
      <w:r>
        <w:rPr>
          <w:rStyle w:val="CharSectno"/>
        </w:rPr>
        <w:t>25</w:t>
      </w:r>
      <w:r>
        <w:rPr>
          <w:snapToGrid w:val="0"/>
        </w:rPr>
        <w:t>.</w:t>
      </w:r>
      <w:r>
        <w:rPr>
          <w:snapToGrid w:val="0"/>
        </w:rPr>
        <w:tab/>
        <w:t>Variation of trusts</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p>
    <w:p>
      <w:pPr>
        <w:pStyle w:val="Indenta"/>
        <w:rPr>
          <w:snapToGrid w:val="0"/>
        </w:rPr>
      </w:pPr>
      <w:r>
        <w:rPr>
          <w:snapToGrid w:val="0"/>
        </w:rPr>
        <w:tab/>
        <w:t>(b)</w:t>
      </w:r>
      <w:r>
        <w:rPr>
          <w:snapToGrid w:val="0"/>
        </w:rPr>
        <w:tab/>
        <w:t>the amount available is inadequate to carry out the purpose;</w:t>
      </w:r>
    </w:p>
    <w:p>
      <w:pPr>
        <w:pStyle w:val="Indenta"/>
        <w:rPr>
          <w:snapToGrid w:val="0"/>
        </w:rPr>
      </w:pPr>
      <w:r>
        <w:rPr>
          <w:snapToGrid w:val="0"/>
        </w:rPr>
        <w:tab/>
        <w:t>(c)</w:t>
      </w:r>
      <w:r>
        <w:rPr>
          <w:snapToGrid w:val="0"/>
        </w:rPr>
        <w:tab/>
        <w:t>the purpose has already been effected;</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104" w:name="_Toc417983437"/>
      <w:bookmarkStart w:id="105" w:name="_Toc12693411"/>
      <w:bookmarkStart w:id="106" w:name="_Toc196194958"/>
      <w:bookmarkStart w:id="107" w:name="_Toc20826226"/>
      <w:r>
        <w:rPr>
          <w:rStyle w:val="CharSectno"/>
        </w:rPr>
        <w:t>26</w:t>
      </w:r>
      <w:r>
        <w:rPr>
          <w:snapToGrid w:val="0"/>
        </w:rPr>
        <w:t>.</w:t>
      </w:r>
      <w:r>
        <w:rPr>
          <w:snapToGrid w:val="0"/>
        </w:rPr>
        <w:tab/>
        <w:t>Facilitation of performance of Trust</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108" w:name="_Toc417983438"/>
      <w:bookmarkStart w:id="109" w:name="_Toc12693412"/>
      <w:bookmarkStart w:id="110" w:name="_Toc196194959"/>
      <w:bookmarkStart w:id="111" w:name="_Toc20826227"/>
      <w:r>
        <w:rPr>
          <w:rStyle w:val="CharSectno"/>
        </w:rPr>
        <w:t>27</w:t>
      </w:r>
      <w:r>
        <w:rPr>
          <w:snapToGrid w:val="0"/>
        </w:rPr>
        <w:t>.</w:t>
      </w:r>
      <w:r>
        <w:rPr>
          <w:snapToGrid w:val="0"/>
        </w:rPr>
        <w:tab/>
        <w:t>Effect of Synod resolution</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bookmarkStart w:id="112" w:name="_Toc196194960"/>
      <w:r>
        <w:rPr>
          <w:rStyle w:val="CharPartNo"/>
        </w:rPr>
        <w:t>Part VI</w:t>
      </w:r>
      <w:r>
        <w:rPr>
          <w:rStyle w:val="CharDivNo"/>
        </w:rPr>
        <w:t> </w:t>
      </w:r>
      <w:r>
        <w:t>—</w:t>
      </w:r>
      <w:r>
        <w:rPr>
          <w:rStyle w:val="CharDivText"/>
        </w:rPr>
        <w:t> </w:t>
      </w:r>
      <w:r>
        <w:rPr>
          <w:rStyle w:val="CharPartText"/>
        </w:rPr>
        <w:t>Incorporation of Church instrumentalities</w:t>
      </w:r>
      <w:bookmarkEnd w:id="112"/>
      <w:r>
        <w:rPr>
          <w:rStyle w:val="CharPartText"/>
        </w:rPr>
        <w:t xml:space="preserve"> </w:t>
      </w:r>
    </w:p>
    <w:p>
      <w:pPr>
        <w:pStyle w:val="Heading5"/>
        <w:rPr>
          <w:snapToGrid w:val="0"/>
        </w:rPr>
      </w:pPr>
      <w:bookmarkStart w:id="113" w:name="_Toc417983439"/>
      <w:bookmarkStart w:id="114" w:name="_Toc12693413"/>
      <w:bookmarkStart w:id="115" w:name="_Toc196194961"/>
      <w:bookmarkStart w:id="116" w:name="_Toc20826228"/>
      <w:r>
        <w:rPr>
          <w:rStyle w:val="CharSectno"/>
        </w:rPr>
        <w:t>28</w:t>
      </w:r>
      <w:r>
        <w:rPr>
          <w:snapToGrid w:val="0"/>
        </w:rPr>
        <w:t>.</w:t>
      </w:r>
      <w:r>
        <w:rPr>
          <w:snapToGrid w:val="0"/>
        </w:rPr>
        <w:tab/>
        <w:t>Synod may incorporate Church instrumentality</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117" w:name="_Toc417983440"/>
      <w:bookmarkStart w:id="118" w:name="_Toc12693414"/>
      <w:bookmarkStart w:id="119" w:name="_Toc196194962"/>
      <w:bookmarkStart w:id="120" w:name="_Toc20826229"/>
      <w:r>
        <w:rPr>
          <w:rStyle w:val="CharSectno"/>
        </w:rPr>
        <w:t>29</w:t>
      </w:r>
      <w:r>
        <w:rPr>
          <w:snapToGrid w:val="0"/>
        </w:rPr>
        <w:t>.</w:t>
      </w:r>
      <w:r>
        <w:rPr>
          <w:snapToGrid w:val="0"/>
        </w:rPr>
        <w:tab/>
        <w:t>Existing incorporation terminated</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In the case of an incorporated body which before the day referred to in section 20(3)(b) </w:t>
      </w:r>
      <w:r>
        <w:rPr>
          <w:snapToGrid w:val="0"/>
          <w:vertAlign w:val="superscript"/>
        </w:rPr>
        <w:t>2</w:t>
      </w:r>
      <w:r>
        <w:rPr>
          <w:snapToGrid w:val="0"/>
        </w:rPr>
        <w:t xml:space="preserve">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As soon as practicable after the appointed day, or the day referred to in section 20(3)(b) </w:t>
      </w:r>
      <w:r>
        <w:rPr>
          <w:snapToGrid w:val="0"/>
          <w:vertAlign w:val="superscript"/>
        </w:rPr>
        <w:t>2</w:t>
      </w:r>
      <w:r>
        <w:rPr>
          <w:snapToGrid w:val="0"/>
        </w:rPr>
        <w:t xml:space="preserve">,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Heading5"/>
        <w:rPr>
          <w:snapToGrid w:val="0"/>
        </w:rPr>
      </w:pPr>
      <w:bookmarkStart w:id="121" w:name="_Toc417983441"/>
      <w:bookmarkStart w:id="122" w:name="_Toc12693415"/>
      <w:bookmarkStart w:id="123" w:name="_Toc196194963"/>
      <w:bookmarkStart w:id="124" w:name="_Toc20826230"/>
      <w:r>
        <w:rPr>
          <w:rStyle w:val="CharSectno"/>
        </w:rPr>
        <w:t>30</w:t>
      </w:r>
      <w:r>
        <w:rPr>
          <w:snapToGrid w:val="0"/>
        </w:rPr>
        <w:t>.</w:t>
      </w:r>
      <w:r>
        <w:rPr>
          <w:snapToGrid w:val="0"/>
        </w:rPr>
        <w:tab/>
        <w:t>Purposes of incorporation</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125" w:name="_Toc417983442"/>
      <w:bookmarkStart w:id="126" w:name="_Toc12693416"/>
      <w:bookmarkStart w:id="127" w:name="_Toc196194964"/>
      <w:bookmarkStart w:id="128" w:name="_Toc20826231"/>
      <w:r>
        <w:rPr>
          <w:rStyle w:val="CharSectno"/>
        </w:rPr>
        <w:t>31</w:t>
      </w:r>
      <w:r>
        <w:rPr>
          <w:snapToGrid w:val="0"/>
        </w:rPr>
        <w:t>.</w:t>
      </w:r>
      <w:r>
        <w:rPr>
          <w:snapToGrid w:val="0"/>
        </w:rPr>
        <w:tab/>
        <w:t>Evidence of incorporation</w:t>
      </w:r>
      <w:bookmarkEnd w:id="125"/>
      <w:bookmarkEnd w:id="126"/>
      <w:bookmarkEnd w:id="127"/>
      <w:bookmarkEnd w:id="128"/>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129" w:name="_Toc417983443"/>
      <w:bookmarkStart w:id="130" w:name="_Toc12693417"/>
      <w:bookmarkStart w:id="131" w:name="_Toc196194965"/>
      <w:bookmarkStart w:id="132" w:name="_Toc20826232"/>
      <w:r>
        <w:rPr>
          <w:rStyle w:val="CharSectno"/>
        </w:rPr>
        <w:t>32</w:t>
      </w:r>
      <w:r>
        <w:rPr>
          <w:snapToGrid w:val="0"/>
        </w:rPr>
        <w:t>.</w:t>
      </w:r>
      <w:r>
        <w:rPr>
          <w:snapToGrid w:val="0"/>
        </w:rPr>
        <w:tab/>
        <w:t>Vesting of property in incorporated body</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by No. 31 of 1997 s. 134(2).]</w:t>
      </w:r>
    </w:p>
    <w:p>
      <w:pPr>
        <w:pStyle w:val="Heading5"/>
        <w:rPr>
          <w:snapToGrid w:val="0"/>
        </w:rPr>
      </w:pPr>
      <w:bookmarkStart w:id="133" w:name="_Toc417983444"/>
      <w:bookmarkStart w:id="134" w:name="_Toc12693418"/>
      <w:bookmarkStart w:id="135" w:name="_Toc196194966"/>
      <w:bookmarkStart w:id="136" w:name="_Toc20826233"/>
      <w:r>
        <w:rPr>
          <w:rStyle w:val="CharSectno"/>
        </w:rPr>
        <w:t>33</w:t>
      </w:r>
      <w:r>
        <w:rPr>
          <w:snapToGrid w:val="0"/>
        </w:rPr>
        <w:t>.</w:t>
      </w:r>
      <w:r>
        <w:rPr>
          <w:snapToGrid w:val="0"/>
        </w:rPr>
        <w:tab/>
        <w:t>Constitution of incorporated body</w:t>
      </w:r>
      <w:bookmarkEnd w:id="133"/>
      <w:bookmarkEnd w:id="134"/>
      <w:bookmarkEnd w:id="135"/>
      <w:bookmarkEnd w:id="136"/>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137" w:name="_Toc417983445"/>
      <w:bookmarkStart w:id="138" w:name="_Toc12693419"/>
      <w:bookmarkStart w:id="139" w:name="_Toc196194967"/>
      <w:bookmarkStart w:id="140" w:name="_Toc20826234"/>
      <w:r>
        <w:rPr>
          <w:rStyle w:val="CharSectno"/>
        </w:rPr>
        <w:t>34</w:t>
      </w:r>
      <w:r>
        <w:rPr>
          <w:snapToGrid w:val="0"/>
        </w:rPr>
        <w:t>.</w:t>
      </w:r>
      <w:r>
        <w:rPr>
          <w:snapToGrid w:val="0"/>
        </w:rPr>
        <w:tab/>
        <w:t>Certain bodies</w:t>
      </w:r>
      <w:bookmarkEnd w:id="137"/>
      <w:bookmarkEnd w:id="138"/>
      <w:r>
        <w:rPr>
          <w:snapToGrid w:val="0"/>
        </w:rPr>
        <w:t xml:space="preserve"> incorporated under this Act</w:t>
      </w:r>
      <w:bookmarkEnd w:id="139"/>
      <w:bookmarkEnd w:id="140"/>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r>
      <w:r>
        <w:rPr>
          <w:snapToGrid w:val="0"/>
        </w:rPr>
        <w:tab/>
        <w:t>Kingswood College</w:t>
      </w:r>
    </w:p>
    <w:p>
      <w:pPr>
        <w:pStyle w:val="Indenta"/>
        <w:rPr>
          <w:snapToGrid w:val="0"/>
        </w:rPr>
      </w:pPr>
      <w:r>
        <w:rPr>
          <w:snapToGrid w:val="0"/>
        </w:rPr>
        <w:tab/>
      </w:r>
      <w:r>
        <w:rPr>
          <w:snapToGrid w:val="0"/>
        </w:rPr>
        <w:tab/>
        <w:t>Methodist Ladies’ College</w:t>
      </w:r>
    </w:p>
    <w:p>
      <w:pPr>
        <w:pStyle w:val="Indenta"/>
        <w:rPr>
          <w:snapToGrid w:val="0"/>
        </w:rPr>
      </w:pPr>
      <w:r>
        <w:rPr>
          <w:snapToGrid w:val="0"/>
        </w:rPr>
        <w:tab/>
      </w:r>
      <w:r>
        <w:rPr>
          <w:snapToGrid w:val="0"/>
        </w:rPr>
        <w:tab/>
        <w:t>Penrhos College</w:t>
      </w:r>
    </w:p>
    <w:p>
      <w:pPr>
        <w:pStyle w:val="Indenta"/>
        <w:rPr>
          <w:snapToGrid w:val="0"/>
        </w:rPr>
      </w:pPr>
      <w:r>
        <w:rPr>
          <w:snapToGrid w:val="0"/>
        </w:rPr>
        <w:tab/>
      </w:r>
      <w:r>
        <w:rPr>
          <w:snapToGrid w:val="0"/>
        </w:rPr>
        <w:tab/>
        <w:t>St. Columba College</w:t>
      </w:r>
    </w:p>
    <w:p>
      <w:pPr>
        <w:pStyle w:val="Indenta"/>
        <w:rPr>
          <w:snapToGrid w:val="0"/>
        </w:rPr>
      </w:pPr>
      <w:r>
        <w:rPr>
          <w:snapToGrid w:val="0"/>
        </w:rPr>
        <w:tab/>
      </w:r>
      <w:r>
        <w:rPr>
          <w:snapToGrid w:val="0"/>
        </w:rPr>
        <w:tab/>
        <w:t>Wesley College</w:t>
      </w:r>
    </w:p>
    <w:p>
      <w:pPr>
        <w:pStyle w:val="Indenta"/>
        <w:rPr>
          <w:snapToGrid w:val="0"/>
        </w:rPr>
      </w:pPr>
      <w:r>
        <w:rPr>
          <w:snapToGrid w:val="0"/>
        </w:rPr>
        <w:tab/>
      </w:r>
      <w:r>
        <w:rPr>
          <w:snapToGrid w:val="0"/>
        </w:rPr>
        <w:tab/>
        <w:t>Good Samaritan Industries.</w:t>
      </w:r>
    </w:p>
    <w:p>
      <w:pPr>
        <w:pStyle w:val="Subsection"/>
        <w:rPr>
          <w:snapToGrid w:val="0"/>
        </w:rPr>
      </w:pPr>
      <w:r>
        <w:rPr>
          <w:snapToGrid w:val="0"/>
        </w:rPr>
        <w:tab/>
        <w:t>(2)</w:t>
      </w:r>
      <w:r>
        <w:rPr>
          <w:snapToGrid w:val="0"/>
        </w:rPr>
        <w:tab/>
        <w:t>As from the day referred to in section 20(3)(b) </w:t>
      </w:r>
      <w:r>
        <w:rPr>
          <w:snapToGrid w:val="0"/>
          <w:vertAlign w:val="superscript"/>
        </w:rPr>
        <w:t>2</w:t>
      </w:r>
      <w:r>
        <w:rPr>
          <w:snapToGrid w:val="0"/>
        </w:rPr>
        <w:t xml:space="preserve">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w:t>
      </w:r>
      <w:r>
        <w:rPr>
          <w:snapToGrid w:val="0"/>
          <w:vertAlign w:val="superscript"/>
        </w:rPr>
        <w:t>2</w:t>
      </w:r>
      <w:r>
        <w:rPr>
          <w:snapToGrid w:val="0"/>
        </w:rPr>
        <w:t xml:space="preserve">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Heading5"/>
        <w:rPr>
          <w:snapToGrid w:val="0"/>
        </w:rPr>
      </w:pPr>
      <w:bookmarkStart w:id="141" w:name="_Toc417983446"/>
      <w:bookmarkStart w:id="142" w:name="_Toc12693420"/>
      <w:bookmarkStart w:id="143" w:name="_Toc196194968"/>
      <w:bookmarkStart w:id="144" w:name="_Toc20826235"/>
      <w:r>
        <w:rPr>
          <w:rStyle w:val="CharSectno"/>
        </w:rPr>
        <w:t>35</w:t>
      </w:r>
      <w:r>
        <w:rPr>
          <w:snapToGrid w:val="0"/>
        </w:rPr>
        <w:t>.</w:t>
      </w:r>
      <w:r>
        <w:rPr>
          <w:snapToGrid w:val="0"/>
        </w:rPr>
        <w:tab/>
        <w:t>Termination of incorporation</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45" w:name="_Toc417983447"/>
      <w:bookmarkStart w:id="146" w:name="_Toc12693421"/>
      <w:bookmarkStart w:id="147" w:name="_Toc196194969"/>
      <w:bookmarkStart w:id="148" w:name="_Toc20826236"/>
      <w:r>
        <w:rPr>
          <w:rStyle w:val="CharSectno"/>
        </w:rPr>
        <w:t>36</w:t>
      </w:r>
      <w:r>
        <w:rPr>
          <w:snapToGrid w:val="0"/>
        </w:rPr>
        <w:t>.</w:t>
      </w:r>
      <w:r>
        <w:rPr>
          <w:snapToGrid w:val="0"/>
        </w:rPr>
        <w:tab/>
        <w:t>Effect of termination</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bookmarkStart w:id="149" w:name="_Toc196194970"/>
      <w:r>
        <w:rPr>
          <w:rStyle w:val="CharPartNo"/>
        </w:rPr>
        <w:t>Part VII</w:t>
      </w:r>
      <w:r>
        <w:rPr>
          <w:rStyle w:val="CharDivNo"/>
        </w:rPr>
        <w:t> </w:t>
      </w:r>
      <w:r>
        <w:t>—</w:t>
      </w:r>
      <w:r>
        <w:rPr>
          <w:rStyle w:val="CharDivText"/>
        </w:rPr>
        <w:t> </w:t>
      </w:r>
      <w:r>
        <w:rPr>
          <w:rStyle w:val="CharPartText"/>
        </w:rPr>
        <w:t>General</w:t>
      </w:r>
      <w:bookmarkEnd w:id="149"/>
      <w:r>
        <w:rPr>
          <w:rStyle w:val="CharPartText"/>
        </w:rPr>
        <w:t xml:space="preserve"> </w:t>
      </w:r>
    </w:p>
    <w:p>
      <w:pPr>
        <w:pStyle w:val="Heading5"/>
        <w:rPr>
          <w:snapToGrid w:val="0"/>
        </w:rPr>
      </w:pPr>
      <w:bookmarkStart w:id="150" w:name="_Toc417983448"/>
      <w:bookmarkStart w:id="151" w:name="_Toc12693422"/>
      <w:bookmarkStart w:id="152" w:name="_Toc196194971"/>
      <w:bookmarkStart w:id="153" w:name="_Toc20826237"/>
      <w:r>
        <w:rPr>
          <w:rStyle w:val="CharSectno"/>
        </w:rPr>
        <w:t>37</w:t>
      </w:r>
      <w:r>
        <w:rPr>
          <w:snapToGrid w:val="0"/>
        </w:rPr>
        <w:t>.</w:t>
      </w:r>
      <w:r>
        <w:rPr>
          <w:snapToGrid w:val="0"/>
        </w:rPr>
        <w:tab/>
      </w:r>
      <w:bookmarkEnd w:id="150"/>
      <w:r>
        <w:rPr>
          <w:snapToGrid w:val="0"/>
        </w:rPr>
        <w:t>Trust’s powers as to exchange etc. of property</w:t>
      </w:r>
      <w:bookmarkEnd w:id="151"/>
      <w:bookmarkEnd w:id="152"/>
      <w:bookmarkEnd w:id="153"/>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154" w:name="_Toc417983449"/>
      <w:bookmarkStart w:id="155" w:name="_Toc12693423"/>
      <w:bookmarkStart w:id="156" w:name="_Toc196194972"/>
      <w:bookmarkStart w:id="157" w:name="_Toc20826238"/>
      <w:r>
        <w:rPr>
          <w:rStyle w:val="CharSectno"/>
        </w:rPr>
        <w:t>38</w:t>
      </w:r>
      <w:r>
        <w:rPr>
          <w:snapToGrid w:val="0"/>
        </w:rPr>
        <w:t>.</w:t>
      </w:r>
      <w:r>
        <w:rPr>
          <w:snapToGrid w:val="0"/>
        </w:rPr>
        <w:tab/>
      </w:r>
      <w:bookmarkEnd w:id="154"/>
      <w:r>
        <w:rPr>
          <w:snapToGrid w:val="0"/>
        </w:rPr>
        <w:t>Trust’s receipts, effect of</w:t>
      </w:r>
      <w:bookmarkEnd w:id="155"/>
      <w:bookmarkEnd w:id="156"/>
      <w:bookmarkEnd w:id="157"/>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158" w:name="_Toc417983450"/>
      <w:bookmarkStart w:id="159" w:name="_Toc12693424"/>
      <w:bookmarkStart w:id="160" w:name="_Toc196194973"/>
      <w:bookmarkStart w:id="161" w:name="_Toc20826239"/>
      <w:r>
        <w:rPr>
          <w:rStyle w:val="CharSectno"/>
        </w:rPr>
        <w:t>39</w:t>
      </w:r>
      <w:r>
        <w:rPr>
          <w:snapToGrid w:val="0"/>
        </w:rPr>
        <w:t>.</w:t>
      </w:r>
      <w:r>
        <w:rPr>
          <w:snapToGrid w:val="0"/>
        </w:rPr>
        <w:tab/>
      </w:r>
      <w:bookmarkEnd w:id="158"/>
      <w:r>
        <w:rPr>
          <w:snapToGrid w:val="0"/>
        </w:rPr>
        <w:t>Presumptions by people dealing with Trust</w:t>
      </w:r>
      <w:bookmarkEnd w:id="159"/>
      <w:bookmarkEnd w:id="160"/>
      <w:bookmarkEnd w:id="161"/>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162" w:name="_Toc417983451"/>
      <w:bookmarkStart w:id="163" w:name="_Toc12693425"/>
      <w:bookmarkStart w:id="164" w:name="_Toc196194974"/>
      <w:bookmarkStart w:id="165" w:name="_Toc20826240"/>
      <w:r>
        <w:rPr>
          <w:rStyle w:val="CharSectno"/>
        </w:rPr>
        <w:t>40</w:t>
      </w:r>
      <w:r>
        <w:rPr>
          <w:snapToGrid w:val="0"/>
        </w:rPr>
        <w:t>.</w:t>
      </w:r>
      <w:r>
        <w:rPr>
          <w:snapToGrid w:val="0"/>
        </w:rPr>
        <w:tab/>
        <w:t>Service of documents</w:t>
      </w:r>
      <w:bookmarkEnd w:id="162"/>
      <w:r>
        <w:rPr>
          <w:snapToGrid w:val="0"/>
        </w:rPr>
        <w:t xml:space="preserve"> on Trust</w:t>
      </w:r>
      <w:bookmarkEnd w:id="163"/>
      <w:bookmarkEnd w:id="164"/>
      <w:bookmarkEnd w:id="165"/>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166" w:name="_Toc417983452"/>
      <w:bookmarkStart w:id="167" w:name="_Toc12693426"/>
      <w:bookmarkStart w:id="168" w:name="_Toc196194975"/>
      <w:bookmarkStart w:id="169" w:name="_Toc20826241"/>
      <w:r>
        <w:rPr>
          <w:rStyle w:val="CharSectno"/>
        </w:rPr>
        <w:t>41</w:t>
      </w:r>
      <w:r>
        <w:rPr>
          <w:snapToGrid w:val="0"/>
        </w:rPr>
        <w:t>.</w:t>
      </w:r>
      <w:r>
        <w:rPr>
          <w:snapToGrid w:val="0"/>
        </w:rPr>
        <w:tab/>
        <w:t>Trust may act as executor etc.</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170" w:name="_Toc417983453"/>
      <w:bookmarkStart w:id="171" w:name="_Toc12693427"/>
      <w:bookmarkStart w:id="172" w:name="_Toc196194976"/>
      <w:bookmarkStart w:id="173" w:name="_Toc20826242"/>
      <w:r>
        <w:rPr>
          <w:rStyle w:val="CharSectno"/>
        </w:rPr>
        <w:t>42</w:t>
      </w:r>
      <w:r>
        <w:rPr>
          <w:snapToGrid w:val="0"/>
        </w:rPr>
        <w:t>.</w:t>
      </w:r>
      <w:r>
        <w:rPr>
          <w:snapToGrid w:val="0"/>
        </w:rPr>
        <w:tab/>
        <w:t>Trust may hold property jointly</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174" w:name="_Toc417983454"/>
      <w:bookmarkStart w:id="175" w:name="_Toc12693428"/>
      <w:bookmarkStart w:id="176" w:name="_Toc196194977"/>
      <w:bookmarkStart w:id="177" w:name="_Toc20826243"/>
      <w:r>
        <w:rPr>
          <w:rStyle w:val="CharSectno"/>
        </w:rPr>
        <w:t>43</w:t>
      </w:r>
      <w:r>
        <w:rPr>
          <w:snapToGrid w:val="0"/>
        </w:rPr>
        <w:t>.</w:t>
      </w:r>
      <w:r>
        <w:rPr>
          <w:snapToGrid w:val="0"/>
        </w:rPr>
        <w:tab/>
        <w:t>Co</w:t>
      </w:r>
      <w:r>
        <w:rPr>
          <w:snapToGrid w:val="0"/>
        </w:rPr>
        <w:noBreakHyphen/>
        <w:t>operative use of property</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178" w:name="_Toc417983455"/>
      <w:bookmarkStart w:id="179" w:name="_Toc12693429"/>
      <w:bookmarkStart w:id="180" w:name="_Toc196194978"/>
      <w:bookmarkStart w:id="181" w:name="_Toc20826244"/>
      <w:r>
        <w:rPr>
          <w:rStyle w:val="CharSectno"/>
        </w:rPr>
        <w:t>44</w:t>
      </w:r>
      <w:r>
        <w:rPr>
          <w:snapToGrid w:val="0"/>
        </w:rPr>
        <w:t>.</w:t>
      </w:r>
      <w:r>
        <w:rPr>
          <w:snapToGrid w:val="0"/>
        </w:rPr>
        <w:tab/>
      </w:r>
      <w:bookmarkEnd w:id="178"/>
      <w:r>
        <w:rPr>
          <w:snapToGrid w:val="0"/>
        </w:rPr>
        <w:t>Application of s. 43</w:t>
      </w:r>
      <w:bookmarkEnd w:id="179"/>
      <w:bookmarkEnd w:id="180"/>
      <w:bookmarkEnd w:id="181"/>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182" w:name="_Toc417983456"/>
      <w:bookmarkStart w:id="183" w:name="_Toc12693430"/>
      <w:bookmarkStart w:id="184" w:name="_Toc196194979"/>
      <w:bookmarkStart w:id="185" w:name="_Toc20826245"/>
      <w:r>
        <w:rPr>
          <w:rStyle w:val="CharSectno"/>
        </w:rPr>
        <w:t>45</w:t>
      </w:r>
      <w:r>
        <w:rPr>
          <w:snapToGrid w:val="0"/>
        </w:rPr>
        <w:t>.</w:t>
      </w:r>
      <w:r>
        <w:rPr>
          <w:snapToGrid w:val="0"/>
        </w:rPr>
        <w:tab/>
      </w:r>
      <w:bookmarkEnd w:id="182"/>
      <w:r>
        <w:rPr>
          <w:snapToGrid w:val="0"/>
        </w:rPr>
        <w:t>Trust members etc. entitled to indemnity</w:t>
      </w:r>
      <w:bookmarkEnd w:id="183"/>
      <w:bookmarkEnd w:id="184"/>
      <w:bookmarkEnd w:id="185"/>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186" w:name="_Toc417983457"/>
      <w:bookmarkStart w:id="187" w:name="_Toc12693431"/>
      <w:bookmarkStart w:id="188" w:name="_Toc196194980"/>
      <w:bookmarkStart w:id="189" w:name="_Toc20826246"/>
      <w:r>
        <w:rPr>
          <w:rStyle w:val="CharSectno"/>
        </w:rPr>
        <w:t>46</w:t>
      </w:r>
      <w:r>
        <w:rPr>
          <w:snapToGrid w:val="0"/>
        </w:rPr>
        <w:t>.</w:t>
      </w:r>
      <w:r>
        <w:rPr>
          <w:snapToGrid w:val="0"/>
        </w:rPr>
        <w:tab/>
        <w:t>Blending of Trust funds</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(a)</w:t>
      </w:r>
      <w:r>
        <w:rPr>
          <w:snapToGrid w:val="0"/>
        </w:rPr>
        <w:tab/>
        <w:t>The Trust may make advances out of the moneys referred to in subsection (1) for any purpose of or relating to the Church.</w:t>
      </w:r>
    </w:p>
    <w:p>
      <w:pPr>
        <w:pStyle w:val="Subsection"/>
        <w:rPr>
          <w:snapToGrid w:val="0"/>
        </w:rPr>
      </w:pPr>
      <w:r>
        <w:rPr>
          <w:snapToGrid w:val="0"/>
        </w:rPr>
        <w:tab/>
        <w:t>(b)</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Heading5"/>
        <w:rPr>
          <w:snapToGrid w:val="0"/>
        </w:rPr>
      </w:pPr>
      <w:bookmarkStart w:id="190" w:name="_Toc417983458"/>
      <w:bookmarkStart w:id="191" w:name="_Toc12693432"/>
      <w:bookmarkStart w:id="192" w:name="_Toc196194981"/>
      <w:bookmarkStart w:id="193" w:name="_Toc20826247"/>
      <w:r>
        <w:rPr>
          <w:rStyle w:val="CharSectno"/>
        </w:rPr>
        <w:t>47</w:t>
      </w:r>
      <w:r>
        <w:rPr>
          <w:snapToGrid w:val="0"/>
        </w:rPr>
        <w:t>.</w:t>
      </w:r>
      <w:r>
        <w:rPr>
          <w:snapToGrid w:val="0"/>
        </w:rPr>
        <w:tab/>
        <w:t>Investment</w:t>
      </w:r>
      <w:bookmarkEnd w:id="190"/>
      <w:r>
        <w:rPr>
          <w:snapToGrid w:val="0"/>
        </w:rPr>
        <w:t xml:space="preserve"> powers</w:t>
      </w:r>
      <w:bookmarkEnd w:id="191"/>
      <w:bookmarkEnd w:id="192"/>
      <w:bookmarkEnd w:id="193"/>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by No. 1 of 1997 s. 18.]</w:t>
      </w:r>
    </w:p>
    <w:p>
      <w:pPr>
        <w:pStyle w:val="Heading5"/>
        <w:rPr>
          <w:snapToGrid w:val="0"/>
        </w:rPr>
      </w:pPr>
      <w:bookmarkStart w:id="194" w:name="_Toc417983459"/>
      <w:bookmarkStart w:id="195" w:name="_Toc12693433"/>
      <w:bookmarkStart w:id="196" w:name="_Toc196194982"/>
      <w:bookmarkStart w:id="197" w:name="_Toc20826248"/>
      <w:r>
        <w:rPr>
          <w:rStyle w:val="CharSectno"/>
        </w:rPr>
        <w:t>48</w:t>
      </w:r>
      <w:r>
        <w:rPr>
          <w:snapToGrid w:val="0"/>
        </w:rPr>
        <w:t>.</w:t>
      </w:r>
      <w:r>
        <w:rPr>
          <w:snapToGrid w:val="0"/>
        </w:rPr>
        <w:tab/>
        <w:t>Exemption from stamp duty, etc.</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 xml:space="preserve">No conveyance or other instrument whereby property is vested in the Trust or in a body corporate pursuant to this Act shall be chargeable with any stamp duty imposed by the </w:t>
      </w:r>
      <w:r>
        <w:rPr>
          <w:i/>
          <w:snapToGrid w:val="0"/>
        </w:rPr>
        <w:t>Stamp Act 1921</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98" w:name="_Toc196194983"/>
      <w:bookmarkStart w:id="199" w:name="_Toc20826249"/>
      <w:r>
        <w:rPr>
          <w:rStyle w:val="CharSchNo"/>
        </w:rPr>
        <w:t>Schedule</w:t>
      </w:r>
      <w:bookmarkEnd w:id="198"/>
      <w:bookmarkEnd w:id="199"/>
      <w:r>
        <w:t xml:space="preserve"> </w:t>
      </w:r>
    </w:p>
    <w:p>
      <w:pPr>
        <w:pStyle w:val="yMiscellaneousHeading"/>
        <w:rPr>
          <w:b/>
          <w:bCs/>
          <w:snapToGrid w:val="0"/>
        </w:rPr>
      </w:pPr>
      <w:r>
        <w:rPr>
          <w:b/>
          <w:bCs/>
          <w:snapToGrid w:val="0"/>
        </w:rPr>
        <w:t>Basis of Union</w:t>
      </w:r>
    </w:p>
    <w:p>
      <w:pPr>
        <w:pStyle w:val="yHeading5"/>
        <w:outlineLvl w:val="9"/>
      </w:pPr>
    </w:p>
    <w:p>
      <w:pPr>
        <w:pStyle w:val="ySubsection"/>
      </w:pPr>
      <w:r>
        <w:tab/>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Subsection"/>
      </w:pPr>
      <w:r>
        <w:tab/>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Subsection"/>
      </w:pPr>
      <w:r>
        <w:tab/>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Subsection"/>
      </w:pPr>
      <w:r>
        <w:tab/>
      </w: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Subsection"/>
      </w:pPr>
      <w:r>
        <w:tab/>
      </w: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Subsection"/>
      </w:pPr>
      <w:r>
        <w:tab/>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Subsection"/>
      </w:pPr>
      <w:r>
        <w:tab/>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Subsection"/>
      </w:pPr>
      <w:r>
        <w:tab/>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Subsection"/>
      </w:pPr>
      <w:r>
        <w:tab/>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Subsection"/>
      </w:pPr>
      <w:r>
        <w:tab/>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Subsection"/>
      </w:pPr>
      <w:r>
        <w:tab/>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Subsection"/>
      </w:pPr>
      <w:r>
        <w:tab/>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Subsection"/>
      </w:pPr>
      <w:r>
        <w:tab/>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Subsection"/>
      </w:pPr>
      <w:r>
        <w:tab/>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Subsection"/>
      </w:pPr>
      <w:r>
        <w:tab/>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Subsection"/>
      </w:pPr>
      <w:r>
        <w:tab/>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Subsection"/>
      </w:pPr>
      <w:r>
        <w:tab/>
      </w: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Subsection"/>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Subsection"/>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Subsection"/>
      </w:pPr>
      <w:r>
        <w:tab/>
      </w: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Subsection"/>
      </w:pPr>
      <w:r>
        <w:tab/>
      </w: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Subsection"/>
      </w:pPr>
      <w:r>
        <w:tab/>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Subsection"/>
      </w:pPr>
      <w:r>
        <w:tab/>
      </w: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Subsection"/>
      </w:pPr>
      <w:r>
        <w:tab/>
      </w: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Subsection"/>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Subsection"/>
      </w:pPr>
      <w:r>
        <w:tab/>
      </w: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Subsection"/>
      </w:pPr>
      <w:r>
        <w:tab/>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Subsection"/>
      </w:pPr>
      <w:r>
        <w:tab/>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Subsection"/>
      </w:pPr>
      <w:r>
        <w:tab/>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00" w:name="_Toc196194984"/>
      <w:r>
        <w:t>Notes</w:t>
      </w:r>
      <w:bookmarkEnd w:id="200"/>
    </w:p>
    <w:p>
      <w:pPr>
        <w:pStyle w:val="nSubsection"/>
        <w:ind w:left="459" w:hanging="459"/>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Uniting Church in Australia Act 1976</w:t>
      </w:r>
      <w:r>
        <w:rPr>
          <w:snapToGrid w:val="0"/>
        </w:rPr>
        <w:t xml:space="preserve"> and includes the amendments made by the other written laws referred to in the following table</w:t>
      </w:r>
      <w:ins w:id="201" w:author="svcMRProcess" w:date="2015-12-15T07:50:00Z">
        <w:r>
          <w:rPr>
            <w:snapToGrid w:val="0"/>
          </w:rPr>
          <w:t> </w:t>
        </w:r>
        <w:r>
          <w:rPr>
            <w:snapToGrid w:val="0"/>
            <w:vertAlign w:val="superscript"/>
          </w:rPr>
          <w:t>1a</w:t>
        </w:r>
      </w:ins>
      <w:r>
        <w:rPr>
          <w:snapToGrid w:val="0"/>
        </w:rPr>
        <w:t>.</w:t>
      </w:r>
    </w:p>
    <w:p>
      <w:pPr>
        <w:pStyle w:val="nHeading3"/>
        <w:rPr>
          <w:snapToGrid w:val="0"/>
        </w:rPr>
      </w:pPr>
      <w:bookmarkStart w:id="202" w:name="_Toc196194985"/>
      <w:bookmarkStart w:id="203" w:name="_Toc20826250"/>
      <w:r>
        <w:rPr>
          <w:snapToGrid w:val="0"/>
        </w:rPr>
        <w:t>Compilation table</w:t>
      </w:r>
      <w:bookmarkEnd w:id="202"/>
      <w:bookmarkEnd w:id="203"/>
    </w:p>
    <w:tbl>
      <w:tblPr>
        <w:tblW w:w="0" w:type="auto"/>
        <w:tblInd w:w="31" w:type="dxa"/>
        <w:tblLayout w:type="fixed"/>
        <w:tblCellMar>
          <w:left w:w="5" w:type="dxa"/>
          <w:right w:w="5"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Uniting Church in Australia Act 1976</w:t>
            </w:r>
          </w:p>
        </w:tc>
        <w:tc>
          <w:tcPr>
            <w:tcW w:w="1134" w:type="dxa"/>
          </w:tcPr>
          <w:p>
            <w:pPr>
              <w:pStyle w:val="nTable"/>
              <w:spacing w:before="120"/>
              <w:rPr>
                <w:sz w:val="19"/>
              </w:rPr>
            </w:pPr>
            <w:r>
              <w:rPr>
                <w:sz w:val="19"/>
              </w:rPr>
              <w:t>139 of 1976</w:t>
            </w:r>
          </w:p>
        </w:tc>
        <w:tc>
          <w:tcPr>
            <w:tcW w:w="1134" w:type="dxa"/>
          </w:tcPr>
          <w:p>
            <w:pPr>
              <w:pStyle w:val="nTable"/>
              <w:spacing w:before="120"/>
              <w:rPr>
                <w:sz w:val="19"/>
              </w:rPr>
            </w:pPr>
            <w:r>
              <w:rPr>
                <w:sz w:val="19"/>
              </w:rPr>
              <w:t>13 Dec 1976</w:t>
            </w:r>
          </w:p>
        </w:tc>
        <w:tc>
          <w:tcPr>
            <w:tcW w:w="2552" w:type="dxa"/>
          </w:tcPr>
          <w:p>
            <w:pPr>
              <w:pStyle w:val="nTable"/>
              <w:spacing w:before="120"/>
              <w:rPr>
                <w:sz w:val="19"/>
              </w:rPr>
            </w:pPr>
            <w:r>
              <w:rPr>
                <w:sz w:val="19"/>
              </w:rPr>
              <w:t xml:space="preserve">Act, except s. 20(3): 22 Jun 1977 </w:t>
            </w:r>
            <w:r>
              <w:rPr>
                <w:sz w:val="19"/>
              </w:rPr>
              <w:br/>
              <w:t xml:space="preserve">(see s. 2 and </w:t>
            </w:r>
            <w:r>
              <w:rPr>
                <w:i/>
                <w:sz w:val="19"/>
              </w:rPr>
              <w:t>Gazette</w:t>
            </w:r>
            <w:r>
              <w:rPr>
                <w:sz w:val="19"/>
              </w:rPr>
              <w:t xml:space="preserve"> </w:t>
            </w:r>
            <w:r>
              <w:rPr>
                <w:sz w:val="19"/>
              </w:rPr>
              <w:br/>
              <w:t>17 Jun 1977 p. 1811);</w:t>
            </w:r>
            <w:r>
              <w:rPr>
                <w:sz w:val="19"/>
              </w:rPr>
              <w:br/>
              <w:t xml:space="preserve">s. 20(3): 9 Nov 1979 (see s. 20(3)(b) and </w:t>
            </w:r>
            <w:r>
              <w:rPr>
                <w:i/>
                <w:sz w:val="19"/>
              </w:rPr>
              <w:t>Gazette</w:t>
            </w:r>
            <w:r>
              <w:rPr>
                <w:sz w:val="19"/>
              </w:rPr>
              <w:t xml:space="preserve"> 9 Nov 1979 p. 3491)</w:t>
            </w:r>
          </w:p>
        </w:tc>
      </w:tr>
      <w:tr>
        <w:trPr>
          <w:cantSplit/>
        </w:trPr>
        <w:tc>
          <w:tcPr>
            <w:tcW w:w="2268" w:type="dxa"/>
          </w:tcPr>
          <w:p>
            <w:pPr>
              <w:pStyle w:val="nTable"/>
              <w:spacing w:before="120"/>
              <w:ind w:right="113"/>
              <w:rPr>
                <w:sz w:val="19"/>
              </w:rPr>
            </w:pPr>
            <w:r>
              <w:rPr>
                <w:i/>
                <w:sz w:val="19"/>
              </w:rPr>
              <w:t xml:space="preserve">Guardianship and Administration </w:t>
            </w:r>
            <w:r>
              <w:rPr>
                <w:i/>
                <w:sz w:val="19"/>
              </w:rPr>
              <w:br/>
              <w:t xml:space="preserve">Act 1990 </w:t>
            </w:r>
            <w:r>
              <w:rPr>
                <w:sz w:val="19"/>
              </w:rPr>
              <w:t>s. 123</w:t>
            </w:r>
          </w:p>
        </w:tc>
        <w:tc>
          <w:tcPr>
            <w:tcW w:w="1134" w:type="dxa"/>
          </w:tcPr>
          <w:p>
            <w:pPr>
              <w:pStyle w:val="nTable"/>
              <w:spacing w:before="120"/>
              <w:rPr>
                <w:sz w:val="19"/>
              </w:rPr>
            </w:pPr>
            <w:r>
              <w:rPr>
                <w:sz w:val="19"/>
              </w:rPr>
              <w:t>24 of 1990</w:t>
            </w:r>
          </w:p>
        </w:tc>
        <w:tc>
          <w:tcPr>
            <w:tcW w:w="1134" w:type="dxa"/>
          </w:tcPr>
          <w:p>
            <w:pPr>
              <w:pStyle w:val="nTable"/>
              <w:spacing w:before="120"/>
              <w:rPr>
                <w:sz w:val="19"/>
              </w:rPr>
            </w:pPr>
            <w:r>
              <w:rPr>
                <w:sz w:val="19"/>
              </w:rPr>
              <w:t>7 Sep 1990</w:t>
            </w:r>
          </w:p>
        </w:tc>
        <w:tc>
          <w:tcPr>
            <w:tcW w:w="2552" w:type="dxa"/>
          </w:tcPr>
          <w:p>
            <w:pPr>
              <w:pStyle w:val="nTable"/>
              <w:spacing w:before="120"/>
              <w:rPr>
                <w:sz w:val="19"/>
              </w:rPr>
            </w:pPr>
            <w:r>
              <w:rPr>
                <w:sz w:val="19"/>
              </w:rPr>
              <w:t xml:space="preserve"> 20 Oct 1992 (see s. 2 and </w:t>
            </w:r>
            <w:r>
              <w:rPr>
                <w:i/>
                <w:sz w:val="19"/>
              </w:rPr>
              <w:t>Gazette</w:t>
            </w:r>
            <w:r>
              <w:rPr>
                <w:sz w:val="19"/>
              </w:rPr>
              <w:t xml:space="preserve"> 2 Oct 1992 p. 4811)</w:t>
            </w:r>
          </w:p>
        </w:tc>
      </w:tr>
      <w:tr>
        <w:trPr>
          <w:cantSplit/>
        </w:trPr>
        <w:tc>
          <w:tcPr>
            <w:tcW w:w="2268" w:type="dxa"/>
          </w:tcPr>
          <w:p>
            <w:pPr>
              <w:pStyle w:val="nTable"/>
              <w:spacing w:before="120"/>
              <w:ind w:right="113"/>
              <w:rPr>
                <w:sz w:val="19"/>
              </w:rPr>
            </w:pPr>
            <w:r>
              <w:rPr>
                <w:i/>
                <w:sz w:val="19"/>
              </w:rPr>
              <w:t>Uniting Church in Australia Amendment Act 1991</w:t>
            </w:r>
          </w:p>
        </w:tc>
        <w:tc>
          <w:tcPr>
            <w:tcW w:w="1134" w:type="dxa"/>
          </w:tcPr>
          <w:p>
            <w:pPr>
              <w:pStyle w:val="nTable"/>
              <w:spacing w:before="120"/>
              <w:rPr>
                <w:sz w:val="19"/>
              </w:rPr>
            </w:pPr>
            <w:r>
              <w:rPr>
                <w:sz w:val="19"/>
              </w:rPr>
              <w:t>42 of 1991</w:t>
            </w:r>
          </w:p>
        </w:tc>
        <w:tc>
          <w:tcPr>
            <w:tcW w:w="1134" w:type="dxa"/>
          </w:tcPr>
          <w:p>
            <w:pPr>
              <w:pStyle w:val="nTable"/>
              <w:spacing w:before="120"/>
              <w:rPr>
                <w:sz w:val="19"/>
              </w:rPr>
            </w:pPr>
            <w:r>
              <w:rPr>
                <w:sz w:val="19"/>
              </w:rPr>
              <w:t>12 Dec 1991</w:t>
            </w:r>
          </w:p>
        </w:tc>
        <w:tc>
          <w:tcPr>
            <w:tcW w:w="2552" w:type="dxa"/>
          </w:tcPr>
          <w:p>
            <w:pPr>
              <w:pStyle w:val="nTable"/>
              <w:spacing w:before="120"/>
              <w:rPr>
                <w:sz w:val="19"/>
              </w:rPr>
            </w:pPr>
            <w:r>
              <w:rPr>
                <w:sz w:val="19"/>
              </w:rPr>
              <w:t>12 Dec 1991 (see s. 2)</w:t>
            </w:r>
          </w:p>
        </w:tc>
      </w:tr>
      <w:tr>
        <w:trPr>
          <w:cantSplit/>
        </w:trPr>
        <w:tc>
          <w:tcPr>
            <w:tcW w:w="2268" w:type="dxa"/>
          </w:tcPr>
          <w:p>
            <w:pPr>
              <w:pStyle w:val="nTable"/>
              <w:spacing w:before="120"/>
              <w:ind w:right="113"/>
              <w:rPr>
                <w:sz w:val="19"/>
              </w:rPr>
            </w:pPr>
            <w:r>
              <w:rPr>
                <w:i/>
                <w:sz w:val="19"/>
              </w:rPr>
              <w:t xml:space="preserve">Trustees Amendment Act 1997 </w:t>
            </w:r>
            <w:r>
              <w:rPr>
                <w:sz w:val="19"/>
              </w:rPr>
              <w:t>s. 18</w:t>
            </w:r>
          </w:p>
        </w:tc>
        <w:tc>
          <w:tcPr>
            <w:tcW w:w="1134" w:type="dxa"/>
          </w:tcPr>
          <w:p>
            <w:pPr>
              <w:pStyle w:val="nTable"/>
              <w:spacing w:before="12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120"/>
              <w:ind w:right="113"/>
              <w:rPr>
                <w:sz w:val="19"/>
              </w:rPr>
            </w:pPr>
            <w:r>
              <w:rPr>
                <w:i/>
                <w:sz w:val="19"/>
              </w:rPr>
              <w:t xml:space="preserve">Acts Amendment (Land Administration) Act 1997 </w:t>
            </w:r>
            <w:r>
              <w:rPr>
                <w:sz w:val="19"/>
              </w:rPr>
              <w:br/>
              <w:t>Pt. 61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 xml:space="preserve">Uniting Church in Australia Act 1976 </w:t>
            </w:r>
            <w:r>
              <w:rPr>
                <w:b/>
                <w:sz w:val="19"/>
              </w:rPr>
              <w:t>as at 6 Sep 2002</w:t>
            </w:r>
            <w:r>
              <w:rPr>
                <w:b/>
                <w:sz w:val="19"/>
              </w:rPr>
              <w:br/>
            </w:r>
            <w:r>
              <w:rPr>
                <w:sz w:val="19"/>
              </w:rPr>
              <w:t>(includes amendments listed above)</w:t>
            </w:r>
          </w:p>
        </w:tc>
      </w:tr>
    </w:tbl>
    <w:p>
      <w:pPr>
        <w:pStyle w:val="nSubsection"/>
        <w:tabs>
          <w:tab w:val="clear" w:pos="454"/>
          <w:tab w:val="left" w:pos="567"/>
        </w:tabs>
        <w:spacing w:before="120"/>
        <w:ind w:left="567" w:hanging="567"/>
        <w:rPr>
          <w:ins w:id="204" w:author="svcMRProcess" w:date="2015-12-15T07:50:00Z"/>
          <w:snapToGrid w:val="0"/>
        </w:rPr>
      </w:pPr>
      <w:ins w:id="205" w:author="svcMRProcess" w:date="2015-12-15T07:5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6" w:author="svcMRProcess" w:date="2015-12-15T07:50:00Z"/>
        </w:rPr>
      </w:pPr>
      <w:bookmarkStart w:id="207" w:name="_Toc7405065"/>
      <w:bookmarkStart w:id="208" w:name="_Toc181500909"/>
      <w:bookmarkStart w:id="209" w:name="_Toc193100050"/>
      <w:bookmarkStart w:id="210" w:name="_Toc196194986"/>
      <w:ins w:id="211" w:author="svcMRProcess" w:date="2015-12-15T07:50:00Z">
        <w:r>
          <w:t>Provisions that have not come into operation</w:t>
        </w:r>
        <w:bookmarkEnd w:id="207"/>
        <w:bookmarkEnd w:id="208"/>
        <w:bookmarkEnd w:id="209"/>
        <w:bookmarkEnd w:id="21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12" w:author="svcMRProcess" w:date="2015-12-15T07:50:00Z"/>
        </w:trPr>
        <w:tc>
          <w:tcPr>
            <w:tcW w:w="2268" w:type="dxa"/>
            <w:tcBorders>
              <w:top w:val="single" w:sz="8" w:space="0" w:color="auto"/>
              <w:bottom w:val="single" w:sz="8" w:space="0" w:color="auto"/>
            </w:tcBorders>
          </w:tcPr>
          <w:p>
            <w:pPr>
              <w:pStyle w:val="nTable"/>
              <w:spacing w:after="40"/>
              <w:rPr>
                <w:ins w:id="213" w:author="svcMRProcess" w:date="2015-12-15T07:50:00Z"/>
                <w:b/>
                <w:sz w:val="19"/>
              </w:rPr>
            </w:pPr>
            <w:ins w:id="214" w:author="svcMRProcess" w:date="2015-12-15T07:50:00Z">
              <w:r>
                <w:rPr>
                  <w:b/>
                  <w:sz w:val="19"/>
                </w:rPr>
                <w:t>Short title</w:t>
              </w:r>
            </w:ins>
          </w:p>
        </w:tc>
        <w:tc>
          <w:tcPr>
            <w:tcW w:w="1134" w:type="dxa"/>
            <w:tcBorders>
              <w:top w:val="single" w:sz="8" w:space="0" w:color="auto"/>
              <w:bottom w:val="single" w:sz="8" w:space="0" w:color="auto"/>
            </w:tcBorders>
          </w:tcPr>
          <w:p>
            <w:pPr>
              <w:pStyle w:val="nTable"/>
              <w:spacing w:after="40"/>
              <w:rPr>
                <w:ins w:id="215" w:author="svcMRProcess" w:date="2015-12-15T07:50:00Z"/>
                <w:b/>
                <w:sz w:val="19"/>
              </w:rPr>
            </w:pPr>
            <w:ins w:id="216" w:author="svcMRProcess" w:date="2015-12-15T07:50:00Z">
              <w:r>
                <w:rPr>
                  <w:b/>
                  <w:sz w:val="19"/>
                </w:rPr>
                <w:t>Number and year</w:t>
              </w:r>
            </w:ins>
          </w:p>
        </w:tc>
        <w:tc>
          <w:tcPr>
            <w:tcW w:w="1134" w:type="dxa"/>
            <w:tcBorders>
              <w:top w:val="single" w:sz="8" w:space="0" w:color="auto"/>
              <w:bottom w:val="single" w:sz="8" w:space="0" w:color="auto"/>
            </w:tcBorders>
          </w:tcPr>
          <w:p>
            <w:pPr>
              <w:pStyle w:val="nTable"/>
              <w:spacing w:after="40"/>
              <w:rPr>
                <w:ins w:id="217" w:author="svcMRProcess" w:date="2015-12-15T07:50:00Z"/>
                <w:b/>
                <w:sz w:val="19"/>
              </w:rPr>
            </w:pPr>
            <w:ins w:id="218" w:author="svcMRProcess" w:date="2015-12-15T07:50:00Z">
              <w:r>
                <w:rPr>
                  <w:b/>
                  <w:sz w:val="19"/>
                </w:rPr>
                <w:t>Assent</w:t>
              </w:r>
            </w:ins>
          </w:p>
        </w:tc>
        <w:tc>
          <w:tcPr>
            <w:tcW w:w="2552" w:type="dxa"/>
            <w:tcBorders>
              <w:top w:val="single" w:sz="8" w:space="0" w:color="auto"/>
              <w:bottom w:val="single" w:sz="8" w:space="0" w:color="auto"/>
            </w:tcBorders>
          </w:tcPr>
          <w:p>
            <w:pPr>
              <w:pStyle w:val="nTable"/>
              <w:spacing w:after="40"/>
              <w:rPr>
                <w:ins w:id="219" w:author="svcMRProcess" w:date="2015-12-15T07:50:00Z"/>
                <w:b/>
                <w:sz w:val="19"/>
              </w:rPr>
            </w:pPr>
            <w:ins w:id="220" w:author="svcMRProcess" w:date="2015-12-15T07:50:00Z">
              <w:r>
                <w:rPr>
                  <w:b/>
                  <w:sz w:val="19"/>
                </w:rPr>
                <w:t>Commencement</w:t>
              </w:r>
            </w:ins>
          </w:p>
        </w:tc>
      </w:tr>
      <w:tr>
        <w:trPr>
          <w:cantSplit/>
          <w:ins w:id="221" w:author="svcMRProcess" w:date="2015-12-15T07:50:00Z"/>
        </w:trPr>
        <w:tc>
          <w:tcPr>
            <w:tcW w:w="2268" w:type="dxa"/>
            <w:tcBorders>
              <w:top w:val="single" w:sz="8" w:space="0" w:color="auto"/>
              <w:bottom w:val="single" w:sz="4" w:space="0" w:color="auto"/>
            </w:tcBorders>
          </w:tcPr>
          <w:p>
            <w:pPr>
              <w:pStyle w:val="nTable"/>
              <w:spacing w:after="40"/>
              <w:rPr>
                <w:ins w:id="222" w:author="svcMRProcess" w:date="2015-12-15T07:50:00Z"/>
                <w:iCs/>
                <w:sz w:val="19"/>
                <w:vertAlign w:val="superscript"/>
              </w:rPr>
            </w:pPr>
            <w:ins w:id="223" w:author="svcMRProcess" w:date="2015-12-15T07:50:00Z">
              <w:r>
                <w:rPr>
                  <w:i/>
                  <w:sz w:val="19"/>
                </w:rPr>
                <w:t>Duties Legislation Amendment Act 2008</w:t>
              </w:r>
              <w:r>
                <w:rPr>
                  <w:iCs/>
                  <w:sz w:val="19"/>
                </w:rPr>
                <w:t xml:space="preserve"> s. 52 </w:t>
              </w:r>
              <w:r>
                <w:rPr>
                  <w:iCs/>
                  <w:sz w:val="19"/>
                  <w:vertAlign w:val="superscript"/>
                </w:rPr>
                <w:t>5</w:t>
              </w:r>
            </w:ins>
          </w:p>
        </w:tc>
        <w:tc>
          <w:tcPr>
            <w:tcW w:w="1134" w:type="dxa"/>
            <w:tcBorders>
              <w:top w:val="single" w:sz="8" w:space="0" w:color="auto"/>
              <w:bottom w:val="single" w:sz="4" w:space="0" w:color="auto"/>
            </w:tcBorders>
          </w:tcPr>
          <w:p>
            <w:pPr>
              <w:pStyle w:val="nTable"/>
              <w:spacing w:after="40"/>
              <w:rPr>
                <w:ins w:id="224" w:author="svcMRProcess" w:date="2015-12-15T07:50:00Z"/>
                <w:sz w:val="19"/>
              </w:rPr>
            </w:pPr>
            <w:ins w:id="225" w:author="svcMRProcess" w:date="2015-12-15T07:50:00Z">
              <w:r>
                <w:rPr>
                  <w:sz w:val="19"/>
                </w:rPr>
                <w:t>12 of 2008</w:t>
              </w:r>
            </w:ins>
          </w:p>
        </w:tc>
        <w:tc>
          <w:tcPr>
            <w:tcW w:w="1134" w:type="dxa"/>
            <w:tcBorders>
              <w:top w:val="single" w:sz="8" w:space="0" w:color="auto"/>
              <w:bottom w:val="single" w:sz="4" w:space="0" w:color="auto"/>
            </w:tcBorders>
          </w:tcPr>
          <w:p>
            <w:pPr>
              <w:pStyle w:val="nTable"/>
              <w:spacing w:after="40"/>
              <w:rPr>
                <w:ins w:id="226" w:author="svcMRProcess" w:date="2015-12-15T07:50:00Z"/>
                <w:sz w:val="19"/>
              </w:rPr>
            </w:pPr>
            <w:ins w:id="227" w:author="svcMRProcess" w:date="2015-12-15T07:50:00Z">
              <w:r>
                <w:rPr>
                  <w:sz w:val="19"/>
                </w:rPr>
                <w:t>14 Apr 2008</w:t>
              </w:r>
            </w:ins>
          </w:p>
        </w:tc>
        <w:tc>
          <w:tcPr>
            <w:tcW w:w="2552" w:type="dxa"/>
            <w:tcBorders>
              <w:top w:val="single" w:sz="8" w:space="0" w:color="auto"/>
              <w:bottom w:val="single" w:sz="4" w:space="0" w:color="auto"/>
            </w:tcBorders>
          </w:tcPr>
          <w:p>
            <w:pPr>
              <w:pStyle w:val="nTable"/>
              <w:spacing w:after="40"/>
              <w:rPr>
                <w:ins w:id="228" w:author="svcMRProcess" w:date="2015-12-15T07:50:00Z"/>
                <w:sz w:val="19"/>
              </w:rPr>
            </w:pPr>
            <w:ins w:id="229" w:author="svcMRProcess" w:date="2015-12-15T07:50:00Z">
              <w:r>
                <w:rPr>
                  <w:sz w:val="19"/>
                </w:rPr>
                <w:t>1 Jul 2008 (see s. 2(d))</w:t>
              </w:r>
            </w:ins>
          </w:p>
        </w:tc>
      </w:tr>
    </w:tbl>
    <w:p>
      <w:pPr>
        <w:pStyle w:val="nSubsection"/>
        <w:ind w:left="459" w:hanging="459"/>
        <w:rPr>
          <w:ins w:id="230" w:author="svcMRProcess" w:date="2015-12-15T07:50:00Z"/>
          <w:vertAlign w:val="superscript"/>
        </w:rPr>
      </w:pPr>
    </w:p>
    <w:p>
      <w:pPr>
        <w:pStyle w:val="nSubsection"/>
        <w:ind w:left="459" w:hanging="459"/>
      </w:pPr>
      <w:r>
        <w:rPr>
          <w:vertAlign w:val="superscript"/>
        </w:rPr>
        <w:t>2</w:t>
      </w:r>
      <w:r>
        <w:tab/>
        <w:t xml:space="preserve">9 November 1979 (see </w:t>
      </w:r>
      <w:r>
        <w:rPr>
          <w:i/>
        </w:rPr>
        <w:t>Gazette</w:t>
      </w:r>
      <w:r>
        <w:t xml:space="preserve"> 9 November 1979 p. 3491).</w:t>
      </w:r>
    </w:p>
    <w:p>
      <w:pPr>
        <w:pStyle w:val="nSubsection"/>
        <w:ind w:left="459" w:hanging="459"/>
      </w:pPr>
      <w:r>
        <w:rPr>
          <w:vertAlign w:val="superscript"/>
        </w:rPr>
        <w:t>3</w:t>
      </w:r>
      <w:r>
        <w:rPr>
          <w:vertAlign w:val="superscript"/>
        </w:rPr>
        <w:tab/>
      </w:r>
      <w:r>
        <w:t>Repealed by s. 3 of this Act.</w:t>
      </w:r>
    </w:p>
    <w:p>
      <w:pPr>
        <w:pStyle w:val="nSubsection"/>
        <w:ind w:left="459" w:hanging="459"/>
      </w:pPr>
      <w:r>
        <w:rPr>
          <w:vertAlign w:val="superscript"/>
        </w:rPr>
        <w:t>4</w:t>
      </w:r>
      <w:r>
        <w:rPr>
          <w:vertAlign w:val="superscript"/>
        </w:rPr>
        <w:tab/>
      </w:r>
      <w:r>
        <w:rPr>
          <w:i/>
        </w:rPr>
        <w:t>Associations Incorporation Act 1895</w:t>
      </w:r>
      <w:r>
        <w:t xml:space="preserve"> repealed by the </w:t>
      </w:r>
      <w:r>
        <w:rPr>
          <w:i/>
        </w:rPr>
        <w:t>Associations Incorporation Act 1987</w:t>
      </w:r>
      <w:r>
        <w:t>.</w:t>
      </w:r>
    </w:p>
    <w:p>
      <w:pPr>
        <w:pStyle w:val="nSubsection"/>
        <w:keepLines/>
        <w:rPr>
          <w:ins w:id="231" w:author="svcMRProcess" w:date="2015-12-15T07:50:00Z"/>
          <w:snapToGrid w:val="0"/>
        </w:rPr>
      </w:pPr>
      <w:ins w:id="232" w:author="svcMRProcess" w:date="2015-12-15T07:50: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39, </w:t>
        </w:r>
        <w:r>
          <w:rPr>
            <w:snapToGrid w:val="0"/>
          </w:rPr>
          <w:t>had not come into operation.  It reads as follows:</w:t>
        </w:r>
      </w:ins>
    </w:p>
    <w:p>
      <w:pPr>
        <w:pStyle w:val="MiscOpen"/>
        <w:rPr>
          <w:ins w:id="233" w:author="svcMRProcess" w:date="2015-12-15T07:50:00Z"/>
        </w:rPr>
      </w:pPr>
      <w:ins w:id="234" w:author="svcMRProcess" w:date="2015-12-15T07:50:00Z">
        <w:r>
          <w:t>“</w:t>
        </w:r>
      </w:ins>
    </w:p>
    <w:p>
      <w:pPr>
        <w:pStyle w:val="nzHeading5"/>
        <w:rPr>
          <w:ins w:id="235" w:author="svcMRProcess" w:date="2015-12-15T07:50:00Z"/>
          <w:snapToGrid w:val="0"/>
        </w:rPr>
      </w:pPr>
      <w:bookmarkStart w:id="236" w:name="_Toc195421061"/>
      <w:ins w:id="237" w:author="svcMRProcess" w:date="2015-12-15T07:50:00Z">
        <w:r>
          <w:rPr>
            <w:rStyle w:val="CharSectno"/>
          </w:rPr>
          <w:t>52</w:t>
        </w:r>
        <w:r>
          <w:rPr>
            <w:snapToGrid w:val="0"/>
          </w:rPr>
          <w:t>.</w:t>
        </w:r>
        <w:r>
          <w:rPr>
            <w:snapToGrid w:val="0"/>
          </w:rPr>
          <w:tab/>
          <w:t>Various Acts amended</w:t>
        </w:r>
        <w:bookmarkEnd w:id="236"/>
      </w:ins>
    </w:p>
    <w:p>
      <w:pPr>
        <w:pStyle w:val="nzSubsection"/>
        <w:rPr>
          <w:ins w:id="238" w:author="svcMRProcess" w:date="2015-12-15T07:50:00Z"/>
        </w:rPr>
      </w:pPr>
      <w:ins w:id="239" w:author="svcMRProcess" w:date="2015-12-15T07:50:00Z">
        <w:r>
          <w:tab/>
        </w:r>
        <w:r>
          <w:tab/>
          <w:t>Schedule 1 sets out how various Acts listed in that Schedule are to be amended.</w:t>
        </w:r>
      </w:ins>
    </w:p>
    <w:p>
      <w:pPr>
        <w:pStyle w:val="MiscClose"/>
        <w:rPr>
          <w:ins w:id="240" w:author="svcMRProcess" w:date="2015-12-15T07:50:00Z"/>
        </w:rPr>
      </w:pPr>
      <w:ins w:id="241" w:author="svcMRProcess" w:date="2015-12-15T07:50:00Z">
        <w:r>
          <w:t>”.</w:t>
        </w:r>
      </w:ins>
    </w:p>
    <w:p>
      <w:pPr>
        <w:pStyle w:val="nSubsection"/>
        <w:keepLines/>
        <w:rPr>
          <w:ins w:id="242" w:author="svcMRProcess" w:date="2015-12-15T07:50:00Z"/>
          <w:snapToGrid w:val="0"/>
        </w:rPr>
      </w:pPr>
      <w:ins w:id="243" w:author="svcMRProcess" w:date="2015-12-15T07:50:00Z">
        <w:r>
          <w:rPr>
            <w:snapToGrid w:val="0"/>
          </w:rPr>
          <w:tab/>
          <w:t>Schedule 1 cl. 39 reads as follows:</w:t>
        </w:r>
      </w:ins>
    </w:p>
    <w:p>
      <w:pPr>
        <w:pStyle w:val="MiscOpen"/>
        <w:rPr>
          <w:ins w:id="244" w:author="svcMRProcess" w:date="2015-12-15T07:50:00Z"/>
        </w:rPr>
      </w:pPr>
      <w:ins w:id="245" w:author="svcMRProcess" w:date="2015-12-15T07:50:00Z">
        <w:r>
          <w:t>“</w:t>
        </w:r>
      </w:ins>
    </w:p>
    <w:p>
      <w:pPr>
        <w:pStyle w:val="nzHeading2"/>
        <w:rPr>
          <w:ins w:id="246" w:author="svcMRProcess" w:date="2015-12-15T07:50:00Z"/>
        </w:rPr>
      </w:pPr>
      <w:bookmarkStart w:id="247" w:name="_Toc183919940"/>
      <w:bookmarkStart w:id="248" w:name="_Toc183921922"/>
      <w:bookmarkStart w:id="249" w:name="_Toc183943149"/>
      <w:bookmarkStart w:id="250" w:name="_Toc195421062"/>
      <w:ins w:id="251" w:author="svcMRProcess" w:date="2015-12-15T07:50:00Z">
        <w:r>
          <w:rPr>
            <w:rStyle w:val="CharSchNo"/>
          </w:rPr>
          <w:t>Schedule 1</w:t>
        </w:r>
        <w:r>
          <w:rPr>
            <w:rStyle w:val="CharSDivNo"/>
          </w:rPr>
          <w:t> </w:t>
        </w:r>
        <w:r>
          <w:t>—</w:t>
        </w:r>
        <w:bookmarkStart w:id="252" w:name="AutoSch"/>
        <w:bookmarkEnd w:id="252"/>
        <w:r>
          <w:rPr>
            <w:rStyle w:val="CharSDivText"/>
          </w:rPr>
          <w:t> </w:t>
        </w:r>
        <w:r>
          <w:rPr>
            <w:rStyle w:val="CharSchText"/>
          </w:rPr>
          <w:t>Amendments to various Acts</w:t>
        </w:r>
        <w:bookmarkEnd w:id="247"/>
        <w:bookmarkEnd w:id="248"/>
        <w:bookmarkEnd w:id="249"/>
        <w:bookmarkEnd w:id="250"/>
      </w:ins>
    </w:p>
    <w:p>
      <w:pPr>
        <w:pStyle w:val="nzMiscellaneousBody"/>
        <w:jc w:val="right"/>
        <w:rPr>
          <w:ins w:id="253" w:author="svcMRProcess" w:date="2015-12-15T07:50:00Z"/>
        </w:rPr>
      </w:pPr>
      <w:ins w:id="254" w:author="svcMRProcess" w:date="2015-12-15T07:50:00Z">
        <w:r>
          <w:t>[s. 52]</w:t>
        </w:r>
      </w:ins>
    </w:p>
    <w:p>
      <w:pPr>
        <w:pStyle w:val="nzHeading5"/>
        <w:rPr>
          <w:ins w:id="255" w:author="svcMRProcess" w:date="2015-12-15T07:50:00Z"/>
        </w:rPr>
      </w:pPr>
      <w:bookmarkStart w:id="256" w:name="_Toc195421101"/>
      <w:ins w:id="257" w:author="svcMRProcess" w:date="2015-12-15T07:50:00Z">
        <w:r>
          <w:rPr>
            <w:rStyle w:val="CharSClsNo"/>
          </w:rPr>
          <w:t>39</w:t>
        </w:r>
        <w:r>
          <w:t>.</w:t>
        </w:r>
        <w:r>
          <w:tab/>
        </w:r>
        <w:r>
          <w:rPr>
            <w:i/>
          </w:rPr>
          <w:t>Uniting Church in Australia Act 1976</w:t>
        </w:r>
        <w:bookmarkEnd w:id="256"/>
      </w:ins>
    </w:p>
    <w:p>
      <w:pPr>
        <w:pStyle w:val="nzSubsection"/>
        <w:rPr>
          <w:ins w:id="258" w:author="svcMRProcess" w:date="2015-12-15T07:50:00Z"/>
        </w:rPr>
      </w:pPr>
      <w:ins w:id="259" w:author="svcMRProcess" w:date="2015-12-15T07:50:00Z">
        <w:r>
          <w:tab/>
        </w:r>
        <w:r>
          <w:tab/>
          <w:t xml:space="preserve">Section 48 is amended by deleting “stamp duty imposed by the </w:t>
        </w:r>
        <w:r>
          <w:rPr>
            <w:i/>
            <w:iCs/>
          </w:rPr>
          <w:t>Stamp Act 1921</w:t>
        </w:r>
        <w:r>
          <w:t xml:space="preserve">” and inserting instead — </w:t>
        </w:r>
      </w:ins>
    </w:p>
    <w:p>
      <w:pPr>
        <w:pStyle w:val="nzSubsection"/>
        <w:rPr>
          <w:ins w:id="260" w:author="svcMRProcess" w:date="2015-12-15T07:50:00Z"/>
        </w:rPr>
      </w:pPr>
      <w:ins w:id="261" w:author="svcMRProcess" w:date="2015-12-15T07:50:00Z">
        <w:r>
          <w:tab/>
        </w:r>
        <w:r>
          <w:tab/>
          <w:t xml:space="preserve">“    </w:t>
        </w:r>
        <w:r>
          <w:rPr>
            <w:sz w:val="24"/>
          </w:rPr>
          <w:t xml:space="preserve">duty under the </w:t>
        </w:r>
        <w:r>
          <w:rPr>
            <w:i/>
            <w:iCs/>
            <w:sz w:val="24"/>
          </w:rPr>
          <w:t>Duties Act 2008</w:t>
        </w:r>
        <w:r>
          <w:t xml:space="preserve">    ”.</w:t>
        </w:r>
      </w:ins>
    </w:p>
    <w:p>
      <w:pPr>
        <w:pStyle w:val="MiscClose"/>
        <w:rPr>
          <w:ins w:id="262" w:author="svcMRProcess" w:date="2015-12-15T07:50:00Z"/>
        </w:rPr>
      </w:pPr>
      <w:ins w:id="263" w:author="svcMRProcess" w:date="2015-12-15T07:50:00Z">
        <w:r>
          <w:t>”.</w:t>
        </w:r>
      </w:ins>
    </w:p>
    <w:p>
      <w:pPr>
        <w:pStyle w:val="nSubsection"/>
        <w:ind w:left="459" w:hanging="459"/>
      </w:pPr>
      <w:bookmarkStart w:id="264" w:name="UpToHere"/>
      <w:bookmarkEnd w:id="264"/>
    </w:p>
    <w:p>
      <w:pPr>
        <w:pStyle w:val="nSubsection"/>
        <w:ind w:left="459" w:hanging="459"/>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Subsection"/>
        <w:ind w:left="459" w:hanging="459"/>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Uniting Church in Australia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Uniting Church in Australia Act 1976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97704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51"/>
    <w:docVar w:name="WAFER_20151211084751" w:val="RemoveTrackChanges"/>
    <w:docVar w:name="WAFER_20151211084751_GUID" w:val="a62bb51c-e12e-49e9-a944-6cac944bc8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11404</Words>
  <Characters>54402</Characters>
  <Application>Microsoft Office Word</Application>
  <DocSecurity>0</DocSecurity>
  <Lines>1236</Lines>
  <Paragraphs>389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01-b0-03 - 01-c0-02</dc:title>
  <dc:subject/>
  <dc:creator/>
  <cp:keywords/>
  <dc:description/>
  <cp:lastModifiedBy>svcMRProcess</cp:lastModifiedBy>
  <cp:revision>2</cp:revision>
  <cp:lastPrinted>2002-09-11T01:27:00Z</cp:lastPrinted>
  <dcterms:created xsi:type="dcterms:W3CDTF">2015-12-14T23:50:00Z</dcterms:created>
  <dcterms:modified xsi:type="dcterms:W3CDTF">2015-12-14T23:50:00Z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840</vt:i4>
  </property>
  <property fmtid="{D5CDD505-2E9C-101B-9397-08002B2CF9AE}" pid="6" name="ReprintedAsAt">
    <vt:filetime>2002-09-05T16:00:00Z</vt:filetime>
  </property>
  <property fmtid="{D5CDD505-2E9C-101B-9397-08002B2CF9AE}" pid="7" name="FromSuffix">
    <vt:lpwstr>01-b0-03</vt:lpwstr>
  </property>
  <property fmtid="{D5CDD505-2E9C-101B-9397-08002B2CF9AE}" pid="8" name="FromAsAtDate">
    <vt:lpwstr>04 Jul 2006</vt:lpwstr>
  </property>
  <property fmtid="{D5CDD505-2E9C-101B-9397-08002B2CF9AE}" pid="9" name="ToSuffix">
    <vt:lpwstr>01-c0-02</vt:lpwstr>
  </property>
  <property fmtid="{D5CDD505-2E9C-101B-9397-08002B2CF9AE}" pid="10" name="ToAsAtDate">
    <vt:lpwstr>14 Apr 2008</vt:lpwstr>
  </property>
</Properties>
</file>