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Gas Standards Act 1972 </w:t>
      </w:r>
    </w:p>
    <w:p>
      <w:pPr>
        <w:pStyle w:val="LongTitle"/>
        <w:rPr>
          <w:snapToGrid w:val="0"/>
        </w:rPr>
      </w:pPr>
      <w:r>
        <w:rPr>
          <w:snapToGrid w:val="0"/>
        </w:rPr>
        <w:t>A</w:t>
      </w:r>
      <w:bookmarkStart w:id="0" w:name="_GoBack"/>
      <w:bookmarkEnd w:id="0"/>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pPr>
        <w:pStyle w:val="Footnotelongtitle"/>
      </w:pPr>
      <w:r>
        <w:tab/>
        <w:t>[Long title amended by No. 87 of 1979 s. 3; No. 63 of 1985 s. 3.]</w:t>
      </w:r>
    </w:p>
    <w:p>
      <w:pPr>
        <w:pStyle w:val="Heading5"/>
        <w:rPr>
          <w:snapToGrid w:val="0"/>
        </w:rPr>
      </w:pPr>
      <w:bookmarkStart w:id="1" w:name="_Toc471180246"/>
      <w:bookmarkStart w:id="2" w:name="_Toc501849243"/>
      <w:bookmarkStart w:id="3" w:name="_Toc102297717"/>
      <w:bookmarkStart w:id="4" w:name="_Toc196733566"/>
      <w:bookmarkStart w:id="5" w:name="_Toc18869419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6" w:name="_Toc471180247"/>
      <w:bookmarkStart w:id="7" w:name="_Toc501849244"/>
      <w:bookmarkStart w:id="8" w:name="_Toc102297718"/>
      <w:bookmarkStart w:id="9" w:name="_Toc196733567"/>
      <w:bookmarkStart w:id="10" w:name="_Toc18869419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Omitted under the Reprints Act 1984 s. 7(4)(f).] </w:t>
      </w:r>
    </w:p>
    <w:p>
      <w:pPr>
        <w:pStyle w:val="Heading5"/>
        <w:rPr>
          <w:snapToGrid w:val="0"/>
        </w:rPr>
      </w:pPr>
      <w:bookmarkStart w:id="11" w:name="_Toc471180248"/>
      <w:bookmarkStart w:id="12" w:name="_Toc501849245"/>
      <w:bookmarkStart w:id="13" w:name="_Toc102297719"/>
      <w:bookmarkStart w:id="14" w:name="_Toc196733568"/>
      <w:bookmarkStart w:id="15" w:name="_Toc188694198"/>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commercial information</w:t>
      </w:r>
      <w:r>
        <w:rPr>
          <w:b/>
        </w:rPr>
        <w:t>”</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rPr>
          <w:b/>
        </w:rPr>
        <w:tab/>
        <w:t>“</w:t>
      </w:r>
      <w:r>
        <w:rPr>
          <w:rStyle w:val="CharDefText"/>
        </w:rPr>
        <w:t>consumer</w:t>
      </w:r>
      <w:r>
        <w:rPr>
          <w:b/>
        </w:rPr>
        <w:t>”</w:t>
      </w:r>
      <w:r>
        <w:t xml:space="preserve"> means any person (not being an undertaker) to whom gas is supplied by an undertaker or a pipeline licensee;</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pPr>
        <w:pStyle w:val="Defstart"/>
      </w:pPr>
      <w:r>
        <w:rPr>
          <w:b/>
        </w:rPr>
        <w:tab/>
        <w:t>“</w:t>
      </w:r>
      <w:r>
        <w:rPr>
          <w:rStyle w:val="CharDefText"/>
        </w:rPr>
        <w:t>gas appliance</w:t>
      </w:r>
      <w:r>
        <w:rPr>
          <w:b/>
        </w:rPr>
        <w:t>”</w:t>
      </w:r>
      <w:r>
        <w:t xml:space="preserve"> means any appliance that consumes gas as fuel;</w:t>
      </w:r>
    </w:p>
    <w:p>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pPr>
        <w:pStyle w:val="Defstart"/>
      </w:pPr>
      <w:r>
        <w:rPr>
          <w:b/>
        </w:rPr>
        <w:tab/>
        <w:t>“</w:t>
      </w:r>
      <w:r>
        <w:rPr>
          <w:rStyle w:val="CharDefText"/>
        </w:rPr>
        <w:t>supply</w:t>
      </w:r>
      <w:r>
        <w:rPr>
          <w:b/>
        </w:rPr>
        <w:t>”</w:t>
      </w:r>
      <w:r>
        <w:t>, in relation to gas, includes to have in possession with intent to supply any consumer or consumers;</w:t>
      </w:r>
    </w:p>
    <w:p>
      <w:pPr>
        <w:pStyle w:val="Defstart"/>
      </w:pPr>
      <w:r>
        <w:tab/>
      </w:r>
      <w:r>
        <w:rPr>
          <w:b/>
        </w:rPr>
        <w:t>“</w:t>
      </w:r>
      <w:r>
        <w:rPr>
          <w:rStyle w:val="CharDefText"/>
        </w:rPr>
        <w:t>Type A gas appliance</w:t>
      </w:r>
      <w:r>
        <w:rPr>
          <w:b/>
        </w:rPr>
        <w:t>”</w:t>
      </w:r>
      <w:r>
        <w:t xml:space="preserve"> means a gas appliance of a prescribed class or type;</w:t>
      </w:r>
    </w:p>
    <w:p>
      <w:pPr>
        <w:pStyle w:val="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 xml:space="preserve">[Section 4 amended by No. 87 of 1979 s. 4; No. 63 of 1985 s. 4; No. 89 of 1994 s. 86; No. 14 of 1996 s. 4; No. 58 of 1999 s. 84 and 98; No. 5 of 2007 s. 22.] </w:t>
      </w:r>
    </w:p>
    <w:p>
      <w:pPr>
        <w:pStyle w:val="Heading5"/>
      </w:pPr>
      <w:bookmarkStart w:id="16" w:name="_Toc471180249"/>
      <w:bookmarkStart w:id="17" w:name="_Toc501849246"/>
      <w:bookmarkStart w:id="18" w:name="_Toc102297720"/>
      <w:bookmarkStart w:id="19" w:name="_Toc196733569"/>
      <w:bookmarkStart w:id="20" w:name="_Toc188694199"/>
      <w:r>
        <w:rPr>
          <w:rStyle w:val="CharSectno"/>
        </w:rPr>
        <w:t>5</w:t>
      </w:r>
      <w:r>
        <w:t>.</w:t>
      </w:r>
      <w:r>
        <w:tab/>
        <w:t>Exemptions</w:t>
      </w:r>
      <w:bookmarkEnd w:id="16"/>
      <w:bookmarkEnd w:id="17"/>
      <w:bookmarkEnd w:id="18"/>
      <w:bookmarkEnd w:id="19"/>
      <w:bookmarkEnd w:id="20"/>
    </w:p>
    <w:p>
      <w:pPr>
        <w:pStyle w:val="Subsection"/>
      </w:pPr>
      <w:r>
        <w:tab/>
        <w:t>(1)</w:t>
      </w:r>
      <w:r>
        <w:tab/>
        <w:t>Nothing in this Act applies to or in relation to — </w:t>
      </w:r>
    </w:p>
    <w:p>
      <w:pPr>
        <w:pStyle w:val="Ednotepara"/>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iCs/>
        </w:rPr>
        <w:t>Petroleum and Geothermal Energy Resources Act 1967</w:t>
      </w:r>
      <w:r>
        <w:t xml:space="preserve">, </w:t>
      </w:r>
      <w:del w:id="21" w:author="svcMRProcess" w:date="2015-10-30T02:49:00Z">
        <w:r>
          <w:rPr>
            <w:i/>
          </w:rPr>
          <w:delText>Act 1967</w:delText>
        </w:r>
        <w:r>
          <w:delText xml:space="preserve">, </w:delText>
        </w:r>
      </w:del>
      <w:r>
        <w:t>where and to the extent that those acts are performed under the authority of that exploration permit or production licence; or</w:t>
      </w:r>
    </w:p>
    <w:p>
      <w:pPr>
        <w:pStyle w:val="Indenta"/>
      </w:pPr>
      <w:r>
        <w:tab/>
        <w:t>(d)</w:t>
      </w:r>
      <w:r>
        <w:tab/>
        <w:t>liquid petroleum gas storage facilities —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 xml:space="preserve">[Section 5 amended by No. 87 of 1979 s. 5; No. 74 of 2003 s. 10(5); No. 35 of 2007 s. 95.] </w:t>
      </w:r>
    </w:p>
    <w:p>
      <w:pPr>
        <w:pStyle w:val="Ednotesection"/>
        <w:ind w:left="890" w:hanging="890"/>
      </w:pPr>
      <w:r>
        <w:t>[</w:t>
      </w:r>
      <w:r>
        <w:rPr>
          <w:b/>
        </w:rPr>
        <w:t>6.</w:t>
      </w:r>
      <w:r>
        <w:tab/>
        <w:t xml:space="preserve">Repealed by No. 89 of 1994 s. 87.] </w:t>
      </w:r>
    </w:p>
    <w:p>
      <w:pPr>
        <w:pStyle w:val="Heading5"/>
        <w:rPr>
          <w:snapToGrid w:val="0"/>
        </w:rPr>
      </w:pPr>
      <w:bookmarkStart w:id="22" w:name="_Toc471180250"/>
      <w:bookmarkStart w:id="23" w:name="_Toc501849247"/>
      <w:bookmarkStart w:id="24" w:name="_Toc102297721"/>
      <w:bookmarkStart w:id="25" w:name="_Toc196733570"/>
      <w:bookmarkStart w:id="26" w:name="_Toc188694200"/>
      <w:r>
        <w:rPr>
          <w:rStyle w:val="CharSectno"/>
        </w:rPr>
        <w:t>7</w:t>
      </w:r>
      <w:r>
        <w:rPr>
          <w:snapToGrid w:val="0"/>
        </w:rPr>
        <w:t>.</w:t>
      </w:r>
      <w:r>
        <w:rPr>
          <w:snapToGrid w:val="0"/>
        </w:rPr>
        <w:tab/>
        <w:t>Act to prevail over other Acts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27" w:name="_Toc471180251"/>
      <w:bookmarkStart w:id="28" w:name="_Toc501849248"/>
      <w:bookmarkStart w:id="29" w:name="_Toc102297722"/>
      <w:bookmarkStart w:id="30" w:name="_Toc196733571"/>
      <w:bookmarkStart w:id="31" w:name="_Toc188694201"/>
      <w:r>
        <w:rPr>
          <w:rStyle w:val="CharSectno"/>
        </w:rPr>
        <w:t>8</w:t>
      </w:r>
      <w:r>
        <w:rPr>
          <w:snapToGrid w:val="0"/>
        </w:rPr>
        <w:t>.</w:t>
      </w:r>
      <w:r>
        <w:rPr>
          <w:snapToGrid w:val="0"/>
        </w:rPr>
        <w:tab/>
        <w:t>Heating standard of gas to be approved</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$40 000 and for a second or subsequent offence, $250 000.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$20 000 and for a second or subsequent offence, $250 000.</w:t>
      </w:r>
    </w:p>
    <w:p>
      <w:pPr>
        <w:pStyle w:val="Footnotesection"/>
      </w:pPr>
      <w:r>
        <w:tab/>
        <w:t xml:space="preserve">[Section 8 amended by No. 87 of 1979 s. 6; No. 63 of 1985 s. 5; No. 5 of 2007 s. 23.] </w:t>
      </w:r>
    </w:p>
    <w:p>
      <w:pPr>
        <w:pStyle w:val="Heading5"/>
        <w:rPr>
          <w:snapToGrid w:val="0"/>
        </w:rPr>
      </w:pPr>
      <w:bookmarkStart w:id="32" w:name="_Toc471180252"/>
      <w:bookmarkStart w:id="33" w:name="_Toc501849249"/>
      <w:bookmarkStart w:id="34" w:name="_Toc102297723"/>
      <w:bookmarkStart w:id="35" w:name="_Toc196733572"/>
      <w:bookmarkStart w:id="36" w:name="_Toc188694202"/>
      <w:r>
        <w:rPr>
          <w:rStyle w:val="CharSectno"/>
        </w:rPr>
        <w:t>9</w:t>
      </w:r>
      <w:r>
        <w:rPr>
          <w:snapToGrid w:val="0"/>
        </w:rPr>
        <w:t>.</w:t>
      </w:r>
      <w:r>
        <w:rPr>
          <w:snapToGrid w:val="0"/>
        </w:rPr>
        <w:tab/>
        <w:t>Requirements as to change in gas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37" w:name="_Toc471180253"/>
      <w:bookmarkStart w:id="38" w:name="_Toc501849250"/>
      <w:bookmarkStart w:id="39" w:name="_Toc102297724"/>
      <w:bookmarkStart w:id="40" w:name="_Toc196733573"/>
      <w:bookmarkStart w:id="41" w:name="_Toc188694203"/>
      <w:r>
        <w:rPr>
          <w:rStyle w:val="CharSectno"/>
        </w:rPr>
        <w:t>10</w:t>
      </w:r>
      <w:r>
        <w:rPr>
          <w:snapToGrid w:val="0"/>
        </w:rPr>
        <w:t>.</w:t>
      </w:r>
      <w:r>
        <w:rPr>
          <w:snapToGrid w:val="0"/>
        </w:rPr>
        <w:tab/>
        <w:t>Testing of gas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$250 000.</w:t>
      </w:r>
    </w:p>
    <w:p>
      <w:pPr>
        <w:pStyle w:val="Footnotesection"/>
      </w:pPr>
      <w:r>
        <w:tab/>
        <w:t xml:space="preserve">[Section 10 amended by No. 63 of 1985 s. 6; No. 89 of 1994 s. 93; No. 5 of 2007 s. 24.] </w:t>
      </w:r>
    </w:p>
    <w:p>
      <w:pPr>
        <w:pStyle w:val="Heading5"/>
        <w:rPr>
          <w:snapToGrid w:val="0"/>
        </w:rPr>
      </w:pPr>
      <w:bookmarkStart w:id="42" w:name="_Toc471180254"/>
      <w:bookmarkStart w:id="43" w:name="_Toc501849251"/>
      <w:bookmarkStart w:id="44" w:name="_Toc102297725"/>
      <w:bookmarkStart w:id="45" w:name="_Toc196733574"/>
      <w:bookmarkStart w:id="46" w:name="_Toc188694204"/>
      <w:r>
        <w:rPr>
          <w:rStyle w:val="CharSectno"/>
        </w:rPr>
        <w:t>11</w:t>
      </w:r>
      <w:r>
        <w:rPr>
          <w:snapToGrid w:val="0"/>
        </w:rPr>
        <w:t>.</w:t>
      </w:r>
      <w:r>
        <w:rPr>
          <w:snapToGrid w:val="0"/>
        </w:rPr>
        <w:tab/>
        <w:t>Defences against certain proceedings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 xml:space="preserve">[Section 11 amended by No. 89 of 1994 s. 93.] </w:t>
      </w:r>
    </w:p>
    <w:p>
      <w:pPr>
        <w:pStyle w:val="Ednotesection"/>
      </w:pPr>
      <w:r>
        <w:t>[</w:t>
      </w:r>
      <w:r>
        <w:rPr>
          <w:b/>
          <w:bCs/>
        </w:rPr>
        <w:t>12.</w:t>
      </w:r>
      <w:r>
        <w:rPr>
          <w:b/>
          <w:bCs/>
        </w:rPr>
        <w:tab/>
      </w:r>
      <w:r>
        <w:t>Repealed by No. 5 of 2007 s. 25.]</w:t>
      </w:r>
    </w:p>
    <w:p>
      <w:pPr>
        <w:pStyle w:val="Heading5"/>
      </w:pPr>
      <w:bookmarkStart w:id="47" w:name="_Toc196733575"/>
      <w:bookmarkStart w:id="48" w:name="_Toc188694205"/>
      <w:bookmarkStart w:id="49" w:name="_Toc471180257"/>
      <w:bookmarkStart w:id="50" w:name="_Toc501849254"/>
      <w:bookmarkStart w:id="51" w:name="_Toc102297728"/>
      <w:r>
        <w:rPr>
          <w:rStyle w:val="CharSectno"/>
        </w:rPr>
        <w:t>13</w:t>
      </w:r>
      <w:r>
        <w:t>.</w:t>
      </w:r>
      <w:r>
        <w:tab/>
        <w:t>Consumers’ installations</w:t>
      </w:r>
      <w:bookmarkEnd w:id="47"/>
      <w:bookmarkEnd w:id="48"/>
    </w:p>
    <w:p>
      <w:pPr>
        <w:pStyle w:val="Subsection"/>
      </w:pPr>
      <w:r>
        <w:tab/>
        <w:t>(1)</w:t>
      </w:r>
      <w:r>
        <w:tab/>
        <w:t xml:space="preserve">If an undertaker or a pipeline licensee does not have an Inspection Policy Statement and Plan approved by the Director under section 13J, the undertaker or pipeline licensee — </w:t>
      </w:r>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 by No. 5 of 2007 s. 26.]</w:t>
      </w:r>
    </w:p>
    <w:p>
      <w:pPr>
        <w:pStyle w:val="Heading5"/>
        <w:rPr>
          <w:snapToGrid w:val="0"/>
        </w:rPr>
      </w:pPr>
      <w:bookmarkStart w:id="52" w:name="_Toc196733576"/>
      <w:bookmarkStart w:id="53" w:name="_Toc188694206"/>
      <w:r>
        <w:rPr>
          <w:rStyle w:val="CharSectno"/>
        </w:rPr>
        <w:t>13A</w:t>
      </w:r>
      <w:r>
        <w:rPr>
          <w:snapToGrid w:val="0"/>
        </w:rPr>
        <w:t>.</w:t>
      </w:r>
      <w:r>
        <w:rPr>
          <w:snapToGrid w:val="0"/>
        </w:rPr>
        <w:tab/>
        <w:t>Gasfitting works and workers</w:t>
      </w:r>
      <w:bookmarkEnd w:id="49"/>
      <w:bookmarkEnd w:id="50"/>
      <w:bookmarkEnd w:id="51"/>
      <w:bookmarkEnd w:id="52"/>
      <w:bookmarkEnd w:id="5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 xml:space="preserve">[Section 13A inserted by No. 87 of 1979 s. 9; amended by No. 89 of 1994 s. 90 and 93; No. 74 of 2003 s. 60; No. 55 of 2004 s. 410.] </w:t>
      </w:r>
    </w:p>
    <w:p>
      <w:pPr>
        <w:pStyle w:val="Heading5"/>
      </w:pPr>
      <w:bookmarkStart w:id="54" w:name="_Toc102297729"/>
      <w:bookmarkStart w:id="55" w:name="_Toc196733577"/>
      <w:bookmarkStart w:id="56" w:name="_Toc188694207"/>
      <w:bookmarkStart w:id="57" w:name="_Toc471180259"/>
      <w:bookmarkStart w:id="58" w:name="_Toc501849256"/>
      <w:r>
        <w:rPr>
          <w:rStyle w:val="CharSectno"/>
        </w:rPr>
        <w:t>13B</w:t>
      </w:r>
      <w:r>
        <w:t>.</w:t>
      </w:r>
      <w:r>
        <w:tab/>
        <w:t>Application for review</w:t>
      </w:r>
      <w:bookmarkEnd w:id="54"/>
      <w:bookmarkEnd w:id="55"/>
      <w:bookmarkEnd w:id="56"/>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person aggrieved</w:t>
      </w:r>
      <w:r>
        <w:rPr>
          <w:b/>
        </w:rPr>
        <w:t>”</w:t>
      </w:r>
      <w:r>
        <w:t xml:space="preserve"> means —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by No. 55 of 2004 s. 411.]</w:t>
      </w:r>
    </w:p>
    <w:p>
      <w:pPr>
        <w:pStyle w:val="Heading5"/>
        <w:rPr>
          <w:snapToGrid w:val="0"/>
        </w:rPr>
      </w:pPr>
      <w:bookmarkStart w:id="59" w:name="_Toc102297730"/>
      <w:bookmarkStart w:id="60" w:name="_Toc196733578"/>
      <w:bookmarkStart w:id="61" w:name="_Toc188694208"/>
      <w:bookmarkStart w:id="62" w:name="_Toc471180260"/>
      <w:bookmarkStart w:id="63" w:name="_Toc501849257"/>
      <w:bookmarkEnd w:id="57"/>
      <w:bookmarkEnd w:id="58"/>
      <w:r>
        <w:rPr>
          <w:rStyle w:val="CharSectno"/>
        </w:rPr>
        <w:t>13C</w:t>
      </w:r>
      <w:r>
        <w:rPr>
          <w:snapToGrid w:val="0"/>
        </w:rPr>
        <w:t>.</w:t>
      </w:r>
      <w:r>
        <w:rPr>
          <w:snapToGrid w:val="0"/>
        </w:rPr>
        <w:tab/>
        <w:t>Surrender of licence</w:t>
      </w:r>
      <w:bookmarkEnd w:id="59"/>
      <w:bookmarkEnd w:id="60"/>
      <w:bookmarkEnd w:id="61"/>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by No. 55 of 2004 s. 412.]</w:t>
      </w:r>
    </w:p>
    <w:p>
      <w:pPr>
        <w:pStyle w:val="Heading5"/>
      </w:pPr>
      <w:bookmarkStart w:id="64" w:name="_Toc102297731"/>
      <w:bookmarkStart w:id="65" w:name="_Toc196733579"/>
      <w:bookmarkStart w:id="66" w:name="_Toc188694209"/>
      <w:r>
        <w:rPr>
          <w:rStyle w:val="CharSectno"/>
        </w:rPr>
        <w:t>13CA</w:t>
      </w:r>
      <w:r>
        <w:t>.</w:t>
      </w:r>
      <w:r>
        <w:tab/>
        <w:t>Annual reporting</w:t>
      </w:r>
      <w:bookmarkEnd w:id="64"/>
      <w:bookmarkEnd w:id="65"/>
      <w:bookmarkEnd w:id="66"/>
      <w:r>
        <w:t xml:space="preserve"> </w:t>
      </w:r>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by No. 55 of 2004 s. 412; amended by No. 77 of 2006 s. 17.]</w:t>
      </w:r>
    </w:p>
    <w:p>
      <w:pPr>
        <w:pStyle w:val="Heading5"/>
      </w:pPr>
      <w:bookmarkStart w:id="67" w:name="_Toc196733580"/>
      <w:bookmarkStart w:id="68" w:name="_Toc188694210"/>
      <w:bookmarkStart w:id="69" w:name="_Toc471180261"/>
      <w:bookmarkStart w:id="70" w:name="_Toc501849258"/>
      <w:bookmarkStart w:id="71" w:name="_Toc102297733"/>
      <w:bookmarkEnd w:id="62"/>
      <w:bookmarkEnd w:id="63"/>
      <w:r>
        <w:rPr>
          <w:rStyle w:val="CharSectno"/>
        </w:rPr>
        <w:t>13D</w:t>
      </w:r>
      <w:r>
        <w:t>.</w:t>
      </w:r>
      <w:r>
        <w:tab/>
        <w:t>Approval of gas appliances</w:t>
      </w:r>
      <w:bookmarkEnd w:id="67"/>
      <w:bookmarkEnd w:id="68"/>
    </w:p>
    <w:p>
      <w:pPr>
        <w:pStyle w:val="Subsection"/>
      </w:pPr>
      <w:r>
        <w:tab/>
        <w:t>(1)</w:t>
      </w:r>
      <w:r>
        <w:tab/>
        <w:t xml:space="preserve">A person shall not sell, hire, advertise for sale or install a Type A gas appliance unless the appliance — </w:t>
      </w:r>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(2)</w:t>
      </w:r>
      <w:r>
        <w:tab/>
        <w:t xml:space="preserve">A consumer shall not use a Type B gas appliance unless the appliance — </w:t>
      </w:r>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 by No. 5 of 2007 s. 27.]</w:t>
      </w:r>
    </w:p>
    <w:p>
      <w:pPr>
        <w:pStyle w:val="Heading5"/>
        <w:rPr>
          <w:snapToGrid w:val="0"/>
        </w:rPr>
      </w:pPr>
      <w:bookmarkStart w:id="72" w:name="_Toc196733581"/>
      <w:bookmarkStart w:id="73" w:name="_Toc188694211"/>
      <w:r>
        <w:rPr>
          <w:rStyle w:val="CharSectno"/>
        </w:rPr>
        <w:t>13E</w:t>
      </w:r>
      <w:r>
        <w:rPr>
          <w:snapToGrid w:val="0"/>
        </w:rPr>
        <w:t>.</w:t>
      </w:r>
      <w:r>
        <w:rPr>
          <w:snapToGrid w:val="0"/>
        </w:rPr>
        <w:tab/>
        <w:t>Application for approval</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pPr>
      <w:r>
        <w:tab/>
        <w:t>(3a)</w:t>
      </w:r>
      <w:r>
        <w:tab/>
        <w:t xml:space="preserve">The Director may refuse to approve of an application in respect of — </w:t>
      </w:r>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 xml:space="preserve">if the Director is satisfied that the appliance or class or type of appliance does not comply with — </w:t>
      </w:r>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$250 000.</w:t>
      </w:r>
    </w:p>
    <w:p>
      <w:pPr>
        <w:pStyle w:val="Footnotesection"/>
      </w:pPr>
      <w:r>
        <w:tab/>
        <w:t xml:space="preserve">[Section 13E inserted by No. 63 of 1985 s. 8; amended by No. 89 of 1994 s. 91 and 93; No. 5 of 2007 s. 28.] </w:t>
      </w:r>
    </w:p>
    <w:p>
      <w:pPr>
        <w:pStyle w:val="Heading5"/>
        <w:rPr>
          <w:snapToGrid w:val="0"/>
        </w:rPr>
      </w:pPr>
      <w:bookmarkStart w:id="74" w:name="_Toc471180262"/>
      <w:bookmarkStart w:id="75" w:name="_Toc501849259"/>
      <w:bookmarkStart w:id="76" w:name="_Toc102297734"/>
      <w:bookmarkStart w:id="77" w:name="_Toc196733582"/>
      <w:bookmarkStart w:id="78" w:name="_Toc188694212"/>
      <w:r>
        <w:rPr>
          <w:rStyle w:val="CharSectno"/>
        </w:rPr>
        <w:t>13F</w:t>
      </w:r>
      <w:r>
        <w:rPr>
          <w:snapToGrid w:val="0"/>
        </w:rPr>
        <w:t>.</w:t>
      </w:r>
      <w:r>
        <w:rPr>
          <w:snapToGrid w:val="0"/>
        </w:rPr>
        <w:tab/>
        <w:t>Approval by other bodies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 xml:space="preserve">[Section 13F inserted by No. 63 of 1985 s. 8; amended by No. 89 of 1994 s. 93; No. 5 of 2007 s. 29.] </w:t>
      </w:r>
    </w:p>
    <w:p>
      <w:pPr>
        <w:pStyle w:val="Heading5"/>
        <w:rPr>
          <w:snapToGrid w:val="0"/>
        </w:rPr>
      </w:pPr>
      <w:bookmarkStart w:id="79" w:name="_Toc471180263"/>
      <w:bookmarkStart w:id="80" w:name="_Toc501849260"/>
      <w:bookmarkStart w:id="81" w:name="_Toc102297735"/>
      <w:bookmarkStart w:id="82" w:name="_Toc196733583"/>
      <w:bookmarkStart w:id="83" w:name="_Toc188694213"/>
      <w:r>
        <w:rPr>
          <w:rStyle w:val="CharSectno"/>
        </w:rPr>
        <w:t>13G</w:t>
      </w:r>
      <w:r>
        <w:rPr>
          <w:snapToGrid w:val="0"/>
        </w:rPr>
        <w:t>.</w:t>
      </w:r>
      <w:r>
        <w:rPr>
          <w:snapToGrid w:val="0"/>
        </w:rPr>
        <w:tab/>
        <w:t>Notice of approved gas appliances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 xml:space="preserve">[Section 13G inserted by No. 63 of 1985 s. 8; amended by No. 89 of 1994 s. 93; No. 5 of 2007 s. 30.] </w:t>
      </w:r>
    </w:p>
    <w:p>
      <w:pPr>
        <w:pStyle w:val="Heading5"/>
        <w:rPr>
          <w:snapToGrid w:val="0"/>
        </w:rPr>
      </w:pPr>
      <w:bookmarkStart w:id="84" w:name="_Toc471180264"/>
      <w:bookmarkStart w:id="85" w:name="_Toc501849261"/>
      <w:bookmarkStart w:id="86" w:name="_Toc102297736"/>
      <w:bookmarkStart w:id="87" w:name="_Toc196733584"/>
      <w:bookmarkStart w:id="88" w:name="_Toc188694214"/>
      <w:r>
        <w:rPr>
          <w:rStyle w:val="CharSectno"/>
        </w:rPr>
        <w:t>13H</w:t>
      </w:r>
      <w:r>
        <w:rPr>
          <w:snapToGrid w:val="0"/>
        </w:rPr>
        <w:t>.</w:t>
      </w:r>
      <w:r>
        <w:rPr>
          <w:snapToGrid w:val="0"/>
        </w:rPr>
        <w:tab/>
        <w:t>Power to prohibit sale and use of gas appliances and components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 xml:space="preserve">[Section 13H inserted by No. 63 of 1985 s. 8; amended by No. 89 of 1994 s. 93; No. 5 of 2007 s. 31.] </w:t>
      </w:r>
    </w:p>
    <w:p>
      <w:pPr>
        <w:pStyle w:val="Heading5"/>
      </w:pPr>
      <w:bookmarkStart w:id="89" w:name="_Toc196733585"/>
      <w:bookmarkStart w:id="90" w:name="_Toc188694215"/>
      <w:bookmarkStart w:id="91" w:name="_Toc471180265"/>
      <w:bookmarkStart w:id="92" w:name="_Toc501849262"/>
      <w:bookmarkStart w:id="93" w:name="_Toc102297737"/>
      <w:r>
        <w:rPr>
          <w:rStyle w:val="CharSectno"/>
        </w:rPr>
        <w:t>13I</w:t>
      </w:r>
      <w:r>
        <w:t>.</w:t>
      </w:r>
      <w:r>
        <w:tab/>
        <w:t>Guidelines for gasfitting work</w:t>
      </w:r>
      <w:bookmarkEnd w:id="89"/>
      <w:bookmarkEnd w:id="90"/>
    </w:p>
    <w:p>
      <w:pPr>
        <w:pStyle w:val="Subsection"/>
      </w:pPr>
      <w:r>
        <w:tab/>
        <w:t>(1)</w:t>
      </w:r>
      <w:r>
        <w:tab/>
      </w:r>
      <w:r>
        <w:rPr>
          <w:lang w:val="en-GB"/>
        </w:rPr>
        <w:t>In this section —</w:t>
      </w:r>
    </w:p>
    <w:p>
      <w:pPr>
        <w:pStyle w:val="Defstart"/>
      </w:pPr>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r>
      <w:r>
        <w:rPr>
          <w:lang w:val="en-GB"/>
        </w:rPr>
        <w:t>Guidelines under subsection (2) may specify —</w:t>
      </w:r>
    </w:p>
    <w:p>
      <w:pPr>
        <w:pStyle w:val="Indenta"/>
      </w:pPr>
      <w:r>
        <w:tab/>
        <w:t>(a)</w:t>
      </w:r>
      <w:r>
        <w:tab/>
      </w:r>
      <w:r>
        <w:rPr>
          <w:lang w:val="en-GB"/>
        </w:rPr>
        <w:t>standards to be observed, practices and procedures to be followed, and measures to be taken with respect to gasfitting work; or</w:t>
      </w:r>
    </w:p>
    <w:p>
      <w:pPr>
        <w:pStyle w:val="Indenta"/>
      </w:pPr>
      <w:r>
        <w:tab/>
        <w:t>(b)</w:t>
      </w:r>
      <w:r>
        <w:tab/>
      </w:r>
      <w:r>
        <w:rPr>
          <w:lang w:val="en-GB"/>
        </w:rPr>
        <w:t>practices and procedures to be followed, and measures to be taken, to promote the safety of the public and persons engaged in gasfitting work.</w:t>
      </w:r>
    </w:p>
    <w:p>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 by No. 5 of 2007 s. 32.]</w:t>
      </w:r>
    </w:p>
    <w:p>
      <w:pPr>
        <w:pStyle w:val="Heading5"/>
        <w:rPr>
          <w:lang w:val="en-GB"/>
        </w:rPr>
      </w:pPr>
      <w:bookmarkStart w:id="94" w:name="_Toc196733586"/>
      <w:bookmarkStart w:id="95" w:name="_Toc188694216"/>
      <w:r>
        <w:rPr>
          <w:rStyle w:val="CharSectno"/>
        </w:rPr>
        <w:t>13J</w:t>
      </w:r>
      <w:r>
        <w:rPr>
          <w:lang w:val="en-GB"/>
        </w:rPr>
        <w:t>.</w:t>
      </w:r>
      <w:r>
        <w:rPr>
          <w:lang w:val="en-GB"/>
        </w:rPr>
        <w:tab/>
        <w:t>Inspection Policy Statement and Plan</w:t>
      </w:r>
      <w:bookmarkEnd w:id="94"/>
      <w:bookmarkEnd w:id="95"/>
    </w:p>
    <w:p>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pPr>
        <w:pStyle w:val="Indenta"/>
        <w:rPr>
          <w:lang w:val="en-GB"/>
        </w:rPr>
      </w:pPr>
      <w:r>
        <w:rPr>
          <w:lang w:val="en-GB"/>
        </w:rPr>
        <w:tab/>
        <w:t>(a)</w:t>
      </w:r>
      <w:r>
        <w:rPr>
          <w:lang w:val="en-GB"/>
        </w:rPr>
        <w:tab/>
        <w:t>ensuring the safety of a consumer’s gas installations and gas appliances; and</w:t>
      </w:r>
    </w:p>
    <w:p>
      <w:pPr>
        <w:pStyle w:val="Indenta"/>
        <w:rPr>
          <w:lang w:val="en-GB"/>
        </w:rPr>
      </w:pPr>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pPr>
        <w:pStyle w:val="Subsection"/>
        <w:rPr>
          <w:lang w:val="en-GB"/>
        </w:rPr>
      </w:pPr>
      <w:r>
        <w:rPr>
          <w:lang w:val="en-GB"/>
        </w:rPr>
        <w:tab/>
        <w:t>(2)</w:t>
      </w:r>
      <w:r>
        <w:rPr>
          <w:lang w:val="en-GB"/>
        </w:rPr>
        <w:tab/>
        <w:t>The Plan is to </w:t>
      </w:r>
      <w:r>
        <w:rPr>
          <w:sz w:val="22"/>
          <w:lang w:val="en-GB"/>
        </w:rPr>
        <w:t>—</w:t>
      </w:r>
    </w:p>
    <w:p>
      <w:pPr>
        <w:pStyle w:val="Indenta"/>
        <w:rPr>
          <w:lang w:val="en-GB"/>
        </w:rPr>
      </w:pPr>
      <w:r>
        <w:rPr>
          <w:lang w:val="en-GB"/>
        </w:rPr>
        <w:tab/>
        <w:t>(a)</w:t>
      </w:r>
      <w:r>
        <w:rPr>
          <w:lang w:val="en-GB"/>
        </w:rPr>
        <w:tab/>
        <w:t>relate to work on all types of consumers’ gas installations supplied with gas, whether new or by way of alteration or addition; and</w:t>
      </w:r>
    </w:p>
    <w:p>
      <w:pPr>
        <w:pStyle w:val="Indenta"/>
        <w:rPr>
          <w:lang w:val="en-GB"/>
        </w:rPr>
      </w:pPr>
      <w:r>
        <w:rPr>
          <w:lang w:val="en-GB"/>
        </w:rPr>
        <w:tab/>
        <w:t>(b)</w:t>
      </w:r>
      <w:r>
        <w:rPr>
          <w:lang w:val="en-GB"/>
        </w:rPr>
        <w:tab/>
        <w:t>provide for —</w:t>
      </w:r>
    </w:p>
    <w:p>
      <w:pPr>
        <w:pStyle w:val="Indenti"/>
        <w:rPr>
          <w:lang w:val="en-GB"/>
        </w:rPr>
      </w:pPr>
      <w:r>
        <w:rPr>
          <w:lang w:val="en-GB"/>
        </w:rPr>
        <w:tab/>
        <w:t>(i)</w:t>
      </w:r>
      <w:r>
        <w:rPr>
          <w:lang w:val="en-GB"/>
        </w:rPr>
        <w:tab/>
        <w:t>measures to prevent or provide protection from fire, explosion, and asphyxiation; and</w:t>
      </w:r>
    </w:p>
    <w:p>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rPr>
          <w:lang w:val="en-GB"/>
        </w:rPr>
      </w:pPr>
      <w:r>
        <w:rPr>
          <w:lang w:val="en-GB"/>
        </w:rPr>
        <w:tab/>
      </w:r>
      <w:r>
        <w:rPr>
          <w:lang w:val="en-GB"/>
        </w:rPr>
        <w:tab/>
        <w:t>and</w:t>
      </w:r>
    </w:p>
    <w:p>
      <w:pPr>
        <w:pStyle w:val="Indenta"/>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rPr>
          <w:lang w:val="en-GB"/>
        </w:rPr>
      </w:pPr>
      <w:r>
        <w:tab/>
        <w:t>(ii)</w:t>
      </w:r>
      <w:r>
        <w:tab/>
        <w:t xml:space="preserve">the </w:t>
      </w:r>
      <w:r>
        <w:rPr>
          <w:lang w:val="en-GB"/>
        </w:rPr>
        <w:t>safety of a consumer’s gas installation and gas appliances supplied with gas.</w:t>
      </w:r>
    </w:p>
    <w:p>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pPr>
        <w:pStyle w:val="Indenta"/>
        <w:rPr>
          <w:lang w:val="en-GB"/>
        </w:rPr>
      </w:pPr>
      <w:r>
        <w:tab/>
        <w:t>(a)</w:t>
      </w:r>
      <w:r>
        <w:tab/>
      </w:r>
      <w:r>
        <w:rPr>
          <w:lang w:val="en-GB"/>
        </w:rPr>
        <w:t>requiring further particulars to be supplied in relation to any matter, or that other matters specified by the Director be addressed, in a further submission; or</w:t>
      </w:r>
    </w:p>
    <w:p>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pPr>
        <w:pStyle w:val="Indenta"/>
        <w:rPr>
          <w:lang w:val="en-GB"/>
        </w:rPr>
      </w:pPr>
      <w:r>
        <w:tab/>
        <w:t>(c)</w:t>
      </w:r>
      <w:r>
        <w:tab/>
      </w:r>
      <w:r>
        <w:rPr>
          <w:lang w:val="en-GB"/>
        </w:rPr>
        <w:t>rejecting the submission, wholly or in part, and requiring a further submission; or</w:t>
      </w:r>
    </w:p>
    <w:p>
      <w:pPr>
        <w:pStyle w:val="Indenta"/>
      </w:pPr>
      <w:r>
        <w:rPr>
          <w:lang w:val="en-GB"/>
        </w:rPr>
        <w:tab/>
        <w:t>(d)</w:t>
      </w:r>
      <w:r>
        <w:rPr>
          <w:lang w:val="en-GB"/>
        </w:rPr>
        <w:tab/>
      </w:r>
      <w:r>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 by No. 5 of 2007 s. 32.]</w:t>
      </w:r>
    </w:p>
    <w:p>
      <w:pPr>
        <w:pStyle w:val="Heading5"/>
      </w:pPr>
      <w:bookmarkStart w:id="96" w:name="_Toc196733587"/>
      <w:bookmarkStart w:id="97" w:name="_Toc188694217"/>
      <w:r>
        <w:rPr>
          <w:rStyle w:val="CharSectno"/>
        </w:rPr>
        <w:t>13K</w:t>
      </w:r>
      <w:r>
        <w:t>.</w:t>
      </w:r>
      <w:r>
        <w:tab/>
        <w:t>Inspections under the Plan</w:t>
      </w:r>
      <w:bookmarkEnd w:id="96"/>
      <w:bookmarkEnd w:id="97"/>
    </w:p>
    <w:p>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 is carried out at particular premises, and if it is carried out the nature and extent of it, is a matter within the discretion of an inspector unless —</w:t>
      </w:r>
    </w:p>
    <w:p>
      <w:pPr>
        <w:pStyle w:val="Indenta"/>
      </w:pPr>
      <w:r>
        <w:rPr>
          <w:lang w:val="en-GB"/>
        </w:rPr>
        <w:tab/>
        <w:t>(a)</w:t>
      </w:r>
      <w:r>
        <w:rPr>
          <w:lang w:val="en-GB"/>
        </w:rPr>
        <w:tab/>
        <w:t>the approved plan provides that an inspector is not to have a discretion as to whether or not an inspection is carried out or if it is carried out the nature and extent of the inspection; or</w:t>
      </w:r>
    </w:p>
    <w:p>
      <w:pPr>
        <w:pStyle w:val="Indenta"/>
        <w:rPr>
          <w:lang w:val="en-GB"/>
        </w:rPr>
      </w:pPr>
      <w:r>
        <w:tab/>
        <w:t>(b)</w:t>
      </w:r>
      <w:r>
        <w:tab/>
      </w:r>
      <w:r>
        <w:rPr>
          <w:lang w:val="en-GB"/>
        </w:rPr>
        <w:t>a written law otherwise specifically requires; or</w:t>
      </w:r>
    </w:p>
    <w:p>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pPr>
        <w:pStyle w:val="Subsection"/>
        <w:rPr>
          <w:lang w:val="en-GB"/>
        </w:rPr>
      </w:pPr>
      <w:r>
        <w:tab/>
        <w:t>(2)</w:t>
      </w:r>
      <w:r>
        <w:tab/>
        <w:t xml:space="preserve">Despite section 13 and subsection (1), </w:t>
      </w:r>
      <w:r>
        <w:rPr>
          <w:lang w:val="en-GB"/>
        </w:rPr>
        <w:t>an approved plan may provide for some or all inspections to be carried out —</w:t>
      </w:r>
    </w:p>
    <w:p>
      <w:pPr>
        <w:pStyle w:val="Indenta"/>
        <w:rPr>
          <w:lang w:val="en-GB"/>
        </w:rPr>
      </w:pPr>
      <w:r>
        <w:tab/>
        <w:t>(a)</w:t>
      </w:r>
      <w:r>
        <w:tab/>
      </w:r>
      <w:r>
        <w:rPr>
          <w:lang w:val="en-GB"/>
        </w:rPr>
        <w:t>after the installation has, or appliances have, been permanently supplied with gas; or</w:t>
      </w:r>
    </w:p>
    <w:p>
      <w:pPr>
        <w:pStyle w:val="Indenta"/>
        <w:rPr>
          <w:lang w:val="en-GB"/>
        </w:rPr>
      </w:pPr>
      <w:r>
        <w:tab/>
        <w:t>(b)</w:t>
      </w:r>
      <w:r>
        <w:tab/>
      </w:r>
      <w:r>
        <w:rPr>
          <w:lang w:val="en-GB"/>
        </w:rPr>
        <w:t>by way of the examination only of a sample of the work of gasfitters,</w:t>
      </w:r>
    </w:p>
    <w:p>
      <w:pPr>
        <w:pStyle w:val="Subsection"/>
        <w:rPr>
          <w:lang w:val="en-GB"/>
        </w:rPr>
      </w:pPr>
      <w:r>
        <w:tab/>
      </w:r>
      <w:r>
        <w:tab/>
      </w:r>
      <w:r>
        <w:rPr>
          <w:lang w:val="en-GB"/>
        </w:rPr>
        <w:t>subject to the prior approval of the Director being obtained and to any condition, restriction or limitation imposed by the Director.</w:t>
      </w:r>
    </w:p>
    <w:p>
      <w:pPr>
        <w:pStyle w:val="Subsection"/>
      </w:pPr>
      <w:r>
        <w:tab/>
        <w:t>(3)</w:t>
      </w:r>
      <w:r>
        <w:tab/>
        <w:t>If —</w:t>
      </w:r>
    </w:p>
    <w:p>
      <w:pPr>
        <w:pStyle w:val="Indenta"/>
        <w:rPr>
          <w:lang w:val="en-GB"/>
        </w:rPr>
      </w:pPr>
      <w:r>
        <w:tab/>
        <w:t>(a)</w:t>
      </w:r>
      <w:r>
        <w:tab/>
      </w:r>
      <w:r>
        <w:rPr>
          <w:lang w:val="en-GB"/>
        </w:rPr>
        <w:t>in good faith, an inspector decides not to carry out an inspection; or</w:t>
      </w:r>
    </w:p>
    <w:p>
      <w:pPr>
        <w:pStyle w:val="Indenta"/>
        <w:rPr>
          <w:lang w:val="en-GB"/>
        </w:rPr>
      </w:pPr>
      <w:r>
        <w:rPr>
          <w:lang w:val="en-GB"/>
        </w:rPr>
        <w:tab/>
        <w:t>(b)</w:t>
      </w:r>
      <w:r>
        <w:rPr>
          <w:lang w:val="en-GB"/>
        </w:rPr>
        <w:tab/>
        <w:t>in good faith, an inspector decides to carry out an inspection of a particular nature or to a particular extent; or</w:t>
      </w:r>
    </w:p>
    <w:p>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pPr>
        <w:pStyle w:val="Indenta"/>
        <w:rPr>
          <w:lang w:val="en-GB"/>
        </w:rPr>
      </w:pPr>
      <w:r>
        <w:tab/>
        <w:t>(d)</w:t>
      </w:r>
      <w:r>
        <w:tab/>
      </w:r>
      <w:r>
        <w:rPr>
          <w:lang w:val="en-GB"/>
        </w:rPr>
        <w:t>the approval of the Director has been given to an inspection not being carried out,</w:t>
      </w:r>
    </w:p>
    <w:p>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rPr>
          <w:lang w:val="en-GB"/>
        </w:rPr>
      </w:pPr>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pPr>
        <w:pStyle w:val="Indenta"/>
        <w:rPr>
          <w:lang w:val="en-GB"/>
        </w:rPr>
      </w:pPr>
      <w:r>
        <w:tab/>
        <w:t>(b)</w:t>
      </w:r>
      <w:r>
        <w:tab/>
      </w:r>
      <w:r>
        <w:rPr>
          <w:lang w:val="en-GB"/>
        </w:rPr>
        <w:t>require the gas undertaker or pipeline licensee —</w:t>
      </w:r>
    </w:p>
    <w:p>
      <w:pPr>
        <w:pStyle w:val="Indenti"/>
        <w:rPr>
          <w:lang w:val="en-GB"/>
        </w:rPr>
      </w:pPr>
      <w:r>
        <w:tab/>
        <w:t>(i)</w:t>
      </w:r>
      <w:r>
        <w:tab/>
      </w:r>
      <w:r>
        <w:rPr>
          <w:lang w:val="en-GB"/>
        </w:rPr>
        <w:t>to review those practices, or such of those practices as are specified in the order; and</w:t>
      </w:r>
    </w:p>
    <w:p>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pPr>
        <w:pStyle w:val="Indenta"/>
        <w:rPr>
          <w:lang w:val="en-GB"/>
        </w:rPr>
      </w:pPr>
      <w:r>
        <w:tab/>
      </w:r>
      <w:r>
        <w:tab/>
      </w:r>
      <w:r>
        <w:rPr>
          <w:lang w:val="en-GB"/>
        </w:rPr>
        <w:t>within such time as is specified in the order; or</w:t>
      </w:r>
    </w:p>
    <w:p>
      <w:pPr>
        <w:pStyle w:val="Indenta"/>
        <w:rPr>
          <w:lang w:val="en-GB"/>
        </w:rPr>
      </w:pPr>
      <w:r>
        <w:tab/>
        <w:t>(c)</w:t>
      </w:r>
      <w:r>
        <w:tab/>
      </w:r>
      <w:r>
        <w:rPr>
          <w:lang w:val="en-GB"/>
        </w:rPr>
        <w:t>withdraw approval of the Plan,</w:t>
      </w:r>
    </w:p>
    <w:p>
      <w:pPr>
        <w:pStyle w:val="Subsection"/>
        <w:rPr>
          <w:lang w:val="en-GB"/>
        </w:rPr>
      </w:pPr>
      <w:r>
        <w:rPr>
          <w:lang w:val="en-GB"/>
        </w:rPr>
        <w:tab/>
      </w:r>
      <w:r>
        <w:rPr>
          <w:lang w:val="en-GB"/>
        </w:rPr>
        <w:tab/>
        <w:t>and the undertaker or pipeline licensee must forthwith comply with requirements of the order.</w:t>
      </w:r>
    </w:p>
    <w:p>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rPr>
          <w:lang w:val="en-GB"/>
        </w:rPr>
      </w:pPr>
      <w:r>
        <w:tab/>
        <w:t>(6)</w:t>
      </w:r>
      <w:r>
        <w:tab/>
      </w:r>
      <w:r>
        <w:rPr>
          <w:lang w:val="en-GB"/>
        </w:rPr>
        <w:t>An undertaker or pipeline licensee that has an approved plan and fails to comply with a requirement of —</w:t>
      </w:r>
    </w:p>
    <w:p>
      <w:pPr>
        <w:pStyle w:val="Indenta"/>
        <w:rPr>
          <w:lang w:val="en-GB"/>
        </w:rPr>
      </w:pPr>
      <w:r>
        <w:tab/>
        <w:t>(a)</w:t>
      </w:r>
      <w:r>
        <w:tab/>
      </w:r>
      <w:r>
        <w:rPr>
          <w:lang w:val="en-GB"/>
        </w:rPr>
        <w:t>this section; or</w:t>
      </w:r>
    </w:p>
    <w:p>
      <w:pPr>
        <w:pStyle w:val="Indenta"/>
        <w:rPr>
          <w:lang w:val="en-GB"/>
        </w:rPr>
      </w:pPr>
      <w:r>
        <w:tab/>
        <w:t>(b)</w:t>
      </w:r>
      <w:r>
        <w:tab/>
      </w:r>
      <w:r>
        <w:rPr>
          <w:lang w:val="en-GB"/>
        </w:rPr>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 by No. 5 of 2007 s. 32.]</w:t>
      </w:r>
    </w:p>
    <w:p>
      <w:pPr>
        <w:pStyle w:val="Heading5"/>
      </w:pPr>
      <w:bookmarkStart w:id="98" w:name="_Toc196733588"/>
      <w:bookmarkStart w:id="99" w:name="_Toc188694218"/>
      <w:r>
        <w:rPr>
          <w:rStyle w:val="CharSectno"/>
        </w:rPr>
        <w:t>13L</w:t>
      </w:r>
      <w:r>
        <w:t>.</w:t>
      </w:r>
      <w:r>
        <w:tab/>
        <w:t>Director’s guidelines</w:t>
      </w:r>
      <w:bookmarkEnd w:id="98"/>
      <w:bookmarkEnd w:id="99"/>
    </w:p>
    <w:p>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r>
      <w:r>
        <w:rPr>
          <w:lang w:val="en-GB"/>
        </w:rPr>
        <w:t>Guidelines may specify policies or standards to be observed, methods, practices and procedures to be followed, and measures to be taken with respect to inspections.</w:t>
      </w:r>
    </w:p>
    <w:p>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 by No. 5 of 2007 s. 32.]</w:t>
      </w:r>
    </w:p>
    <w:p>
      <w:pPr>
        <w:pStyle w:val="Heading5"/>
      </w:pPr>
      <w:bookmarkStart w:id="100" w:name="_Toc196733589"/>
      <w:bookmarkStart w:id="101" w:name="_Toc188694219"/>
      <w:r>
        <w:rPr>
          <w:rStyle w:val="CharSectno"/>
        </w:rPr>
        <w:t>13M</w:t>
      </w:r>
      <w:r>
        <w:t>.</w:t>
      </w:r>
      <w:r>
        <w:tab/>
        <w:t>Review of certain decisions of the Director</w:t>
      </w:r>
      <w:bookmarkEnd w:id="100"/>
      <w:bookmarkEnd w:id="101"/>
    </w:p>
    <w:p>
      <w:pPr>
        <w:pStyle w:val="Subsection"/>
      </w:pPr>
      <w:r>
        <w:tab/>
        <w:t>(1)</w:t>
      </w:r>
      <w:r>
        <w:tab/>
      </w:r>
      <w:r>
        <w:rPr>
          <w:lang w:val="en-GB"/>
        </w:rPr>
        <w:t>An undertaker or pipeline licensee aggrieved by a determination of the Director under section 13J(4) may apply in writing to the Director for a review of the determination.</w:t>
      </w:r>
    </w:p>
    <w:p>
      <w:pPr>
        <w:pStyle w:val="Subsection"/>
      </w:pPr>
      <w:r>
        <w:tab/>
        <w:t>(2)</w:t>
      </w:r>
      <w:r>
        <w:tab/>
        <w:t>The application is to be made within 14 days after the applicant receives a notification of the determination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pPr>
      <w:r>
        <w:tab/>
        <w:t>(5)</w:t>
      </w:r>
      <w:r>
        <w:tab/>
        <w:t>The Director must give the applicant written notice of his or her determination.</w:t>
      </w:r>
    </w:p>
    <w:p>
      <w:pPr>
        <w:pStyle w:val="Footnotesection"/>
      </w:pPr>
      <w:r>
        <w:tab/>
        <w:t>[Section 13M inserted by No. 5 of 2007 s. 32.]</w:t>
      </w:r>
    </w:p>
    <w:p>
      <w:pPr>
        <w:pStyle w:val="Heading5"/>
      </w:pPr>
      <w:bookmarkStart w:id="102" w:name="_Toc196733590"/>
      <w:bookmarkStart w:id="103" w:name="_Toc188694220"/>
      <w:r>
        <w:rPr>
          <w:rStyle w:val="CharSectno"/>
        </w:rPr>
        <w:t>13N</w:t>
      </w:r>
      <w:r>
        <w:t>.</w:t>
      </w:r>
      <w:r>
        <w:tab/>
        <w:t>Review of determinations of Director under section 13M</w:t>
      </w:r>
      <w:bookmarkEnd w:id="102"/>
      <w:bookmarkEnd w:id="103"/>
    </w:p>
    <w:p>
      <w:pPr>
        <w:pStyle w:val="Subsection"/>
      </w:pPr>
      <w:r>
        <w:tab/>
        <w:t>(1)</w:t>
      </w:r>
      <w:r>
        <w:tab/>
      </w:r>
      <w:r>
        <w:rPr>
          <w:lang w:val="en-GB"/>
        </w:rPr>
        <w:t>Any person aggrieved by a determination of the Director under section 13M(4) may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 xml:space="preserve">the new </w:t>
      </w:r>
      <w:r>
        <w:rPr>
          <w:lang w:val="en-GB"/>
        </w:rPr>
        <w:t xml:space="preserve">determination is not subject to review under section 13M; and </w:t>
      </w:r>
    </w:p>
    <w:p>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 by No. 5 of 2007 s. 32.]</w:t>
      </w:r>
    </w:p>
    <w:p>
      <w:pPr>
        <w:pStyle w:val="Heading5"/>
        <w:rPr>
          <w:snapToGrid w:val="0"/>
        </w:rPr>
      </w:pPr>
      <w:bookmarkStart w:id="104" w:name="_Toc196733591"/>
      <w:bookmarkStart w:id="105" w:name="_Toc188694221"/>
      <w:r>
        <w:rPr>
          <w:rStyle w:val="CharSectno"/>
        </w:rPr>
        <w:t>14</w:t>
      </w:r>
      <w:r>
        <w:rPr>
          <w:snapToGrid w:val="0"/>
        </w:rPr>
        <w:t>.</w:t>
      </w:r>
      <w:r>
        <w:rPr>
          <w:snapToGrid w:val="0"/>
        </w:rPr>
        <w:tab/>
        <w:t>Offences</w:t>
      </w:r>
      <w:bookmarkEnd w:id="91"/>
      <w:bookmarkEnd w:id="92"/>
      <w:bookmarkEnd w:id="93"/>
      <w:bookmarkEnd w:id="104"/>
      <w:bookmarkEnd w:id="105"/>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 xml:space="preserve">[Section 14 amended by No. 87 of 1979 s. 10; No. 63 of 1985 s. 9; No. 59 of 2004 s. 141; No. 5 of 2007 s. 33.] </w:t>
      </w:r>
    </w:p>
    <w:p>
      <w:pPr>
        <w:pStyle w:val="Heading5"/>
        <w:rPr>
          <w:snapToGrid w:val="0"/>
        </w:rPr>
      </w:pPr>
      <w:bookmarkStart w:id="106" w:name="_Toc471180266"/>
      <w:bookmarkStart w:id="107" w:name="_Toc501849263"/>
      <w:bookmarkStart w:id="108" w:name="_Toc102297738"/>
      <w:bookmarkStart w:id="109" w:name="_Toc196733592"/>
      <w:bookmarkStart w:id="110" w:name="_Toc188694222"/>
      <w:r>
        <w:rPr>
          <w:rStyle w:val="CharSectno"/>
        </w:rPr>
        <w:t>15</w:t>
      </w:r>
      <w:r>
        <w:rPr>
          <w:snapToGrid w:val="0"/>
        </w:rPr>
        <w:t>.</w:t>
      </w:r>
      <w:r>
        <w:rPr>
          <w:snapToGrid w:val="0"/>
        </w:rPr>
        <w:tab/>
        <w:t>Regulations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keepNext/>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 xml:space="preserve">providing for —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 xml:space="preserve">[Section 15 amended by No. 87 of 1979 s. 11; No. 63 of 1985 s. 10; No. 89 of 1994 s. 92 and 93; No. 58 of 1999 s. 66 and 99; No. 5 of 2007 s. 34.] </w:t>
      </w:r>
    </w:p>
    <w:p>
      <w:pPr>
        <w:pStyle w:val="Heading5"/>
      </w:pPr>
      <w:bookmarkStart w:id="111" w:name="_Toc102297739"/>
      <w:bookmarkStart w:id="112" w:name="_Toc196733593"/>
      <w:bookmarkStart w:id="113" w:name="_Toc188694223"/>
      <w:r>
        <w:rPr>
          <w:rStyle w:val="CharSectno"/>
        </w:rPr>
        <w:t>16</w:t>
      </w:r>
      <w:r>
        <w:t>.</w:t>
      </w:r>
      <w:r>
        <w:tab/>
        <w:t>Regulations for the commingling of gas in distribution systems</w:t>
      </w:r>
      <w:bookmarkEnd w:id="111"/>
      <w:bookmarkEnd w:id="112"/>
      <w:bookmarkEnd w:id="113"/>
    </w:p>
    <w:p>
      <w:pPr>
        <w:pStyle w:val="Subsection"/>
      </w:pPr>
      <w:r>
        <w:tab/>
      </w:r>
      <w:r>
        <w:tab/>
        <w:t xml:space="preserve">Regulations may be made under section 15 —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 xml:space="preserve">without limiting paragraph (a), requiring an undertaker or a pipeline operator — </w:t>
      </w:r>
    </w:p>
    <w:p>
      <w:pPr>
        <w:pStyle w:val="Indenti"/>
      </w:pPr>
      <w:r>
        <w:tab/>
        <w:t>(i)</w:t>
      </w:r>
      <w:r>
        <w:tab/>
        <w:t>to set up, install and operate any plan, system or equipment; or</w:t>
      </w:r>
    </w:p>
    <w:p>
      <w:pPr>
        <w:pStyle w:val="Indenti"/>
      </w:pPr>
      <w:r>
        <w:tab/>
        <w:t>(ii)</w:t>
      </w:r>
      <w:r>
        <w:tab/>
        <w:t>to take any other steps,</w:t>
      </w:r>
    </w:p>
    <w:p>
      <w:pPr>
        <w:pStyle w:val="Indenta"/>
      </w:pPr>
      <w:r>
        <w:tab/>
      </w:r>
      <w:r>
        <w:tab/>
        <w:t>for any purpose referred to in that paragraph.</w:t>
      </w:r>
    </w:p>
    <w:p>
      <w:pPr>
        <w:pStyle w:val="Footnotesection"/>
      </w:pPr>
      <w:r>
        <w:tab/>
        <w:t>[Section 16 inserted by No. 53 of 2003 s. 41.]</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4" w:name="_Toc89520264"/>
      <w:bookmarkStart w:id="115" w:name="_Toc89520289"/>
      <w:bookmarkStart w:id="116" w:name="_Toc89773409"/>
      <w:bookmarkStart w:id="117" w:name="_Toc92790694"/>
      <w:bookmarkStart w:id="118" w:name="_Toc92790720"/>
      <w:bookmarkStart w:id="119" w:name="_Toc97108886"/>
      <w:bookmarkStart w:id="120" w:name="_Toc102297740"/>
      <w:bookmarkStart w:id="121" w:name="_Toc137610273"/>
      <w:bookmarkStart w:id="122" w:name="_Toc137616319"/>
      <w:bookmarkStart w:id="123" w:name="_Toc138051355"/>
      <w:bookmarkStart w:id="124" w:name="_Toc138565141"/>
      <w:bookmarkStart w:id="125" w:name="_Toc138565195"/>
      <w:bookmarkStart w:id="126" w:name="_Toc138734500"/>
      <w:bookmarkStart w:id="127" w:name="_Toc141169827"/>
      <w:bookmarkStart w:id="128" w:name="_Toc157910588"/>
      <w:bookmarkStart w:id="129" w:name="_Toc184117897"/>
      <w:bookmarkStart w:id="130" w:name="_Toc184182261"/>
      <w:bookmarkStart w:id="131" w:name="_Toc186624086"/>
      <w:bookmarkStart w:id="132" w:name="_Toc187049881"/>
      <w:bookmarkStart w:id="133" w:name="_Toc188694224"/>
      <w:bookmarkStart w:id="134" w:name="_Toc196733594"/>
      <w:r>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w:t>
      </w:r>
      <w:del w:id="135" w:author="svcMRProcess" w:date="2015-10-30T02:49:00Z">
        <w:r>
          <w:rPr>
            <w:snapToGrid w:val="0"/>
            <w:vertAlign w:val="superscript"/>
          </w:rPr>
          <w:delText>1a</w:delText>
        </w:r>
      </w:del>
      <w:ins w:id="136" w:author="svcMRProcess" w:date="2015-10-30T02:49:00Z">
        <w:r>
          <w:rPr>
            <w:snapToGrid w:val="0"/>
            <w:vertAlign w:val="superscript"/>
          </w:rPr>
          <w:t>6</w:t>
        </w:r>
      </w:ins>
      <w:r>
        <w:rPr>
          <w:snapToGrid w:val="0"/>
        </w:rPr>
        <w:t>.  The table also contains information about any reprint.</w:t>
      </w:r>
    </w:p>
    <w:p>
      <w:pPr>
        <w:pStyle w:val="nHeading3"/>
        <w:rPr>
          <w:snapToGrid w:val="0"/>
        </w:rPr>
      </w:pPr>
      <w:bookmarkStart w:id="137" w:name="_Toc196733595"/>
      <w:bookmarkStart w:id="138" w:name="_Toc188694225"/>
      <w:r>
        <w:rPr>
          <w:snapToGrid w:val="0"/>
        </w:rPr>
        <w:t>Compilation table</w:t>
      </w:r>
      <w:bookmarkEnd w:id="137"/>
      <w:bookmarkEnd w:id="1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Gas Standards Act 1972</w:t>
            </w:r>
          </w:p>
        </w:tc>
        <w:tc>
          <w:tcPr>
            <w:tcW w:w="1134" w:type="dxa"/>
            <w:tcBorders>
              <w:top w:val="single" w:sz="8" w:space="0" w:color="auto"/>
            </w:tcBorders>
          </w:tcPr>
          <w:p>
            <w:pPr>
              <w:pStyle w:val="nTable"/>
              <w:spacing w:after="40"/>
              <w:rPr>
                <w:sz w:val="19"/>
              </w:rPr>
            </w:pPr>
            <w:r>
              <w:rPr>
                <w:sz w:val="19"/>
              </w:rPr>
              <w:t>15 of 1972</w:t>
            </w:r>
          </w:p>
        </w:tc>
        <w:tc>
          <w:tcPr>
            <w:tcW w:w="1134" w:type="dxa"/>
            <w:tcBorders>
              <w:top w:val="single" w:sz="8" w:space="0" w:color="auto"/>
            </w:tcBorders>
          </w:tcPr>
          <w:p>
            <w:pPr>
              <w:pStyle w:val="nTable"/>
              <w:spacing w:after="40"/>
              <w:rPr>
                <w:sz w:val="19"/>
              </w:rPr>
            </w:pPr>
            <w:r>
              <w:rPr>
                <w:sz w:val="19"/>
              </w:rPr>
              <w:t>26 May 1972</w:t>
            </w:r>
          </w:p>
        </w:tc>
        <w:tc>
          <w:tcPr>
            <w:tcW w:w="2552" w:type="dxa"/>
            <w:tcBorders>
              <w:top w:val="single" w:sz="8" w:space="0" w:color="auto"/>
            </w:tcBorders>
          </w:tcPr>
          <w:p>
            <w:pPr>
              <w:pStyle w:val="nTable"/>
              <w:spacing w:after="40"/>
              <w:rPr>
                <w:sz w:val="19"/>
              </w:rPr>
            </w:pPr>
            <w:r>
              <w:rPr>
                <w:sz w:val="19"/>
              </w:rPr>
              <w:t xml:space="preserve">21 Jul 1972 (see s. 2 and </w:t>
            </w:r>
            <w:r>
              <w:rPr>
                <w:i/>
                <w:sz w:val="19"/>
              </w:rPr>
              <w:t>Gazette</w:t>
            </w:r>
            <w:r>
              <w:rPr>
                <w:sz w:val="19"/>
              </w:rPr>
              <w:t xml:space="preserve"> 21 Jul 1972 p. 2645)</w:t>
            </w:r>
          </w:p>
        </w:tc>
      </w:tr>
      <w:tr>
        <w:trPr>
          <w:cantSplit/>
        </w:trPr>
        <w:tc>
          <w:tcPr>
            <w:tcW w:w="2268" w:type="dxa"/>
          </w:tcPr>
          <w:p>
            <w:pPr>
              <w:pStyle w:val="nTable"/>
              <w:spacing w:after="40"/>
              <w:ind w:right="113"/>
              <w:rPr>
                <w:sz w:val="19"/>
              </w:rPr>
            </w:pPr>
            <w:r>
              <w:rPr>
                <w:i/>
                <w:sz w:val="19"/>
              </w:rPr>
              <w:t>Gas Standards Act Amendment Act 1979</w:t>
            </w:r>
          </w:p>
        </w:tc>
        <w:tc>
          <w:tcPr>
            <w:tcW w:w="1134" w:type="dxa"/>
          </w:tcPr>
          <w:p>
            <w:pPr>
              <w:pStyle w:val="nTable"/>
              <w:spacing w:after="40"/>
              <w:rPr>
                <w:sz w:val="19"/>
              </w:rPr>
            </w:pPr>
            <w:r>
              <w:rPr>
                <w:sz w:val="19"/>
              </w:rPr>
              <w:t>87 of 1979</w:t>
            </w:r>
          </w:p>
        </w:tc>
        <w:tc>
          <w:tcPr>
            <w:tcW w:w="1134" w:type="dxa"/>
          </w:tcPr>
          <w:p>
            <w:pPr>
              <w:pStyle w:val="nTable"/>
              <w:spacing w:after="40"/>
              <w:rPr>
                <w:sz w:val="19"/>
              </w:rPr>
            </w:pPr>
            <w:r>
              <w:rPr>
                <w:sz w:val="19"/>
              </w:rPr>
              <w:t>11 Dec 1979</w:t>
            </w:r>
          </w:p>
        </w:tc>
        <w:tc>
          <w:tcPr>
            <w:tcW w:w="2552"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68" w:type="dxa"/>
          </w:tcPr>
          <w:p>
            <w:pPr>
              <w:pStyle w:val="nTable"/>
              <w:spacing w:after="40"/>
              <w:ind w:right="113"/>
              <w:rPr>
                <w:sz w:val="19"/>
              </w:rPr>
            </w:pPr>
            <w:r>
              <w:rPr>
                <w:i/>
                <w:sz w:val="19"/>
              </w:rPr>
              <w:t>Gas Standards Amendment Act 1985</w:t>
            </w:r>
          </w:p>
        </w:tc>
        <w:tc>
          <w:tcPr>
            <w:tcW w:w="1134" w:type="dxa"/>
          </w:tcPr>
          <w:p>
            <w:pPr>
              <w:pStyle w:val="nTable"/>
              <w:spacing w:after="40"/>
              <w:rPr>
                <w:sz w:val="19"/>
              </w:rPr>
            </w:pPr>
            <w:r>
              <w:rPr>
                <w:sz w:val="19"/>
              </w:rPr>
              <w:t>63 of 1985</w:t>
            </w:r>
          </w:p>
        </w:tc>
        <w:tc>
          <w:tcPr>
            <w:tcW w:w="1134" w:type="dxa"/>
          </w:tcPr>
          <w:p>
            <w:pPr>
              <w:pStyle w:val="nTable"/>
              <w:spacing w:after="40"/>
              <w:rPr>
                <w:sz w:val="19"/>
              </w:rPr>
            </w:pPr>
            <w:r>
              <w:rPr>
                <w:sz w:val="19"/>
              </w:rPr>
              <w:t>5 Nov 1985</w:t>
            </w:r>
          </w:p>
        </w:tc>
        <w:tc>
          <w:tcPr>
            <w:tcW w:w="2552" w:type="dxa"/>
          </w:tcPr>
          <w:p>
            <w:pPr>
              <w:pStyle w:val="nTable"/>
              <w:spacing w:after="40"/>
              <w:rPr>
                <w:sz w:val="19"/>
              </w:rPr>
            </w:pPr>
            <w:r>
              <w:rPr>
                <w:sz w:val="19"/>
              </w:rPr>
              <w:t xml:space="preserve">1 Feb 1986 (see s. 2 and </w:t>
            </w:r>
            <w:r>
              <w:rPr>
                <w:i/>
                <w:sz w:val="19"/>
              </w:rPr>
              <w:t>Gazette</w:t>
            </w:r>
            <w:r>
              <w:rPr>
                <w:sz w:val="19"/>
              </w:rPr>
              <w:t xml:space="preserve"> 3 Jan 1986 p. 9)</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trPr>
          <w:cantSplit/>
        </w:trPr>
        <w:tc>
          <w:tcPr>
            <w:tcW w:w="2268" w:type="dxa"/>
          </w:tcPr>
          <w:p>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66, 84, 98 and 99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trPr>
          <w:cantSplit/>
        </w:trPr>
        <w:tc>
          <w:tcPr>
            <w:tcW w:w="2268" w:type="dxa"/>
          </w:tcPr>
          <w:p>
            <w:pPr>
              <w:pStyle w:val="nTable"/>
              <w:spacing w:after="40"/>
              <w:ind w:right="113"/>
              <w:rPr>
                <w:sz w:val="19"/>
              </w:rPr>
            </w:pPr>
            <w:r>
              <w:rPr>
                <w:i/>
                <w:sz w:val="19"/>
              </w:rPr>
              <w:t>Energy Legislation Amendment Act 2003</w:t>
            </w:r>
            <w:r>
              <w:rPr>
                <w:sz w:val="19"/>
              </w:rPr>
              <w:t xml:space="preserve"> Pt. 3 Div. 10</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rPr>
          <w:cantSplit/>
        </w:trPr>
        <w:tc>
          <w:tcPr>
            <w:tcW w:w="2268" w:type="dxa"/>
          </w:tcPr>
          <w:p>
            <w:pPr>
              <w:pStyle w:val="nTable"/>
              <w:spacing w:after="40"/>
              <w:ind w:right="113"/>
              <w:rPr>
                <w:i/>
                <w:sz w:val="19"/>
              </w:rPr>
            </w:pPr>
            <w:r>
              <w:rPr>
                <w:i/>
                <w:sz w:val="19"/>
              </w:rPr>
              <w:t>Statutes (Repeals and Minor Amendments) Act 2003</w:t>
            </w:r>
            <w:r>
              <w:rPr>
                <w:sz w:val="19"/>
              </w:rPr>
              <w:t xml:space="preserve"> s. 10(5) and 60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ins w:id="139" w:author="svcMRProcess" w:date="2015-10-30T02:49:00Z">
              <w:r>
                <w:rPr>
                  <w:snapToGrid w:val="0"/>
                  <w:sz w:val="19"/>
                  <w:vertAlign w:val="superscript"/>
                  <w:lang w:val="en-US"/>
                </w:rPr>
                <w:t>5</w:t>
              </w:r>
            </w:ins>
          </w:p>
        </w:tc>
        <w:tc>
          <w:tcPr>
            <w:tcW w:w="1134" w:type="dxa"/>
          </w:tcPr>
          <w:p>
            <w:pPr>
              <w:pStyle w:val="nTable"/>
              <w:spacing w:after="40"/>
              <w:rPr>
                <w:sz w:val="19"/>
              </w:rPr>
            </w:pPr>
            <w:r>
              <w:rPr>
                <w:snapToGrid w:val="0"/>
                <w:sz w:val="19"/>
                <w:lang w:val="en-US"/>
              </w:rPr>
              <w:t>59 of 2004</w:t>
            </w:r>
            <w:ins w:id="140" w:author="svcMRProcess" w:date="2015-10-30T02:49:00Z">
              <w:r>
                <w:rPr>
                  <w:snapToGrid w:val="0"/>
                  <w:sz w:val="19"/>
                  <w:lang w:val="en-US"/>
                </w:rPr>
                <w:t xml:space="preserve"> (as amended by No. 2 of 2008 s. 77(13))</w:t>
              </w:r>
            </w:ins>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4 </w:t>
            </w:r>
          </w:p>
        </w:tc>
        <w:tc>
          <w:tcPr>
            <w:tcW w:w="1134" w:type="dxa"/>
          </w:tcPr>
          <w:p>
            <w:pPr>
              <w:pStyle w:val="nTable"/>
              <w:spacing w:after="40"/>
              <w:rPr>
                <w:snapToGrid w:val="0"/>
                <w:sz w:val="19"/>
                <w:lang w:val="en-US"/>
              </w:rPr>
            </w:pPr>
            <w:r>
              <w:rPr>
                <w:snapToGrid w:val="0"/>
                <w:sz w:val="19"/>
                <w:lang w:val="en-US"/>
              </w:rPr>
              <w:t>5 of 2007</w:t>
            </w:r>
          </w:p>
        </w:tc>
        <w:tc>
          <w:tcPr>
            <w:tcW w:w="1134" w:type="dxa"/>
          </w:tcPr>
          <w:p>
            <w:pPr>
              <w:pStyle w:val="nTable"/>
              <w:spacing w:after="40"/>
              <w:rPr>
                <w:snapToGrid w:val="0"/>
                <w:sz w:val="19"/>
                <w:lang w:val="en-US"/>
              </w:rPr>
            </w:pPr>
            <w:r>
              <w:rPr>
                <w:snapToGrid w:val="0"/>
                <w:sz w:val="19"/>
                <w:lang w:val="en-US"/>
              </w:rPr>
              <w:t>18 Apr 2007</w:t>
            </w:r>
          </w:p>
        </w:tc>
        <w:tc>
          <w:tcPr>
            <w:tcW w:w="2552" w:type="dxa"/>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rPr>
              <w:t>Petroleum Amendment Act 2007</w:t>
            </w:r>
            <w:r>
              <w:rPr>
                <w:iCs/>
                <w:snapToGrid w:val="0"/>
                <w:sz w:val="19"/>
              </w:rPr>
              <w:t xml:space="preserve"> s. 95</w:t>
            </w:r>
          </w:p>
        </w:tc>
        <w:tc>
          <w:tcPr>
            <w:tcW w:w="1134" w:type="dxa"/>
            <w:tcBorders>
              <w:bottom w:val="single" w:sz="4" w:space="0" w:color="auto"/>
            </w:tcBorders>
          </w:tcPr>
          <w:p>
            <w:pPr>
              <w:pStyle w:val="nTable"/>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rPr>
          <w:del w:id="141" w:author="svcMRProcess" w:date="2015-10-30T02:49:00Z"/>
        </w:rPr>
      </w:pPr>
      <w:del w:id="142" w:author="svcMRProcess" w:date="2015-10-30T02:49:00Z">
        <w:r>
          <w:rPr>
            <w:vertAlign w:val="superscript"/>
          </w:rPr>
          <w:delText>1a</w:delText>
        </w:r>
        <w:r>
          <w:tab/>
          <w:delText>On the date as at which thi</w:delText>
        </w:r>
        <w:bookmarkStart w:id="143" w:name="_Hlt507390729"/>
        <w:bookmarkEnd w:id="14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4" w:author="svcMRProcess" w:date="2015-10-30T02:49:00Z"/>
          <w:snapToGrid w:val="0"/>
        </w:rPr>
      </w:pPr>
      <w:bookmarkStart w:id="145" w:name="_Toc102297742"/>
      <w:bookmarkStart w:id="146" w:name="_Toc188694226"/>
      <w:del w:id="147" w:author="svcMRProcess" w:date="2015-10-30T02:49:00Z">
        <w:r>
          <w:rPr>
            <w:snapToGrid w:val="0"/>
          </w:rPr>
          <w:delText>Provisions that have not come into operation</w:delText>
        </w:r>
        <w:bookmarkEnd w:id="145"/>
        <w:bookmarkEnd w:id="146"/>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8" w:type="dxa"/>
          <w:del w:id="148" w:author="svcMRProcess" w:date="2015-10-30T02:49:00Z"/>
        </w:trPr>
        <w:tc>
          <w:tcPr>
            <w:tcW w:w="2251" w:type="dxa"/>
            <w:tcBorders>
              <w:top w:val="single" w:sz="8" w:space="0" w:color="auto"/>
              <w:bottom w:val="single" w:sz="4" w:space="0" w:color="auto"/>
            </w:tcBorders>
          </w:tcPr>
          <w:p>
            <w:pPr>
              <w:pStyle w:val="nTable"/>
              <w:spacing w:after="40"/>
              <w:rPr>
                <w:del w:id="149" w:author="svcMRProcess" w:date="2015-10-30T02:49:00Z"/>
                <w:b/>
                <w:snapToGrid w:val="0"/>
                <w:sz w:val="19"/>
                <w:lang w:val="en-US"/>
              </w:rPr>
            </w:pPr>
            <w:del w:id="150" w:author="svcMRProcess" w:date="2015-10-30T02:49:00Z">
              <w:r>
                <w:rPr>
                  <w:b/>
                  <w:snapToGrid w:val="0"/>
                  <w:sz w:val="19"/>
                  <w:lang w:val="en-US"/>
                </w:rPr>
                <w:delText>Short title</w:delText>
              </w:r>
            </w:del>
          </w:p>
        </w:tc>
        <w:tc>
          <w:tcPr>
            <w:tcW w:w="1126" w:type="dxa"/>
            <w:tcBorders>
              <w:top w:val="single" w:sz="8" w:space="0" w:color="auto"/>
              <w:bottom w:val="single" w:sz="4" w:space="0" w:color="auto"/>
            </w:tcBorders>
          </w:tcPr>
          <w:p>
            <w:pPr>
              <w:pStyle w:val="nTable"/>
              <w:spacing w:after="40"/>
              <w:rPr>
                <w:del w:id="151" w:author="svcMRProcess" w:date="2015-10-30T02:49:00Z"/>
                <w:b/>
                <w:snapToGrid w:val="0"/>
                <w:sz w:val="19"/>
                <w:lang w:val="en-US"/>
              </w:rPr>
            </w:pPr>
            <w:del w:id="152" w:author="svcMRProcess" w:date="2015-10-30T02:49:00Z">
              <w:r>
                <w:rPr>
                  <w:b/>
                  <w:snapToGrid w:val="0"/>
                  <w:sz w:val="19"/>
                  <w:lang w:val="en-US"/>
                </w:rPr>
                <w:delText>Number and year</w:delText>
              </w:r>
            </w:del>
          </w:p>
        </w:tc>
        <w:tc>
          <w:tcPr>
            <w:tcW w:w="1126" w:type="dxa"/>
            <w:tcBorders>
              <w:top w:val="single" w:sz="8" w:space="0" w:color="auto"/>
              <w:bottom w:val="single" w:sz="4" w:space="0" w:color="auto"/>
            </w:tcBorders>
          </w:tcPr>
          <w:p>
            <w:pPr>
              <w:pStyle w:val="nTable"/>
              <w:spacing w:after="40"/>
              <w:rPr>
                <w:del w:id="153" w:author="svcMRProcess" w:date="2015-10-30T02:49:00Z"/>
                <w:b/>
                <w:snapToGrid w:val="0"/>
                <w:sz w:val="19"/>
                <w:lang w:val="en-US"/>
              </w:rPr>
            </w:pPr>
            <w:del w:id="154" w:author="svcMRProcess" w:date="2015-10-30T02:49:00Z">
              <w:r>
                <w:rPr>
                  <w:b/>
                  <w:snapToGrid w:val="0"/>
                  <w:sz w:val="19"/>
                  <w:lang w:val="en-US"/>
                </w:rPr>
                <w:delText>Assent</w:delText>
              </w:r>
            </w:del>
          </w:p>
        </w:tc>
        <w:tc>
          <w:tcPr>
            <w:tcW w:w="2525" w:type="dxa"/>
            <w:tcBorders>
              <w:top w:val="single" w:sz="8" w:space="0" w:color="auto"/>
              <w:bottom w:val="single" w:sz="4" w:space="0" w:color="auto"/>
            </w:tcBorders>
          </w:tcPr>
          <w:p>
            <w:pPr>
              <w:pStyle w:val="nTable"/>
              <w:spacing w:after="40"/>
              <w:rPr>
                <w:del w:id="155" w:author="svcMRProcess" w:date="2015-10-30T02:49:00Z"/>
                <w:b/>
                <w:snapToGrid w:val="0"/>
                <w:sz w:val="19"/>
                <w:lang w:val="en-US"/>
              </w:rPr>
            </w:pPr>
            <w:del w:id="156" w:author="svcMRProcess" w:date="2015-10-30T02:49:00Z">
              <w:r>
                <w:rPr>
                  <w:b/>
                  <w:snapToGrid w:val="0"/>
                  <w:sz w:val="19"/>
                  <w:lang w:val="en-US"/>
                </w:rPr>
                <w:delText>Commencement</w:delText>
              </w:r>
            </w:del>
          </w:p>
        </w:tc>
      </w:tr>
      <w:tr>
        <w:trPr>
          <w:gridAfter w:val="1"/>
          <w:wAfter w:w="8" w:type="dxa"/>
          <w:del w:id="157" w:author="svcMRProcess" w:date="2015-10-30T02:49:00Z"/>
        </w:trPr>
        <w:tc>
          <w:tcPr>
            <w:tcW w:w="2251" w:type="dxa"/>
            <w:tcBorders>
              <w:top w:val="single" w:sz="4" w:space="0" w:color="auto"/>
              <w:bottom w:val="nil"/>
            </w:tcBorders>
          </w:tcPr>
          <w:p>
            <w:pPr>
              <w:pStyle w:val="nTable"/>
              <w:spacing w:after="40"/>
              <w:rPr>
                <w:del w:id="158" w:author="svcMRProcess" w:date="2015-10-30T02:49:00Z"/>
                <w:snapToGrid w:val="0"/>
                <w:sz w:val="19"/>
                <w:lang w:val="en-US"/>
              </w:rPr>
            </w:pPr>
            <w:del w:id="159" w:author="svcMRProcess" w:date="2015-10-30T02:49:00Z">
              <w:r>
                <w:rPr>
                  <w:i/>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5</w:delText>
              </w:r>
            </w:del>
          </w:p>
        </w:tc>
        <w:tc>
          <w:tcPr>
            <w:tcW w:w="1126" w:type="dxa"/>
            <w:tcBorders>
              <w:top w:val="single" w:sz="4" w:space="0" w:color="auto"/>
              <w:bottom w:val="nil"/>
            </w:tcBorders>
          </w:tcPr>
          <w:p>
            <w:pPr>
              <w:pStyle w:val="nTable"/>
              <w:spacing w:after="40"/>
              <w:rPr>
                <w:del w:id="160" w:author="svcMRProcess" w:date="2015-10-30T02:49:00Z"/>
                <w:snapToGrid w:val="0"/>
                <w:sz w:val="19"/>
                <w:lang w:val="en-US"/>
              </w:rPr>
            </w:pPr>
            <w:del w:id="161" w:author="svcMRProcess" w:date="2015-10-30T02:49:00Z">
              <w:r>
                <w:rPr>
                  <w:snapToGrid w:val="0"/>
                  <w:sz w:val="19"/>
                  <w:lang w:val="en-US"/>
                </w:rPr>
                <w:delText>59 of 2004 (as amended by No. 2 of 2008 s. 77(13))</w:delText>
              </w:r>
            </w:del>
          </w:p>
        </w:tc>
        <w:tc>
          <w:tcPr>
            <w:tcW w:w="1126" w:type="dxa"/>
            <w:tcBorders>
              <w:top w:val="single" w:sz="4" w:space="0" w:color="auto"/>
              <w:bottom w:val="nil"/>
            </w:tcBorders>
          </w:tcPr>
          <w:p>
            <w:pPr>
              <w:pStyle w:val="nTable"/>
              <w:spacing w:after="40"/>
              <w:rPr>
                <w:del w:id="162" w:author="svcMRProcess" w:date="2015-10-30T02:49:00Z"/>
                <w:snapToGrid w:val="0"/>
                <w:sz w:val="19"/>
                <w:lang w:val="en-US"/>
              </w:rPr>
            </w:pPr>
            <w:del w:id="163" w:author="svcMRProcess" w:date="2015-10-30T02:49:00Z">
              <w:r>
                <w:rPr>
                  <w:snapToGrid w:val="0"/>
                  <w:sz w:val="19"/>
                  <w:lang w:val="en-US"/>
                </w:rPr>
                <w:delText>23 Nov 2004</w:delText>
              </w:r>
            </w:del>
          </w:p>
        </w:tc>
        <w:tc>
          <w:tcPr>
            <w:tcW w:w="2525" w:type="dxa"/>
            <w:tcBorders>
              <w:top w:val="single" w:sz="4" w:space="0" w:color="auto"/>
              <w:bottom w:val="nil"/>
            </w:tcBorders>
          </w:tcPr>
          <w:p>
            <w:pPr>
              <w:pStyle w:val="nTable"/>
              <w:spacing w:after="40"/>
              <w:rPr>
                <w:del w:id="164" w:author="svcMRProcess" w:date="2015-10-30T02:49:00Z"/>
                <w:snapToGrid w:val="0"/>
                <w:sz w:val="19"/>
                <w:lang w:val="en-US"/>
              </w:rPr>
            </w:pPr>
            <w:del w:id="165" w:author="svcMRProcess" w:date="2015-10-30T02:49: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PrEx>
        <w:trPr>
          <w:del w:id="166" w:author="svcMRProcess" w:date="2015-10-30T02:49:00Z"/>
        </w:trPr>
        <w:tc>
          <w:tcPr>
            <w:tcW w:w="2251" w:type="dxa"/>
          </w:tcPr>
          <w:p>
            <w:pPr>
              <w:pStyle w:val="nTable"/>
              <w:spacing w:before="100"/>
              <w:rPr>
                <w:del w:id="167" w:author="svcMRProcess" w:date="2015-10-30T02:49:00Z"/>
                <w:snapToGrid w:val="0"/>
                <w:sz w:val="19"/>
                <w:vertAlign w:val="superscript"/>
                <w:lang w:val="en-US"/>
              </w:rPr>
            </w:pPr>
            <w:del w:id="168" w:author="svcMRProcess" w:date="2015-10-30T02:49:00Z">
              <w:r>
                <w:rPr>
                  <w:i/>
                  <w:snapToGrid w:val="0"/>
                  <w:sz w:val="19"/>
                  <w:lang w:val="en-US"/>
                </w:rPr>
                <w:delText>Criminal Procedure and Appeals (Consequential and Other Provisions) Act 2004</w:delText>
              </w:r>
              <w:r>
                <w:rPr>
                  <w:snapToGrid w:val="0"/>
                  <w:sz w:val="19"/>
                  <w:lang w:val="en-US"/>
                </w:rPr>
                <w:delText xml:space="preserve"> s. 82 </w:delText>
              </w:r>
              <w:r>
                <w:rPr>
                  <w:snapToGrid w:val="0"/>
                  <w:sz w:val="19"/>
                  <w:vertAlign w:val="superscript"/>
                  <w:lang w:val="en-US"/>
                </w:rPr>
                <w:delText>6</w:delText>
              </w:r>
            </w:del>
          </w:p>
        </w:tc>
        <w:tc>
          <w:tcPr>
            <w:tcW w:w="1126" w:type="dxa"/>
          </w:tcPr>
          <w:p>
            <w:pPr>
              <w:pStyle w:val="nTable"/>
              <w:spacing w:before="100"/>
              <w:rPr>
                <w:del w:id="169" w:author="svcMRProcess" w:date="2015-10-30T02:49:00Z"/>
                <w:snapToGrid w:val="0"/>
                <w:sz w:val="19"/>
                <w:lang w:val="en-US"/>
              </w:rPr>
            </w:pPr>
            <w:del w:id="170" w:author="svcMRProcess" w:date="2015-10-30T02:49:00Z">
              <w:r>
                <w:rPr>
                  <w:snapToGrid w:val="0"/>
                  <w:sz w:val="19"/>
                  <w:lang w:val="en-US"/>
                </w:rPr>
                <w:delText>84 of 2004</w:delText>
              </w:r>
            </w:del>
          </w:p>
        </w:tc>
        <w:tc>
          <w:tcPr>
            <w:tcW w:w="1126" w:type="dxa"/>
          </w:tcPr>
          <w:p>
            <w:pPr>
              <w:pStyle w:val="nTable"/>
              <w:spacing w:before="100"/>
              <w:rPr>
                <w:del w:id="171" w:author="svcMRProcess" w:date="2015-10-30T02:49:00Z"/>
                <w:sz w:val="19"/>
              </w:rPr>
            </w:pPr>
            <w:del w:id="172" w:author="svcMRProcess" w:date="2015-10-30T02:49:00Z">
              <w:r>
                <w:rPr>
                  <w:sz w:val="19"/>
                </w:rPr>
                <w:delText>16 Dec 2004</w:delText>
              </w:r>
            </w:del>
          </w:p>
        </w:tc>
        <w:tc>
          <w:tcPr>
            <w:tcW w:w="2533" w:type="dxa"/>
            <w:gridSpan w:val="2"/>
          </w:tcPr>
          <w:p>
            <w:pPr>
              <w:pStyle w:val="nTable"/>
              <w:spacing w:before="100"/>
              <w:rPr>
                <w:del w:id="173" w:author="svcMRProcess" w:date="2015-10-30T02:49:00Z"/>
                <w:snapToGrid w:val="0"/>
                <w:sz w:val="19"/>
                <w:lang w:val="en-US"/>
              </w:rPr>
            </w:pPr>
            <w:del w:id="174" w:author="svcMRProcess" w:date="2015-10-30T02:49: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PrEx>
        <w:trPr>
          <w:gridAfter w:val="1"/>
          <w:wAfter w:w="28" w:type="dxa"/>
          <w:cantSplit/>
          <w:del w:id="175" w:author="svcMRProcess" w:date="2015-10-30T02:49:00Z"/>
        </w:trPr>
        <w:tc>
          <w:tcPr>
            <w:tcW w:w="2268" w:type="dxa"/>
            <w:tcBorders>
              <w:bottom w:val="single" w:sz="4" w:space="0" w:color="auto"/>
            </w:tcBorders>
          </w:tcPr>
          <w:p>
            <w:pPr>
              <w:pStyle w:val="nTable"/>
              <w:spacing w:after="40"/>
              <w:ind w:right="113"/>
              <w:rPr>
                <w:del w:id="176" w:author="svcMRProcess" w:date="2015-10-30T02:49:00Z"/>
                <w:i/>
                <w:snapToGrid w:val="0"/>
                <w:sz w:val="19"/>
                <w:vertAlign w:val="superscript"/>
              </w:rPr>
            </w:pPr>
            <w:del w:id="177" w:author="svcMRProcess" w:date="2015-10-30T02:49:00Z">
              <w:r>
                <w:rPr>
                  <w:i/>
                  <w:snapToGrid w:val="0"/>
                </w:rPr>
                <w:delText>Criminal Law and Evidence Amendment Act 2008</w:delText>
              </w:r>
              <w:r>
                <w:rPr>
                  <w:iCs/>
                  <w:snapToGrid w:val="0"/>
                </w:rPr>
                <w:delText xml:space="preserve"> s. 77(13) and 78(2)(a) </w:delText>
              </w:r>
              <w:r>
                <w:rPr>
                  <w:iCs/>
                  <w:snapToGrid w:val="0"/>
                  <w:vertAlign w:val="superscript"/>
                </w:rPr>
                <w:delText>7</w:delText>
              </w:r>
            </w:del>
          </w:p>
        </w:tc>
        <w:tc>
          <w:tcPr>
            <w:tcW w:w="1134" w:type="dxa"/>
            <w:tcBorders>
              <w:bottom w:val="single" w:sz="4" w:space="0" w:color="auto"/>
            </w:tcBorders>
          </w:tcPr>
          <w:p>
            <w:pPr>
              <w:pStyle w:val="nTable"/>
              <w:keepNext/>
              <w:spacing w:after="40"/>
              <w:rPr>
                <w:del w:id="178" w:author="svcMRProcess" w:date="2015-10-30T02:49:00Z"/>
                <w:sz w:val="19"/>
              </w:rPr>
            </w:pPr>
            <w:del w:id="179" w:author="svcMRProcess" w:date="2015-10-30T02:49:00Z">
              <w:r>
                <w:rPr>
                  <w:sz w:val="19"/>
                </w:rPr>
                <w:delText>2 of 2008</w:delText>
              </w:r>
            </w:del>
          </w:p>
        </w:tc>
        <w:tc>
          <w:tcPr>
            <w:tcW w:w="1134" w:type="dxa"/>
            <w:tcBorders>
              <w:bottom w:val="single" w:sz="4" w:space="0" w:color="auto"/>
            </w:tcBorders>
          </w:tcPr>
          <w:p>
            <w:pPr>
              <w:pStyle w:val="nTable"/>
              <w:keepNext/>
              <w:spacing w:after="40"/>
              <w:rPr>
                <w:del w:id="180" w:author="svcMRProcess" w:date="2015-10-30T02:49:00Z"/>
                <w:sz w:val="19"/>
              </w:rPr>
            </w:pPr>
            <w:del w:id="181" w:author="svcMRProcess" w:date="2015-10-30T02:49:00Z">
              <w:r>
                <w:rPr>
                  <w:sz w:val="19"/>
                </w:rPr>
                <w:delText>12 Mar 2008</w:delText>
              </w:r>
            </w:del>
          </w:p>
        </w:tc>
        <w:tc>
          <w:tcPr>
            <w:tcW w:w="2552" w:type="dxa"/>
            <w:tcBorders>
              <w:bottom w:val="single" w:sz="4" w:space="0" w:color="auto"/>
            </w:tcBorders>
          </w:tcPr>
          <w:p>
            <w:pPr>
              <w:pStyle w:val="nTable"/>
              <w:keepNext/>
              <w:spacing w:after="40"/>
              <w:rPr>
                <w:del w:id="182" w:author="svcMRProcess" w:date="2015-10-30T02:49:00Z"/>
                <w:sz w:val="19"/>
              </w:rPr>
            </w:pPr>
            <w:del w:id="183" w:author="svcMRProcess" w:date="2015-10-30T02:49:00Z">
              <w:r>
                <w:rPr>
                  <w:snapToGrid w:val="0"/>
                  <w:sz w:val="19"/>
                  <w:lang w:val="en-US"/>
                </w:rPr>
                <w:delText>To be proclaimed (see s. 2)</w:delText>
              </w:r>
            </w:del>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r>
      <w:del w:id="184" w:author="svcMRProcess" w:date="2015-10-30T02:49:00Z">
        <w:r>
          <w:rPr>
            <w:snapToGrid w:val="0"/>
          </w:rPr>
          <w:delText>On the date as at which this compilation was prepared, the</w:delText>
        </w:r>
      </w:del>
      <w:ins w:id="185" w:author="svcMRProcess" w:date="2015-10-30T02:49: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186" w:author="svcMRProcess" w:date="2015-10-30T02:49:00Z">
        <w:r>
          <w:rPr>
            <w:snapToGrid w:val="0"/>
            <w:lang w:val="en-US"/>
          </w:rPr>
          <w:delText xml:space="preserve">s. 142, to the extent that it gives effect to </w:delText>
        </w:r>
      </w:del>
      <w:r>
        <w:rPr>
          <w:snapToGrid w:val="0"/>
          <w:lang w:val="en-US"/>
        </w:rPr>
        <w:t>Sch.</w:t>
      </w:r>
      <w:del w:id="187" w:author="svcMRProcess" w:date="2015-10-30T02:49:00Z">
        <w:r>
          <w:rPr>
            <w:snapToGrid w:val="0"/>
            <w:lang w:val="en-US"/>
          </w:rPr>
          <w:delText> </w:delText>
        </w:r>
      </w:del>
      <w:ins w:id="188" w:author="svcMRProcess" w:date="2015-10-30T02:49:00Z">
        <w:r>
          <w:rPr>
            <w:snapToGrid w:val="0"/>
            <w:lang w:val="en-US"/>
          </w:rPr>
          <w:t xml:space="preserve"> </w:t>
        </w:r>
      </w:ins>
      <w:r>
        <w:rPr>
          <w:snapToGrid w:val="0"/>
          <w:lang w:val="en-US"/>
        </w:rPr>
        <w:t>2 cl. 21</w:t>
      </w:r>
      <w:del w:id="189" w:author="svcMRProcess" w:date="2015-10-30T02:49:00Z">
        <w:r>
          <w:rPr>
            <w:snapToGrid w:val="0"/>
            <w:lang w:val="en-US"/>
          </w:rPr>
          <w:delText>, had</w:delText>
        </w:r>
        <w:r>
          <w:rPr>
            <w:snapToGrid w:val="0"/>
          </w:rPr>
          <w:delText xml:space="preserve"> not come into operation.  It has not been, and will not be, proclaimed as the provisions to be amended by cl. 21 (being s. 13B(6)-(8) of this Act) were </w:delText>
        </w:r>
      </w:del>
      <w:ins w:id="190" w:author="svcMRProcess" w:date="2015-10-30T02:49:00Z">
        <w:r>
          <w:rPr>
            <w:snapToGrid w:val="0"/>
            <w:lang w:val="en-US"/>
          </w:rPr>
          <w:t xml:space="preserve"> was </w:t>
        </w:r>
      </w:ins>
      <w:r>
        <w:rPr>
          <w:snapToGrid w:val="0"/>
          <w:lang w:val="en-US"/>
        </w:rPr>
        <w:t xml:space="preserve">repealed by the </w:t>
      </w:r>
      <w:del w:id="191" w:author="svcMRProcess" w:date="2015-10-30T02:49:00Z">
        <w:r>
          <w:rPr>
            <w:i/>
          </w:rPr>
          <w:delText>State Administrative Tribunal (Conferral of Jurisdiction)</w:delText>
        </w:r>
      </w:del>
      <w:ins w:id="192" w:author="svcMRProcess" w:date="2015-10-30T02:49:00Z">
        <w:r>
          <w:rPr>
            <w:i/>
            <w:iCs/>
            <w:snapToGrid w:val="0"/>
            <w:lang w:val="en-US"/>
          </w:rPr>
          <w:t>Criminal Law and Evidence</w:t>
        </w:r>
      </w:ins>
      <w:r>
        <w:rPr>
          <w:i/>
          <w:iCs/>
          <w:snapToGrid w:val="0"/>
          <w:lang w:val="en-US"/>
        </w:rPr>
        <w:t xml:space="preserve"> Amendment </w:t>
      </w:r>
      <w:del w:id="193" w:author="svcMRProcess" w:date="2015-10-30T02:49:00Z">
        <w:r>
          <w:rPr>
            <w:i/>
          </w:rPr>
          <w:delText xml:space="preserve">and Repeal </w:delText>
        </w:r>
      </w:del>
      <w:r>
        <w:rPr>
          <w:i/>
          <w:iCs/>
          <w:snapToGrid w:val="0"/>
          <w:lang w:val="en-US"/>
        </w:rPr>
        <w:t>Act</w:t>
      </w:r>
      <w:del w:id="194" w:author="svcMRProcess" w:date="2015-10-30T02:49:00Z">
        <w:r>
          <w:rPr>
            <w:rFonts w:ascii="Times" w:hAnsi="Times"/>
            <w:i/>
            <w:sz w:val="19"/>
          </w:rPr>
          <w:delText> 2004</w:delText>
        </w:r>
        <w:r>
          <w:rPr>
            <w:rFonts w:ascii="Times" w:hAnsi="Times"/>
            <w:sz w:val="19"/>
          </w:rPr>
          <w:delText>.</w:delText>
        </w:r>
      </w:del>
      <w:ins w:id="195" w:author="svcMRProcess" w:date="2015-10-30T02:49:00Z">
        <w:r>
          <w:rPr>
            <w:i/>
            <w:iCs/>
            <w:snapToGrid w:val="0"/>
            <w:lang w:val="en-US"/>
          </w:rPr>
          <w:t xml:space="preserve"> 2008</w:t>
        </w:r>
        <w:r>
          <w:rPr>
            <w:snapToGrid w:val="0"/>
            <w:lang w:val="en-US"/>
          </w:rPr>
          <w:t xml:space="preserve"> s. 77(13).</w:t>
        </w:r>
      </w:ins>
    </w:p>
    <w:p>
      <w:pPr>
        <w:pStyle w:val="nSubsection"/>
        <w:rPr>
          <w:snapToGrid w:val="0"/>
        </w:rPr>
      </w:pPr>
      <w:del w:id="196" w:author="svcMRProcess" w:date="2015-10-30T02:49:00Z">
        <w:r>
          <w:rPr>
            <w:vertAlign w:val="superscript"/>
          </w:rPr>
          <w:delText>6</w:delText>
        </w:r>
        <w:r>
          <w:tab/>
        </w:r>
        <w:r>
          <w:rPr>
            <w:snapToGrid w:val="0"/>
          </w:rPr>
          <w:delText>On the date as at which this compilation was prepared, the</w:delText>
        </w:r>
      </w:del>
      <w:ins w:id="197" w:author="svcMRProcess" w:date="2015-10-30T02:49:00Z">
        <w:r>
          <w:rPr>
            <w:vertAlign w:val="superscript"/>
          </w:rPr>
          <w:t>6</w:t>
        </w:r>
        <w:r>
          <w:tab/>
        </w:r>
        <w:r>
          <w:rPr>
            <w:snapToGrid w:val="0"/>
          </w:rPr>
          <w:t>The</w:t>
        </w:r>
      </w:ins>
      <w:r>
        <w:rPr>
          <w:snapToGrid w:val="0"/>
        </w:rPr>
        <w:t xml:space="preserve"> </w:t>
      </w:r>
      <w:r>
        <w:rPr>
          <w:i/>
          <w:snapToGrid w:val="0"/>
          <w:lang w:val="en-US"/>
        </w:rPr>
        <w:t xml:space="preserve">Criminal Procedure and Appeals (Consequential and Other Provisions) Act 2004 </w:t>
      </w:r>
      <w:r>
        <w:rPr>
          <w:snapToGrid w:val="0"/>
          <w:lang w:val="en-US"/>
        </w:rPr>
        <w:t xml:space="preserve">s. 82, to the extent that it amends this Act, </w:t>
      </w:r>
      <w:del w:id="198" w:author="svcMRProcess" w:date="2015-10-30T02:49:00Z">
        <w:r>
          <w:rPr>
            <w:snapToGrid w:val="0"/>
            <w:lang w:val="en-US"/>
          </w:rPr>
          <w:delText>had</w:delText>
        </w:r>
        <w:r>
          <w:rPr>
            <w:snapToGrid w:val="0"/>
          </w:rPr>
          <w:delText xml:space="preserve"> not come into operation.  It reads as follows:</w:delText>
        </w:r>
      </w:del>
      <w:ins w:id="199" w:author="svcMRProcess" w:date="2015-10-30T02:49:00Z">
        <w:r>
          <w:rPr>
            <w:snapToGrid w:val="0"/>
            <w:lang w:val="en-US"/>
          </w:rPr>
          <w:t xml:space="preserve">was repealed by the </w:t>
        </w:r>
        <w:r>
          <w:rPr>
            <w:i/>
            <w:iCs/>
            <w:snapToGrid w:val="0"/>
            <w:lang w:val="en-US"/>
          </w:rPr>
          <w:t>Criminal Law and Evidence Amendment Act 2008</w:t>
        </w:r>
        <w:r>
          <w:rPr>
            <w:snapToGrid w:val="0"/>
            <w:lang w:val="en-US"/>
          </w:rPr>
          <w:t xml:space="preserve"> s. 78(2)(a).</w:t>
        </w:r>
      </w:ins>
    </w:p>
    <w:p>
      <w:pPr>
        <w:pStyle w:val="nzHeading5"/>
        <w:ind w:left="0" w:firstLine="0"/>
        <w:rPr>
          <w:del w:id="200" w:author="svcMRProcess" w:date="2015-10-30T02:49:00Z"/>
          <w:rStyle w:val="CharSectno"/>
        </w:rPr>
      </w:pPr>
      <w:bookmarkStart w:id="201" w:name="endcomma"/>
      <w:bookmarkStart w:id="202" w:name="UpToHere"/>
      <w:bookmarkEnd w:id="201"/>
      <w:bookmarkEnd w:id="202"/>
      <w:del w:id="203" w:author="svcMRProcess" w:date="2015-10-30T02:49:00Z">
        <w:r>
          <w:rPr>
            <w:rStyle w:val="CharSectno"/>
          </w:rPr>
          <w:delText>“</w:delText>
        </w:r>
      </w:del>
    </w:p>
    <w:p>
      <w:pPr>
        <w:pStyle w:val="nzHeading5"/>
        <w:rPr>
          <w:del w:id="204" w:author="svcMRProcess" w:date="2015-10-30T02:49:00Z"/>
        </w:rPr>
      </w:pPr>
      <w:bookmarkStart w:id="205" w:name="_Toc90429397"/>
      <w:del w:id="206" w:author="svcMRProcess" w:date="2015-10-30T02:49:00Z">
        <w:r>
          <w:rPr>
            <w:rStyle w:val="CharSectno"/>
          </w:rPr>
          <w:delText>82</w:delText>
        </w:r>
        <w:r>
          <w:delText>.</w:delText>
        </w:r>
        <w:r>
          <w:tab/>
          <w:delText>References to “defendant” changed to “accused”</w:delText>
        </w:r>
        <w:bookmarkEnd w:id="205"/>
      </w:del>
    </w:p>
    <w:p>
      <w:pPr>
        <w:pStyle w:val="nzSubsection"/>
        <w:rPr>
          <w:del w:id="207" w:author="svcMRProcess" w:date="2015-10-30T02:49:00Z"/>
        </w:rPr>
      </w:pPr>
      <w:del w:id="208" w:author="svcMRProcess" w:date="2015-10-30T02:49:00Z">
        <w:r>
          <w:tab/>
        </w:r>
        <w:r>
          <w:tab/>
          <w:delTex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delText>
        </w:r>
      </w:del>
    </w:p>
    <w:p>
      <w:pPr>
        <w:pStyle w:val="nzMiscellaneousHeading"/>
        <w:rPr>
          <w:del w:id="209" w:author="svcMRProcess" w:date="2015-10-30T02:49:00Z"/>
        </w:rPr>
      </w:pPr>
      <w:del w:id="210" w:author="svcMRProcess" w:date="2015-10-30T02:49:00Z">
        <w:r>
          <w:rPr>
            <w:b/>
          </w:rPr>
          <w:delText>Table 1</w:delText>
        </w:r>
      </w:del>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del w:id="211" w:author="svcMRProcess" w:date="2015-10-30T02:49:00Z"/>
        </w:trPr>
        <w:tc>
          <w:tcPr>
            <w:tcW w:w="2671" w:type="dxa"/>
            <w:tcBorders>
              <w:top w:val="single" w:sz="4" w:space="0" w:color="auto"/>
              <w:bottom w:val="single" w:sz="4" w:space="0" w:color="auto"/>
            </w:tcBorders>
          </w:tcPr>
          <w:p>
            <w:pPr>
              <w:pStyle w:val="nzTable"/>
              <w:rPr>
                <w:del w:id="212" w:author="svcMRProcess" w:date="2015-10-30T02:49:00Z"/>
              </w:rPr>
            </w:pPr>
            <w:del w:id="213" w:author="svcMRProcess" w:date="2015-10-30T02:49:00Z">
              <w:r>
                <w:rPr>
                  <w:b/>
                </w:rPr>
                <w:delText>Delete</w:delText>
              </w:r>
            </w:del>
          </w:p>
        </w:tc>
        <w:tc>
          <w:tcPr>
            <w:tcW w:w="2489" w:type="dxa"/>
            <w:tcBorders>
              <w:top w:val="single" w:sz="4" w:space="0" w:color="auto"/>
              <w:bottom w:val="single" w:sz="4" w:space="0" w:color="auto"/>
            </w:tcBorders>
          </w:tcPr>
          <w:p>
            <w:pPr>
              <w:pStyle w:val="nzTable"/>
              <w:rPr>
                <w:del w:id="214" w:author="svcMRProcess" w:date="2015-10-30T02:49:00Z"/>
              </w:rPr>
            </w:pPr>
            <w:del w:id="215" w:author="svcMRProcess" w:date="2015-10-30T02:49:00Z">
              <w:r>
                <w:rPr>
                  <w:b/>
                </w:rPr>
                <w:delText>Insert instead</w:delText>
              </w:r>
            </w:del>
          </w:p>
        </w:tc>
      </w:tr>
      <w:tr>
        <w:trPr>
          <w:del w:id="216" w:author="svcMRProcess" w:date="2015-10-30T02:49:00Z"/>
        </w:trPr>
        <w:tc>
          <w:tcPr>
            <w:tcW w:w="2671" w:type="dxa"/>
          </w:tcPr>
          <w:p>
            <w:pPr>
              <w:pStyle w:val="nzTable"/>
              <w:rPr>
                <w:del w:id="217" w:author="svcMRProcess" w:date="2015-10-30T02:49:00Z"/>
              </w:rPr>
            </w:pPr>
            <w:del w:id="218" w:author="svcMRProcess" w:date="2015-10-30T02:49:00Z">
              <w:r>
                <w:delText>A defendant</w:delText>
              </w:r>
            </w:del>
          </w:p>
        </w:tc>
        <w:tc>
          <w:tcPr>
            <w:tcW w:w="2489" w:type="dxa"/>
          </w:tcPr>
          <w:p>
            <w:pPr>
              <w:pStyle w:val="nzTable"/>
              <w:rPr>
                <w:del w:id="219" w:author="svcMRProcess" w:date="2015-10-30T02:49:00Z"/>
              </w:rPr>
            </w:pPr>
            <w:del w:id="220" w:author="svcMRProcess" w:date="2015-10-30T02:49:00Z">
              <w:r>
                <w:delText>An accused</w:delText>
              </w:r>
            </w:del>
          </w:p>
        </w:tc>
      </w:tr>
      <w:tr>
        <w:trPr>
          <w:del w:id="221" w:author="svcMRProcess" w:date="2015-10-30T02:49:00Z"/>
        </w:trPr>
        <w:tc>
          <w:tcPr>
            <w:tcW w:w="2671" w:type="dxa"/>
          </w:tcPr>
          <w:p>
            <w:pPr>
              <w:pStyle w:val="nzTable"/>
              <w:rPr>
                <w:del w:id="222" w:author="svcMRProcess" w:date="2015-10-30T02:49:00Z"/>
              </w:rPr>
            </w:pPr>
            <w:del w:id="223" w:author="svcMRProcess" w:date="2015-10-30T02:49:00Z">
              <w:r>
                <w:delText>a defendant</w:delText>
              </w:r>
            </w:del>
          </w:p>
        </w:tc>
        <w:tc>
          <w:tcPr>
            <w:tcW w:w="2489" w:type="dxa"/>
          </w:tcPr>
          <w:p>
            <w:pPr>
              <w:pStyle w:val="nzTable"/>
              <w:rPr>
                <w:del w:id="224" w:author="svcMRProcess" w:date="2015-10-30T02:49:00Z"/>
              </w:rPr>
            </w:pPr>
            <w:del w:id="225" w:author="svcMRProcess" w:date="2015-10-30T02:49:00Z">
              <w:r>
                <w:delText>an accused</w:delText>
              </w:r>
            </w:del>
          </w:p>
        </w:tc>
      </w:tr>
      <w:tr>
        <w:trPr>
          <w:del w:id="226" w:author="svcMRProcess" w:date="2015-10-30T02:49:00Z"/>
        </w:trPr>
        <w:tc>
          <w:tcPr>
            <w:tcW w:w="2671" w:type="dxa"/>
          </w:tcPr>
          <w:p>
            <w:pPr>
              <w:pStyle w:val="nzTable"/>
              <w:rPr>
                <w:del w:id="227" w:author="svcMRProcess" w:date="2015-10-30T02:49:00Z"/>
              </w:rPr>
            </w:pPr>
            <w:del w:id="228" w:author="svcMRProcess" w:date="2015-10-30T02:49:00Z">
              <w:r>
                <w:delText>a defendant’s</w:delText>
              </w:r>
            </w:del>
          </w:p>
        </w:tc>
        <w:tc>
          <w:tcPr>
            <w:tcW w:w="2489" w:type="dxa"/>
          </w:tcPr>
          <w:p>
            <w:pPr>
              <w:pStyle w:val="nzTable"/>
              <w:rPr>
                <w:del w:id="229" w:author="svcMRProcess" w:date="2015-10-30T02:49:00Z"/>
              </w:rPr>
            </w:pPr>
            <w:del w:id="230" w:author="svcMRProcess" w:date="2015-10-30T02:49:00Z">
              <w:r>
                <w:delText>an accused’s</w:delText>
              </w:r>
            </w:del>
          </w:p>
        </w:tc>
      </w:tr>
      <w:tr>
        <w:trPr>
          <w:del w:id="231" w:author="svcMRProcess" w:date="2015-10-30T02:49:00Z"/>
        </w:trPr>
        <w:tc>
          <w:tcPr>
            <w:tcW w:w="2671" w:type="dxa"/>
          </w:tcPr>
          <w:p>
            <w:pPr>
              <w:pStyle w:val="nzTable"/>
              <w:rPr>
                <w:del w:id="232" w:author="svcMRProcess" w:date="2015-10-30T02:49:00Z"/>
              </w:rPr>
            </w:pPr>
            <w:del w:id="233" w:author="svcMRProcess" w:date="2015-10-30T02:49:00Z">
              <w:r>
                <w:delText>defendant</w:delText>
              </w:r>
            </w:del>
          </w:p>
        </w:tc>
        <w:tc>
          <w:tcPr>
            <w:tcW w:w="2489" w:type="dxa"/>
          </w:tcPr>
          <w:p>
            <w:pPr>
              <w:pStyle w:val="nzTable"/>
              <w:rPr>
                <w:del w:id="234" w:author="svcMRProcess" w:date="2015-10-30T02:49:00Z"/>
              </w:rPr>
            </w:pPr>
            <w:del w:id="235" w:author="svcMRProcess" w:date="2015-10-30T02:49:00Z">
              <w:r>
                <w:delText>accused</w:delText>
              </w:r>
            </w:del>
          </w:p>
        </w:tc>
      </w:tr>
      <w:tr>
        <w:trPr>
          <w:del w:id="236" w:author="svcMRProcess" w:date="2015-10-30T02:49:00Z"/>
        </w:trPr>
        <w:tc>
          <w:tcPr>
            <w:tcW w:w="2671" w:type="dxa"/>
          </w:tcPr>
          <w:p>
            <w:pPr>
              <w:pStyle w:val="nzTable"/>
              <w:rPr>
                <w:del w:id="237" w:author="svcMRProcess" w:date="2015-10-30T02:49:00Z"/>
              </w:rPr>
            </w:pPr>
            <w:del w:id="238" w:author="svcMRProcess" w:date="2015-10-30T02:49:00Z">
              <w:r>
                <w:delText>defendants</w:delText>
              </w:r>
            </w:del>
          </w:p>
        </w:tc>
        <w:tc>
          <w:tcPr>
            <w:tcW w:w="2489" w:type="dxa"/>
          </w:tcPr>
          <w:p>
            <w:pPr>
              <w:pStyle w:val="nzTable"/>
              <w:rPr>
                <w:del w:id="239" w:author="svcMRProcess" w:date="2015-10-30T02:49:00Z"/>
              </w:rPr>
            </w:pPr>
            <w:del w:id="240" w:author="svcMRProcess" w:date="2015-10-30T02:49:00Z">
              <w:r>
                <w:delText>accused</w:delText>
              </w:r>
            </w:del>
          </w:p>
        </w:tc>
      </w:tr>
      <w:tr>
        <w:trPr>
          <w:del w:id="241" w:author="svcMRProcess" w:date="2015-10-30T02:49:00Z"/>
        </w:trPr>
        <w:tc>
          <w:tcPr>
            <w:tcW w:w="2671" w:type="dxa"/>
          </w:tcPr>
          <w:p>
            <w:pPr>
              <w:pStyle w:val="nzTable"/>
              <w:rPr>
                <w:del w:id="242" w:author="svcMRProcess" w:date="2015-10-30T02:49:00Z"/>
              </w:rPr>
            </w:pPr>
            <w:del w:id="243" w:author="svcMRProcess" w:date="2015-10-30T02:49:00Z">
              <w:r>
                <w:delText>Defendants’</w:delText>
              </w:r>
            </w:del>
          </w:p>
        </w:tc>
        <w:tc>
          <w:tcPr>
            <w:tcW w:w="2489" w:type="dxa"/>
          </w:tcPr>
          <w:p>
            <w:pPr>
              <w:pStyle w:val="nzTable"/>
              <w:rPr>
                <w:del w:id="244" w:author="svcMRProcess" w:date="2015-10-30T02:49:00Z"/>
              </w:rPr>
            </w:pPr>
            <w:del w:id="245" w:author="svcMRProcess" w:date="2015-10-30T02:49:00Z">
              <w:r>
                <w:delText>Accused’s</w:delText>
              </w:r>
            </w:del>
          </w:p>
        </w:tc>
      </w:tr>
      <w:tr>
        <w:trPr>
          <w:del w:id="246" w:author="svcMRProcess" w:date="2015-10-30T02:49:00Z"/>
        </w:trPr>
        <w:tc>
          <w:tcPr>
            <w:tcW w:w="2671" w:type="dxa"/>
          </w:tcPr>
          <w:p>
            <w:pPr>
              <w:pStyle w:val="nzTable"/>
              <w:rPr>
                <w:del w:id="247" w:author="svcMRProcess" w:date="2015-10-30T02:49:00Z"/>
              </w:rPr>
            </w:pPr>
            <w:del w:id="248" w:author="svcMRProcess" w:date="2015-10-30T02:49:00Z">
              <w:r>
                <w:delText>Defendants</w:delText>
              </w:r>
            </w:del>
          </w:p>
        </w:tc>
        <w:tc>
          <w:tcPr>
            <w:tcW w:w="2489" w:type="dxa"/>
          </w:tcPr>
          <w:p>
            <w:pPr>
              <w:pStyle w:val="nzTable"/>
              <w:rPr>
                <w:del w:id="249" w:author="svcMRProcess" w:date="2015-10-30T02:49:00Z"/>
              </w:rPr>
            </w:pPr>
            <w:del w:id="250" w:author="svcMRProcess" w:date="2015-10-30T02:49:00Z">
              <w:r>
                <w:delText>Accused</w:delText>
              </w:r>
            </w:del>
          </w:p>
        </w:tc>
      </w:tr>
      <w:tr>
        <w:trPr>
          <w:del w:id="251" w:author="svcMRProcess" w:date="2015-10-30T02:49:00Z"/>
        </w:trPr>
        <w:tc>
          <w:tcPr>
            <w:tcW w:w="2671" w:type="dxa"/>
          </w:tcPr>
          <w:p>
            <w:pPr>
              <w:pStyle w:val="nzTable"/>
              <w:rPr>
                <w:del w:id="252" w:author="svcMRProcess" w:date="2015-10-30T02:49:00Z"/>
              </w:rPr>
            </w:pPr>
            <w:del w:id="253" w:author="svcMRProcess" w:date="2015-10-30T02:49:00Z">
              <w:r>
                <w:delText>the defendant</w:delText>
              </w:r>
            </w:del>
          </w:p>
        </w:tc>
        <w:tc>
          <w:tcPr>
            <w:tcW w:w="2489" w:type="dxa"/>
          </w:tcPr>
          <w:p>
            <w:pPr>
              <w:pStyle w:val="nzTable"/>
              <w:rPr>
                <w:del w:id="254" w:author="svcMRProcess" w:date="2015-10-30T02:49:00Z"/>
              </w:rPr>
            </w:pPr>
            <w:del w:id="255" w:author="svcMRProcess" w:date="2015-10-30T02:49:00Z">
              <w:r>
                <w:delText>the accused</w:delText>
              </w:r>
            </w:del>
          </w:p>
        </w:tc>
      </w:tr>
      <w:tr>
        <w:trPr>
          <w:del w:id="256" w:author="svcMRProcess" w:date="2015-10-30T02:49:00Z"/>
        </w:trPr>
        <w:tc>
          <w:tcPr>
            <w:tcW w:w="2671" w:type="dxa"/>
            <w:tcBorders>
              <w:bottom w:val="single" w:sz="4" w:space="0" w:color="auto"/>
            </w:tcBorders>
          </w:tcPr>
          <w:p>
            <w:pPr>
              <w:pStyle w:val="nzTable"/>
              <w:rPr>
                <w:del w:id="257" w:author="svcMRProcess" w:date="2015-10-30T02:49:00Z"/>
              </w:rPr>
            </w:pPr>
            <w:del w:id="258" w:author="svcMRProcess" w:date="2015-10-30T02:49:00Z">
              <w:r>
                <w:delText>the defendant’s</w:delText>
              </w:r>
            </w:del>
          </w:p>
        </w:tc>
        <w:tc>
          <w:tcPr>
            <w:tcW w:w="2489" w:type="dxa"/>
            <w:tcBorders>
              <w:bottom w:val="single" w:sz="4" w:space="0" w:color="auto"/>
            </w:tcBorders>
          </w:tcPr>
          <w:p>
            <w:pPr>
              <w:pStyle w:val="nzTable"/>
              <w:rPr>
                <w:del w:id="259" w:author="svcMRProcess" w:date="2015-10-30T02:49:00Z"/>
              </w:rPr>
            </w:pPr>
            <w:del w:id="260" w:author="svcMRProcess" w:date="2015-10-30T02:49:00Z">
              <w:r>
                <w:delText>the accused’s</w:delText>
              </w:r>
            </w:del>
          </w:p>
        </w:tc>
      </w:tr>
    </w:tbl>
    <w:p>
      <w:pPr>
        <w:pStyle w:val="nzMiscellaneousHeading"/>
        <w:rPr>
          <w:del w:id="261" w:author="svcMRProcess" w:date="2015-10-30T02:49:00Z"/>
          <w:b/>
        </w:rPr>
      </w:pPr>
      <w:del w:id="262" w:author="svcMRProcess" w:date="2015-10-30T02:49:00Z">
        <w:r>
          <w:rPr>
            <w:b/>
          </w:rPr>
          <w:delText>Table 2 — Various provisions</w:delText>
        </w:r>
      </w:del>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del w:id="263" w:author="svcMRProcess" w:date="2015-10-30T02:49:00Z"/>
        </w:trPr>
        <w:tc>
          <w:tcPr>
            <w:tcW w:w="3402" w:type="dxa"/>
          </w:tcPr>
          <w:p>
            <w:pPr>
              <w:pStyle w:val="nzTable"/>
              <w:rPr>
                <w:del w:id="264" w:author="svcMRProcess" w:date="2015-10-30T02:49:00Z"/>
              </w:rPr>
            </w:pPr>
            <w:del w:id="265" w:author="svcMRProcess" w:date="2015-10-30T02:49:00Z">
              <w:r>
                <w:rPr>
                  <w:i/>
                </w:rPr>
                <w:delText>Gas Standards Act 1972</w:delText>
              </w:r>
            </w:del>
          </w:p>
        </w:tc>
        <w:tc>
          <w:tcPr>
            <w:tcW w:w="1843" w:type="dxa"/>
          </w:tcPr>
          <w:p>
            <w:pPr>
              <w:pStyle w:val="nzTable"/>
              <w:rPr>
                <w:del w:id="266" w:author="svcMRProcess" w:date="2015-10-30T02:49:00Z"/>
              </w:rPr>
            </w:pPr>
            <w:del w:id="267" w:author="svcMRProcess" w:date="2015-10-30T02:49:00Z">
              <w:r>
                <w:delText>s. 13(2)</w:delText>
              </w:r>
            </w:del>
          </w:p>
        </w:tc>
      </w:tr>
    </w:tbl>
    <w:p>
      <w:pPr>
        <w:pStyle w:val="MiscClose"/>
        <w:rPr>
          <w:del w:id="268" w:author="svcMRProcess" w:date="2015-10-30T02:49:00Z"/>
        </w:rPr>
      </w:pPr>
      <w:del w:id="269" w:author="svcMRProcess" w:date="2015-10-30T02:49:00Z">
        <w:r>
          <w:delText>”.</w:delText>
        </w:r>
      </w:del>
    </w:p>
    <w:p>
      <w:pPr>
        <w:pStyle w:val="nSubsection"/>
        <w:keepLines/>
        <w:rPr>
          <w:del w:id="270" w:author="svcMRProcess" w:date="2015-10-30T02:49:00Z"/>
          <w:snapToGrid w:val="0"/>
        </w:rPr>
      </w:pPr>
      <w:del w:id="271" w:author="svcMRProcess" w:date="2015-10-30T02:49: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and 78(2)(a) </w:delText>
        </w:r>
        <w:r>
          <w:rPr>
            <w:snapToGrid w:val="0"/>
          </w:rPr>
          <w:delText>had not come into operation.  They read as follows:</w:delText>
        </w:r>
      </w:del>
    </w:p>
    <w:p>
      <w:pPr>
        <w:pStyle w:val="MiscOpen"/>
        <w:rPr>
          <w:del w:id="272" w:author="svcMRProcess" w:date="2015-10-30T02:49:00Z"/>
        </w:rPr>
      </w:pPr>
      <w:del w:id="273" w:author="svcMRProcess" w:date="2015-10-30T02:49:00Z">
        <w:r>
          <w:delText>“</w:delText>
        </w:r>
      </w:del>
    </w:p>
    <w:p>
      <w:pPr>
        <w:pStyle w:val="nzHeading5"/>
        <w:rPr>
          <w:del w:id="274" w:author="svcMRProcess" w:date="2015-10-30T02:49:00Z"/>
        </w:rPr>
      </w:pPr>
      <w:bookmarkStart w:id="275" w:name="_Toc192051043"/>
      <w:bookmarkStart w:id="276" w:name="_Toc193093691"/>
      <w:bookmarkStart w:id="277" w:name="_Toc192051044"/>
      <w:bookmarkStart w:id="278" w:name="_Toc193093692"/>
      <w:del w:id="279" w:author="svcMRProcess" w:date="2015-10-30T02:49:00Z">
        <w:r>
          <w:rPr>
            <w:rStyle w:val="CharSectno"/>
          </w:rPr>
          <w:delText>77</w:delText>
        </w:r>
        <w:r>
          <w:delText>.</w:delText>
        </w:r>
        <w:r>
          <w:tab/>
        </w:r>
        <w:r>
          <w:rPr>
            <w:i/>
            <w:iCs/>
          </w:rPr>
          <w:delText xml:space="preserve">Courts Legislation Amendment and Repeal Act 2004 </w:delText>
        </w:r>
        <w:r>
          <w:delText>amended</w:delText>
        </w:r>
        <w:bookmarkEnd w:id="275"/>
        <w:bookmarkEnd w:id="276"/>
      </w:del>
    </w:p>
    <w:p>
      <w:pPr>
        <w:pStyle w:val="nzSubsection"/>
        <w:rPr>
          <w:del w:id="280" w:author="svcMRProcess" w:date="2015-10-30T02:49:00Z"/>
        </w:rPr>
      </w:pPr>
      <w:del w:id="281" w:author="svcMRProcess" w:date="2015-10-30T02:49: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282" w:author="svcMRProcess" w:date="2015-10-30T02:49:00Z"/>
        </w:rPr>
      </w:pPr>
      <w:del w:id="283" w:author="svcMRProcess" w:date="2015-10-30T02:49:00Z">
        <w:r>
          <w:tab/>
          <w:delText>(13)</w:delText>
        </w:r>
        <w:r>
          <w:tab/>
          <w:delText>Schedule 2 clauses 1 to 42 and 44 to 51 are repealed.</w:delText>
        </w:r>
      </w:del>
    </w:p>
    <w:p>
      <w:pPr>
        <w:pStyle w:val="nzHeading5"/>
        <w:rPr>
          <w:del w:id="284" w:author="svcMRProcess" w:date="2015-10-30T02:49:00Z"/>
        </w:rPr>
      </w:pPr>
      <w:del w:id="285" w:author="svcMRProcess" w:date="2015-10-30T02:49:00Z">
        <w:r>
          <w:rPr>
            <w:rStyle w:val="CharSectno"/>
          </w:rPr>
          <w:delText>78</w:delText>
        </w:r>
        <w:r>
          <w:delText>.</w:delText>
        </w:r>
        <w:r>
          <w:tab/>
        </w:r>
        <w:r>
          <w:rPr>
            <w:i/>
            <w:iCs/>
          </w:rPr>
          <w:delText xml:space="preserve">Criminal Procedure and Appeals (Consequential and Other Provisions) Act 2004 </w:delText>
        </w:r>
        <w:r>
          <w:delText>amended</w:delText>
        </w:r>
        <w:bookmarkEnd w:id="277"/>
        <w:bookmarkEnd w:id="278"/>
      </w:del>
    </w:p>
    <w:p>
      <w:pPr>
        <w:pStyle w:val="nzSubsection"/>
        <w:rPr>
          <w:del w:id="286" w:author="svcMRProcess" w:date="2015-10-30T02:49:00Z"/>
        </w:rPr>
      </w:pPr>
      <w:del w:id="287" w:author="svcMRProcess" w:date="2015-10-30T02:49: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288" w:author="svcMRProcess" w:date="2015-10-30T02:49:00Z"/>
        </w:rPr>
      </w:pPr>
      <w:del w:id="289" w:author="svcMRProcess" w:date="2015-10-30T02:49:00Z">
        <w:r>
          <w:tab/>
          <w:delText>(2)</w:delText>
        </w:r>
        <w:r>
          <w:tab/>
          <w:delText>Section 82 is amended in Table 2 as follows:</w:delText>
        </w:r>
      </w:del>
    </w:p>
    <w:p>
      <w:pPr>
        <w:pStyle w:val="nzIndenta"/>
        <w:rPr>
          <w:del w:id="290" w:author="svcMRProcess" w:date="2015-10-30T02:49:00Z"/>
        </w:rPr>
      </w:pPr>
      <w:del w:id="291" w:author="svcMRProcess" w:date="2015-10-30T02:49:00Z">
        <w:r>
          <w:tab/>
          <w:delText>(a)</w:delText>
        </w:r>
        <w:r>
          <w:tab/>
          <w:delText xml:space="preserve">by deleting the row relating to the </w:delText>
        </w:r>
        <w:r>
          <w:rPr>
            <w:i/>
          </w:rPr>
          <w:delText>Gas Standards Act 1972</w:delText>
        </w:r>
        <w:r>
          <w:delText>;</w:delText>
        </w:r>
      </w:del>
    </w:p>
    <w:p>
      <w:pPr>
        <w:pStyle w:val="MiscClose"/>
        <w:rPr>
          <w:del w:id="292" w:author="svcMRProcess" w:date="2015-10-30T02:49:00Z"/>
        </w:rPr>
      </w:pPr>
      <w:del w:id="293" w:author="svcMRProcess" w:date="2015-10-30T02:49: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Standards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10236</Words>
  <Characters>49237</Characters>
  <Application>Microsoft Office Word</Application>
  <DocSecurity>0</DocSecurity>
  <Lines>1330</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03-g0-01 - 03-h0-02</dc:title>
  <dc:subject/>
  <dc:creator/>
  <cp:keywords/>
  <dc:description/>
  <cp:lastModifiedBy>svcMRProcess</cp:lastModifiedBy>
  <cp:revision>2</cp:revision>
  <cp:lastPrinted>2006-06-20T03:25:00Z</cp:lastPrinted>
  <dcterms:created xsi:type="dcterms:W3CDTF">2015-10-29T18:49:00Z</dcterms:created>
  <dcterms:modified xsi:type="dcterms:W3CDTF">2015-10-29T18:49:00Z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313</vt:i4>
  </property>
  <property fmtid="{D5CDD505-2E9C-101B-9397-08002B2CF9AE}" pid="6" name="FromSuffix">
    <vt:lpwstr>03-g0-01</vt:lpwstr>
  </property>
  <property fmtid="{D5CDD505-2E9C-101B-9397-08002B2CF9AE}" pid="7" name="FromAsAtDate">
    <vt:lpwstr>12 Mar 2008</vt:lpwstr>
  </property>
  <property fmtid="{D5CDD505-2E9C-101B-9397-08002B2CF9AE}" pid="8" name="ToSuffix">
    <vt:lpwstr>03-h0-02</vt:lpwstr>
  </property>
  <property fmtid="{D5CDD505-2E9C-101B-9397-08002B2CF9AE}" pid="9" name="ToAsAtDate">
    <vt:lpwstr>27 Apr 2008</vt:lpwstr>
  </property>
</Properties>
</file>