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440"/>
      </w:pPr>
      <w:r>
        <w:t xml:space="preserve">Land Valuers Licensing Act 1978 </w:t>
      </w:r>
    </w:p>
    <w:p>
      <w:pPr>
        <w:pStyle w:val="LongTitle"/>
        <w:rPr>
          <w:snapToGrid w:val="0"/>
        </w:rPr>
      </w:pPr>
      <w:r>
        <w:rPr>
          <w:snapToGrid w:val="0"/>
        </w:rPr>
        <w:t>A</w:t>
      </w:r>
      <w:bookmarkStart w:id="0" w:name="_GoBack"/>
      <w:bookmarkEnd w:id="0"/>
      <w:r>
        <w:rPr>
          <w:snapToGrid w:val="0"/>
        </w:rPr>
        <w:t xml:space="preserve">n Act to provide for the licensing of land valuers and for related purposes. </w:t>
      </w:r>
    </w:p>
    <w:p>
      <w:pPr>
        <w:pStyle w:val="Heading2"/>
      </w:pPr>
      <w:bookmarkStart w:id="1" w:name="_Toc89523131"/>
      <w:bookmarkStart w:id="2" w:name="_Toc89523179"/>
      <w:bookmarkStart w:id="3" w:name="_Toc92864325"/>
      <w:bookmarkStart w:id="4" w:name="_Toc97104104"/>
      <w:bookmarkStart w:id="5" w:name="_Toc102376424"/>
      <w:bookmarkStart w:id="6" w:name="_Toc132075308"/>
      <w:bookmarkStart w:id="7" w:name="_Toc132608661"/>
      <w:bookmarkStart w:id="8" w:name="_Toc132703355"/>
      <w:bookmarkStart w:id="9" w:name="_Toc134851042"/>
      <w:bookmarkStart w:id="10" w:name="_Toc137349804"/>
      <w:bookmarkStart w:id="11" w:name="_Toc172101507"/>
      <w:bookmarkStart w:id="12" w:name="_Toc193252393"/>
      <w:bookmarkStart w:id="13" w:name="_Toc196790597"/>
      <w:bookmarkStart w:id="14" w:name="_Toc52380857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11307494"/>
      <w:bookmarkStart w:id="16" w:name="_Toc7250784"/>
      <w:bookmarkStart w:id="17" w:name="_Toc102376425"/>
      <w:bookmarkStart w:id="18" w:name="_Toc523808573"/>
      <w:bookmarkStart w:id="19" w:name="_Toc193252394"/>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20" w:name="_Toc411307495"/>
      <w:bookmarkStart w:id="21" w:name="_Toc7250785"/>
      <w:bookmarkStart w:id="22" w:name="_Toc102376426"/>
      <w:bookmarkStart w:id="23" w:name="_Toc523808574"/>
      <w:bookmarkStart w:id="24" w:name="_Toc193252395"/>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56 of 1995 s. 26.] </w:t>
      </w:r>
    </w:p>
    <w:p>
      <w:pPr>
        <w:pStyle w:val="Heading5"/>
        <w:rPr>
          <w:snapToGrid w:val="0"/>
        </w:rPr>
      </w:pPr>
      <w:bookmarkStart w:id="25" w:name="_Toc411307496"/>
      <w:bookmarkStart w:id="26" w:name="_Toc7250786"/>
      <w:bookmarkStart w:id="27" w:name="_Toc102376427"/>
      <w:bookmarkStart w:id="28" w:name="_Toc523808575"/>
      <w:bookmarkStart w:id="29" w:name="_Toc193252396"/>
      <w:r>
        <w:rPr>
          <w:rStyle w:val="CharSectno"/>
        </w:rPr>
        <w:t>4</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t>“</w:t>
      </w:r>
      <w:r>
        <w:rPr>
          <w:rStyle w:val="CharDefText"/>
        </w:rPr>
        <w:t>approved</w:t>
      </w:r>
      <w:r>
        <w:rPr>
          <w:b/>
        </w:rPr>
        <w:t>”</w:t>
      </w:r>
      <w:r>
        <w:t xml:space="preserve"> means approved by the Board;</w:t>
      </w:r>
    </w:p>
    <w:p>
      <w:pPr>
        <w:pStyle w:val="Defstart"/>
      </w:pPr>
      <w:r>
        <w:tab/>
      </w:r>
      <w:r>
        <w:rPr>
          <w:b/>
        </w:rPr>
        <w:t>“</w:t>
      </w:r>
      <w:r>
        <w:rPr>
          <w:rStyle w:val="CharDefText"/>
        </w:rPr>
        <w:t>Australian Property Institute</w:t>
      </w:r>
      <w:r>
        <w:rPr>
          <w:b/>
        </w:rPr>
        <w:t>”</w:t>
      </w:r>
      <w:r>
        <w:t xml:space="preserve"> means the incorporated association known as the Australian Property Institute;</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corporation</w:t>
      </w:r>
      <w:r>
        <w:rPr>
          <w:b/>
        </w:rPr>
        <w:t>”</w:t>
      </w:r>
      <w:r>
        <w:t xml:space="preserve"> means any body corporate;</w:t>
      </w:r>
    </w:p>
    <w:p>
      <w:pPr>
        <w:pStyle w:val="Defstart"/>
      </w:pPr>
      <w:r>
        <w:rPr>
          <w:b/>
        </w:rPr>
        <w:tab/>
        <w:t>“</w:t>
      </w:r>
      <w:r>
        <w:rPr>
          <w:rStyle w:val="CharDefText"/>
        </w:rPr>
        <w:t>land</w:t>
      </w:r>
      <w:r>
        <w:rPr>
          <w:b/>
        </w:rPr>
        <w:t>”</w:t>
      </w:r>
      <w:r>
        <w:t xml:space="preserve"> includes any estate or interest in land;</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licensed valuer</w:t>
      </w:r>
      <w:r>
        <w:rPr>
          <w:b/>
        </w:rPr>
        <w:t>”</w:t>
      </w:r>
      <w:r>
        <w:t xml:space="preserve"> means a person licensed under this Act;</w:t>
      </w:r>
    </w:p>
    <w:p>
      <w:pPr>
        <w:pStyle w:val="Defstart"/>
      </w:pPr>
      <w:r>
        <w:rPr>
          <w:b/>
        </w:rPr>
        <w:tab/>
        <w:t>“</w:t>
      </w:r>
      <w:r>
        <w:rPr>
          <w:rStyle w:val="CharDefText"/>
        </w:rPr>
        <w:t>licensed valuers code of conduct</w:t>
      </w:r>
      <w:r>
        <w:rPr>
          <w:b/>
        </w:rPr>
        <w:t>”</w:t>
      </w:r>
      <w:r>
        <w:t xml:space="preserve"> means the code published under section 26;</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b/>
          <w:bCs/>
        </w:rPr>
        <w:t>member</w:t>
      </w:r>
      <w:r>
        <w:rPr>
          <w:b/>
        </w:rPr>
        <w:t>”</w:t>
      </w:r>
      <w:r>
        <w:t>, where used in relation to membership of the Australian Property Institute, means a Fellow or Associate of that Institute;</w:t>
      </w:r>
    </w:p>
    <w:p>
      <w:pPr>
        <w:pStyle w:val="Defstart"/>
        <w:keepNext/>
      </w:pPr>
      <w:r>
        <w:rPr>
          <w:b/>
        </w:rPr>
        <w:lastRenderedPageBreak/>
        <w:tab/>
        <w:t>“</w:t>
      </w:r>
      <w:r>
        <w:rPr>
          <w:rStyle w:val="CharDefText"/>
        </w:rPr>
        <w:t>officer</w:t>
      </w:r>
      <w:r>
        <w:rPr>
          <w:b/>
        </w:rPr>
        <w:t>”</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the Board</w:t>
      </w:r>
      <w:r>
        <w:rPr>
          <w:b/>
        </w:rPr>
        <w:t>”</w:t>
      </w:r>
      <w:r>
        <w:t xml:space="preserve"> means the Land Valuers Licensing Board.</w:t>
      </w:r>
    </w:p>
    <w:p>
      <w:pPr>
        <w:pStyle w:val="Footnotesection"/>
      </w:pPr>
      <w:r>
        <w:tab/>
        <w:t xml:space="preserve">[Section 4 amended by No. 15 of 1984 s. 3; No. 56 of 1995 s. 27; No. 65 of 2003 s. 44(2); No. 74 of 2003 s. 74(2); No. 55 of 2004 s. 586.] </w:t>
      </w:r>
    </w:p>
    <w:p>
      <w:pPr>
        <w:pStyle w:val="Heading2"/>
      </w:pPr>
      <w:bookmarkStart w:id="30" w:name="_Toc89523135"/>
      <w:bookmarkStart w:id="31" w:name="_Toc89523183"/>
      <w:bookmarkStart w:id="32" w:name="_Toc92864329"/>
      <w:bookmarkStart w:id="33" w:name="_Toc97104108"/>
      <w:bookmarkStart w:id="34" w:name="_Toc102376428"/>
      <w:bookmarkStart w:id="35" w:name="_Toc132075312"/>
      <w:bookmarkStart w:id="36" w:name="_Toc132608665"/>
      <w:bookmarkStart w:id="37" w:name="_Toc132703359"/>
      <w:bookmarkStart w:id="38" w:name="_Toc134851046"/>
      <w:bookmarkStart w:id="39" w:name="_Toc137349808"/>
      <w:bookmarkStart w:id="40" w:name="_Toc172101511"/>
      <w:bookmarkStart w:id="41" w:name="_Toc193252397"/>
      <w:bookmarkStart w:id="42" w:name="_Toc196790601"/>
      <w:bookmarkStart w:id="43" w:name="_Toc523808576"/>
      <w:r>
        <w:rPr>
          <w:rStyle w:val="CharPartNo"/>
        </w:rPr>
        <w:t>Part II</w:t>
      </w:r>
      <w:r>
        <w:t> — </w:t>
      </w:r>
      <w:r>
        <w:rPr>
          <w:rStyle w:val="CharPartText"/>
        </w:rPr>
        <w:t>Land Valuers Licensing Board</w:t>
      </w:r>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3"/>
      </w:pPr>
      <w:bookmarkStart w:id="44" w:name="_Toc92864330"/>
      <w:bookmarkStart w:id="45" w:name="_Toc97104109"/>
      <w:bookmarkStart w:id="46" w:name="_Toc102376429"/>
      <w:bookmarkStart w:id="47" w:name="_Toc132075313"/>
      <w:bookmarkStart w:id="48" w:name="_Toc132608666"/>
      <w:bookmarkStart w:id="49" w:name="_Toc132703360"/>
      <w:bookmarkStart w:id="50" w:name="_Toc134851047"/>
      <w:bookmarkStart w:id="51" w:name="_Toc137349809"/>
      <w:bookmarkStart w:id="52" w:name="_Toc172101512"/>
      <w:bookmarkStart w:id="53" w:name="_Toc193252398"/>
      <w:bookmarkStart w:id="54" w:name="_Toc196790602"/>
      <w:bookmarkStart w:id="55" w:name="_Toc523808577"/>
      <w:bookmarkStart w:id="56" w:name="_Toc411307497"/>
      <w:bookmarkStart w:id="57" w:name="_Toc7250787"/>
      <w:r>
        <w:rPr>
          <w:rStyle w:val="CharDivNo"/>
        </w:rPr>
        <w:t>Division 1</w:t>
      </w:r>
      <w:r>
        <w:t xml:space="preserve"> — </w:t>
      </w:r>
      <w:r>
        <w:rPr>
          <w:rStyle w:val="CharDivText"/>
        </w:rPr>
        <w:t>Land Valuers Licensing Board</w:t>
      </w:r>
      <w:bookmarkEnd w:id="44"/>
      <w:bookmarkEnd w:id="45"/>
      <w:bookmarkEnd w:id="46"/>
      <w:bookmarkEnd w:id="47"/>
      <w:bookmarkEnd w:id="48"/>
      <w:bookmarkEnd w:id="49"/>
      <w:bookmarkEnd w:id="50"/>
      <w:bookmarkEnd w:id="51"/>
      <w:bookmarkEnd w:id="52"/>
      <w:bookmarkEnd w:id="53"/>
      <w:bookmarkEnd w:id="54"/>
      <w:bookmarkEnd w:id="55"/>
    </w:p>
    <w:p>
      <w:pPr>
        <w:pStyle w:val="Footnoteheading"/>
        <w:tabs>
          <w:tab w:val="left" w:pos="851"/>
        </w:tabs>
      </w:pPr>
      <w:r>
        <w:tab/>
        <w:t>[Heading inserted by No. 55 of 2004 s. 587.]</w:t>
      </w:r>
    </w:p>
    <w:p>
      <w:pPr>
        <w:pStyle w:val="Heading5"/>
        <w:rPr>
          <w:snapToGrid w:val="0"/>
        </w:rPr>
      </w:pPr>
      <w:bookmarkStart w:id="58" w:name="_Toc102376430"/>
      <w:bookmarkStart w:id="59" w:name="_Toc523808578"/>
      <w:bookmarkStart w:id="60" w:name="_Toc193252399"/>
      <w:r>
        <w:rPr>
          <w:rStyle w:val="CharSectno"/>
        </w:rPr>
        <w:t>5</w:t>
      </w:r>
      <w:r>
        <w:rPr>
          <w:snapToGrid w:val="0"/>
        </w:rPr>
        <w:t>.</w:t>
      </w:r>
      <w:r>
        <w:rPr>
          <w:snapToGrid w:val="0"/>
        </w:rPr>
        <w:tab/>
        <w:t>The Board</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61" w:name="_Toc411307498"/>
      <w:bookmarkStart w:id="62" w:name="_Toc7250788"/>
      <w:bookmarkStart w:id="63" w:name="_Toc102376431"/>
      <w:bookmarkStart w:id="64" w:name="_Toc523808579"/>
      <w:bookmarkStart w:id="65" w:name="_Toc193252400"/>
      <w:r>
        <w:rPr>
          <w:rStyle w:val="CharSectno"/>
        </w:rPr>
        <w:t>6</w:t>
      </w:r>
      <w:r>
        <w:rPr>
          <w:snapToGrid w:val="0"/>
        </w:rPr>
        <w:t>.</w:t>
      </w:r>
      <w:r>
        <w:rPr>
          <w:snapToGrid w:val="0"/>
        </w:rPr>
        <w:tab/>
        <w:t>Composition of Board</w:t>
      </w:r>
      <w:bookmarkEnd w:id="61"/>
      <w:bookmarkEnd w:id="62"/>
      <w:bookmarkEnd w:id="63"/>
      <w:bookmarkEnd w:id="64"/>
      <w:bookmarkEnd w:id="65"/>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a legal practitioner </w:t>
      </w:r>
      <w:r>
        <w:t>or a barrister or solicitor of the Supreme Court of another State or a Territory</w:t>
      </w:r>
      <w:r>
        <w:rPr>
          <w:snapToGrid w:val="0"/>
        </w:rPr>
        <w:t xml:space="preserve"> of not less than 7 years’ standing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keepNext/>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 xml:space="preserve">to the offices referred to in subsection (1)(a), such legal practitioner </w:t>
      </w:r>
      <w:r>
        <w:t>or barrister or solicitor of the Supreme Court of another State or a Territory</w:t>
      </w:r>
      <w:r>
        <w:rPr>
          <w:snapToGrid w:val="0"/>
        </w:rPr>
        <w:t xml:space="preserve">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[(5)-(7)</w:t>
      </w:r>
      <w:r>
        <w:tab/>
        <w:t>repealed]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 xml:space="preserve">[Section 6 amended by No. 15 of 1984 s. 4; No. 65 of 2003 s. 115; No. 74 of 2003 s. 74(3).] </w:t>
      </w:r>
    </w:p>
    <w:p>
      <w:pPr>
        <w:pStyle w:val="Heading5"/>
        <w:rPr>
          <w:snapToGrid w:val="0"/>
        </w:rPr>
      </w:pPr>
      <w:bookmarkStart w:id="66" w:name="_Toc411307499"/>
      <w:bookmarkStart w:id="67" w:name="_Toc7250789"/>
      <w:bookmarkStart w:id="68" w:name="_Toc102376432"/>
      <w:bookmarkStart w:id="69" w:name="_Toc523808580"/>
      <w:bookmarkStart w:id="70" w:name="_Toc193252401"/>
      <w:r>
        <w:rPr>
          <w:rStyle w:val="CharSectno"/>
        </w:rPr>
        <w:t>7</w:t>
      </w:r>
      <w:r>
        <w:rPr>
          <w:snapToGrid w:val="0"/>
        </w:rPr>
        <w:t>.</w:t>
      </w:r>
      <w:r>
        <w:rPr>
          <w:snapToGrid w:val="0"/>
        </w:rPr>
        <w:tab/>
        <w:t>Term of office</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his appointment is terminated pursuant to subsection (3);</w:t>
      </w:r>
    </w:p>
    <w:p>
      <w:pPr>
        <w:pStyle w:val="Indenta"/>
        <w:rPr>
          <w:snapToGrid w:val="0"/>
        </w:rPr>
      </w:pPr>
      <w:r>
        <w:rPr>
          <w:snapToGrid w:val="0"/>
        </w:rPr>
        <w:tab/>
        <w:t>(c)</w:t>
      </w:r>
      <w:r>
        <w:rPr>
          <w:snapToGrid w:val="0"/>
        </w:rPr>
        <w:tab/>
        <w:t>he becomes an undischarged bankrupt or a person whose property is subject to an order or arrangement under the laws relating to bankruptcy;</w:t>
      </w:r>
    </w:p>
    <w:p>
      <w:pPr>
        <w:pStyle w:val="Indenta"/>
        <w:rPr>
          <w:snapToGrid w:val="0"/>
        </w:rPr>
      </w:pPr>
      <w:r>
        <w:rPr>
          <w:snapToGrid w:val="0"/>
        </w:rPr>
        <w:tab/>
        <w:t>(d)</w:t>
      </w:r>
      <w:r>
        <w:rPr>
          <w:snapToGrid w:val="0"/>
        </w:rPr>
        <w:tab/>
        <w:t>he becomes permanently incapable of performing his duties as a member;</w:t>
      </w:r>
    </w:p>
    <w:p>
      <w:pPr>
        <w:pStyle w:val="Indenta"/>
        <w:rPr>
          <w:snapToGrid w:val="0"/>
        </w:rPr>
      </w:pPr>
      <w:r>
        <w:rPr>
          <w:snapToGrid w:val="0"/>
        </w:rPr>
        <w:tab/>
        <w:t>(e)</w:t>
      </w:r>
      <w:r>
        <w:rPr>
          <w:snapToGrid w:val="0"/>
        </w:rPr>
        <w:tab/>
        <w:t>he resigns his office by written notice addressed to the Minister;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Heading5"/>
        <w:rPr>
          <w:snapToGrid w:val="0"/>
        </w:rPr>
      </w:pPr>
      <w:bookmarkStart w:id="71" w:name="_Toc411307500"/>
      <w:bookmarkStart w:id="72" w:name="_Toc7250790"/>
      <w:bookmarkStart w:id="73" w:name="_Toc102376433"/>
      <w:bookmarkStart w:id="74" w:name="_Toc523808581"/>
      <w:bookmarkStart w:id="75" w:name="_Toc193252402"/>
      <w:r>
        <w:rPr>
          <w:rStyle w:val="CharSectno"/>
        </w:rPr>
        <w:t>8</w:t>
      </w:r>
      <w:r>
        <w:rPr>
          <w:snapToGrid w:val="0"/>
        </w:rPr>
        <w:t>.</w:t>
      </w:r>
      <w:r>
        <w:rPr>
          <w:snapToGrid w:val="0"/>
        </w:rPr>
        <w:tab/>
        <w:t>Meetings of the Board</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76" w:name="_Toc411307501"/>
      <w:bookmarkStart w:id="77" w:name="_Toc7250791"/>
      <w:bookmarkStart w:id="78" w:name="_Toc102376434"/>
      <w:bookmarkStart w:id="79" w:name="_Toc523808582"/>
      <w:bookmarkStart w:id="80" w:name="_Toc193252403"/>
      <w:r>
        <w:rPr>
          <w:rStyle w:val="CharSectno"/>
        </w:rPr>
        <w:t>9</w:t>
      </w:r>
      <w:r>
        <w:rPr>
          <w:snapToGrid w:val="0"/>
        </w:rPr>
        <w:t>.</w:t>
      </w:r>
      <w:r>
        <w:rPr>
          <w:snapToGrid w:val="0"/>
        </w:rPr>
        <w:tab/>
        <w:t>Validity of acts of Board</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81" w:name="_Toc411307502"/>
      <w:bookmarkStart w:id="82" w:name="_Toc7250792"/>
      <w:bookmarkStart w:id="83" w:name="_Toc102376435"/>
      <w:bookmarkStart w:id="84" w:name="_Toc523808583"/>
      <w:bookmarkStart w:id="85" w:name="_Toc193252404"/>
      <w:r>
        <w:rPr>
          <w:rStyle w:val="CharSectno"/>
        </w:rPr>
        <w:t>10</w:t>
      </w:r>
      <w:r>
        <w:rPr>
          <w:snapToGrid w:val="0"/>
        </w:rPr>
        <w:t>.</w:t>
      </w:r>
      <w:r>
        <w:rPr>
          <w:snapToGrid w:val="0"/>
        </w:rPr>
        <w:tab/>
        <w:t>Remuneration of members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86" w:name="_Toc411307503"/>
      <w:bookmarkStart w:id="87" w:name="_Toc7250793"/>
      <w:bookmarkStart w:id="88" w:name="_Toc102376436"/>
      <w:bookmarkStart w:id="89" w:name="_Toc523808584"/>
      <w:bookmarkStart w:id="90" w:name="_Toc193252405"/>
      <w:r>
        <w:rPr>
          <w:rStyle w:val="CharSectno"/>
        </w:rPr>
        <w:t>11</w:t>
      </w:r>
      <w:r>
        <w:rPr>
          <w:snapToGrid w:val="0"/>
        </w:rPr>
        <w:t>.</w:t>
      </w:r>
      <w:r>
        <w:rPr>
          <w:snapToGrid w:val="0"/>
        </w:rPr>
        <w:tab/>
        <w:t>The Registrar and other officers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91" w:name="_Toc92864338"/>
      <w:bookmarkStart w:id="92" w:name="_Toc97104117"/>
      <w:bookmarkStart w:id="93" w:name="_Toc102376437"/>
      <w:bookmarkStart w:id="94" w:name="_Toc132075321"/>
      <w:bookmarkStart w:id="95" w:name="_Toc132608674"/>
      <w:bookmarkStart w:id="96" w:name="_Toc132703368"/>
      <w:bookmarkStart w:id="97" w:name="_Toc134851055"/>
      <w:bookmarkStart w:id="98" w:name="_Toc137349817"/>
      <w:bookmarkStart w:id="99" w:name="_Toc172101520"/>
      <w:bookmarkStart w:id="100" w:name="_Toc193252406"/>
      <w:bookmarkStart w:id="101" w:name="_Toc196790610"/>
      <w:bookmarkStart w:id="102" w:name="_Toc523808585"/>
      <w:bookmarkStart w:id="103" w:name="_Toc411307504"/>
      <w:bookmarkStart w:id="104" w:name="_Toc7250794"/>
      <w:r>
        <w:rPr>
          <w:rStyle w:val="CharDivNo"/>
        </w:rPr>
        <w:t>Division 2</w:t>
      </w:r>
      <w:r>
        <w:t> — </w:t>
      </w:r>
      <w:r>
        <w:rPr>
          <w:rStyle w:val="CharDivText"/>
        </w:rPr>
        <w:t>General</w:t>
      </w:r>
      <w:bookmarkEnd w:id="91"/>
      <w:bookmarkEnd w:id="92"/>
      <w:bookmarkEnd w:id="93"/>
      <w:bookmarkEnd w:id="94"/>
      <w:bookmarkEnd w:id="95"/>
      <w:bookmarkEnd w:id="96"/>
      <w:bookmarkEnd w:id="97"/>
      <w:bookmarkEnd w:id="98"/>
      <w:bookmarkEnd w:id="99"/>
      <w:bookmarkEnd w:id="100"/>
      <w:bookmarkEnd w:id="101"/>
      <w:bookmarkEnd w:id="102"/>
    </w:p>
    <w:p>
      <w:pPr>
        <w:pStyle w:val="Footnoteheading"/>
        <w:tabs>
          <w:tab w:val="left" w:pos="851"/>
        </w:tabs>
      </w:pPr>
      <w:r>
        <w:tab/>
        <w:t>[Heading inserted by No. 55 of 2004 s. 588.]</w:t>
      </w:r>
    </w:p>
    <w:p>
      <w:pPr>
        <w:pStyle w:val="Heading5"/>
        <w:rPr>
          <w:snapToGrid w:val="0"/>
        </w:rPr>
      </w:pPr>
      <w:bookmarkStart w:id="105" w:name="_Toc102376438"/>
      <w:bookmarkStart w:id="106" w:name="_Toc523808586"/>
      <w:bookmarkStart w:id="107" w:name="_Toc193252407"/>
      <w:r>
        <w:rPr>
          <w:rStyle w:val="CharSectno"/>
        </w:rPr>
        <w:t>12</w:t>
      </w:r>
      <w:r>
        <w:rPr>
          <w:snapToGrid w:val="0"/>
        </w:rPr>
        <w:t>.</w:t>
      </w:r>
      <w:r>
        <w:rPr>
          <w:snapToGrid w:val="0"/>
        </w:rPr>
        <w:tab/>
        <w:t>Proceedings before the Board</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w:t>
      </w:r>
      <w:r>
        <w:t xml:space="preserve"> $5 000.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repealed]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108" w:name="_Toc411307505"/>
      <w:bookmarkStart w:id="109" w:name="_Toc7250795"/>
      <w:r>
        <w:tab/>
        <w:t>[Section 12 amended by No. 55 of 2004 s. 589; No. 69 of 2006 s. 15.]</w:t>
      </w:r>
    </w:p>
    <w:p>
      <w:pPr>
        <w:pStyle w:val="Heading5"/>
        <w:rPr>
          <w:snapToGrid w:val="0"/>
        </w:rPr>
      </w:pPr>
      <w:bookmarkStart w:id="110" w:name="_Toc102376439"/>
      <w:bookmarkStart w:id="111" w:name="_Toc523808587"/>
      <w:bookmarkStart w:id="112" w:name="_Toc193252408"/>
      <w:r>
        <w:rPr>
          <w:rStyle w:val="CharSectno"/>
        </w:rPr>
        <w:t>13</w:t>
      </w:r>
      <w:r>
        <w:rPr>
          <w:snapToGrid w:val="0"/>
        </w:rPr>
        <w:t>.</w:t>
      </w:r>
      <w:r>
        <w:rPr>
          <w:snapToGrid w:val="0"/>
        </w:rPr>
        <w:tab/>
        <w:t>Powers of the Board</w:t>
      </w:r>
      <w:bookmarkEnd w:id="108"/>
      <w:bookmarkEnd w:id="109"/>
      <w:bookmarkEnd w:id="110"/>
      <w:bookmarkEnd w:id="111"/>
      <w:bookmarkEnd w:id="112"/>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w:t>
      </w:r>
      <w:r>
        <w:t xml:space="preserve">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113" w:name="_Toc411307506"/>
      <w:bookmarkStart w:id="114" w:name="_Toc7250796"/>
      <w:r>
        <w:tab/>
        <w:t>[Section 13 amended by No. 55 of 2004 s. 590; No. 69 of 2006 s. 16.]</w:t>
      </w:r>
    </w:p>
    <w:p>
      <w:pPr>
        <w:pStyle w:val="Heading5"/>
        <w:rPr>
          <w:snapToGrid w:val="0"/>
        </w:rPr>
      </w:pPr>
      <w:bookmarkStart w:id="115" w:name="_Toc102376440"/>
      <w:bookmarkStart w:id="116" w:name="_Toc523808588"/>
      <w:bookmarkStart w:id="117" w:name="_Toc193252409"/>
      <w:r>
        <w:rPr>
          <w:rStyle w:val="CharSectno"/>
        </w:rPr>
        <w:t>14</w:t>
      </w:r>
      <w:r>
        <w:rPr>
          <w:snapToGrid w:val="0"/>
        </w:rPr>
        <w:t>.</w:t>
      </w:r>
      <w:r>
        <w:rPr>
          <w:snapToGrid w:val="0"/>
        </w:rPr>
        <w:tab/>
        <w:t>Orders for costs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bookmarkStart w:id="118" w:name="_Toc411307507"/>
      <w:bookmarkStart w:id="119" w:name="_Toc7250797"/>
      <w:r>
        <w:tab/>
        <w:t>[Section 14 amended by No. 55 of 2004 s. 591.]</w:t>
      </w:r>
    </w:p>
    <w:p>
      <w:pPr>
        <w:pStyle w:val="Heading5"/>
        <w:rPr>
          <w:snapToGrid w:val="0"/>
        </w:rPr>
      </w:pPr>
      <w:bookmarkStart w:id="120" w:name="_Toc102376441"/>
      <w:bookmarkStart w:id="121" w:name="_Toc523808589"/>
      <w:bookmarkStart w:id="122" w:name="_Toc193252410"/>
      <w:bookmarkStart w:id="123" w:name="_Toc7340318"/>
      <w:bookmarkStart w:id="124" w:name="_Toc89523150"/>
      <w:bookmarkStart w:id="125" w:name="_Toc89523198"/>
      <w:bookmarkEnd w:id="118"/>
      <w:bookmarkEnd w:id="119"/>
      <w:r>
        <w:rPr>
          <w:rStyle w:val="CharSectno"/>
        </w:rPr>
        <w:t>15</w:t>
      </w:r>
      <w:r>
        <w:rPr>
          <w:snapToGrid w:val="0"/>
        </w:rPr>
        <w:t>.</w:t>
      </w:r>
      <w:r>
        <w:rPr>
          <w:snapToGrid w:val="0"/>
        </w:rPr>
        <w:tab/>
        <w:t>Powers of investigation</w:t>
      </w:r>
      <w:bookmarkEnd w:id="120"/>
      <w:bookmarkEnd w:id="121"/>
      <w:bookmarkEnd w:id="122"/>
      <w:r>
        <w:rPr>
          <w:snapToGrid w:val="0"/>
        </w:rPr>
        <w:t xml:space="preserve"> </w:t>
      </w:r>
    </w:p>
    <w:p>
      <w:pPr>
        <w:pStyle w:val="Subsection"/>
        <w:spacing w:before="12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20"/>
        <w:rPr>
          <w:snapToGrid w:val="0"/>
        </w:rPr>
      </w:pPr>
      <w:bookmarkStart w:id="126" w:name="_Hlt40842707"/>
      <w:bookmarkEnd w:id="126"/>
      <w:r>
        <w:rPr>
          <w:snapToGrid w:val="0"/>
        </w:rPr>
        <w:tab/>
        <w:t>(2)</w:t>
      </w:r>
      <w:r>
        <w:rPr>
          <w:snapToGrid w:val="0"/>
        </w:rPr>
        <w:tab/>
        <w:t>The Board may designate an officer of the Board to be an investigator to carry out an inquiry and report to the Board under this section.</w:t>
      </w:r>
    </w:p>
    <w:p>
      <w:pPr>
        <w:pStyle w:val="Subsection"/>
        <w:spacing w:before="120"/>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2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27" w:name="_Toc102376442"/>
      <w:bookmarkStart w:id="128" w:name="_Toc523808590"/>
      <w:bookmarkStart w:id="129" w:name="_Toc193252411"/>
      <w:r>
        <w:rPr>
          <w:rStyle w:val="CharSectno"/>
        </w:rPr>
        <w:t>15A</w:t>
      </w:r>
      <w:r>
        <w:rPr>
          <w:snapToGrid w:val="0"/>
        </w:rPr>
        <w:t>.</w:t>
      </w:r>
      <w:r>
        <w:rPr>
          <w:snapToGrid w:val="0"/>
        </w:rPr>
        <w:tab/>
        <w:t>Incriminating information, questions, or documents</w:t>
      </w:r>
      <w:bookmarkEnd w:id="127"/>
      <w:bookmarkEnd w:id="128"/>
      <w:bookmarkEnd w:id="129"/>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30" w:name="_Toc102376443"/>
      <w:bookmarkStart w:id="131" w:name="_Toc523808591"/>
      <w:bookmarkStart w:id="132" w:name="_Toc193252412"/>
      <w:r>
        <w:rPr>
          <w:rStyle w:val="CharSectno"/>
        </w:rPr>
        <w:t>15B</w:t>
      </w:r>
      <w:r>
        <w:rPr>
          <w:snapToGrid w:val="0"/>
        </w:rPr>
        <w:t>.</w:t>
      </w:r>
      <w:r>
        <w:rPr>
          <w:snapToGrid w:val="0"/>
        </w:rPr>
        <w:tab/>
        <w:t>Failure to comply with investigation</w:t>
      </w:r>
      <w:bookmarkEnd w:id="130"/>
      <w:bookmarkEnd w:id="131"/>
      <w:bookmarkEnd w:id="132"/>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del w:id="133" w:author="svcMRProcess" w:date="2018-09-04T07:14:00Z">
        <w:r>
          <w:rPr>
            <w:snapToGrid w:val="0"/>
          </w:rPr>
          <w:delText>defendant</w:delText>
        </w:r>
      </w:del>
      <w:ins w:id="134" w:author="svcMRProcess" w:date="2018-09-04T07:14:00Z">
        <w:r>
          <w:t>accused</w:t>
        </w:r>
      </w:ins>
      <w:r>
        <w:t xml:space="preserve"> </w:t>
      </w:r>
      <w:r>
        <w:rPr>
          <w:snapToGrid w:val="0"/>
        </w:rPr>
        <w:t>to show — </w:t>
      </w:r>
    </w:p>
    <w:p>
      <w:pPr>
        <w:pStyle w:val="Indenta"/>
        <w:spacing w:before="60"/>
        <w:rPr>
          <w:snapToGrid w:val="0"/>
        </w:rPr>
      </w:pPr>
      <w:r>
        <w:rPr>
          <w:snapToGrid w:val="0"/>
        </w:rPr>
        <w:tab/>
        <w:t>(a)</w:t>
      </w:r>
      <w:r>
        <w:rPr>
          <w:snapToGrid w:val="0"/>
        </w:rPr>
        <w:tab/>
        <w:t xml:space="preserve">that, in the case of an alleged offence arising out of a requirement made orally under section 15, the investigator did not, when making the requirement, inform the </w:t>
      </w:r>
      <w:del w:id="135" w:author="svcMRProcess" w:date="2018-09-04T07:14:00Z">
        <w:r>
          <w:rPr>
            <w:snapToGrid w:val="0"/>
          </w:rPr>
          <w:delText>defendant</w:delText>
        </w:r>
      </w:del>
      <w:ins w:id="136" w:author="svcMRProcess" w:date="2018-09-04T07:14:00Z">
        <w:r>
          <w:t>accused</w:t>
        </w:r>
      </w:ins>
      <w:r>
        <w:t xml:space="preserve"> </w:t>
      </w:r>
      <w:r>
        <w:rPr>
          <w:snapToGrid w:val="0"/>
        </w:rPr>
        <w:t>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 xml:space="preserve">that the time specified in the requirement did not afford the </w:t>
      </w:r>
      <w:del w:id="137" w:author="svcMRProcess" w:date="2018-09-04T07:14:00Z">
        <w:r>
          <w:rPr>
            <w:snapToGrid w:val="0"/>
          </w:rPr>
          <w:delText>defendant</w:delText>
        </w:r>
      </w:del>
      <w:ins w:id="138" w:author="svcMRProcess" w:date="2018-09-04T07:14:00Z">
        <w:r>
          <w:t>accused</w:t>
        </w:r>
      </w:ins>
      <w:r>
        <w:t xml:space="preserve"> </w:t>
      </w:r>
      <w:r>
        <w:rPr>
          <w:snapToGrid w:val="0"/>
        </w:rPr>
        <w:t>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w:t>
      </w:r>
      <w:del w:id="139" w:author="svcMRProcess" w:date="2018-09-04T07:14:00Z">
        <w:r>
          <w:delText>592</w:delText>
        </w:r>
      </w:del>
      <w:ins w:id="140" w:author="svcMRProcess" w:date="2018-09-04T07:14:00Z">
        <w:r>
          <w:t>592; amended by No. 2 of 2008 s. 65</w:t>
        </w:r>
      </w:ins>
      <w:r>
        <w:t>.]</w:t>
      </w:r>
    </w:p>
    <w:p>
      <w:pPr>
        <w:pStyle w:val="Heading5"/>
        <w:rPr>
          <w:snapToGrid w:val="0"/>
        </w:rPr>
      </w:pPr>
      <w:bookmarkStart w:id="141" w:name="_Toc102376444"/>
      <w:bookmarkStart w:id="142" w:name="_Toc523808592"/>
      <w:bookmarkStart w:id="143" w:name="_Toc193252413"/>
      <w:r>
        <w:rPr>
          <w:rStyle w:val="CharSectno"/>
        </w:rPr>
        <w:t>15C</w:t>
      </w:r>
      <w:r>
        <w:rPr>
          <w:snapToGrid w:val="0"/>
        </w:rPr>
        <w:t>.</w:t>
      </w:r>
      <w:r>
        <w:rPr>
          <w:snapToGrid w:val="0"/>
        </w:rPr>
        <w:tab/>
        <w:t>Obstruction of investigator</w:t>
      </w:r>
      <w:bookmarkEnd w:id="141"/>
      <w:bookmarkEnd w:id="142"/>
      <w:bookmarkEnd w:id="143"/>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44" w:name="_Toc102376445"/>
      <w:bookmarkStart w:id="145" w:name="_Toc523808593"/>
      <w:bookmarkStart w:id="146" w:name="_Toc193252414"/>
      <w:r>
        <w:rPr>
          <w:rStyle w:val="CharSectno"/>
        </w:rPr>
        <w:t>16</w:t>
      </w:r>
      <w:r>
        <w:rPr>
          <w:snapToGrid w:val="0"/>
        </w:rPr>
        <w:t>.</w:t>
      </w:r>
      <w:r>
        <w:rPr>
          <w:snapToGrid w:val="0"/>
        </w:rPr>
        <w:tab/>
      </w:r>
      <w:bookmarkEnd w:id="123"/>
      <w:r>
        <w:rPr>
          <w:snapToGrid w:val="0"/>
        </w:rPr>
        <w:t>Application for review</w:t>
      </w:r>
      <w:bookmarkEnd w:id="144"/>
      <w:bookmarkEnd w:id="145"/>
      <w:bookmarkEnd w:id="146"/>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a person whose licence is affected by a reviewable decision or who, under Part III, applies for or objects to the grant of a licence or the renewal of a licence;</w:t>
      </w:r>
    </w:p>
    <w:p>
      <w:pPr>
        <w:pStyle w:val="Defstart"/>
      </w:pPr>
      <w:r>
        <w:tab/>
      </w:r>
      <w:r>
        <w:rPr>
          <w:b/>
          <w:bCs/>
        </w:rPr>
        <w:t>“</w:t>
      </w:r>
      <w:r>
        <w:rPr>
          <w:rStyle w:val="CharDefText"/>
        </w:rPr>
        <w:t>reviewable decision</w:t>
      </w:r>
      <w:r>
        <w:rPr>
          <w:b/>
          <w:bCs/>
        </w:rPr>
        <w:t>”</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47" w:name="_Toc92864347"/>
      <w:bookmarkStart w:id="148" w:name="_Toc97104126"/>
      <w:bookmarkStart w:id="149" w:name="_Toc102376446"/>
      <w:bookmarkStart w:id="150" w:name="_Toc132075330"/>
      <w:bookmarkStart w:id="151" w:name="_Toc132608683"/>
      <w:bookmarkStart w:id="152" w:name="_Toc132703377"/>
      <w:bookmarkStart w:id="153" w:name="_Toc134851064"/>
      <w:bookmarkStart w:id="154" w:name="_Toc137349826"/>
      <w:bookmarkStart w:id="155" w:name="_Toc172101529"/>
      <w:bookmarkStart w:id="156" w:name="_Toc193252415"/>
      <w:bookmarkStart w:id="157" w:name="_Toc196790619"/>
      <w:bookmarkStart w:id="158" w:name="_Toc523808594"/>
      <w:r>
        <w:rPr>
          <w:rStyle w:val="CharPartNo"/>
        </w:rPr>
        <w:t>Part III</w:t>
      </w:r>
      <w:r>
        <w:rPr>
          <w:rStyle w:val="CharDivNo"/>
        </w:rPr>
        <w:t> </w:t>
      </w:r>
      <w:r>
        <w:t>—</w:t>
      </w:r>
      <w:r>
        <w:rPr>
          <w:rStyle w:val="CharDivText"/>
        </w:rPr>
        <w:t> </w:t>
      </w:r>
      <w:r>
        <w:rPr>
          <w:rStyle w:val="CharPartText"/>
        </w:rPr>
        <w:t>Licensing</w:t>
      </w:r>
      <w:bookmarkEnd w:id="124"/>
      <w:bookmarkEnd w:id="125"/>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Heading5"/>
        <w:rPr>
          <w:snapToGrid w:val="0"/>
        </w:rPr>
      </w:pPr>
      <w:bookmarkStart w:id="159" w:name="_Toc411307509"/>
      <w:bookmarkStart w:id="160" w:name="_Toc7250799"/>
      <w:bookmarkStart w:id="161" w:name="_Toc102376447"/>
      <w:bookmarkStart w:id="162" w:name="_Toc523808595"/>
      <w:bookmarkStart w:id="163" w:name="_Toc193252416"/>
      <w:r>
        <w:rPr>
          <w:rStyle w:val="CharSectno"/>
        </w:rPr>
        <w:t>17</w:t>
      </w:r>
      <w:r>
        <w:rPr>
          <w:snapToGrid w:val="0"/>
        </w:rPr>
        <w:t>.</w:t>
      </w:r>
      <w:r>
        <w:rPr>
          <w:snapToGrid w:val="0"/>
        </w:rPr>
        <w:tab/>
        <w:t>Application</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64" w:name="_Toc411307510"/>
      <w:bookmarkStart w:id="165" w:name="_Toc7250800"/>
      <w:bookmarkStart w:id="166" w:name="_Toc102376448"/>
      <w:bookmarkStart w:id="167" w:name="_Toc523808596"/>
      <w:bookmarkStart w:id="168" w:name="_Toc193252417"/>
      <w:r>
        <w:rPr>
          <w:rStyle w:val="CharSectno"/>
        </w:rPr>
        <w:t>18</w:t>
      </w:r>
      <w:r>
        <w:rPr>
          <w:snapToGrid w:val="0"/>
        </w:rPr>
        <w:t>.</w:t>
      </w:r>
      <w:r>
        <w:rPr>
          <w:snapToGrid w:val="0"/>
        </w:rPr>
        <w:tab/>
        <w:t>Objections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169" w:name="_Toc411307511"/>
      <w:bookmarkStart w:id="170" w:name="_Toc7250801"/>
      <w:bookmarkStart w:id="171" w:name="_Toc102376449"/>
      <w:bookmarkStart w:id="172" w:name="_Toc523808597"/>
      <w:bookmarkStart w:id="173" w:name="_Toc193252418"/>
      <w:r>
        <w:rPr>
          <w:rStyle w:val="CharSectno"/>
        </w:rPr>
        <w:t>19</w:t>
      </w:r>
      <w:r>
        <w:rPr>
          <w:snapToGrid w:val="0"/>
        </w:rPr>
        <w:t>.</w:t>
      </w:r>
      <w:r>
        <w:rPr>
          <w:snapToGrid w:val="0"/>
        </w:rPr>
        <w:tab/>
        <w:t xml:space="preserve">Grant of </w:t>
      </w:r>
      <w:bookmarkEnd w:id="169"/>
      <w:r>
        <w:rPr>
          <w:snapToGrid w:val="0"/>
        </w:rPr>
        <w:t>licence</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174" w:name="_Toc102376450"/>
      <w:bookmarkStart w:id="175" w:name="_Toc523808598"/>
      <w:bookmarkStart w:id="176" w:name="_Toc193252419"/>
      <w:bookmarkStart w:id="177" w:name="_Toc411307512"/>
      <w:bookmarkStart w:id="178" w:name="_Toc7250802"/>
      <w:r>
        <w:rPr>
          <w:rStyle w:val="CharSectno"/>
        </w:rPr>
        <w:t>19A.</w:t>
      </w:r>
      <w:r>
        <w:tab/>
        <w:t>Unopposed applications</w:t>
      </w:r>
      <w:bookmarkEnd w:id="174"/>
      <w:bookmarkEnd w:id="175"/>
      <w:bookmarkEnd w:id="176"/>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179" w:name="_Toc102376451"/>
      <w:bookmarkStart w:id="180" w:name="_Toc523808599"/>
      <w:bookmarkStart w:id="181" w:name="_Toc193252420"/>
      <w:r>
        <w:rPr>
          <w:rStyle w:val="CharSectno"/>
        </w:rPr>
        <w:t>20</w:t>
      </w:r>
      <w:r>
        <w:rPr>
          <w:snapToGrid w:val="0"/>
        </w:rPr>
        <w:t>.</w:t>
      </w:r>
      <w:r>
        <w:rPr>
          <w:snapToGrid w:val="0"/>
        </w:rPr>
        <w:tab/>
        <w:t>Fee and oath</w:t>
      </w:r>
      <w:bookmarkEnd w:id="177"/>
      <w:bookmarkEnd w:id="178"/>
      <w:bookmarkEnd w:id="179"/>
      <w:bookmarkEnd w:id="180"/>
      <w:bookmarkEnd w:id="181"/>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182" w:name="_Toc102376452"/>
      <w:bookmarkStart w:id="183" w:name="_Toc523808600"/>
      <w:bookmarkStart w:id="184" w:name="_Toc193252421"/>
      <w:bookmarkStart w:id="185" w:name="_Toc411307513"/>
      <w:bookmarkStart w:id="186" w:name="_Toc7250803"/>
      <w:r>
        <w:rPr>
          <w:rStyle w:val="CharSectno"/>
        </w:rPr>
        <w:t>20A</w:t>
      </w:r>
      <w:r>
        <w:t>.</w:t>
      </w:r>
      <w:r>
        <w:tab/>
        <w:t>Suspension of licence by State Administrative Tribunal</w:t>
      </w:r>
      <w:bookmarkEnd w:id="182"/>
      <w:bookmarkEnd w:id="183"/>
      <w:bookmarkEnd w:id="184"/>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187" w:name="_Toc102376453"/>
      <w:bookmarkStart w:id="188" w:name="_Toc523808601"/>
      <w:bookmarkStart w:id="189" w:name="_Toc193252422"/>
      <w:r>
        <w:rPr>
          <w:rStyle w:val="CharSectno"/>
        </w:rPr>
        <w:t>21</w:t>
      </w:r>
      <w:r>
        <w:rPr>
          <w:snapToGrid w:val="0"/>
        </w:rPr>
        <w:t>.</w:t>
      </w:r>
      <w:r>
        <w:rPr>
          <w:snapToGrid w:val="0"/>
        </w:rPr>
        <w:tab/>
        <w:t xml:space="preserve">Expiry and surrender of </w:t>
      </w:r>
      <w:bookmarkEnd w:id="185"/>
      <w:r>
        <w:rPr>
          <w:snapToGrid w:val="0"/>
        </w:rPr>
        <w:t>licence</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190" w:name="_Toc411307514"/>
      <w:bookmarkStart w:id="191" w:name="_Toc7250804"/>
      <w:bookmarkStart w:id="192" w:name="_Toc102376454"/>
      <w:bookmarkStart w:id="193" w:name="_Toc523808602"/>
      <w:bookmarkStart w:id="194" w:name="_Toc193252423"/>
      <w:r>
        <w:rPr>
          <w:rStyle w:val="CharSectno"/>
        </w:rPr>
        <w:t>22</w:t>
      </w:r>
      <w:r>
        <w:rPr>
          <w:snapToGrid w:val="0"/>
        </w:rPr>
        <w:t>.</w:t>
      </w:r>
      <w:r>
        <w:rPr>
          <w:snapToGrid w:val="0"/>
        </w:rPr>
        <w:tab/>
        <w:t xml:space="preserve">Renewal of </w:t>
      </w:r>
      <w:bookmarkEnd w:id="190"/>
      <w:r>
        <w:rPr>
          <w:snapToGrid w:val="0"/>
        </w:rPr>
        <w:t>licence</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195" w:name="_Toc89523157"/>
      <w:bookmarkStart w:id="196" w:name="_Toc89523205"/>
      <w:bookmarkStart w:id="197" w:name="_Toc92864356"/>
      <w:bookmarkStart w:id="198" w:name="_Toc97104135"/>
      <w:bookmarkStart w:id="199" w:name="_Toc102376455"/>
      <w:bookmarkStart w:id="200" w:name="_Toc132075339"/>
      <w:bookmarkStart w:id="201" w:name="_Toc132608692"/>
      <w:bookmarkStart w:id="202" w:name="_Toc132703386"/>
      <w:bookmarkStart w:id="203" w:name="_Toc134851073"/>
      <w:bookmarkStart w:id="204" w:name="_Toc137349835"/>
      <w:bookmarkStart w:id="205" w:name="_Toc172101538"/>
      <w:bookmarkStart w:id="206" w:name="_Toc193252424"/>
      <w:bookmarkStart w:id="207" w:name="_Toc196790628"/>
      <w:bookmarkStart w:id="208" w:name="_Toc523808603"/>
      <w:r>
        <w:rPr>
          <w:rStyle w:val="CharPartNo"/>
        </w:rPr>
        <w:t>Part IV</w:t>
      </w:r>
      <w:r>
        <w:t> — </w:t>
      </w:r>
      <w:r>
        <w:rPr>
          <w:rStyle w:val="CharPartText"/>
        </w:rPr>
        <w:t>Control of the practice of valuation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3"/>
        <w:rPr>
          <w:snapToGrid w:val="0"/>
        </w:rPr>
      </w:pPr>
      <w:bookmarkStart w:id="209" w:name="_Toc89523158"/>
      <w:bookmarkStart w:id="210" w:name="_Toc89523206"/>
      <w:bookmarkStart w:id="211" w:name="_Toc92864357"/>
      <w:bookmarkStart w:id="212" w:name="_Toc97104136"/>
      <w:bookmarkStart w:id="213" w:name="_Toc102376456"/>
      <w:bookmarkStart w:id="214" w:name="_Toc132075340"/>
      <w:bookmarkStart w:id="215" w:name="_Toc132608693"/>
      <w:bookmarkStart w:id="216" w:name="_Toc132703387"/>
      <w:bookmarkStart w:id="217" w:name="_Toc134851074"/>
      <w:bookmarkStart w:id="218" w:name="_Toc137349836"/>
      <w:bookmarkStart w:id="219" w:name="_Toc172101539"/>
      <w:bookmarkStart w:id="220" w:name="_Toc193252425"/>
      <w:bookmarkStart w:id="221" w:name="_Toc196790629"/>
      <w:bookmarkStart w:id="222" w:name="_Toc523808604"/>
      <w:r>
        <w:rPr>
          <w:rStyle w:val="CharDivNo"/>
        </w:rPr>
        <w:t>Division 1</w:t>
      </w:r>
      <w:r>
        <w:rPr>
          <w:snapToGrid w:val="0"/>
        </w:rPr>
        <w:t> — </w:t>
      </w:r>
      <w:r>
        <w:rPr>
          <w:rStyle w:val="CharDivText"/>
        </w:rPr>
        <w:t>General</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spacing w:before="180"/>
        <w:rPr>
          <w:snapToGrid w:val="0"/>
        </w:rPr>
      </w:pPr>
      <w:bookmarkStart w:id="223" w:name="_Toc411307515"/>
      <w:bookmarkStart w:id="224" w:name="_Toc7250805"/>
      <w:bookmarkStart w:id="225" w:name="_Toc102376457"/>
      <w:bookmarkStart w:id="226" w:name="_Toc523808605"/>
      <w:bookmarkStart w:id="227" w:name="_Toc193252426"/>
      <w:r>
        <w:rPr>
          <w:rStyle w:val="CharSectno"/>
        </w:rPr>
        <w:t>23</w:t>
      </w:r>
      <w:r>
        <w:rPr>
          <w:snapToGrid w:val="0"/>
        </w:rPr>
        <w:t>.</w:t>
      </w:r>
      <w:r>
        <w:rPr>
          <w:snapToGrid w:val="0"/>
        </w:rPr>
        <w:tab/>
        <w:t>Valuers to be licensed</w:t>
      </w:r>
      <w:bookmarkEnd w:id="223"/>
      <w:bookmarkEnd w:id="224"/>
      <w:bookmarkEnd w:id="225"/>
      <w:bookmarkEnd w:id="226"/>
      <w:bookmarkEnd w:id="227"/>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No. 69 of 2006 s. 17.] </w:t>
      </w:r>
    </w:p>
    <w:p>
      <w:pPr>
        <w:pStyle w:val="Heading5"/>
        <w:spacing w:before="180"/>
        <w:rPr>
          <w:snapToGrid w:val="0"/>
        </w:rPr>
      </w:pPr>
      <w:bookmarkStart w:id="228" w:name="_Toc411307516"/>
      <w:bookmarkStart w:id="229" w:name="_Toc7250806"/>
      <w:bookmarkStart w:id="230" w:name="_Toc102376458"/>
      <w:bookmarkStart w:id="231" w:name="_Toc523808606"/>
      <w:bookmarkStart w:id="232" w:name="_Toc193252427"/>
      <w:r>
        <w:rPr>
          <w:rStyle w:val="CharSectno"/>
        </w:rPr>
        <w:t>24</w:t>
      </w:r>
      <w:r>
        <w:rPr>
          <w:snapToGrid w:val="0"/>
        </w:rPr>
        <w:t>.</w:t>
      </w:r>
      <w:r>
        <w:rPr>
          <w:snapToGrid w:val="0"/>
        </w:rPr>
        <w:tab/>
        <w:t>False claim of being licensed</w:t>
      </w:r>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233" w:name="_Toc411307517"/>
      <w:bookmarkStart w:id="234" w:name="_Toc7250807"/>
      <w:bookmarkStart w:id="235" w:name="_Toc102376459"/>
      <w:r>
        <w:tab/>
        <w:t xml:space="preserve">[Section 24 amended by No. 69 of 2006 s. 18.] </w:t>
      </w:r>
    </w:p>
    <w:p>
      <w:pPr>
        <w:pStyle w:val="Heading5"/>
        <w:spacing w:before="180"/>
        <w:rPr>
          <w:snapToGrid w:val="0"/>
        </w:rPr>
      </w:pPr>
      <w:bookmarkStart w:id="236" w:name="_Toc523808607"/>
      <w:bookmarkStart w:id="237" w:name="_Toc193252428"/>
      <w:r>
        <w:rPr>
          <w:rStyle w:val="CharSectno"/>
        </w:rPr>
        <w:t>25</w:t>
      </w:r>
      <w:r>
        <w:rPr>
          <w:snapToGrid w:val="0"/>
        </w:rPr>
        <w:t>.</w:t>
      </w:r>
      <w:r>
        <w:rPr>
          <w:snapToGrid w:val="0"/>
        </w:rPr>
        <w:tab/>
        <w:t>Remuneration of licensed valuers</w:t>
      </w:r>
      <w:bookmarkEnd w:id="233"/>
      <w:bookmarkEnd w:id="234"/>
      <w:bookmarkEnd w:id="235"/>
      <w:bookmarkEnd w:id="236"/>
      <w:bookmarkEnd w:id="237"/>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spacing w:before="120"/>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spacing w:before="120"/>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spacing w:before="120"/>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No. 69 of 2006 s. 19.] </w:t>
      </w:r>
    </w:p>
    <w:p>
      <w:pPr>
        <w:pStyle w:val="Heading3"/>
        <w:keepNext w:val="0"/>
        <w:spacing w:before="200"/>
        <w:rPr>
          <w:snapToGrid w:val="0"/>
        </w:rPr>
      </w:pPr>
      <w:bookmarkStart w:id="238" w:name="_Toc89523162"/>
      <w:bookmarkStart w:id="239" w:name="_Toc89523210"/>
      <w:bookmarkStart w:id="240" w:name="_Toc92864361"/>
      <w:bookmarkStart w:id="241" w:name="_Toc97104140"/>
      <w:bookmarkStart w:id="242" w:name="_Toc102376460"/>
      <w:bookmarkStart w:id="243" w:name="_Toc132075344"/>
      <w:bookmarkStart w:id="244" w:name="_Toc132608697"/>
      <w:bookmarkStart w:id="245" w:name="_Toc132703391"/>
      <w:bookmarkStart w:id="246" w:name="_Toc134851078"/>
      <w:bookmarkStart w:id="247" w:name="_Toc137349840"/>
      <w:bookmarkStart w:id="248" w:name="_Toc172101543"/>
      <w:bookmarkStart w:id="249" w:name="_Toc193252429"/>
      <w:bookmarkStart w:id="250" w:name="_Toc196790633"/>
      <w:bookmarkStart w:id="251" w:name="_Toc523808608"/>
      <w:r>
        <w:rPr>
          <w:rStyle w:val="CharDivNo"/>
        </w:rPr>
        <w:t>Division 2</w:t>
      </w:r>
      <w:r>
        <w:rPr>
          <w:snapToGrid w:val="0"/>
        </w:rPr>
        <w:t> — </w:t>
      </w:r>
      <w:r>
        <w:rPr>
          <w:rStyle w:val="CharDivText"/>
        </w:rPr>
        <w:t>Discipline</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keepNext w:val="0"/>
        <w:spacing w:before="180"/>
        <w:rPr>
          <w:snapToGrid w:val="0"/>
        </w:rPr>
      </w:pPr>
      <w:bookmarkStart w:id="252" w:name="_Toc411307518"/>
      <w:bookmarkStart w:id="253" w:name="_Toc7250808"/>
      <w:bookmarkStart w:id="254" w:name="_Toc102376461"/>
      <w:bookmarkStart w:id="255" w:name="_Toc523808609"/>
      <w:bookmarkStart w:id="256" w:name="_Toc193252430"/>
      <w:r>
        <w:rPr>
          <w:rStyle w:val="CharSectno"/>
        </w:rPr>
        <w:t>26</w:t>
      </w:r>
      <w:r>
        <w:rPr>
          <w:snapToGrid w:val="0"/>
        </w:rPr>
        <w:t>.</w:t>
      </w:r>
      <w:r>
        <w:rPr>
          <w:snapToGrid w:val="0"/>
        </w:rPr>
        <w:tab/>
        <w:t>Licensed valuers’ code</w:t>
      </w:r>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257" w:name="_Toc102376462"/>
      <w:bookmarkStart w:id="258" w:name="_Toc523808610"/>
      <w:bookmarkStart w:id="259" w:name="_Toc193252431"/>
      <w:bookmarkStart w:id="260" w:name="_Toc411307520"/>
      <w:bookmarkStart w:id="261" w:name="_Toc7250810"/>
      <w:r>
        <w:rPr>
          <w:rStyle w:val="CharSectno"/>
        </w:rPr>
        <w:t>27</w:t>
      </w:r>
      <w:r>
        <w:rPr>
          <w:snapToGrid w:val="0"/>
        </w:rPr>
        <w:t>.</w:t>
      </w:r>
      <w:r>
        <w:rPr>
          <w:snapToGrid w:val="0"/>
        </w:rPr>
        <w:tab/>
        <w:t>Disciplinary proceedings against licensed valuers</w:t>
      </w:r>
      <w:bookmarkEnd w:id="257"/>
      <w:bookmarkEnd w:id="258"/>
      <w:bookmarkEnd w:id="259"/>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262" w:name="_Toc102376463"/>
      <w:bookmarkStart w:id="263" w:name="_Toc523808611"/>
      <w:bookmarkStart w:id="264" w:name="_Toc193252432"/>
      <w:r>
        <w:rPr>
          <w:rStyle w:val="CharSectno"/>
        </w:rPr>
        <w:t>28</w:t>
      </w:r>
      <w:r>
        <w:rPr>
          <w:snapToGrid w:val="0"/>
        </w:rPr>
        <w:t>.</w:t>
      </w:r>
      <w:r>
        <w:rPr>
          <w:snapToGrid w:val="0"/>
        </w:rPr>
        <w:tab/>
        <w:t xml:space="preserve">Powers on </w:t>
      </w:r>
      <w:bookmarkEnd w:id="260"/>
      <w:bookmarkEnd w:id="261"/>
      <w:bookmarkEnd w:id="262"/>
      <w:r>
        <w:rPr>
          <w:snapToGrid w:val="0"/>
        </w:rPr>
        <w:t>disciplinary proceedings</w:t>
      </w:r>
      <w:bookmarkEnd w:id="263"/>
      <w:bookmarkEnd w:id="264"/>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265" w:name="_Toc89523166"/>
      <w:bookmarkStart w:id="266" w:name="_Toc89523214"/>
      <w:bookmarkStart w:id="267" w:name="_Toc92864365"/>
      <w:bookmarkStart w:id="268" w:name="_Toc97104144"/>
      <w:bookmarkStart w:id="269" w:name="_Toc102376464"/>
      <w:bookmarkStart w:id="270" w:name="_Toc132075348"/>
      <w:bookmarkStart w:id="271" w:name="_Toc132608701"/>
      <w:bookmarkStart w:id="272" w:name="_Toc132703395"/>
      <w:bookmarkStart w:id="273" w:name="_Toc134851082"/>
      <w:bookmarkStart w:id="274" w:name="_Toc137349844"/>
      <w:bookmarkStart w:id="275" w:name="_Toc172101547"/>
      <w:bookmarkStart w:id="276" w:name="_Toc193252433"/>
      <w:bookmarkStart w:id="277" w:name="_Toc196790637"/>
      <w:bookmarkStart w:id="278" w:name="_Toc523808612"/>
      <w:r>
        <w:rPr>
          <w:rStyle w:val="CharPartNo"/>
        </w:rPr>
        <w:t>Part V</w:t>
      </w:r>
      <w:r>
        <w:rPr>
          <w:rStyle w:val="CharDivNo"/>
        </w:rPr>
        <w:t> </w:t>
      </w:r>
      <w:r>
        <w:t>—</w:t>
      </w:r>
      <w:r>
        <w:rPr>
          <w:rStyle w:val="CharDivText"/>
        </w:rPr>
        <w:t> </w:t>
      </w:r>
      <w:r>
        <w:rPr>
          <w:rStyle w:val="CharPartText"/>
        </w:rPr>
        <w:t>Miscellaneous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Heading5"/>
        <w:rPr>
          <w:snapToGrid w:val="0"/>
        </w:rPr>
      </w:pPr>
      <w:bookmarkStart w:id="279" w:name="_Toc411307521"/>
      <w:bookmarkStart w:id="280" w:name="_Toc7250811"/>
      <w:bookmarkStart w:id="281" w:name="_Toc102376465"/>
      <w:bookmarkStart w:id="282" w:name="_Toc523808613"/>
      <w:bookmarkStart w:id="283" w:name="_Toc193252434"/>
      <w:r>
        <w:rPr>
          <w:rStyle w:val="CharSectno"/>
        </w:rPr>
        <w:t>29</w:t>
      </w:r>
      <w:r>
        <w:rPr>
          <w:snapToGrid w:val="0"/>
        </w:rPr>
        <w:t>.</w:t>
      </w:r>
      <w:r>
        <w:rPr>
          <w:snapToGrid w:val="0"/>
        </w:rPr>
        <w:tab/>
        <w:t>Registers</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284" w:name="_Toc411307522"/>
      <w:bookmarkStart w:id="285" w:name="_Toc7250812"/>
      <w:bookmarkStart w:id="286" w:name="_Toc102376466"/>
      <w:bookmarkStart w:id="287" w:name="_Toc523808614"/>
      <w:bookmarkStart w:id="288" w:name="_Toc193252435"/>
      <w:r>
        <w:rPr>
          <w:rStyle w:val="CharSectno"/>
        </w:rPr>
        <w:t>29A</w:t>
      </w:r>
      <w:r>
        <w:rPr>
          <w:snapToGrid w:val="0"/>
        </w:rPr>
        <w:t>.</w:t>
      </w:r>
      <w:r>
        <w:rPr>
          <w:snapToGrid w:val="0"/>
        </w:rPr>
        <w:tab/>
        <w:t>Change of particulars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amended by No. 69 of 2006 s. 21.] </w:t>
      </w:r>
    </w:p>
    <w:p>
      <w:pPr>
        <w:pStyle w:val="Heading5"/>
        <w:rPr>
          <w:snapToGrid w:val="0"/>
        </w:rPr>
      </w:pPr>
      <w:bookmarkStart w:id="289" w:name="_Toc411307523"/>
      <w:bookmarkStart w:id="290" w:name="_Toc7250813"/>
      <w:bookmarkStart w:id="291" w:name="_Toc102376467"/>
      <w:bookmarkStart w:id="292" w:name="_Toc523808615"/>
      <w:bookmarkStart w:id="293" w:name="_Toc193252436"/>
      <w:r>
        <w:rPr>
          <w:rStyle w:val="CharSectno"/>
        </w:rPr>
        <w:t>30</w:t>
      </w:r>
      <w:r>
        <w:rPr>
          <w:snapToGrid w:val="0"/>
        </w:rPr>
        <w:t>.</w:t>
      </w:r>
      <w:r>
        <w:rPr>
          <w:snapToGrid w:val="0"/>
        </w:rPr>
        <w:tab/>
        <w:t>Lists and certificates</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294" w:name="_Toc411307524"/>
      <w:bookmarkStart w:id="295" w:name="_Toc7250814"/>
      <w:bookmarkStart w:id="296" w:name="_Toc102376468"/>
      <w:bookmarkStart w:id="297" w:name="_Toc523808616"/>
      <w:bookmarkStart w:id="298" w:name="_Toc193252437"/>
      <w:r>
        <w:rPr>
          <w:rStyle w:val="CharSectno"/>
        </w:rPr>
        <w:t>31</w:t>
      </w:r>
      <w:r>
        <w:rPr>
          <w:snapToGrid w:val="0"/>
        </w:rPr>
        <w:t>.</w:t>
      </w:r>
      <w:r>
        <w:rPr>
          <w:snapToGrid w:val="0"/>
        </w:rPr>
        <w:tab/>
        <w:t>Annual report</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299" w:name="_Toc411307525"/>
      <w:bookmarkStart w:id="300" w:name="_Toc7250815"/>
      <w:r>
        <w:tab/>
        <w:t>[Section 31 amended by No. 55 of 2004 s. 599.]</w:t>
      </w:r>
    </w:p>
    <w:p>
      <w:pPr>
        <w:pStyle w:val="Heading5"/>
        <w:rPr>
          <w:snapToGrid w:val="0"/>
        </w:rPr>
      </w:pPr>
      <w:bookmarkStart w:id="301" w:name="_Toc102376469"/>
      <w:bookmarkStart w:id="302" w:name="_Toc523808617"/>
      <w:bookmarkStart w:id="303" w:name="_Toc193252438"/>
      <w:r>
        <w:rPr>
          <w:rStyle w:val="CharSectno"/>
        </w:rPr>
        <w:t>32</w:t>
      </w:r>
      <w:r>
        <w:rPr>
          <w:snapToGrid w:val="0"/>
        </w:rPr>
        <w:t>.</w:t>
      </w:r>
      <w:r>
        <w:rPr>
          <w:snapToGrid w:val="0"/>
        </w:rPr>
        <w:tab/>
        <w:t>Immunity of Board and officers</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304" w:name="_Toc411307526"/>
      <w:bookmarkStart w:id="305" w:name="_Toc7250816"/>
      <w:bookmarkStart w:id="306" w:name="_Toc102376470"/>
      <w:bookmarkStart w:id="307" w:name="_Toc523808618"/>
      <w:bookmarkStart w:id="308" w:name="_Toc193252439"/>
      <w:r>
        <w:rPr>
          <w:rStyle w:val="CharSectno"/>
        </w:rPr>
        <w:t>33</w:t>
      </w:r>
      <w:r>
        <w:rPr>
          <w:snapToGrid w:val="0"/>
        </w:rPr>
        <w:t>.</w:t>
      </w:r>
      <w:r>
        <w:rPr>
          <w:snapToGrid w:val="0"/>
        </w:rPr>
        <w:tab/>
        <w:t>Secrecy</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rPr>
          <w:rStyle w:val="CharSectno"/>
        </w:rPr>
      </w:pPr>
      <w:bookmarkStart w:id="309" w:name="_Toc411307527"/>
      <w:bookmarkStart w:id="310" w:name="_Toc7250817"/>
      <w:bookmarkStart w:id="311" w:name="_Toc102376471"/>
      <w:r>
        <w:tab/>
        <w:t>[Section 33 amended by No. 69 of 2006 s. 22.]</w:t>
      </w:r>
    </w:p>
    <w:p>
      <w:pPr>
        <w:pStyle w:val="Heading5"/>
        <w:rPr>
          <w:snapToGrid w:val="0"/>
        </w:rPr>
      </w:pPr>
      <w:bookmarkStart w:id="312" w:name="_Toc523808619"/>
      <w:bookmarkStart w:id="313" w:name="_Toc193252440"/>
      <w:r>
        <w:rPr>
          <w:rStyle w:val="CharSectno"/>
        </w:rPr>
        <w:t>34</w:t>
      </w:r>
      <w:r>
        <w:rPr>
          <w:snapToGrid w:val="0"/>
        </w:rPr>
        <w:t>.</w:t>
      </w:r>
      <w:r>
        <w:rPr>
          <w:snapToGrid w:val="0"/>
        </w:rPr>
        <w:tab/>
        <w:t>Offences by corporations</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314" w:name="_Toc411307528"/>
      <w:bookmarkStart w:id="315" w:name="_Toc7250818"/>
      <w:bookmarkStart w:id="316" w:name="_Toc102376472"/>
      <w:bookmarkStart w:id="317" w:name="_Toc523808620"/>
      <w:bookmarkStart w:id="318" w:name="_Toc193252441"/>
      <w:r>
        <w:rPr>
          <w:rStyle w:val="CharSectno"/>
        </w:rPr>
        <w:t>35</w:t>
      </w:r>
      <w:r>
        <w:rPr>
          <w:snapToGrid w:val="0"/>
        </w:rPr>
        <w:t>.</w:t>
      </w:r>
      <w:r>
        <w:rPr>
          <w:snapToGrid w:val="0"/>
        </w:rPr>
        <w:tab/>
        <w:t>Proceedings</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319" w:name="_Toc411307529"/>
      <w:bookmarkStart w:id="320" w:name="_Toc7250819"/>
      <w:bookmarkStart w:id="321" w:name="_Toc102376473"/>
      <w:bookmarkStart w:id="322" w:name="_Toc523808621"/>
      <w:bookmarkStart w:id="323" w:name="_Toc193252442"/>
      <w:r>
        <w:rPr>
          <w:rStyle w:val="CharSectno"/>
        </w:rPr>
        <w:t>36</w:t>
      </w:r>
      <w:r>
        <w:rPr>
          <w:snapToGrid w:val="0"/>
        </w:rPr>
        <w:t>.</w:t>
      </w:r>
      <w:r>
        <w:rPr>
          <w:snapToGrid w:val="0"/>
        </w:rPr>
        <w:tab/>
        <w:t>Regulations</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No. 69 of 2006 s. 23.]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24" w:name="_Toc89523176"/>
      <w:bookmarkStart w:id="325" w:name="_Toc89523224"/>
      <w:bookmarkStart w:id="326" w:name="_Toc92864375"/>
      <w:bookmarkStart w:id="327" w:name="_Toc97104154"/>
      <w:bookmarkStart w:id="328" w:name="_Toc102376474"/>
      <w:bookmarkStart w:id="329" w:name="_Toc132075358"/>
      <w:bookmarkStart w:id="330" w:name="_Toc132608711"/>
      <w:bookmarkStart w:id="331" w:name="_Toc132703405"/>
      <w:bookmarkStart w:id="332" w:name="_Toc134851092"/>
      <w:bookmarkStart w:id="333" w:name="_Toc137349854"/>
      <w:bookmarkStart w:id="334" w:name="_Toc172101557"/>
      <w:bookmarkStart w:id="335" w:name="_Toc193252443"/>
      <w:bookmarkStart w:id="336" w:name="_Toc196790647"/>
      <w:bookmarkStart w:id="337" w:name="_Toc523808622"/>
      <w:r>
        <w:t>Notes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Act 1978</w:t>
      </w:r>
      <w:r>
        <w:rPr>
          <w:snapToGrid w:val="0"/>
        </w:rPr>
        <w:t xml:space="preserve"> and includes the amendments made by the other written laws referred to in the following table</w:t>
      </w:r>
      <w:del w:id="338" w:author="svcMRProcess" w:date="2018-09-04T07:14: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339" w:name="_Toc523808623"/>
      <w:bookmarkStart w:id="340" w:name="_Toc193252444"/>
      <w:r>
        <w:rPr>
          <w:snapToGrid w:val="0"/>
        </w:rPr>
        <w:t>Compilation table</w:t>
      </w:r>
      <w:bookmarkEnd w:id="339"/>
      <w:bookmarkEnd w:id="3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vertAlign w:val="superscript"/>
              </w:rPr>
            </w:pPr>
            <w:r>
              <w:rPr>
                <w:i/>
                <w:snapToGrid w:val="0"/>
                <w:sz w:val="19"/>
                <w:lang w:val="en-US"/>
              </w:rPr>
              <w:t>Criminal Procedure and Appeals (Consequential and Other Provisions) Act 2004</w:t>
            </w:r>
            <w:r>
              <w:rPr>
                <w:snapToGrid w:val="0"/>
                <w:sz w:val="19"/>
                <w:lang w:val="en-US"/>
              </w:rPr>
              <w:t xml:space="preserve"> s. 78</w:t>
            </w:r>
            <w:ins w:id="341" w:author="svcMRProcess" w:date="2018-09-04T07:14:00Z">
              <w:r>
                <w:rPr>
                  <w:snapToGrid w:val="0"/>
                  <w:sz w:val="19"/>
                  <w:lang w:val="en-US"/>
                </w:rPr>
                <w:t> </w:t>
              </w:r>
              <w:r>
                <w:rPr>
                  <w:snapToGrid w:val="0"/>
                  <w:sz w:val="19"/>
                  <w:vertAlign w:val="superscript"/>
                  <w:lang w:val="en-US"/>
                </w:rPr>
                <w:t>5</w:t>
              </w:r>
            </w:ins>
          </w:p>
        </w:tc>
        <w:tc>
          <w:tcPr>
            <w:tcW w:w="1134" w:type="dxa"/>
          </w:tcPr>
          <w:p>
            <w:pPr>
              <w:pStyle w:val="nTable"/>
              <w:spacing w:after="40"/>
              <w:rPr>
                <w:sz w:val="19"/>
              </w:rPr>
            </w:pPr>
            <w:r>
              <w:rPr>
                <w:snapToGrid w:val="0"/>
                <w:sz w:val="19"/>
                <w:lang w:val="en-US"/>
              </w:rPr>
              <w:t>84 of 2004</w:t>
            </w:r>
            <w:ins w:id="342" w:author="svcMRProcess" w:date="2018-09-04T07:14:00Z">
              <w:r>
                <w:rPr>
                  <w:snapToGrid w:val="0"/>
                  <w:sz w:val="19"/>
                  <w:lang w:val="en-US"/>
                </w:rPr>
                <w:t xml:space="preserve"> (as amended by No. 2 of 2008 s. 78(2)(b))</w:t>
              </w:r>
            </w:ins>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8" w:type="dxa"/>
          </w:tcPr>
          <w:p>
            <w:pPr>
              <w:pStyle w:val="nTable"/>
              <w:spacing w:after="40"/>
              <w:ind w:right="113"/>
              <w:rPr>
                <w:iCs/>
                <w:snapToGrid w:val="0"/>
                <w:sz w:val="19"/>
              </w:rPr>
            </w:pPr>
            <w:r>
              <w:rPr>
                <w:i/>
                <w:snapToGrid w:val="0"/>
                <w:sz w:val="19"/>
                <w:lang w:val="en-US"/>
              </w:rPr>
              <w:t>Consumer Protection Legislation Amendment and Repeal Act 2006</w:t>
            </w:r>
            <w:r>
              <w:rPr>
                <w:iCs/>
                <w:snapToGrid w:val="0"/>
                <w:sz w:val="19"/>
                <w:lang w:val="en-US"/>
              </w:rPr>
              <w:t xml:space="preserve"> Pt. 6</w:t>
            </w:r>
          </w:p>
        </w:tc>
        <w:tc>
          <w:tcPr>
            <w:tcW w:w="1134" w:type="dxa"/>
          </w:tcPr>
          <w:p>
            <w:pPr>
              <w:pStyle w:val="nTable"/>
              <w:spacing w:after="40"/>
              <w:rPr>
                <w:sz w:val="19"/>
              </w:rPr>
            </w:pPr>
            <w:r>
              <w:rPr>
                <w:snapToGrid w:val="0"/>
                <w:sz w:val="19"/>
                <w:lang w:val="en-US"/>
              </w:rPr>
              <w:t>69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bl>
    <w:p>
      <w:pPr>
        <w:pStyle w:val="nSubsection"/>
        <w:spacing w:before="360"/>
        <w:ind w:left="482" w:hanging="482"/>
        <w:rPr>
          <w:del w:id="343" w:author="svcMRProcess" w:date="2018-09-04T07:14:00Z"/>
        </w:rPr>
      </w:pPr>
      <w:del w:id="344" w:author="svcMRProcess" w:date="2018-09-04T07:14:00Z">
        <w:r>
          <w:rPr>
            <w:vertAlign w:val="superscript"/>
          </w:rPr>
          <w:delText>1a</w:delText>
        </w:r>
        <w:r>
          <w:tab/>
          <w:delText>On the date as at which thi</w:delText>
        </w:r>
        <w:bookmarkStart w:id="345" w:name="_Hlt507390729"/>
        <w:bookmarkEnd w:id="345"/>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6" w:author="svcMRProcess" w:date="2018-09-04T07:14:00Z"/>
          <w:snapToGrid w:val="0"/>
        </w:rPr>
      </w:pPr>
      <w:bookmarkStart w:id="347" w:name="_Toc193252445"/>
      <w:del w:id="348" w:author="svcMRProcess" w:date="2018-09-04T07:14:00Z">
        <w:r>
          <w:rPr>
            <w:snapToGrid w:val="0"/>
          </w:rPr>
          <w:delText>Provisions that have not come into operation</w:delText>
        </w:r>
        <w:bookmarkEnd w:id="347"/>
      </w:del>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8"/>
        <w:gridCol w:w="1120"/>
        <w:gridCol w:w="1205"/>
        <w:gridCol w:w="2524"/>
      </w:tblGrid>
      <w:tr>
        <w:trPr>
          <w:del w:id="349" w:author="svcMRProcess" w:date="2018-09-04T07:14:00Z"/>
        </w:trPr>
        <w:tc>
          <w:tcPr>
            <w:tcW w:w="2253" w:type="dxa"/>
            <w:tcBorders>
              <w:top w:val="single" w:sz="8" w:space="0" w:color="auto"/>
              <w:bottom w:val="single" w:sz="4" w:space="0" w:color="auto"/>
            </w:tcBorders>
          </w:tcPr>
          <w:p>
            <w:pPr>
              <w:pStyle w:val="nTable"/>
              <w:spacing w:after="40"/>
              <w:rPr>
                <w:del w:id="350" w:author="svcMRProcess" w:date="2018-09-04T07:14:00Z"/>
                <w:b/>
                <w:snapToGrid w:val="0"/>
                <w:sz w:val="19"/>
                <w:lang w:val="en-US"/>
              </w:rPr>
            </w:pPr>
            <w:del w:id="351" w:author="svcMRProcess" w:date="2018-09-04T07:14:00Z">
              <w:r>
                <w:rPr>
                  <w:b/>
                  <w:snapToGrid w:val="0"/>
                  <w:sz w:val="19"/>
                  <w:lang w:val="en-US"/>
                </w:rPr>
                <w:delText>Short title</w:delText>
              </w:r>
            </w:del>
          </w:p>
        </w:tc>
        <w:tc>
          <w:tcPr>
            <w:tcW w:w="1054" w:type="dxa"/>
            <w:tcBorders>
              <w:top w:val="single" w:sz="8" w:space="0" w:color="auto"/>
              <w:bottom w:val="single" w:sz="4" w:space="0" w:color="auto"/>
            </w:tcBorders>
          </w:tcPr>
          <w:p>
            <w:pPr>
              <w:pStyle w:val="nTable"/>
              <w:spacing w:after="40"/>
              <w:rPr>
                <w:del w:id="352" w:author="svcMRProcess" w:date="2018-09-04T07:14:00Z"/>
                <w:b/>
                <w:snapToGrid w:val="0"/>
                <w:sz w:val="19"/>
                <w:lang w:val="en-US"/>
              </w:rPr>
            </w:pPr>
            <w:del w:id="353" w:author="svcMRProcess" w:date="2018-09-04T07:14:00Z">
              <w:r>
                <w:rPr>
                  <w:b/>
                  <w:snapToGrid w:val="0"/>
                  <w:sz w:val="19"/>
                  <w:lang w:val="en-US"/>
                </w:rPr>
                <w:delText>Number and year</w:delText>
              </w:r>
            </w:del>
          </w:p>
        </w:tc>
        <w:tc>
          <w:tcPr>
            <w:tcW w:w="1221" w:type="dxa"/>
            <w:tcBorders>
              <w:top w:val="single" w:sz="8" w:space="0" w:color="auto"/>
              <w:bottom w:val="single" w:sz="4" w:space="0" w:color="auto"/>
            </w:tcBorders>
          </w:tcPr>
          <w:p>
            <w:pPr>
              <w:pStyle w:val="nTable"/>
              <w:spacing w:after="40"/>
              <w:rPr>
                <w:del w:id="354" w:author="svcMRProcess" w:date="2018-09-04T07:14:00Z"/>
                <w:b/>
                <w:snapToGrid w:val="0"/>
                <w:sz w:val="19"/>
                <w:lang w:val="en-US"/>
              </w:rPr>
            </w:pPr>
            <w:del w:id="355" w:author="svcMRProcess" w:date="2018-09-04T07:14:00Z">
              <w:r>
                <w:rPr>
                  <w:b/>
                  <w:snapToGrid w:val="0"/>
                  <w:sz w:val="19"/>
                  <w:lang w:val="en-US"/>
                </w:rPr>
                <w:delText>Assent</w:delText>
              </w:r>
            </w:del>
          </w:p>
        </w:tc>
        <w:tc>
          <w:tcPr>
            <w:tcW w:w="2559" w:type="dxa"/>
            <w:tcBorders>
              <w:top w:val="single" w:sz="8" w:space="0" w:color="auto"/>
              <w:bottom w:val="single" w:sz="4" w:space="0" w:color="auto"/>
            </w:tcBorders>
          </w:tcPr>
          <w:p>
            <w:pPr>
              <w:pStyle w:val="nTable"/>
              <w:spacing w:after="40"/>
              <w:rPr>
                <w:del w:id="356" w:author="svcMRProcess" w:date="2018-09-04T07:14:00Z"/>
                <w:b/>
                <w:snapToGrid w:val="0"/>
                <w:sz w:val="19"/>
                <w:lang w:val="en-US"/>
              </w:rPr>
            </w:pPr>
            <w:del w:id="357" w:author="svcMRProcess" w:date="2018-09-04T07:14: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del w:id="358" w:author="svcMRProcess" w:date="2018-09-04T07:14:00Z"/>
        </w:trPr>
        <w:tc>
          <w:tcPr>
            <w:tcW w:w="2253" w:type="dxa"/>
            <w:tcBorders>
              <w:top w:val="single" w:sz="4" w:space="0" w:color="auto"/>
            </w:tcBorders>
          </w:tcPr>
          <w:p>
            <w:pPr>
              <w:pStyle w:val="nTable"/>
              <w:spacing w:after="40"/>
              <w:rPr>
                <w:del w:id="359" w:author="svcMRProcess" w:date="2018-09-04T07:14:00Z"/>
                <w:snapToGrid w:val="0"/>
                <w:sz w:val="19"/>
                <w:vertAlign w:val="superscript"/>
                <w:lang w:val="en-US"/>
              </w:rPr>
            </w:pPr>
            <w:del w:id="360" w:author="svcMRProcess" w:date="2018-09-04T07:14:00Z">
              <w:r>
                <w:rPr>
                  <w:i/>
                  <w:snapToGrid w:val="0"/>
                  <w:sz w:val="19"/>
                  <w:lang w:val="en-US"/>
                </w:rPr>
                <w:delText>Criminal Procedure and Appeals (Consequential and Other Provisions) Act 2004</w:delText>
              </w:r>
              <w:r>
                <w:rPr>
                  <w:snapToGrid w:val="0"/>
                  <w:sz w:val="19"/>
                  <w:lang w:val="en-US"/>
                </w:rPr>
                <w:delText xml:space="preserve"> s. 82 </w:delText>
              </w:r>
              <w:r>
                <w:rPr>
                  <w:snapToGrid w:val="0"/>
                  <w:sz w:val="19"/>
                  <w:vertAlign w:val="superscript"/>
                  <w:lang w:val="en-US"/>
                </w:rPr>
                <w:delText>5</w:delText>
              </w:r>
            </w:del>
          </w:p>
        </w:tc>
        <w:tc>
          <w:tcPr>
            <w:tcW w:w="1054" w:type="dxa"/>
            <w:tcBorders>
              <w:top w:val="single" w:sz="4" w:space="0" w:color="auto"/>
            </w:tcBorders>
          </w:tcPr>
          <w:p>
            <w:pPr>
              <w:pStyle w:val="nTable"/>
              <w:spacing w:after="40"/>
              <w:rPr>
                <w:del w:id="361" w:author="svcMRProcess" w:date="2018-09-04T07:14:00Z"/>
                <w:snapToGrid w:val="0"/>
                <w:sz w:val="19"/>
                <w:lang w:val="en-US"/>
              </w:rPr>
            </w:pPr>
            <w:del w:id="362" w:author="svcMRProcess" w:date="2018-09-04T07:14:00Z">
              <w:r>
                <w:rPr>
                  <w:snapToGrid w:val="0"/>
                  <w:sz w:val="19"/>
                  <w:lang w:val="en-US"/>
                </w:rPr>
                <w:delText>84 of 2004</w:delText>
              </w:r>
            </w:del>
          </w:p>
        </w:tc>
        <w:tc>
          <w:tcPr>
            <w:tcW w:w="1221" w:type="dxa"/>
            <w:tcBorders>
              <w:top w:val="single" w:sz="4" w:space="0" w:color="auto"/>
            </w:tcBorders>
          </w:tcPr>
          <w:p>
            <w:pPr>
              <w:pStyle w:val="nTable"/>
              <w:spacing w:after="40"/>
              <w:rPr>
                <w:del w:id="363" w:author="svcMRProcess" w:date="2018-09-04T07:14:00Z"/>
                <w:sz w:val="19"/>
              </w:rPr>
            </w:pPr>
            <w:del w:id="364" w:author="svcMRProcess" w:date="2018-09-04T07:14:00Z">
              <w:r>
                <w:rPr>
                  <w:sz w:val="19"/>
                </w:rPr>
                <w:delText>16 Dec 2004</w:delText>
              </w:r>
            </w:del>
          </w:p>
        </w:tc>
        <w:tc>
          <w:tcPr>
            <w:tcW w:w="2559" w:type="dxa"/>
            <w:tcBorders>
              <w:top w:val="single" w:sz="4" w:space="0" w:color="auto"/>
            </w:tcBorders>
          </w:tcPr>
          <w:p>
            <w:pPr>
              <w:pStyle w:val="nTable"/>
              <w:spacing w:after="40"/>
              <w:rPr>
                <w:del w:id="365" w:author="svcMRProcess" w:date="2018-09-04T07:14:00Z"/>
                <w:snapToGrid w:val="0"/>
                <w:sz w:val="19"/>
                <w:lang w:val="en-US"/>
              </w:rPr>
            </w:pPr>
            <w:del w:id="366" w:author="svcMRProcess" w:date="2018-09-04T07:14:00Z">
              <w:r>
                <w:rPr>
                  <w:snapToGrid w:val="0"/>
                  <w:sz w:val="19"/>
                  <w:lang w:val="en-US"/>
                </w:rPr>
                <w:delText>To be proclaimed (see s. 2)</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napToGrid w:val="0"/>
                <w:sz w:val="19"/>
                <w:vertAlign w:val="superscript"/>
                <w:lang w:val="en-US"/>
              </w:rPr>
            </w:pPr>
            <w:r>
              <w:rPr>
                <w:i/>
                <w:snapToGrid w:val="0"/>
                <w:sz w:val="19"/>
              </w:rPr>
              <w:t>Criminal Law and Evidence Amendment Act 2008</w:t>
            </w:r>
            <w:r>
              <w:rPr>
                <w:iCs/>
                <w:snapToGrid w:val="0"/>
                <w:sz w:val="19"/>
              </w:rPr>
              <w:t xml:space="preserve"> s.</w:t>
            </w:r>
            <w:del w:id="367" w:author="svcMRProcess" w:date="2018-09-04T07:14:00Z">
              <w:r>
                <w:rPr>
                  <w:iCs/>
                  <w:snapToGrid w:val="0"/>
                </w:rPr>
                <w:delText xml:space="preserve"> </w:delText>
              </w:r>
            </w:del>
            <w:ins w:id="368" w:author="svcMRProcess" w:date="2018-09-04T07:14:00Z">
              <w:r>
                <w:rPr>
                  <w:iCs/>
                  <w:snapToGrid w:val="0"/>
                  <w:sz w:val="19"/>
                </w:rPr>
                <w:t> </w:t>
              </w:r>
            </w:ins>
            <w:r>
              <w:rPr>
                <w:iCs/>
                <w:snapToGrid w:val="0"/>
                <w:sz w:val="19"/>
              </w:rPr>
              <w:t>65</w:t>
            </w:r>
            <w:del w:id="369" w:author="svcMRProcess" w:date="2018-09-04T07:14:00Z">
              <w:r>
                <w:rPr>
                  <w:iCs/>
                  <w:snapToGrid w:val="0"/>
                </w:rPr>
                <w:delText xml:space="preserve"> and 78(2)(b) </w:delText>
              </w:r>
              <w:r>
                <w:rPr>
                  <w:iCs/>
                  <w:snapToGrid w:val="0"/>
                  <w:vertAlign w:val="superscript"/>
                </w:rPr>
                <w:delText>7</w:delText>
              </w:r>
            </w:del>
          </w:p>
        </w:tc>
        <w:tc>
          <w:tcPr>
            <w:tcW w:w="1134" w:type="dxa"/>
            <w:tcBorders>
              <w:bottom w:val="single" w:sz="8" w:space="0" w:color="auto"/>
            </w:tcBorders>
          </w:tcPr>
          <w:p>
            <w:pPr>
              <w:pStyle w:val="nTable"/>
              <w:spacing w:after="40"/>
              <w:rPr>
                <w:snapToGrid w:val="0"/>
                <w:sz w:val="19"/>
                <w:lang w:val="en-US"/>
              </w:rPr>
            </w:pPr>
            <w:r>
              <w:rPr>
                <w:sz w:val="19"/>
              </w:rPr>
              <w:t>2 of 2008</w:t>
            </w:r>
          </w:p>
        </w:tc>
        <w:tc>
          <w:tcPr>
            <w:tcW w:w="1134" w:type="dxa"/>
            <w:tcBorders>
              <w:bottom w:val="single" w:sz="8" w:space="0" w:color="auto"/>
            </w:tcBorders>
          </w:tcPr>
          <w:p>
            <w:pPr>
              <w:pStyle w:val="nTable"/>
              <w:spacing w:after="40"/>
              <w:rPr>
                <w:sz w:val="19"/>
              </w:rPr>
            </w:pPr>
            <w:r>
              <w:rPr>
                <w:sz w:val="19"/>
              </w:rPr>
              <w:t>12 Mar 2008</w:t>
            </w:r>
          </w:p>
        </w:tc>
        <w:tc>
          <w:tcPr>
            <w:tcW w:w="2551" w:type="dxa"/>
            <w:tcBorders>
              <w:bottom w:val="single" w:sz="8" w:space="0" w:color="auto"/>
            </w:tcBorders>
          </w:tcPr>
          <w:p>
            <w:pPr>
              <w:pStyle w:val="nTable"/>
              <w:spacing w:after="40"/>
              <w:rPr>
                <w:snapToGrid w:val="0"/>
                <w:sz w:val="19"/>
                <w:lang w:val="en-US"/>
              </w:rPr>
            </w:pPr>
            <w:del w:id="370" w:author="svcMRProcess" w:date="2018-09-04T07:14:00Z">
              <w:r>
                <w:rPr>
                  <w:snapToGrid w:val="0"/>
                  <w:sz w:val="19"/>
                  <w:lang w:val="en-US"/>
                </w:rPr>
                <w:delText>To be proclaimed</w:delText>
              </w:r>
            </w:del>
            <w:ins w:id="371" w:author="svcMRProcess" w:date="2018-09-04T07:14:00Z">
              <w:r>
                <w:rPr>
                  <w:snapToGrid w:val="0"/>
                  <w:sz w:val="19"/>
                  <w:lang w:val="en-US"/>
                </w:rPr>
                <w:t>27 Apr 2008</w:t>
              </w:r>
            </w:ins>
            <w:r>
              <w:rPr>
                <w:snapToGrid w:val="0"/>
                <w:sz w:val="19"/>
                <w:lang w:val="en-US"/>
              </w:rPr>
              <w:t xml:space="preserve"> (see s. 2</w:t>
            </w:r>
            <w:ins w:id="372" w:author="svcMRProcess" w:date="2018-09-04T07:14:00Z">
              <w:r>
                <w:rPr>
                  <w:snapToGrid w:val="0"/>
                  <w:sz w:val="19"/>
                  <w:lang w:val="en-US"/>
                </w:rPr>
                <w:t xml:space="preserve"> and </w:t>
              </w:r>
              <w:r>
                <w:rPr>
                  <w:i/>
                  <w:iCs/>
                  <w:snapToGrid w:val="0"/>
                  <w:sz w:val="19"/>
                  <w:lang w:val="en-US"/>
                </w:rPr>
                <w:t>Gazette</w:t>
              </w:r>
              <w:r>
                <w:rPr>
                  <w:snapToGrid w:val="0"/>
                  <w:sz w:val="19"/>
                  <w:lang w:val="en-US"/>
                </w:rPr>
                <w:t xml:space="preserve"> 24 Apr 2008 p. 1559</w:t>
              </w:r>
            </w:ins>
            <w:r>
              <w:rPr>
                <w:snapToGrid w:val="0"/>
                <w:sz w:val="19"/>
                <w:lang w:val="en-US"/>
              </w:rPr>
              <w:t>)</w:t>
            </w:r>
          </w:p>
        </w:tc>
      </w:tr>
    </w:tbl>
    <w:p>
      <w:pPr>
        <w:pStyle w:val="nSubsection"/>
        <w:keepNext/>
        <w:keepLines/>
        <w:rPr>
          <w:snapToGrid w:val="0"/>
          <w:vertAlign w:val="superscript"/>
        </w:rPr>
      </w:pPr>
    </w:p>
    <w:p>
      <w:pPr>
        <w:pStyle w:val="nSubsection"/>
        <w:keepNext/>
        <w:keepLines/>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373" w:author="svcMRProcess" w:date="2018-09-04T07:14:00Z"/>
          <w:snapToGrid w:val="0"/>
        </w:rPr>
      </w:pPr>
      <w:r>
        <w:rPr>
          <w:vertAlign w:val="superscript"/>
        </w:rPr>
        <w:t>5</w:t>
      </w:r>
      <w:r>
        <w:tab/>
      </w:r>
      <w:del w:id="374" w:author="svcMRProcess" w:date="2018-09-04T07:14:00Z">
        <w:r>
          <w:rPr>
            <w:snapToGrid w:val="0"/>
          </w:rPr>
          <w:delText>On the date as at which this compilation was prepared, the</w:delText>
        </w:r>
      </w:del>
      <w:ins w:id="375" w:author="svcMRProcess" w:date="2018-09-04T07:14:00Z">
        <w:r>
          <w:rPr>
            <w:snapToGrid w:val="0"/>
          </w:rPr>
          <w:t>The</w:t>
        </w:r>
      </w:ins>
      <w:r>
        <w:rPr>
          <w:snapToGrid w:val="0"/>
        </w:rPr>
        <w:t xml:space="preserve"> </w:t>
      </w:r>
      <w:r>
        <w:rPr>
          <w:i/>
          <w:snapToGrid w:val="0"/>
          <w:lang w:val="en-US"/>
        </w:rPr>
        <w:t xml:space="preserve">Criminal Procedure and Appeals (Consequential and Other Provisions) Act 2004 </w:t>
      </w:r>
      <w:r>
        <w:rPr>
          <w:snapToGrid w:val="0"/>
          <w:lang w:val="en-US"/>
        </w:rPr>
        <w:t>s. </w:t>
      </w:r>
      <w:del w:id="376" w:author="svcMRProcess" w:date="2018-09-04T07:14:00Z">
        <w:r>
          <w:rPr>
            <w:snapToGrid w:val="0"/>
            <w:lang w:val="en-US"/>
          </w:rPr>
          <w:delText>82 had</w:delText>
        </w:r>
        <w:r>
          <w:rPr>
            <w:snapToGrid w:val="0"/>
          </w:rPr>
          <w:delText xml:space="preserve"> not come into operation.  It reads as follows:</w:delText>
        </w:r>
      </w:del>
    </w:p>
    <w:p>
      <w:pPr>
        <w:pStyle w:val="nzHeading5"/>
        <w:ind w:left="0" w:firstLine="0"/>
        <w:rPr>
          <w:del w:id="377" w:author="svcMRProcess" w:date="2018-09-04T07:14:00Z"/>
          <w:rStyle w:val="CharSectno"/>
        </w:rPr>
      </w:pPr>
      <w:del w:id="378" w:author="svcMRProcess" w:date="2018-09-04T07:14:00Z">
        <w:r>
          <w:rPr>
            <w:rStyle w:val="CharSectno"/>
          </w:rPr>
          <w:delText>“</w:delText>
        </w:r>
      </w:del>
    </w:p>
    <w:p>
      <w:pPr>
        <w:pStyle w:val="nzHeading5"/>
        <w:rPr>
          <w:del w:id="379" w:author="svcMRProcess" w:date="2018-09-04T07:14:00Z"/>
        </w:rPr>
      </w:pPr>
      <w:bookmarkStart w:id="380" w:name="_Toc90429397"/>
      <w:del w:id="381" w:author="svcMRProcess" w:date="2018-09-04T07:14:00Z">
        <w:r>
          <w:rPr>
            <w:rStyle w:val="CharSectno"/>
          </w:rPr>
          <w:delText>82</w:delText>
        </w:r>
        <w:r>
          <w:delText>.</w:delText>
        </w:r>
        <w:r>
          <w:tab/>
          <w:delText>References</w:delText>
        </w:r>
      </w:del>
      <w:ins w:id="382" w:author="svcMRProcess" w:date="2018-09-04T07:14:00Z">
        <w:r>
          <w:rPr>
            <w:snapToGrid w:val="0"/>
            <w:lang w:val="en-US"/>
          </w:rPr>
          <w:t>82,</w:t>
        </w:r>
      </w:ins>
      <w:r>
        <w:rPr>
          <w:snapToGrid w:val="0"/>
          <w:lang w:val="en-US"/>
        </w:rPr>
        <w:t xml:space="preserve"> to </w:t>
      </w:r>
      <w:del w:id="383" w:author="svcMRProcess" w:date="2018-09-04T07:14:00Z">
        <w:r>
          <w:delText>“defendant” changed to “accused”</w:delText>
        </w:r>
        <w:bookmarkEnd w:id="380"/>
      </w:del>
    </w:p>
    <w:p>
      <w:pPr>
        <w:pStyle w:val="nzSubsection"/>
        <w:rPr>
          <w:del w:id="384" w:author="svcMRProcess" w:date="2018-09-04T07:14:00Z"/>
        </w:rPr>
      </w:pPr>
      <w:del w:id="385" w:author="svcMRProcess" w:date="2018-09-04T07:14:00Z">
        <w:r>
          <w:tab/>
        </w:r>
        <w:r>
          <w:tab/>
          <w:delText>Each provision listed in Table 2, 3 or 4 to this section is amended by deleting any expression listed in Table 1 column 1 in each place</w:delText>
        </w:r>
      </w:del>
      <w:ins w:id="386" w:author="svcMRProcess" w:date="2018-09-04T07:14:00Z">
        <w:r>
          <w:rPr>
            <w:snapToGrid w:val="0"/>
            <w:lang w:val="en-US"/>
          </w:rPr>
          <w:t>the extent</w:t>
        </w:r>
      </w:ins>
      <w:r>
        <w:rPr>
          <w:snapToGrid w:val="0"/>
          <w:lang w:val="en-US"/>
        </w:rPr>
        <w:t xml:space="preserve"> it </w:t>
      </w:r>
      <w:del w:id="387" w:author="svcMRProcess" w:date="2018-09-04T07:14:00Z">
        <w:r>
          <w:delText xml:space="preserve">occurs (whether in ordinary type, italics, bold or capitals) and in each place inserting instead (in corresponding type) the expression opposite the deleted expression in Table 1 column 2. </w:delText>
        </w:r>
      </w:del>
    </w:p>
    <w:p>
      <w:pPr>
        <w:pStyle w:val="nzMiscellaneousHeading"/>
        <w:rPr>
          <w:del w:id="388" w:author="svcMRProcess" w:date="2018-09-04T07:14:00Z"/>
        </w:rPr>
      </w:pPr>
      <w:del w:id="389" w:author="svcMRProcess" w:date="2018-09-04T07:14:00Z">
        <w:r>
          <w:rPr>
            <w:b/>
          </w:rPr>
          <w:delText>Table 1</w:delText>
        </w:r>
      </w:del>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trPr>
          <w:tblHeader/>
          <w:del w:id="390" w:author="svcMRProcess" w:date="2018-09-04T07:14:00Z"/>
        </w:trPr>
        <w:tc>
          <w:tcPr>
            <w:tcW w:w="2671" w:type="dxa"/>
            <w:tcBorders>
              <w:top w:val="single" w:sz="4" w:space="0" w:color="auto"/>
              <w:bottom w:val="single" w:sz="4" w:space="0" w:color="auto"/>
            </w:tcBorders>
          </w:tcPr>
          <w:p>
            <w:pPr>
              <w:pStyle w:val="nzTable"/>
              <w:rPr>
                <w:del w:id="391" w:author="svcMRProcess" w:date="2018-09-04T07:14:00Z"/>
              </w:rPr>
            </w:pPr>
            <w:del w:id="392" w:author="svcMRProcess" w:date="2018-09-04T07:14:00Z">
              <w:r>
                <w:rPr>
                  <w:b/>
                </w:rPr>
                <w:delText>Delete</w:delText>
              </w:r>
            </w:del>
          </w:p>
        </w:tc>
        <w:tc>
          <w:tcPr>
            <w:tcW w:w="2489" w:type="dxa"/>
            <w:tcBorders>
              <w:top w:val="single" w:sz="4" w:space="0" w:color="auto"/>
              <w:bottom w:val="single" w:sz="4" w:space="0" w:color="auto"/>
            </w:tcBorders>
          </w:tcPr>
          <w:p>
            <w:pPr>
              <w:pStyle w:val="nzTable"/>
              <w:rPr>
                <w:del w:id="393" w:author="svcMRProcess" w:date="2018-09-04T07:14:00Z"/>
              </w:rPr>
            </w:pPr>
            <w:del w:id="394" w:author="svcMRProcess" w:date="2018-09-04T07:14:00Z">
              <w:r>
                <w:rPr>
                  <w:b/>
                </w:rPr>
                <w:delText>Insert instead</w:delText>
              </w:r>
            </w:del>
          </w:p>
        </w:tc>
      </w:tr>
      <w:tr>
        <w:trPr>
          <w:del w:id="395" w:author="svcMRProcess" w:date="2018-09-04T07:14:00Z"/>
        </w:trPr>
        <w:tc>
          <w:tcPr>
            <w:tcW w:w="2671" w:type="dxa"/>
          </w:tcPr>
          <w:p>
            <w:pPr>
              <w:pStyle w:val="nzTable"/>
              <w:rPr>
                <w:del w:id="396" w:author="svcMRProcess" w:date="2018-09-04T07:14:00Z"/>
              </w:rPr>
            </w:pPr>
            <w:del w:id="397" w:author="svcMRProcess" w:date="2018-09-04T07:14:00Z">
              <w:r>
                <w:delText>A defendant</w:delText>
              </w:r>
            </w:del>
          </w:p>
        </w:tc>
        <w:tc>
          <w:tcPr>
            <w:tcW w:w="2489" w:type="dxa"/>
          </w:tcPr>
          <w:p>
            <w:pPr>
              <w:pStyle w:val="nzTable"/>
              <w:rPr>
                <w:del w:id="398" w:author="svcMRProcess" w:date="2018-09-04T07:14:00Z"/>
              </w:rPr>
            </w:pPr>
            <w:del w:id="399" w:author="svcMRProcess" w:date="2018-09-04T07:14:00Z">
              <w:r>
                <w:delText>An accused</w:delText>
              </w:r>
            </w:del>
          </w:p>
        </w:tc>
      </w:tr>
      <w:tr>
        <w:trPr>
          <w:del w:id="400" w:author="svcMRProcess" w:date="2018-09-04T07:14:00Z"/>
        </w:trPr>
        <w:tc>
          <w:tcPr>
            <w:tcW w:w="2671" w:type="dxa"/>
          </w:tcPr>
          <w:p>
            <w:pPr>
              <w:pStyle w:val="nzTable"/>
              <w:rPr>
                <w:del w:id="401" w:author="svcMRProcess" w:date="2018-09-04T07:14:00Z"/>
              </w:rPr>
            </w:pPr>
            <w:del w:id="402" w:author="svcMRProcess" w:date="2018-09-04T07:14:00Z">
              <w:r>
                <w:delText>a defendant</w:delText>
              </w:r>
            </w:del>
          </w:p>
        </w:tc>
        <w:tc>
          <w:tcPr>
            <w:tcW w:w="2489" w:type="dxa"/>
          </w:tcPr>
          <w:p>
            <w:pPr>
              <w:pStyle w:val="nzTable"/>
              <w:rPr>
                <w:del w:id="403" w:author="svcMRProcess" w:date="2018-09-04T07:14:00Z"/>
              </w:rPr>
            </w:pPr>
            <w:del w:id="404" w:author="svcMRProcess" w:date="2018-09-04T07:14:00Z">
              <w:r>
                <w:delText>an accused</w:delText>
              </w:r>
            </w:del>
          </w:p>
        </w:tc>
      </w:tr>
      <w:tr>
        <w:trPr>
          <w:del w:id="405" w:author="svcMRProcess" w:date="2018-09-04T07:14:00Z"/>
        </w:trPr>
        <w:tc>
          <w:tcPr>
            <w:tcW w:w="2671" w:type="dxa"/>
          </w:tcPr>
          <w:p>
            <w:pPr>
              <w:pStyle w:val="nzTable"/>
              <w:rPr>
                <w:del w:id="406" w:author="svcMRProcess" w:date="2018-09-04T07:14:00Z"/>
              </w:rPr>
            </w:pPr>
            <w:del w:id="407" w:author="svcMRProcess" w:date="2018-09-04T07:14:00Z">
              <w:r>
                <w:delText>a defendant’s</w:delText>
              </w:r>
            </w:del>
          </w:p>
        </w:tc>
        <w:tc>
          <w:tcPr>
            <w:tcW w:w="2489" w:type="dxa"/>
          </w:tcPr>
          <w:p>
            <w:pPr>
              <w:pStyle w:val="nzTable"/>
              <w:rPr>
                <w:del w:id="408" w:author="svcMRProcess" w:date="2018-09-04T07:14:00Z"/>
              </w:rPr>
            </w:pPr>
            <w:del w:id="409" w:author="svcMRProcess" w:date="2018-09-04T07:14:00Z">
              <w:r>
                <w:delText>an accused’s</w:delText>
              </w:r>
            </w:del>
          </w:p>
        </w:tc>
      </w:tr>
      <w:tr>
        <w:trPr>
          <w:del w:id="410" w:author="svcMRProcess" w:date="2018-09-04T07:14:00Z"/>
        </w:trPr>
        <w:tc>
          <w:tcPr>
            <w:tcW w:w="2671" w:type="dxa"/>
          </w:tcPr>
          <w:p>
            <w:pPr>
              <w:pStyle w:val="nzTable"/>
              <w:rPr>
                <w:del w:id="411" w:author="svcMRProcess" w:date="2018-09-04T07:14:00Z"/>
              </w:rPr>
            </w:pPr>
            <w:del w:id="412" w:author="svcMRProcess" w:date="2018-09-04T07:14:00Z">
              <w:r>
                <w:delText>defendant</w:delText>
              </w:r>
            </w:del>
          </w:p>
        </w:tc>
        <w:tc>
          <w:tcPr>
            <w:tcW w:w="2489" w:type="dxa"/>
          </w:tcPr>
          <w:p>
            <w:pPr>
              <w:pStyle w:val="nzTable"/>
              <w:rPr>
                <w:del w:id="413" w:author="svcMRProcess" w:date="2018-09-04T07:14:00Z"/>
              </w:rPr>
            </w:pPr>
            <w:del w:id="414" w:author="svcMRProcess" w:date="2018-09-04T07:14:00Z">
              <w:r>
                <w:delText>accused</w:delText>
              </w:r>
            </w:del>
          </w:p>
        </w:tc>
      </w:tr>
      <w:tr>
        <w:trPr>
          <w:del w:id="415" w:author="svcMRProcess" w:date="2018-09-04T07:14:00Z"/>
        </w:trPr>
        <w:tc>
          <w:tcPr>
            <w:tcW w:w="2671" w:type="dxa"/>
          </w:tcPr>
          <w:p>
            <w:pPr>
              <w:pStyle w:val="nzTable"/>
              <w:rPr>
                <w:del w:id="416" w:author="svcMRProcess" w:date="2018-09-04T07:14:00Z"/>
              </w:rPr>
            </w:pPr>
            <w:del w:id="417" w:author="svcMRProcess" w:date="2018-09-04T07:14:00Z">
              <w:r>
                <w:delText>defendants</w:delText>
              </w:r>
            </w:del>
          </w:p>
        </w:tc>
        <w:tc>
          <w:tcPr>
            <w:tcW w:w="2489" w:type="dxa"/>
          </w:tcPr>
          <w:p>
            <w:pPr>
              <w:pStyle w:val="nzTable"/>
              <w:rPr>
                <w:del w:id="418" w:author="svcMRProcess" w:date="2018-09-04T07:14:00Z"/>
              </w:rPr>
            </w:pPr>
            <w:del w:id="419" w:author="svcMRProcess" w:date="2018-09-04T07:14:00Z">
              <w:r>
                <w:delText>accused</w:delText>
              </w:r>
            </w:del>
          </w:p>
        </w:tc>
      </w:tr>
      <w:tr>
        <w:trPr>
          <w:del w:id="420" w:author="svcMRProcess" w:date="2018-09-04T07:14:00Z"/>
        </w:trPr>
        <w:tc>
          <w:tcPr>
            <w:tcW w:w="2671" w:type="dxa"/>
          </w:tcPr>
          <w:p>
            <w:pPr>
              <w:pStyle w:val="nzTable"/>
              <w:rPr>
                <w:del w:id="421" w:author="svcMRProcess" w:date="2018-09-04T07:14:00Z"/>
              </w:rPr>
            </w:pPr>
            <w:del w:id="422" w:author="svcMRProcess" w:date="2018-09-04T07:14:00Z">
              <w:r>
                <w:delText>Defendants’</w:delText>
              </w:r>
            </w:del>
          </w:p>
        </w:tc>
        <w:tc>
          <w:tcPr>
            <w:tcW w:w="2489" w:type="dxa"/>
          </w:tcPr>
          <w:p>
            <w:pPr>
              <w:pStyle w:val="nzTable"/>
              <w:rPr>
                <w:del w:id="423" w:author="svcMRProcess" w:date="2018-09-04T07:14:00Z"/>
              </w:rPr>
            </w:pPr>
            <w:del w:id="424" w:author="svcMRProcess" w:date="2018-09-04T07:14:00Z">
              <w:r>
                <w:delText>Accused’s</w:delText>
              </w:r>
            </w:del>
          </w:p>
        </w:tc>
      </w:tr>
      <w:tr>
        <w:trPr>
          <w:del w:id="425" w:author="svcMRProcess" w:date="2018-09-04T07:14:00Z"/>
        </w:trPr>
        <w:tc>
          <w:tcPr>
            <w:tcW w:w="2671" w:type="dxa"/>
          </w:tcPr>
          <w:p>
            <w:pPr>
              <w:pStyle w:val="nzTable"/>
              <w:rPr>
                <w:del w:id="426" w:author="svcMRProcess" w:date="2018-09-04T07:14:00Z"/>
              </w:rPr>
            </w:pPr>
            <w:del w:id="427" w:author="svcMRProcess" w:date="2018-09-04T07:14:00Z">
              <w:r>
                <w:delText>Defendants</w:delText>
              </w:r>
            </w:del>
          </w:p>
        </w:tc>
        <w:tc>
          <w:tcPr>
            <w:tcW w:w="2489" w:type="dxa"/>
          </w:tcPr>
          <w:p>
            <w:pPr>
              <w:pStyle w:val="nzTable"/>
              <w:rPr>
                <w:del w:id="428" w:author="svcMRProcess" w:date="2018-09-04T07:14:00Z"/>
              </w:rPr>
            </w:pPr>
            <w:del w:id="429" w:author="svcMRProcess" w:date="2018-09-04T07:14:00Z">
              <w:r>
                <w:delText>Accused</w:delText>
              </w:r>
            </w:del>
          </w:p>
        </w:tc>
      </w:tr>
      <w:tr>
        <w:trPr>
          <w:del w:id="430" w:author="svcMRProcess" w:date="2018-09-04T07:14:00Z"/>
        </w:trPr>
        <w:tc>
          <w:tcPr>
            <w:tcW w:w="2671" w:type="dxa"/>
          </w:tcPr>
          <w:p>
            <w:pPr>
              <w:pStyle w:val="nzTable"/>
              <w:rPr>
                <w:del w:id="431" w:author="svcMRProcess" w:date="2018-09-04T07:14:00Z"/>
              </w:rPr>
            </w:pPr>
            <w:del w:id="432" w:author="svcMRProcess" w:date="2018-09-04T07:14:00Z">
              <w:r>
                <w:delText>the defendant</w:delText>
              </w:r>
            </w:del>
          </w:p>
        </w:tc>
        <w:tc>
          <w:tcPr>
            <w:tcW w:w="2489" w:type="dxa"/>
          </w:tcPr>
          <w:p>
            <w:pPr>
              <w:pStyle w:val="nzTable"/>
              <w:rPr>
                <w:del w:id="433" w:author="svcMRProcess" w:date="2018-09-04T07:14:00Z"/>
              </w:rPr>
            </w:pPr>
            <w:del w:id="434" w:author="svcMRProcess" w:date="2018-09-04T07:14:00Z">
              <w:r>
                <w:delText>the accused</w:delText>
              </w:r>
            </w:del>
          </w:p>
        </w:tc>
      </w:tr>
      <w:tr>
        <w:trPr>
          <w:del w:id="435" w:author="svcMRProcess" w:date="2018-09-04T07:14:00Z"/>
        </w:trPr>
        <w:tc>
          <w:tcPr>
            <w:tcW w:w="2671" w:type="dxa"/>
            <w:tcBorders>
              <w:bottom w:val="single" w:sz="4" w:space="0" w:color="auto"/>
            </w:tcBorders>
          </w:tcPr>
          <w:p>
            <w:pPr>
              <w:pStyle w:val="nzTable"/>
              <w:rPr>
                <w:del w:id="436" w:author="svcMRProcess" w:date="2018-09-04T07:14:00Z"/>
              </w:rPr>
            </w:pPr>
            <w:del w:id="437" w:author="svcMRProcess" w:date="2018-09-04T07:14:00Z">
              <w:r>
                <w:delText>the defendant’s</w:delText>
              </w:r>
            </w:del>
          </w:p>
        </w:tc>
        <w:tc>
          <w:tcPr>
            <w:tcW w:w="2489" w:type="dxa"/>
            <w:tcBorders>
              <w:bottom w:val="single" w:sz="4" w:space="0" w:color="auto"/>
            </w:tcBorders>
          </w:tcPr>
          <w:p>
            <w:pPr>
              <w:pStyle w:val="nzTable"/>
              <w:rPr>
                <w:del w:id="438" w:author="svcMRProcess" w:date="2018-09-04T07:14:00Z"/>
              </w:rPr>
            </w:pPr>
            <w:del w:id="439" w:author="svcMRProcess" w:date="2018-09-04T07:14:00Z">
              <w:r>
                <w:delText>the accused’s</w:delText>
              </w:r>
            </w:del>
          </w:p>
        </w:tc>
      </w:tr>
    </w:tbl>
    <w:p>
      <w:pPr>
        <w:pStyle w:val="nzMiscellaneousHeading"/>
        <w:rPr>
          <w:del w:id="440" w:author="svcMRProcess" w:date="2018-09-04T07:14:00Z"/>
        </w:rPr>
      </w:pPr>
      <w:del w:id="441" w:author="svcMRProcess" w:date="2018-09-04T07:14:00Z">
        <w:r>
          <w:rPr>
            <w:b/>
          </w:rPr>
          <w:delText>Table 2 — Various provisions</w:delText>
        </w:r>
      </w:del>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trPr>
          <w:cantSplit/>
          <w:del w:id="442" w:author="svcMRProcess" w:date="2018-09-04T07:14:00Z"/>
        </w:trPr>
        <w:tc>
          <w:tcPr>
            <w:tcW w:w="3402" w:type="dxa"/>
          </w:tcPr>
          <w:p>
            <w:pPr>
              <w:pStyle w:val="nzTable"/>
              <w:rPr>
                <w:del w:id="443" w:author="svcMRProcess" w:date="2018-09-04T07:14:00Z"/>
              </w:rPr>
            </w:pPr>
            <w:del w:id="444" w:author="svcMRProcess" w:date="2018-09-04T07:14:00Z">
              <w:r>
                <w:rPr>
                  <w:i/>
                </w:rPr>
                <w:delText>Land Valuers Licensing Act 1978</w:delText>
              </w:r>
            </w:del>
          </w:p>
        </w:tc>
        <w:tc>
          <w:tcPr>
            <w:tcW w:w="1843" w:type="dxa"/>
          </w:tcPr>
          <w:p>
            <w:pPr>
              <w:pStyle w:val="nzTable"/>
              <w:rPr>
                <w:del w:id="445" w:author="svcMRProcess" w:date="2018-09-04T07:14:00Z"/>
              </w:rPr>
            </w:pPr>
            <w:del w:id="446" w:author="svcMRProcess" w:date="2018-09-04T07:14:00Z">
              <w:r>
                <w:delText>s. 14(2) </w:delText>
              </w:r>
              <w:r>
                <w:rPr>
                  <w:vertAlign w:val="superscript"/>
                </w:rPr>
                <w:delText>6</w:delText>
              </w:r>
            </w:del>
          </w:p>
        </w:tc>
      </w:tr>
    </w:tbl>
    <w:p>
      <w:pPr>
        <w:pStyle w:val="MiscClose"/>
        <w:rPr>
          <w:del w:id="447" w:author="svcMRProcess" w:date="2018-09-04T07:14:00Z"/>
        </w:rPr>
      </w:pPr>
      <w:del w:id="448" w:author="svcMRProcess" w:date="2018-09-04T07:14:00Z">
        <w:r>
          <w:delText>”.</w:delText>
        </w:r>
      </w:del>
    </w:p>
    <w:p>
      <w:pPr>
        <w:pStyle w:val="nSubsection"/>
        <w:rPr>
          <w:del w:id="449" w:author="svcMRProcess" w:date="2018-09-04T07:14:00Z"/>
        </w:rPr>
      </w:pPr>
      <w:del w:id="450" w:author="svcMRProcess" w:date="2018-09-04T07:14:00Z">
        <w:r>
          <w:rPr>
            <w:vertAlign w:val="superscript"/>
          </w:rPr>
          <w:delText>6</w:delText>
        </w:r>
        <w:r>
          <w:tab/>
          <w:delText>The amendment of section 14(2)</w:delText>
        </w:r>
      </w:del>
      <w:ins w:id="451" w:author="svcMRProcess" w:date="2018-09-04T07:14:00Z">
        <w:r>
          <w:rPr>
            <w:snapToGrid w:val="0"/>
            <w:lang w:val="en-US"/>
          </w:rPr>
          <w:t>amends this Act, was repealed</w:t>
        </w:r>
      </w:ins>
      <w:r>
        <w:rPr>
          <w:snapToGrid w:val="0"/>
          <w:lang w:val="en-US"/>
        </w:rPr>
        <w:t xml:space="preserve"> by the </w:t>
      </w:r>
      <w:r>
        <w:rPr>
          <w:i/>
          <w:iCs/>
          <w:snapToGrid w:val="0"/>
          <w:lang w:val="en-US"/>
        </w:rPr>
        <w:t xml:space="preserve">Criminal </w:t>
      </w:r>
      <w:del w:id="452" w:author="svcMRProcess" w:date="2018-09-04T07:14:00Z">
        <w:r>
          <w:rPr>
            <w:i/>
            <w:snapToGrid w:val="0"/>
            <w:lang w:val="en-US"/>
          </w:rPr>
          <w:delText xml:space="preserve">Procedure and Appeals (Consequential and Other Provisions) Act 2004 </w:delText>
        </w:r>
        <w:r>
          <w:rPr>
            <w:snapToGrid w:val="0"/>
            <w:lang w:val="en-US"/>
          </w:rPr>
          <w:delText>s. 82</w:delText>
        </w:r>
        <w:r>
          <w:delText xml:space="preserve"> is not possible because of the repeal of section 14(2) by the </w:delText>
        </w:r>
        <w:r>
          <w:rPr>
            <w:i/>
            <w:iCs/>
          </w:rPr>
          <w:delText>State Administrative Tribunal (Conferral of Jurisdiction) Amendment and Repeal Act 2004</w:delText>
        </w:r>
        <w:r>
          <w:delText xml:space="preserve"> s. 591.</w:delText>
        </w:r>
      </w:del>
    </w:p>
    <w:p>
      <w:pPr>
        <w:pStyle w:val="nSubsection"/>
        <w:rPr>
          <w:snapToGrid w:val="0"/>
        </w:rPr>
      </w:pPr>
      <w:del w:id="453" w:author="svcMRProcess" w:date="2018-09-04T07:14: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w:delText>
        </w:r>
      </w:del>
      <w:r>
        <w:rPr>
          <w:i/>
          <w:iCs/>
          <w:snapToGrid w:val="0"/>
          <w:lang w:val="en-US"/>
        </w:rPr>
        <w:t>Law and Evidence Amendment Act 2008</w:t>
      </w:r>
      <w:r>
        <w:rPr>
          <w:snapToGrid w:val="0"/>
          <w:lang w:val="en-US"/>
        </w:rPr>
        <w:t xml:space="preserve"> s. </w:t>
      </w:r>
      <w:del w:id="454" w:author="svcMRProcess" w:date="2018-09-04T07:14:00Z">
        <w:r>
          <w:rPr>
            <w:iCs/>
            <w:snapToGrid w:val="0"/>
          </w:rPr>
          <w:delText xml:space="preserve">65 and </w:delText>
        </w:r>
      </w:del>
      <w:r>
        <w:rPr>
          <w:snapToGrid w:val="0"/>
          <w:lang w:val="en-US"/>
        </w:rPr>
        <w:t>78(2)(b</w:t>
      </w:r>
      <w:del w:id="455" w:author="svcMRProcess" w:date="2018-09-04T07:14:00Z">
        <w:r>
          <w:rPr>
            <w:iCs/>
            <w:snapToGrid w:val="0"/>
          </w:rPr>
          <w:delText>) </w:delText>
        </w:r>
        <w:r>
          <w:rPr>
            <w:snapToGrid w:val="0"/>
          </w:rPr>
          <w:delText>had not come into operation.  They read as follows:</w:delText>
        </w:r>
      </w:del>
      <w:ins w:id="456" w:author="svcMRProcess" w:date="2018-09-04T07:14:00Z">
        <w:r>
          <w:rPr>
            <w:snapToGrid w:val="0"/>
            <w:lang w:val="en-US"/>
          </w:rPr>
          <w:t>).</w:t>
        </w:r>
      </w:ins>
    </w:p>
    <w:p>
      <w:pPr>
        <w:pStyle w:val="MiscOpen"/>
        <w:rPr>
          <w:del w:id="457" w:author="svcMRProcess" w:date="2018-09-04T07:14:00Z"/>
        </w:rPr>
      </w:pPr>
      <w:bookmarkStart w:id="458" w:name="UpToHere"/>
      <w:bookmarkEnd w:id="458"/>
      <w:del w:id="459" w:author="svcMRProcess" w:date="2018-09-04T07:14:00Z">
        <w:r>
          <w:delText>“</w:delText>
        </w:r>
      </w:del>
    </w:p>
    <w:p>
      <w:pPr>
        <w:pStyle w:val="nzHeading5"/>
        <w:rPr>
          <w:del w:id="460" w:author="svcMRProcess" w:date="2018-09-04T07:14:00Z"/>
        </w:rPr>
      </w:pPr>
      <w:bookmarkStart w:id="461" w:name="_Toc192051030"/>
      <w:bookmarkStart w:id="462" w:name="_Toc193093678"/>
      <w:bookmarkStart w:id="463" w:name="_Toc193098312"/>
      <w:del w:id="464" w:author="svcMRProcess" w:date="2018-09-04T07:14:00Z">
        <w:r>
          <w:rPr>
            <w:rStyle w:val="CharSectno"/>
          </w:rPr>
          <w:delText>65</w:delText>
        </w:r>
        <w:r>
          <w:delText>.</w:delText>
        </w:r>
        <w:r>
          <w:tab/>
        </w:r>
        <w:r>
          <w:rPr>
            <w:i/>
          </w:rPr>
          <w:delText xml:space="preserve">Land Valuers Licensing Act 1978 </w:delText>
        </w:r>
        <w:r>
          <w:delText>amended</w:delText>
        </w:r>
        <w:bookmarkEnd w:id="461"/>
        <w:bookmarkEnd w:id="462"/>
        <w:bookmarkEnd w:id="463"/>
      </w:del>
    </w:p>
    <w:p>
      <w:pPr>
        <w:pStyle w:val="nzSubsection"/>
        <w:rPr>
          <w:del w:id="465" w:author="svcMRProcess" w:date="2018-09-04T07:14:00Z"/>
        </w:rPr>
      </w:pPr>
      <w:del w:id="466" w:author="svcMRProcess" w:date="2018-09-04T07:14:00Z">
        <w:r>
          <w:tab/>
          <w:delText>(1)</w:delText>
        </w:r>
        <w:r>
          <w:tab/>
          <w:delText xml:space="preserve">The amendments in this section are to the </w:delText>
        </w:r>
        <w:r>
          <w:rPr>
            <w:i/>
          </w:rPr>
          <w:delText>Land Valuers Licensing Act 1978</w:delText>
        </w:r>
        <w:r>
          <w:delText>.</w:delText>
        </w:r>
      </w:del>
    </w:p>
    <w:p>
      <w:pPr>
        <w:pStyle w:val="nzSubsection"/>
        <w:rPr>
          <w:del w:id="467" w:author="svcMRProcess" w:date="2018-09-04T07:14:00Z"/>
        </w:rPr>
      </w:pPr>
      <w:del w:id="468" w:author="svcMRProcess" w:date="2018-09-04T07:14:00Z">
        <w:r>
          <w:tab/>
          <w:delText>(2)</w:delText>
        </w:r>
        <w:r>
          <w:tab/>
          <w:delText xml:space="preserve">Section 15B(2) is amended by deleting “defendant” in each place where it occurs and in each place inserting instead — </w:delText>
        </w:r>
      </w:del>
    </w:p>
    <w:p>
      <w:pPr>
        <w:pStyle w:val="nzSubsection"/>
        <w:rPr>
          <w:del w:id="469" w:author="svcMRProcess" w:date="2018-09-04T07:14:00Z"/>
        </w:rPr>
      </w:pPr>
      <w:del w:id="470" w:author="svcMRProcess" w:date="2018-09-04T07:14:00Z">
        <w:r>
          <w:tab/>
        </w:r>
        <w:r>
          <w:tab/>
          <w:delText>“    accused    ”.</w:delText>
        </w:r>
      </w:del>
    </w:p>
    <w:p>
      <w:pPr>
        <w:pStyle w:val="nzHeading5"/>
        <w:rPr>
          <w:del w:id="471" w:author="svcMRProcess" w:date="2018-09-04T07:14:00Z"/>
        </w:rPr>
      </w:pPr>
      <w:bookmarkStart w:id="472" w:name="_Toc192051044"/>
      <w:bookmarkStart w:id="473" w:name="_Toc193093692"/>
      <w:del w:id="474" w:author="svcMRProcess" w:date="2018-09-04T07:14:00Z">
        <w:r>
          <w:rPr>
            <w:rStyle w:val="CharSectno"/>
          </w:rPr>
          <w:delText>78</w:delText>
        </w:r>
        <w:r>
          <w:delText>.</w:delText>
        </w:r>
        <w:r>
          <w:tab/>
        </w:r>
        <w:r>
          <w:rPr>
            <w:i/>
            <w:iCs/>
          </w:rPr>
          <w:delText xml:space="preserve">Criminal Procedure and Appeals (Consequential and Other Provisions) Act 2004 </w:delText>
        </w:r>
        <w:r>
          <w:delText>amended</w:delText>
        </w:r>
        <w:bookmarkEnd w:id="472"/>
        <w:bookmarkEnd w:id="473"/>
      </w:del>
    </w:p>
    <w:p>
      <w:pPr>
        <w:pStyle w:val="nzSubsection"/>
        <w:rPr>
          <w:del w:id="475" w:author="svcMRProcess" w:date="2018-09-04T07:14:00Z"/>
        </w:rPr>
      </w:pPr>
      <w:del w:id="476" w:author="svcMRProcess" w:date="2018-09-04T07:14:00Z">
        <w:r>
          <w:tab/>
          <w:delText>(1)</w:delText>
        </w:r>
        <w:r>
          <w:tab/>
          <w:delText xml:space="preserve">The amendments in this section are to the </w:delText>
        </w:r>
        <w:r>
          <w:rPr>
            <w:i/>
            <w:iCs/>
          </w:rPr>
          <w:delText>Criminal Procedure and Appeals (Consequential and Other Provisions) Act 2004</w:delText>
        </w:r>
        <w:r>
          <w:delText>.</w:delText>
        </w:r>
      </w:del>
    </w:p>
    <w:p>
      <w:pPr>
        <w:pStyle w:val="nzSubsection"/>
        <w:rPr>
          <w:del w:id="477" w:author="svcMRProcess" w:date="2018-09-04T07:14:00Z"/>
        </w:rPr>
      </w:pPr>
      <w:del w:id="478" w:author="svcMRProcess" w:date="2018-09-04T07:14:00Z">
        <w:r>
          <w:tab/>
          <w:delText>(2)</w:delText>
        </w:r>
        <w:r>
          <w:tab/>
          <w:delText>Section 82 is amended in Table 2 as follows:</w:delText>
        </w:r>
      </w:del>
    </w:p>
    <w:p>
      <w:pPr>
        <w:pStyle w:val="nzIndenta"/>
        <w:rPr>
          <w:del w:id="479" w:author="svcMRProcess" w:date="2018-09-04T07:14:00Z"/>
        </w:rPr>
      </w:pPr>
      <w:del w:id="480" w:author="svcMRProcess" w:date="2018-09-04T07:14:00Z">
        <w:r>
          <w:tab/>
          <w:delText>(b)</w:delText>
        </w:r>
        <w:r>
          <w:tab/>
          <w:delText xml:space="preserve">by deleting the row relating to the </w:delText>
        </w:r>
        <w:r>
          <w:rPr>
            <w:i/>
          </w:rPr>
          <w:delText>Land Valuers Licensing Act 1978</w:delText>
        </w:r>
        <w:r>
          <w:delText>;</w:delText>
        </w:r>
      </w:del>
    </w:p>
    <w:p>
      <w:pPr>
        <w:pStyle w:val="MiscClose"/>
        <w:rPr>
          <w:del w:id="481" w:author="svcMRProcess" w:date="2018-09-04T07:14:00Z"/>
        </w:rPr>
      </w:pPr>
      <w:del w:id="482" w:author="svcMRProcess" w:date="2018-09-04T07:14:00Z">
        <w:r>
          <w:delText>”.</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221"/>
    <w:docVar w:name="WAFER_20151204160221" w:val="RemoveTrackChanges"/>
    <w:docVar w:name="WAFER_20151204160221_GUID" w:val="3da292a8-0024-48ff-8428-0f85586ccd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7638</Words>
  <Characters>35216</Characters>
  <Application>Microsoft Office Word</Application>
  <DocSecurity>0</DocSecurity>
  <Lines>1006</Lines>
  <Paragraphs>516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02-d0-02 - 02-e0-02</dc:title>
  <dc:subject/>
  <dc:creator/>
  <cp:keywords/>
  <dc:description/>
  <cp:lastModifiedBy>svcMRProcess</cp:lastModifiedBy>
  <cp:revision>2</cp:revision>
  <cp:lastPrinted>2006-05-23T04:11:00Z</cp:lastPrinted>
  <dcterms:created xsi:type="dcterms:W3CDTF">2018-09-03T23:14:00Z</dcterms:created>
  <dcterms:modified xsi:type="dcterms:W3CDTF">2018-09-03T23:14:00Z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436</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12 Mar 2008</vt:lpwstr>
  </property>
  <property fmtid="{D5CDD505-2E9C-101B-9397-08002B2CF9AE}" pid="9" name="ToSuffix">
    <vt:lpwstr>02-e0-02</vt:lpwstr>
  </property>
  <property fmtid="{D5CDD505-2E9C-101B-9397-08002B2CF9AE}" pid="10" name="ToAsAtDate">
    <vt:lpwstr>27 Apr 2008</vt:lpwstr>
  </property>
</Properties>
</file>