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07-e0-02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07-f0-03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pacing w:before="600" w:after="84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390078087"/>
      <w:r>
        <w:rPr>
          <w:rStyle w:val="CharPartNo"/>
        </w:rPr>
        <w:lastRenderedPageBreak/>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90078088"/>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snapToGrid w:val="0"/>
          <w:vertAlign w:val="superscript"/>
        </w:rPr>
        <w:t>1</w:t>
      </w:r>
      <w:r>
        <w:rPr>
          <w:snapToGrid w:val="0"/>
        </w:rPr>
        <w:t>.</w:t>
      </w:r>
    </w:p>
    <w:p>
      <w:pPr>
        <w:pStyle w:val="Footnotesection"/>
      </w:pPr>
      <w:r>
        <w:tab/>
        <w:t xml:space="preserve">[Section 1 amended by No. 96 of 1990 s. 5; No. 42 of 2004 s. 5.] </w:t>
      </w:r>
    </w:p>
    <w:p>
      <w:pPr>
        <w:pStyle w:val="Heading5"/>
        <w:rPr>
          <w:snapToGrid w:val="0"/>
        </w:rPr>
      </w:pPr>
      <w:bookmarkStart w:id="3" w:name="_Toc390078089"/>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1</w:t>
      </w:r>
      <w:r>
        <w:rPr>
          <w:snapToGrid w:val="0"/>
        </w:rPr>
        <w:t>.</w:t>
      </w:r>
    </w:p>
    <w:p>
      <w:pPr>
        <w:pStyle w:val="Heading5"/>
        <w:rPr>
          <w:snapToGrid w:val="0"/>
        </w:rPr>
      </w:pPr>
      <w:bookmarkStart w:id="4" w:name="_Toc390078090"/>
      <w:r>
        <w:rPr>
          <w:rStyle w:val="CharSectno"/>
        </w:rPr>
        <w:t>3</w:t>
      </w:r>
      <w:r>
        <w:rPr>
          <w:snapToGrid w:val="0"/>
        </w:rPr>
        <w:t>.</w:t>
      </w:r>
      <w:r>
        <w:rPr>
          <w:snapToGrid w:val="0"/>
        </w:rPr>
        <w:tab/>
        <w:t>Purposes</w:t>
      </w:r>
      <w:bookmarkEnd w:id="4"/>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5" w:name="_Toc390078091"/>
      <w:r>
        <w:rPr>
          <w:rStyle w:val="CharSectno"/>
        </w:rPr>
        <w:lastRenderedPageBreak/>
        <w:t>4</w:t>
      </w:r>
      <w:r>
        <w:rPr>
          <w:snapToGrid w:val="0"/>
        </w:rPr>
        <w:t>.</w:t>
      </w:r>
      <w:r>
        <w:rPr>
          <w:snapToGrid w:val="0"/>
        </w:rPr>
        <w:tab/>
        <w:t>General application</w:t>
      </w:r>
      <w:bookmarkEnd w:id="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proclaimed date</w:t>
      </w:r>
      <w:r>
        <w:rPr>
          <w:b/>
          <w:snapToGrid w:val="0"/>
        </w:rPr>
        <w:t>”</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6" w:name="_Toc390078092"/>
      <w:r>
        <w:rPr>
          <w:rStyle w:val="CharSectno"/>
        </w:rPr>
        <w:t>5</w:t>
      </w:r>
      <w:r>
        <w:rPr>
          <w:snapToGrid w:val="0"/>
        </w:rPr>
        <w:t>.</w:t>
      </w:r>
      <w:r>
        <w:rPr>
          <w:snapToGrid w:val="0"/>
        </w:rPr>
        <w:tab/>
        <w:t>Definitions</w:t>
      </w:r>
      <w:bookmarkEnd w:id="6"/>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 insurance office</w:t>
      </w:r>
      <w:r>
        <w:rPr>
          <w:b/>
        </w:rPr>
        <w:t>”</w:t>
      </w:r>
      <w:r>
        <w:t xml:space="preserve"> means an insurance office approved under section 161;</w:t>
      </w:r>
    </w:p>
    <w:p>
      <w:pPr>
        <w:pStyle w:val="Defstart"/>
      </w:pPr>
      <w:r>
        <w:rPr>
          <w:b/>
        </w:rPr>
        <w:tab/>
        <w:t>“</w:t>
      </w:r>
      <w:r>
        <w:rPr>
          <w:rStyle w:val="CharDefText"/>
        </w:rPr>
        <w:t>approved medical specialist</w:t>
      </w:r>
      <w:r>
        <w:rPr>
          <w:b/>
        </w:rPr>
        <w:t>”</w:t>
      </w:r>
      <w:r>
        <w:t xml:space="preserve"> means a person for the time being designated under section 146F as an approved medical specialist;</w:t>
      </w:r>
    </w:p>
    <w:p>
      <w:pPr>
        <w:pStyle w:val="Defstart"/>
      </w:pPr>
      <w:r>
        <w:rPr>
          <w:b/>
        </w:rPr>
        <w:tab/>
        <w:t>“</w:t>
      </w:r>
      <w:r>
        <w:rPr>
          <w:rStyle w:val="CharDefText"/>
        </w:rPr>
        <w:t>approved medical specialist panel</w:t>
      </w:r>
      <w:r>
        <w:rPr>
          <w:b/>
        </w:rPr>
        <w:t>”</w:t>
      </w:r>
      <w:r>
        <w:t xml:space="preserve"> means an approved medical specialist panel constituted under Part VII Division 3;</w:t>
      </w:r>
    </w:p>
    <w:p>
      <w:pPr>
        <w:pStyle w:val="Defstart"/>
      </w:pPr>
      <w:r>
        <w:rPr>
          <w:b/>
        </w:rPr>
        <w:tab/>
        <w:t>“</w:t>
      </w:r>
      <w:r>
        <w:rPr>
          <w:rStyle w:val="CharDefText"/>
        </w:rPr>
        <w:t>approved treatment</w:t>
      </w:r>
      <w:r>
        <w:rPr>
          <w:b/>
        </w:rPr>
        <w: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t>“</w:t>
      </w:r>
      <w:r>
        <w:rPr>
          <w:rStyle w:val="CharDefText"/>
        </w:rPr>
        <w:t>approved vocational rehabilitation provider</w:t>
      </w:r>
      <w:r>
        <w:rPr>
          <w:b/>
        </w:rPr>
        <w:t>”</w:t>
      </w:r>
      <w:r>
        <w:t xml:space="preserve"> means a person approved under section 156 as a vocational rehabilitation provider;</w:t>
      </w:r>
    </w:p>
    <w:p>
      <w:pPr>
        <w:pStyle w:val="Defstart"/>
      </w:pPr>
      <w:r>
        <w:rPr>
          <w:b/>
        </w:rPr>
        <w:tab/>
        <w:t>“</w:t>
      </w:r>
      <w:r>
        <w:rPr>
          <w:rStyle w:val="CharDefText"/>
        </w:rPr>
        <w:t>arbitrator</w:t>
      </w:r>
      <w:r>
        <w:rPr>
          <w:b/>
        </w:rPr>
        <w:t>”</w:t>
      </w:r>
      <w:r>
        <w:t xml:space="preserve"> means an officer of WorkCover WA approved under section 286(2) as an arbitrator;</w:t>
      </w:r>
    </w:p>
    <w:p>
      <w:pPr>
        <w:pStyle w:val="Defstart"/>
      </w:pPr>
      <w:r>
        <w:rPr>
          <w:b/>
        </w:rPr>
        <w:tab/>
        <w:t>“</w:t>
      </w:r>
      <w:r>
        <w:rPr>
          <w:rStyle w:val="CharDefText"/>
        </w:rPr>
        <w:t>chief executive officer</w:t>
      </w:r>
      <w:r>
        <w:rPr>
          <w:b/>
        </w:rPr>
        <w:t>”</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t>“</w:t>
      </w:r>
      <w:r>
        <w:rPr>
          <w:rStyle w:val="CharDefText"/>
        </w:rPr>
        <w:t>child’s allowance</w:t>
      </w:r>
      <w:r>
        <w:rPr>
          <w:b/>
        </w:rPr>
        <w:t>”</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t>“</w:t>
      </w:r>
      <w:r>
        <w:rPr>
          <w:rStyle w:val="CharDefText"/>
        </w:rPr>
        <w:t>chiropractor</w:t>
      </w:r>
      <w:r>
        <w:rPr>
          <w:b/>
        </w:rPr>
        <w:t>”</w:t>
      </w:r>
      <w:r>
        <w:t xml:space="preserve"> means a person who is resident in this State and is registered as a chiropractor under the</w:t>
      </w:r>
      <w:r>
        <w:rPr>
          <w:i/>
        </w:rPr>
        <w:t xml:space="preserve"> Chiropractors Act 2005</w:t>
      </w:r>
      <w:r>
        <w:rPr>
          <w:iCs/>
        </w:rPr>
        <w:t>;</w:t>
      </w:r>
    </w:p>
    <w:p>
      <w:pPr>
        <w:pStyle w:val="Defstart"/>
      </w:pPr>
      <w:r>
        <w:rPr>
          <w:b/>
        </w:rPr>
        <w:tab/>
        <w:t>“</w:t>
      </w:r>
      <w:r>
        <w:rPr>
          <w:rStyle w:val="CharDefText"/>
        </w:rPr>
        <w:t>clause</w:t>
      </w:r>
      <w:r>
        <w:rPr>
          <w:b/>
        </w:rPr>
        <w:t>”</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t>“</w:t>
      </w:r>
      <w:r>
        <w:rPr>
          <w:rStyle w:val="CharDefText"/>
        </w:rPr>
        <w:t>Commissioner</w:t>
      </w:r>
      <w:r>
        <w:rPr>
          <w:b/>
        </w:rPr>
        <w:t>”</w:t>
      </w:r>
      <w:r>
        <w:t xml:space="preserve"> means the Commissioner appointed under section 281;</w:t>
      </w:r>
    </w:p>
    <w:p>
      <w:pPr>
        <w:pStyle w:val="Defstart"/>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t>“</w:t>
      </w:r>
      <w:r>
        <w:rPr>
          <w:rStyle w:val="CharDefText"/>
        </w:rPr>
        <w:t>contract of insurance</w:t>
      </w:r>
      <w:r>
        <w:rPr>
          <w:b/>
        </w:rPr>
        <w:t>”</w:t>
      </w:r>
      <w:r>
        <w:t xml:space="preserve"> includes a cover note;</w:t>
      </w:r>
    </w:p>
    <w:p>
      <w:pPr>
        <w:pStyle w:val="Defstart"/>
      </w:pPr>
      <w:r>
        <w:rPr>
          <w:b/>
        </w:rPr>
        <w:tab/>
        <w:t>“</w:t>
      </w:r>
      <w:r>
        <w:rPr>
          <w:rStyle w:val="CharDefText"/>
        </w:rPr>
        <w:t>decision</w:t>
      </w:r>
      <w:r>
        <w:rPr>
          <w:b/>
        </w:rPr>
        <w:t>”</w:t>
      </w:r>
      <w:r>
        <w:t xml:space="preserve"> includes an order, award, direction or determination;</w:t>
      </w:r>
    </w:p>
    <w:p>
      <w:pPr>
        <w:pStyle w:val="Defstart"/>
      </w:pPr>
      <w:r>
        <w:tab/>
      </w:r>
      <w:r>
        <w:rPr>
          <w:b/>
        </w:rPr>
        <w:t>“</w:t>
      </w:r>
      <w:r>
        <w:rPr>
          <w:rStyle w:val="CharDefText"/>
        </w:rPr>
        <w:t>de facto partner</w:t>
      </w:r>
      <w:r>
        <w:rPr>
          <w:b/>
        </w:rPr>
        <w:t>”</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keepNext/>
      </w:pPr>
      <w:r>
        <w:rPr>
          <w:b/>
        </w:rPr>
        <w:tab/>
        <w:t>“</w:t>
      </w:r>
      <w:r>
        <w:rPr>
          <w:rStyle w:val="CharDefText"/>
        </w:rPr>
        <w:t>dentist</w:t>
      </w:r>
      <w:r>
        <w:rPr>
          <w:b/>
        </w:rPr>
        <w: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t>“</w:t>
      </w:r>
      <w:r>
        <w:rPr>
          <w:rStyle w:val="CharDefText"/>
        </w:rPr>
        <w:t>dependants</w:t>
      </w:r>
      <w:r>
        <w:rPr>
          <w:b/>
        </w:rPr>
        <w:t>”</w:t>
      </w:r>
      <w:r>
        <w:t xml:space="preserve"> means such members of the worker’s family as were wholly or in part dependent upon the earnings of the worker at the time of his death, or would, but for the injury, have been so dependent;</w:t>
      </w:r>
    </w:p>
    <w:p>
      <w:pPr>
        <w:pStyle w:val="Defstart"/>
      </w:pPr>
      <w:r>
        <w:rPr>
          <w:b/>
        </w:rPr>
        <w:tab/>
        <w:t>“</w:t>
      </w:r>
      <w:r>
        <w:rPr>
          <w:rStyle w:val="CharDefText"/>
        </w:rPr>
        <w:t>Director</w:t>
      </w:r>
      <w:r>
        <w:rPr>
          <w:b/>
        </w:rPr>
        <w:t>”</w:t>
      </w:r>
      <w:r>
        <w:t xml:space="preserve"> means the officer of WorkCover WA approved under section 288(2) as the Director Dispute Resolution;</w:t>
      </w:r>
    </w:p>
    <w:p>
      <w:pPr>
        <w:pStyle w:val="Defstart"/>
      </w:pPr>
      <w:r>
        <w:rPr>
          <w:b/>
        </w:rPr>
        <w:tab/>
        <w:t>“</w:t>
      </w:r>
      <w:r>
        <w:rPr>
          <w:rStyle w:val="CharDefText"/>
        </w:rPr>
        <w:t>disease</w:t>
      </w:r>
      <w:r>
        <w:rPr>
          <w:b/>
        </w:rPr>
        <w:t>”</w:t>
      </w:r>
      <w:r>
        <w:t xml:space="preserve"> includes any physical or mental ailment, disorder, defect, or morbid condition whether of sudden or gradual development;</w:t>
      </w:r>
    </w:p>
    <w:p>
      <w:pPr>
        <w:pStyle w:val="Defstart"/>
      </w:pPr>
      <w:r>
        <w:rPr>
          <w:b/>
        </w:rPr>
        <w:tab/>
        <w:t>“</w:t>
      </w:r>
      <w:r>
        <w:rPr>
          <w:rStyle w:val="CharDefText"/>
        </w:rPr>
        <w:t>dispute resolution authority</w:t>
      </w:r>
      <w:r>
        <w:rPr>
          <w:b/>
        </w:rPr>
        <w:t>”</w:t>
      </w:r>
      <w:r>
        <w:t xml:space="preserve"> means the Director, an arbitrator or the Commissioner;</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spacing w:before="60"/>
      </w:pPr>
      <w:r>
        <w:rPr>
          <w:b/>
        </w:rPr>
        <w:tab/>
        <w:t>“</w:t>
      </w:r>
      <w:r>
        <w:rPr>
          <w:rStyle w:val="CharDefText"/>
        </w:rPr>
        <w:t>Division</w:t>
      </w:r>
      <w:r>
        <w:rPr>
          <w:b/>
        </w:rPr>
        <w:t>”</w:t>
      </w:r>
      <w:r>
        <w:t xml:space="preserve"> means a Division of the Part wherein the term is used;</w:t>
      </w:r>
    </w:p>
    <w:p>
      <w:pPr>
        <w:pStyle w:val="Defstart"/>
      </w:pPr>
      <w:r>
        <w:rPr>
          <w:b/>
        </w:rPr>
        <w:tab/>
        <w:t>“</w:t>
      </w:r>
      <w:r>
        <w:rPr>
          <w:rStyle w:val="CharDefText"/>
        </w:rPr>
        <w:t>DRD</w:t>
      </w:r>
      <w:r>
        <w:rPr>
          <w:b/>
        </w:rPr>
        <w:t>”</w:t>
      </w:r>
      <w:r>
        <w:t xml:space="preserve"> means the Dispute Resolution Directorate established under section 278;</w:t>
      </w:r>
    </w:p>
    <w:p>
      <w:pPr>
        <w:pStyle w:val="Defstart"/>
      </w:pPr>
      <w:r>
        <w:rPr>
          <w:b/>
        </w:rPr>
        <w:tab/>
        <w:t>“</w:t>
      </w:r>
      <w:r>
        <w:rPr>
          <w:rStyle w:val="CharDefText"/>
        </w:rPr>
        <w:t>DRD Rules</w:t>
      </w:r>
      <w:r>
        <w:rPr>
          <w:b/>
        </w:rPr>
        <w:t>”</w:t>
      </w:r>
      <w:r>
        <w:t xml:space="preserve"> means the rules made under section 293;</w:t>
      </w:r>
    </w:p>
    <w:p>
      <w:pPr>
        <w:pStyle w:val="Defstart"/>
        <w:spacing w:before="60"/>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spacing w:before="60"/>
      </w:pPr>
      <w:r>
        <w:rPr>
          <w:b/>
        </w:rPr>
        <w:tab/>
        <w:t>“</w:t>
      </w:r>
      <w:r>
        <w:rPr>
          <w:rStyle w:val="CharDefText"/>
        </w:rPr>
        <w:t>earnings</w:t>
      </w:r>
      <w:r>
        <w:rPr>
          <w:b/>
        </w:rPr>
        <w:t>”</w:t>
      </w:r>
      <w:r>
        <w:t xml:space="preserve"> includes weekly payments of compensation under this Act;</w:t>
      </w:r>
    </w:p>
    <w:p>
      <w:pPr>
        <w:pStyle w:val="Defstart"/>
        <w:spacing w:before="60"/>
      </w:pPr>
      <w:r>
        <w:rPr>
          <w:b/>
        </w:rPr>
        <w:tab/>
        <w:t>“</w:t>
      </w:r>
      <w:r>
        <w:rPr>
          <w:rStyle w:val="CharDefText"/>
        </w:rPr>
        <w:t>employer</w:t>
      </w:r>
      <w:r>
        <w:rPr>
          <w:b/>
        </w:rPr>
        <w:t>”</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spacing w:before="60"/>
      </w:pPr>
      <w:r>
        <w:tab/>
      </w:r>
      <w:r>
        <w:tab/>
        <w:t xml:space="preserve">the term </w:t>
      </w:r>
      <w:r>
        <w:rPr>
          <w:b/>
        </w:rPr>
        <w:t>“</w:t>
      </w:r>
      <w:r>
        <w:rPr>
          <w:rStyle w:val="CharDefText"/>
        </w:rPr>
        <w:t>employer</w:t>
      </w:r>
      <w:r>
        <w:rPr>
          <w:b/>
        </w:rPr>
        <w:t>”</w:t>
      </w:r>
      <w:r>
        <w:t xml:space="preserve"> shall extend to any person for or by whom any worker, as defined in paragraph (a) or (b) of the definition of “worker”, works or is engaged; and</w:t>
      </w:r>
    </w:p>
    <w:p>
      <w:pPr>
        <w:pStyle w:val="Defstart"/>
        <w:spacing w:before="60"/>
      </w:pPr>
      <w:r>
        <w:rPr>
          <w:b/>
        </w:rPr>
        <w:tab/>
      </w:r>
      <w:r>
        <w:rPr>
          <w:b/>
        </w:rPr>
        <w:tab/>
        <w:t>“</w:t>
      </w:r>
      <w:r>
        <w:rPr>
          <w:rStyle w:val="CharDefText"/>
        </w:rPr>
        <w:t>employer</w:t>
      </w:r>
      <w:r>
        <w:rPr>
          <w:b/>
        </w:rPr>
        <w:t>”</w:t>
      </w:r>
      <w:r>
        <w:t xml:space="preserve"> in relation to liability to pay compensation for or in respect of an injury to a worker, means the employer in the relevant employment;</w:t>
      </w:r>
    </w:p>
    <w:p>
      <w:pPr>
        <w:pStyle w:val="Defstart"/>
      </w:pPr>
      <w:r>
        <w:rPr>
          <w:b/>
        </w:rPr>
        <w:tab/>
        <w:t>“</w:t>
      </w:r>
      <w:r>
        <w:rPr>
          <w:rStyle w:val="CharDefText"/>
        </w:rPr>
        <w:t>estimate</w:t>
      </w:r>
      <w:r>
        <w:rPr>
          <w:b/>
        </w:rPr>
        <w:t>”</w:t>
      </w:r>
      <w:r>
        <w:t xml:space="preserve"> means the estimate prepared and approved as provided by section 107(1);</w:t>
      </w:r>
    </w:p>
    <w:p>
      <w:pPr>
        <w:pStyle w:val="Defstart"/>
      </w:pPr>
      <w:r>
        <w:rPr>
          <w:b/>
        </w:rPr>
        <w:tab/>
        <w:t>“</w:t>
      </w:r>
      <w:r>
        <w:rPr>
          <w:rStyle w:val="CharDefText"/>
        </w:rPr>
        <w:t>General Account</w:t>
      </w:r>
      <w:r>
        <w:rPr>
          <w:b/>
        </w:rPr>
        <w:t>”</w:t>
      </w:r>
      <w:r>
        <w:t xml:space="preserve"> means the Workers’ Compensation and Injury Management General Account established under this Act;</w:t>
      </w:r>
    </w:p>
    <w:p>
      <w:pPr>
        <w:pStyle w:val="Defstart"/>
      </w:pPr>
      <w:r>
        <w:rPr>
          <w:b/>
        </w:rPr>
        <w:tab/>
        <w:t>“</w:t>
      </w:r>
      <w:r>
        <w:rPr>
          <w:rStyle w:val="CharDefText"/>
        </w:rPr>
        <w:t>industrial agreement</w:t>
      </w:r>
      <w:r>
        <w:rPr>
          <w:b/>
        </w:rPr>
        <w:t>”</w:t>
      </w:r>
      <w:r>
        <w:t xml:space="preserve"> means an agreement which wholly or partially regulates the terms or conditions of employment;</w:t>
      </w:r>
    </w:p>
    <w:p>
      <w:pPr>
        <w:pStyle w:val="Defstart"/>
      </w:pPr>
      <w:r>
        <w:rPr>
          <w:b/>
        </w:rPr>
        <w:tab/>
        <w:t>“</w:t>
      </w:r>
      <w:r>
        <w:rPr>
          <w:rStyle w:val="CharDefText"/>
        </w:rPr>
        <w:t>industrial award</w:t>
      </w:r>
      <w:r>
        <w:rPr>
          <w:b/>
        </w:rPr>
        <w:t>”</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r>
      <w:r>
        <w:tab/>
        <w:t>as the relevant employment requires;</w:t>
      </w:r>
    </w:p>
    <w:p>
      <w:pPr>
        <w:pStyle w:val="Defstart"/>
      </w:pPr>
      <w:r>
        <w:rPr>
          <w:b/>
        </w:rPr>
        <w:tab/>
        <w:t>“</w:t>
      </w:r>
      <w:r>
        <w:rPr>
          <w:rStyle w:val="CharDefText"/>
        </w:rPr>
        <w:t>industrial disease premium</w:t>
      </w:r>
      <w:r>
        <w:rPr>
          <w:b/>
        </w:rPr>
        <w:t>”</w:t>
      </w:r>
      <w:r>
        <w:t xml:space="preserve"> means the additional industrial disease premium fixed pursuant to section 151(a)(iii);</w:t>
      </w:r>
    </w:p>
    <w:p>
      <w:pPr>
        <w:pStyle w:val="Defstart"/>
      </w:pPr>
      <w:r>
        <w:rPr>
          <w:b/>
        </w:rPr>
        <w:tab/>
        <w:t>“</w:t>
      </w:r>
      <w:r>
        <w:rPr>
          <w:rStyle w:val="CharDefText"/>
        </w:rPr>
        <w:t>injury</w:t>
      </w:r>
      <w:r>
        <w:rPr>
          <w:b/>
        </w:rPr>
        <w:t>”</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t>“</w:t>
      </w:r>
      <w:r>
        <w:rPr>
          <w:rStyle w:val="CharDefText"/>
        </w:rPr>
        <w:t>injury management</w:t>
      </w:r>
      <w:r>
        <w:rPr>
          <w:b/>
        </w:rPr>
        <w:t>”</w:t>
      </w:r>
      <w:r>
        <w:t xml:space="preserve"> means the management of workers’ injuries in a manner that is directed at enabling injured workers to return to work;</w:t>
      </w:r>
    </w:p>
    <w:p>
      <w:pPr>
        <w:pStyle w:val="Defstart"/>
      </w:pPr>
      <w:r>
        <w:rPr>
          <w:b/>
        </w:rPr>
        <w:tab/>
        <w:t>“</w:t>
      </w:r>
      <w:r>
        <w:rPr>
          <w:rStyle w:val="CharDefText"/>
        </w:rPr>
        <w:t>inspector</w:t>
      </w:r>
      <w:r>
        <w:rPr>
          <w:b/>
        </w:rPr>
        <w:t>”</w:t>
      </w:r>
      <w:r>
        <w:t xml:space="preserve"> means a person authorised as an inspector under section 175A(1);</w:t>
      </w:r>
    </w:p>
    <w:p>
      <w:pPr>
        <w:pStyle w:val="Defstart"/>
      </w:pPr>
      <w:r>
        <w:rPr>
          <w:b/>
        </w:rPr>
        <w:tab/>
        <w:t>“</w:t>
      </w:r>
      <w:r>
        <w:rPr>
          <w:rStyle w:val="CharDefText"/>
        </w:rPr>
        <w:t>medical assessment panel</w:t>
      </w:r>
      <w:r>
        <w:rPr>
          <w:b/>
        </w:rPr>
        <w:t>”</w:t>
      </w:r>
      <w:r>
        <w:t xml:space="preserve"> means a medical assessment panel constituted under Part VII Division 1;</w:t>
      </w:r>
    </w:p>
    <w:p>
      <w:pPr>
        <w:pStyle w:val="Defstart"/>
      </w:pPr>
      <w:r>
        <w:rPr>
          <w:b/>
        </w:rPr>
        <w:tab/>
        <w:t>“</w:t>
      </w:r>
      <w:r>
        <w:rPr>
          <w:rStyle w:val="CharDefText"/>
        </w:rPr>
        <w:t>medical practitioner</w:t>
      </w:r>
      <w:r>
        <w:rPr>
          <w:b/>
        </w:rPr>
        <w:t>”</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t>“</w:t>
      </w:r>
      <w:r>
        <w:rPr>
          <w:rStyle w:val="CharDefText"/>
        </w:rPr>
        <w:t>medical report</w:t>
      </w:r>
      <w:r>
        <w:rPr>
          <w:b/>
        </w:rPr>
        <w:t>”</w:t>
      </w:r>
      <w:r>
        <w:t xml:space="preserve"> includes a medical opinion;</w:t>
      </w:r>
    </w:p>
    <w:p>
      <w:pPr>
        <w:pStyle w:val="Defstart"/>
      </w:pPr>
      <w:r>
        <w:rPr>
          <w:b/>
        </w:rPr>
        <w:tab/>
        <w:t>“</w:t>
      </w:r>
      <w:r>
        <w:rPr>
          <w:rStyle w:val="CharDefText"/>
        </w:rPr>
        <w:t>member of a family</w:t>
      </w:r>
      <w:r>
        <w:rPr>
          <w:b/>
        </w:rPr>
        <w:t>”</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t>“</w:t>
      </w:r>
      <w:r>
        <w:rPr>
          <w:rStyle w:val="CharDefText"/>
        </w:rPr>
        <w:t>mesothelioma</w:t>
      </w:r>
      <w:r>
        <w:rPr>
          <w:b/>
        </w:rPr>
        <w:t>”</w:t>
      </w:r>
      <w:r>
        <w:t xml:space="preserve"> means primary malignant neoplasm of the mesothelium (diffuse mesothelioma) of the pleura or the peritoneum;</w:t>
      </w:r>
    </w:p>
    <w:p>
      <w:pPr>
        <w:pStyle w:val="Defstart"/>
      </w:pPr>
      <w:r>
        <w:rPr>
          <w:b/>
        </w:rPr>
        <w:tab/>
        <w:t>“</w:t>
      </w:r>
      <w:r>
        <w:rPr>
          <w:rStyle w:val="CharDefText"/>
        </w:rPr>
        <w:t>mine</w:t>
      </w:r>
      <w:r>
        <w:rPr>
          <w:b/>
        </w:rPr>
        <w:t>”</w:t>
      </w:r>
      <w:r>
        <w:t xml:space="preserve"> or </w:t>
      </w:r>
      <w:r>
        <w:rPr>
          <w:b/>
        </w:rPr>
        <w:t>“</w:t>
      </w:r>
      <w:r>
        <w:rPr>
          <w:rStyle w:val="CharDefText"/>
        </w:rPr>
        <w:t>mining operation</w:t>
      </w:r>
      <w:r>
        <w:rPr>
          <w:b/>
        </w:rPr>
        <w:t>”</w:t>
      </w:r>
      <w:r>
        <w:t xml:space="preserve"> means a mine or mining operation of a class prescribed for the purposes of this definition;</w:t>
      </w:r>
    </w:p>
    <w:p>
      <w:pPr>
        <w:pStyle w:val="Defstart"/>
      </w:pPr>
      <w:r>
        <w:rPr>
          <w:b/>
        </w:rPr>
        <w:tab/>
        <w:t>“</w:t>
      </w:r>
      <w:r>
        <w:rPr>
          <w:rStyle w:val="CharDefText"/>
        </w:rPr>
        <w:t>minimum award rate</w:t>
      </w:r>
      <w:r>
        <w:rPr>
          <w:b/>
        </w:rPr>
        <w:t>”</w:t>
      </w:r>
      <w:r>
        <w:t xml:space="preserve"> means the weighted average minimum award rate for adult males under Western Australian State Awards, as published by the Australian Statistician;</w:t>
      </w:r>
    </w:p>
    <w:p>
      <w:pPr>
        <w:pStyle w:val="Defstart"/>
      </w:pPr>
      <w:r>
        <w:rPr>
          <w:b/>
        </w:rPr>
        <w:tab/>
        <w:t>“</w:t>
      </w:r>
      <w:r>
        <w:rPr>
          <w:rStyle w:val="CharDefText"/>
        </w:rPr>
        <w:t>noise induced hearing loss</w:t>
      </w:r>
      <w:r>
        <w:rPr>
          <w:b/>
        </w:rPr>
        <w:t>”</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t>“</w:t>
      </w:r>
      <w:r>
        <w:rPr>
          <w:rStyle w:val="CharDefText"/>
        </w:rPr>
        <w:t>notional residual entitlement</w:t>
      </w:r>
      <w:r>
        <w:rPr>
          <w:b/>
        </w:rPr>
        <w: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r>
      <w:r>
        <w:tab/>
        <w:t>whichever is the less;</w:t>
      </w:r>
    </w:p>
    <w:p>
      <w:pPr>
        <w:pStyle w:val="Defstart"/>
        <w:outlineLvl w:val="0"/>
      </w:pPr>
      <w:r>
        <w:tab/>
      </w:r>
      <w:r>
        <w:rPr>
          <w:b/>
        </w:rPr>
        <w:t>“</w:t>
      </w:r>
      <w:r>
        <w:rPr>
          <w:rStyle w:val="CharDefText"/>
        </w:rPr>
        <w:t>NRE amount</w:t>
      </w:r>
      <w:r>
        <w:rPr>
          <w:b/>
        </w:rPr>
        <w: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the amount obtained by varying the NRE amount for the preceding financial year by the percentage by which the amount that the Australian Statistician published as the Wages Cost Index, ordinary time hourly rates of pay (excluding bonuses) for Western Australia (</w:t>
      </w:r>
      <w:r>
        <w:rPr>
          <w:b/>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r>
        <w:tab/>
      </w:r>
      <w:r>
        <w:tab/>
        <w:t>with an amount that is 50 cents more than a whole number of dollars being rounded off to the next highest whole number of dollars;</w:t>
      </w:r>
    </w:p>
    <w:p>
      <w:pPr>
        <w:pStyle w:val="Defstart"/>
      </w:pPr>
      <w:r>
        <w:rPr>
          <w:b/>
        </w:rPr>
        <w:tab/>
        <w:t>“</w:t>
      </w:r>
      <w:r>
        <w:rPr>
          <w:rStyle w:val="CharDefText"/>
        </w:rPr>
        <w:t>officer of the DRD</w:t>
      </w:r>
      <w:r>
        <w:rPr>
          <w:b/>
        </w:rPr>
        <w:t>”</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t>“</w:t>
      </w:r>
      <w:r>
        <w:rPr>
          <w:rStyle w:val="CharDefText"/>
        </w:rPr>
        <w:t>participate</w:t>
      </w:r>
      <w:r>
        <w:rPr>
          <w:b/>
        </w:rPr>
        <w:t>”</w:t>
      </w:r>
      <w:r>
        <w:t>, in relation to a return to work program established under section 155C(1), means to participate in the program in a cooperative manner including attending appointments as required under the program;</w:t>
      </w:r>
    </w:p>
    <w:p>
      <w:pPr>
        <w:pStyle w:val="Defstart"/>
      </w:pPr>
      <w:r>
        <w:rPr>
          <w:b/>
        </w:rPr>
        <w:tab/>
        <w:t>“</w:t>
      </w:r>
      <w:r>
        <w:rPr>
          <w:rStyle w:val="CharDefText"/>
        </w:rPr>
        <w:t>physiotherapist</w:t>
      </w:r>
      <w:r>
        <w:rPr>
          <w:b/>
        </w:rPr>
        <w: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t>“</w:t>
      </w:r>
      <w:r>
        <w:rPr>
          <w:rStyle w:val="CharDefText"/>
        </w:rPr>
        <w:t>prescribed amount</w:t>
      </w:r>
      <w:r>
        <w:rPr>
          <w:b/>
        </w:rPr>
        <w:t>”</w:t>
      </w:r>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sz w:val="20"/>
        </w:rPr>
      </w:pPr>
      <w:r>
        <w:rPr>
          <w:sz w:val="20"/>
        </w:rPr>
        <w:t>Note:</w:t>
      </w:r>
      <w:r>
        <w:rPr>
          <w:sz w:val="20"/>
        </w:rPr>
        <w:tab/>
        <w: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t>“</w:t>
      </w:r>
      <w:r>
        <w:rPr>
          <w:rStyle w:val="CharDefText"/>
        </w:rPr>
        <w:t>registered agent</w:t>
      </w:r>
      <w:r>
        <w:rPr>
          <w:b/>
        </w:rPr>
        <w:t>”</w:t>
      </w:r>
      <w:r>
        <w:t xml:space="preserve"> means a person registered under regulations made under section 277;</w:t>
      </w:r>
    </w:p>
    <w:p>
      <w:pPr>
        <w:pStyle w:val="Defstart"/>
        <w:keepNext/>
      </w:pPr>
      <w:r>
        <w:rPr>
          <w:b/>
        </w:rPr>
        <w:tab/>
        <w:t>“</w:t>
      </w:r>
      <w:r>
        <w:rPr>
          <w:rStyle w:val="CharDefText"/>
        </w:rPr>
        <w:t>relevant employment</w:t>
      </w:r>
      <w:r>
        <w:rPr>
          <w:b/>
        </w:rPr>
        <w: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spacing w:before="120"/>
      </w:pPr>
      <w:r>
        <w:tab/>
        <w:t>(c)</w:t>
      </w:r>
      <w:r>
        <w:tab/>
        <w:t>the employment in the course of which the disease was contracted and which was a contributing factor and contributed to a significant degree;</w:t>
      </w:r>
    </w:p>
    <w:p>
      <w:pPr>
        <w:pStyle w:val="Defpara"/>
        <w:spacing w:before="120"/>
      </w:pPr>
      <w:r>
        <w:tab/>
        <w:t>(d)</w:t>
      </w:r>
      <w:r>
        <w:tab/>
        <w:t>the employment which contributed and contributed to a significant degree to the recurrence, aggravation, or acceleration of the pre</w:t>
      </w:r>
      <w:r>
        <w:noBreakHyphen/>
        <w:t>existing disease; or</w:t>
      </w:r>
    </w:p>
    <w:p>
      <w:pPr>
        <w:pStyle w:val="Defpara"/>
        <w:spacing w:before="120"/>
      </w:pPr>
      <w:r>
        <w:tab/>
        <w:t>(e)</w:t>
      </w:r>
      <w:r>
        <w:tab/>
        <w:t>the last employment, during the period of 3 years mentioned in section 49, to the nature of which the Schedule 4 loss of function is, or was, due,</w:t>
      </w:r>
    </w:p>
    <w:p>
      <w:pPr>
        <w:pStyle w:val="Defstart"/>
      </w:pPr>
      <w:r>
        <w:tab/>
      </w:r>
      <w:r>
        <w:tab/>
        <w:t>as the case requires;</w:t>
      </w:r>
    </w:p>
    <w:p>
      <w:pPr>
        <w:pStyle w:val="Defstart"/>
        <w:spacing w:before="120"/>
      </w:pPr>
      <w:r>
        <w:rPr>
          <w:b/>
        </w:rPr>
        <w:tab/>
        <w:t>“</w:t>
      </w:r>
      <w:r>
        <w:rPr>
          <w:rStyle w:val="CharDefText"/>
        </w:rPr>
        <w:t>repealed Act</w:t>
      </w:r>
      <w:r>
        <w:rPr>
          <w:b/>
        </w:rPr>
        <w:t>”</w:t>
      </w:r>
      <w:r>
        <w:t xml:space="preserve"> means the Act repealed by section 317;</w:t>
      </w:r>
    </w:p>
    <w:p>
      <w:pPr>
        <w:pStyle w:val="Defstart"/>
      </w:pPr>
      <w:r>
        <w:rPr>
          <w:b/>
        </w:rPr>
        <w:tab/>
        <w:t>“</w:t>
      </w:r>
      <w:r>
        <w:rPr>
          <w:rStyle w:val="CharDefText"/>
        </w:rPr>
        <w:t>return to work</w:t>
      </w:r>
      <w:r>
        <w:rPr>
          <w:b/>
        </w:rPr>
        <w:t>”</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r>
      <w:r>
        <w:tab/>
        <w:t>whether with the employer who employed the worker at the time the injury occurred, or another employer;</w:t>
      </w:r>
    </w:p>
    <w:p>
      <w:pPr>
        <w:pStyle w:val="Defstart"/>
        <w:spacing w:before="120"/>
      </w:pPr>
      <w:r>
        <w:rPr>
          <w:b/>
        </w:rPr>
        <w:tab/>
        <w:t>“</w:t>
      </w:r>
      <w:r>
        <w:rPr>
          <w:rStyle w:val="CharDefText"/>
        </w:rPr>
        <w:t>self</w:t>
      </w:r>
      <w:r>
        <w:rPr>
          <w:rStyle w:val="CharDefText"/>
        </w:rPr>
        <w:noBreakHyphen/>
        <w:t>insurer</w:t>
      </w:r>
      <w:r>
        <w:rPr>
          <w:b/>
        </w:rPr>
        <w:t>”</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t>“</w:t>
      </w:r>
      <w:r>
        <w:rPr>
          <w:rStyle w:val="CharDefText"/>
        </w:rPr>
        <w:t>ship</w:t>
      </w:r>
      <w:r>
        <w:rPr>
          <w:b/>
        </w:rPr>
        <w:t>”</w:t>
      </w:r>
      <w:r>
        <w:t xml:space="preserve"> means any kind of vessel used in navigation by water, however propelled or moved, and includes — </w:t>
      </w:r>
    </w:p>
    <w:p>
      <w:pPr>
        <w:pStyle w:val="Defpara"/>
      </w:pPr>
      <w:r>
        <w:tab/>
        <w:t>(a)</w:t>
      </w:r>
      <w:r>
        <w:tab/>
        <w:t>a barge, lighter, or other floating vessel; and</w:t>
      </w:r>
    </w:p>
    <w:p>
      <w:pPr>
        <w:pStyle w:val="Defpara"/>
      </w:pPr>
      <w:r>
        <w:tab/>
        <w:t>(b)</w:t>
      </w:r>
      <w:r>
        <w:tab/>
        <w:t>an air</w:t>
      </w:r>
      <w:r>
        <w:noBreakHyphen/>
        <w:t>cushion vehicle, or other similar craft,</w:t>
      </w:r>
    </w:p>
    <w:p>
      <w:pPr>
        <w:pStyle w:val="Defstart"/>
      </w:pPr>
      <w:r>
        <w:tab/>
      </w:r>
      <w:r>
        <w:tab/>
        <w:t>used wholly or primarily in navigation by water;</w:t>
      </w:r>
    </w:p>
    <w:p>
      <w:pPr>
        <w:pStyle w:val="Defstart"/>
      </w:pPr>
      <w:r>
        <w:rPr>
          <w:b/>
        </w:rPr>
        <w:tab/>
        <w:t>“</w:t>
      </w:r>
      <w:r>
        <w:rPr>
          <w:rStyle w:val="CharDefText"/>
        </w:rPr>
        <w:t>specialised retraining assessment panel</w:t>
      </w:r>
      <w:r>
        <w:rPr>
          <w:b/>
        </w:rPr>
        <w:t>”</w:t>
      </w:r>
      <w:r>
        <w:t xml:space="preserve"> means a specialised retraining assessment panel constituted under Part VII Division 5;</w:t>
      </w:r>
    </w:p>
    <w:p>
      <w:pPr>
        <w:pStyle w:val="Defstart"/>
      </w:pPr>
      <w:r>
        <w:rPr>
          <w:b/>
        </w:rPr>
        <w:tab/>
        <w:t>“</w:t>
      </w:r>
      <w:r>
        <w:rPr>
          <w:rStyle w:val="CharDefText"/>
        </w:rPr>
        <w:t>specialised retraining program</w:t>
      </w:r>
      <w:r>
        <w:rPr>
          <w:b/>
        </w:rPr>
        <w:t>”</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spacing w:before="60"/>
      </w:pPr>
      <w:r>
        <w:rPr>
          <w:b/>
        </w:rPr>
        <w:tab/>
        <w:t>“</w:t>
      </w:r>
      <w:r>
        <w:rPr>
          <w:rStyle w:val="CharDefText"/>
        </w:rPr>
        <w:t>specialist</w:t>
      </w:r>
      <w:r>
        <w:rPr>
          <w:b/>
        </w:rPr>
        <w:t>”</w:t>
      </w:r>
      <w:r>
        <w:t xml:space="preserve"> means a medical practitioner — </w:t>
      </w:r>
    </w:p>
    <w:p>
      <w:pPr>
        <w:pStyle w:val="Defpara"/>
      </w:pPr>
      <w:r>
        <w:tab/>
        <w:t>(a)</w:t>
      </w:r>
      <w:r>
        <w:tab/>
        <w:t xml:space="preserve">who is resident in the State and who is registered as a specialist under section 11A of the </w:t>
      </w:r>
      <w:r>
        <w:rPr>
          <w:i/>
        </w:rPr>
        <w:t>Medical Act 1894</w:t>
      </w:r>
      <w:r>
        <w:t>; or</w:t>
      </w:r>
    </w:p>
    <w:p>
      <w:pPr>
        <w:pStyle w:val="Defpara"/>
      </w:pPr>
      <w:r>
        <w:tab/>
        <w:t>(b)</w:t>
      </w:r>
      <w:r>
        <w:tab/>
        <w:t>who is not resident in the State, but who is recognised as a specialist for the purposes of this Act by WorkCover WA;</w:t>
      </w:r>
    </w:p>
    <w:p>
      <w:pPr>
        <w:pStyle w:val="Defstart"/>
      </w:pPr>
      <w:r>
        <w:tab/>
      </w:r>
      <w:r>
        <w:rPr>
          <w:b/>
        </w:rPr>
        <w:t>“</w:t>
      </w:r>
      <w:r>
        <w:rPr>
          <w:rStyle w:val="CharDefText"/>
        </w:rPr>
        <w:t>spouse</w:t>
      </w:r>
      <w:r>
        <w:rPr>
          <w:b/>
        </w:rPr>
        <w:t>”</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t>“</w:t>
      </w:r>
      <w:r>
        <w:rPr>
          <w:rStyle w:val="CharDefText"/>
        </w:rPr>
        <w:t>State</w:t>
      </w:r>
      <w:r>
        <w:rPr>
          <w:b/>
        </w:rPr>
        <w:t>”</w:t>
      </w:r>
      <w:r>
        <w:t xml:space="preserve"> includes Territory;</w:t>
      </w:r>
    </w:p>
    <w:p>
      <w:pPr>
        <w:pStyle w:val="Defstart"/>
      </w:pPr>
      <w:r>
        <w:rPr>
          <w:b/>
        </w:rPr>
        <w:tab/>
        <w:t>“</w:t>
      </w:r>
      <w:r>
        <w:rPr>
          <w:rStyle w:val="CharDefText"/>
        </w:rPr>
        <w:t>State Government Insurance Commission</w:t>
      </w:r>
      <w:r>
        <w:rPr>
          <w:b/>
        </w:rPr>
        <w:t>”</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pPr>
      <w:r>
        <w:rPr>
          <w:b/>
        </w:rPr>
        <w:tab/>
        <w:t>“</w:t>
      </w:r>
      <w:r>
        <w:rPr>
          <w:rStyle w:val="CharDefText"/>
        </w:rPr>
        <w:t>State Government Insurance Corporation</w:t>
      </w:r>
      <w:r>
        <w:rPr>
          <w:b/>
        </w:rPr>
        <w:t>”</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pPr>
      <w:r>
        <w:rPr>
          <w:b/>
        </w:rPr>
        <w:tab/>
        <w:t>“</w:t>
      </w:r>
      <w:r>
        <w:rPr>
          <w:rStyle w:val="CharDefText"/>
        </w:rPr>
        <w:t>the Chairman of WorkCover WA</w:t>
      </w:r>
      <w:r>
        <w:rPr>
          <w:b/>
        </w:rPr>
        <w:t>”</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t>“</w:t>
      </w:r>
      <w:r>
        <w:rPr>
          <w:rStyle w:val="CharDefText"/>
        </w:rPr>
        <w:t>tributer</w:t>
      </w:r>
      <w:r>
        <w:rPr>
          <w:b/>
        </w:rPr>
        <w:t>”</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t>“</w:t>
      </w:r>
      <w:r>
        <w:rPr>
          <w:rStyle w:val="CharDefText"/>
        </w:rPr>
        <w:t>Trust Account</w:t>
      </w:r>
      <w:r>
        <w:rPr>
          <w:b/>
        </w:rPr>
        <w:t>”</w:t>
      </w:r>
      <w:r>
        <w:t xml:space="preserve"> means the Workers’ Compensation and Injury Management Trust Account established under this Act;</w:t>
      </w:r>
    </w:p>
    <w:p>
      <w:pPr>
        <w:pStyle w:val="Defstart"/>
      </w:pPr>
      <w:r>
        <w:rPr>
          <w:b/>
        </w:rPr>
        <w:tab/>
        <w:t>“</w:t>
      </w:r>
      <w:r>
        <w:rPr>
          <w:rStyle w:val="CharDefText"/>
        </w:rPr>
        <w:t>vocational rehabilitation</w:t>
      </w:r>
      <w:r>
        <w:rPr>
          <w:b/>
        </w:rPr>
        <w:t>”</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t>“</w:t>
      </w:r>
      <w:r>
        <w:rPr>
          <w:rStyle w:val="CharDefText"/>
        </w:rPr>
        <w:t>weekly payments of compensation</w:t>
      </w:r>
      <w:r>
        <w:rPr>
          <w:b/>
        </w:rPr>
        <w:t>”</w:t>
      </w:r>
      <w:r>
        <w:t>, in respect of the prescribed amount, include payments made under clause 10 and weekly payments of the supplementary amount made under Schedule 5 clause 2;</w:t>
      </w:r>
    </w:p>
    <w:p>
      <w:pPr>
        <w:pStyle w:val="Defstart"/>
      </w:pPr>
      <w:r>
        <w:rPr>
          <w:b/>
        </w:rPr>
        <w:tab/>
        <w:t>“</w:t>
      </w:r>
      <w:r>
        <w:rPr>
          <w:rStyle w:val="CharDefText"/>
        </w:rPr>
        <w:t>WorkCover Guides</w:t>
      </w:r>
      <w:r>
        <w:rPr>
          <w:b/>
        </w:rPr>
        <w:t>”</w:t>
      </w:r>
      <w:r>
        <w:t xml:space="preserve"> means the directions published by WorkCover WA under section 146R;</w:t>
      </w:r>
    </w:p>
    <w:p>
      <w:pPr>
        <w:pStyle w:val="Defstart"/>
      </w:pPr>
      <w:r>
        <w:rPr>
          <w:b/>
        </w:rPr>
        <w:tab/>
        <w:t>“</w:t>
      </w:r>
      <w:r>
        <w:rPr>
          <w:rStyle w:val="CharDefText"/>
        </w:rPr>
        <w:t>WorkCover WA</w:t>
      </w:r>
      <w:r>
        <w:rPr>
          <w:b/>
        </w:rPr>
        <w:t>”</w:t>
      </w:r>
      <w:r>
        <w:t xml:space="preserve"> means the WorkCover Western Australia Authority referred to in section 94;</w:t>
      </w:r>
    </w:p>
    <w:p>
      <w:pPr>
        <w:pStyle w:val="Defstart"/>
      </w:pPr>
      <w:r>
        <w:rPr>
          <w:b/>
        </w:rPr>
        <w:tab/>
        <w:t>“</w:t>
      </w:r>
      <w:r>
        <w:rPr>
          <w:rStyle w:val="CharDefText"/>
        </w:rPr>
        <w:t>worker</w:t>
      </w:r>
      <w:r>
        <w:rPr>
          <w:b/>
        </w:rPr>
        <w:t>”</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r>
      <w:r>
        <w:tab/>
        <w:t xml:space="preserve">the term </w:t>
      </w:r>
      <w:r>
        <w:rPr>
          <w:b/>
        </w:rPr>
        <w:t>“</w:t>
      </w:r>
      <w:r>
        <w:rPr>
          <w:rStyle w:val="CharDefText"/>
        </w:rPr>
        <w:t>worker</w:t>
      </w:r>
      <w:r>
        <w:rPr>
          <w:b/>
        </w:rPr>
        <w:t>”</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r>
      <w:r>
        <w:tab/>
        <w:t xml:space="preserve">the term </w:t>
      </w:r>
      <w:r>
        <w:rPr>
          <w:b/>
        </w:rPr>
        <w:t>“</w:t>
      </w:r>
      <w:r>
        <w:rPr>
          <w:rStyle w:val="CharDefText"/>
        </w:rPr>
        <w:t>worker</w:t>
      </w:r>
      <w:r>
        <w:rPr>
          <w:b/>
        </w:rPr>
        <w:t>”</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r>
        <w:rPr>
          <w:b/>
        </w:rPr>
        <w:t>“</w:t>
      </w:r>
      <w:r>
        <w:rPr>
          <w:rStyle w:val="CharDefText"/>
        </w:rPr>
        <w:t>personal injury by accident</w:t>
      </w:r>
      <w:r>
        <w:rPr>
          <w:b/>
        </w:rPr>
        <w:t>”</w:t>
      </w:r>
      <w:r>
        <w:t xml:space="preserve"> is a reference to an injury of a kind referred to in paragraph (a) of the definition of “injury” in subsection (1).</w:t>
      </w:r>
    </w:p>
    <w:p>
      <w:pPr>
        <w:pStyle w:val="Subsection"/>
        <w:spacing w:before="100"/>
        <w:rPr>
          <w:snapToGrid w:val="0"/>
        </w:rPr>
      </w:pPr>
      <w:r>
        <w:rPr>
          <w:snapToGrid w:val="0"/>
        </w:rPr>
        <w:tab/>
        <w:t>(4)</w:t>
      </w:r>
      <w:r>
        <w:rPr>
          <w:snapToGrid w:val="0"/>
        </w:rPr>
        <w:tab/>
        <w:t>For purposes of the definition of</w:t>
      </w:r>
      <w:r>
        <w:rPr>
          <w:b/>
        </w:rPr>
        <w:t xml:space="preserve"> “</w:t>
      </w:r>
      <w:r>
        <w:rPr>
          <w:rStyle w:val="CharDefText"/>
        </w:rPr>
        <w:t>injury</w:t>
      </w:r>
      <w:r>
        <w:rPr>
          <w:b/>
        </w:rPr>
        <w:t>”</w:t>
      </w:r>
      <w:r>
        <w:rPr>
          <w:snapToGrid w:val="0"/>
        </w:rPr>
        <w:t>,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In determining whether the employment contributed, or contributed to a significant degree, to the contraction, recurrence, aggravation or acceleration of a disease for purposes of the definitions of</w:t>
      </w:r>
      <w:r>
        <w:rPr>
          <w:b/>
        </w:rPr>
        <w:t xml:space="preserve"> “</w:t>
      </w:r>
      <w:r>
        <w:rPr>
          <w:rStyle w:val="CharDefText"/>
        </w:rPr>
        <w:t>injury</w:t>
      </w:r>
      <w:r>
        <w:rPr>
          <w:b/>
        </w:rPr>
        <w:t>”</w:t>
      </w:r>
      <w:r>
        <w:rPr>
          <w:snapToGrid w:val="0"/>
        </w:rPr>
        <w:t xml:space="preserve"> and </w:t>
      </w:r>
      <w:r>
        <w:rPr>
          <w:b/>
          <w:snapToGrid w:val="0"/>
        </w:rPr>
        <w:t>“</w:t>
      </w:r>
      <w:r>
        <w:rPr>
          <w:rStyle w:val="CharDefText"/>
        </w:rPr>
        <w:t>relevant employment</w:t>
      </w:r>
      <w:r>
        <w:rPr>
          <w:b/>
          <w:snapToGrid w:val="0"/>
        </w:rPr>
        <w:t>”</w:t>
      </w:r>
      <w:r>
        <w:rPr>
          <w:snapToGrid w:val="0"/>
        </w:rPr>
        <w:t>, the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 109; No. 77 of 2006 s. 17.] </w:t>
      </w:r>
    </w:p>
    <w:p>
      <w:pPr>
        <w:pStyle w:val="Heading5"/>
      </w:pPr>
      <w:bookmarkStart w:id="7" w:name="_Toc390078093"/>
      <w:r>
        <w:rPr>
          <w:rStyle w:val="CharSectno"/>
        </w:rPr>
        <w:t>5A</w:t>
      </w:r>
      <w:r>
        <w:t>.</w:t>
      </w:r>
      <w:r>
        <w:tab/>
        <w:t>Indexation of certain amounts</w:t>
      </w:r>
      <w:bookmarkEnd w:id="7"/>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b/>
        </w:rPr>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8" w:name="_Toc390078094"/>
      <w:r>
        <w:rPr>
          <w:rStyle w:val="CharPartNo"/>
        </w:rPr>
        <w:t>Part II</w:t>
      </w:r>
      <w:r>
        <w:rPr>
          <w:rStyle w:val="CharDivNo"/>
        </w:rPr>
        <w:t> </w:t>
      </w:r>
      <w:r>
        <w:t>—</w:t>
      </w:r>
      <w:r>
        <w:rPr>
          <w:rStyle w:val="CharDivText"/>
        </w:rPr>
        <w:t> </w:t>
      </w:r>
      <w:r>
        <w:rPr>
          <w:rStyle w:val="CharPartText"/>
        </w:rPr>
        <w:t>Application of this Act in respect of certain persons and bodies</w:t>
      </w:r>
      <w:bookmarkEnd w:id="8"/>
      <w:r>
        <w:rPr>
          <w:rStyle w:val="CharPartText"/>
        </w:rPr>
        <w:t xml:space="preserve"> </w:t>
      </w:r>
    </w:p>
    <w:p>
      <w:pPr>
        <w:pStyle w:val="Heading5"/>
        <w:rPr>
          <w:snapToGrid w:val="0"/>
        </w:rPr>
      </w:pPr>
      <w:bookmarkStart w:id="9" w:name="_Toc390078095"/>
      <w:r>
        <w:rPr>
          <w:rStyle w:val="CharSectno"/>
        </w:rPr>
        <w:t>6</w:t>
      </w:r>
      <w:r>
        <w:rPr>
          <w:snapToGrid w:val="0"/>
        </w:rPr>
        <w:t>.</w:t>
      </w:r>
      <w:r>
        <w:rPr>
          <w:snapToGrid w:val="0"/>
        </w:rPr>
        <w:tab/>
        <w:t>Local governments and other authorities</w:t>
      </w:r>
      <w:bookmarkEnd w:id="9"/>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0" w:name="_Toc390078096"/>
      <w:r>
        <w:rPr>
          <w:rStyle w:val="CharSectno"/>
        </w:rPr>
        <w:t>7</w:t>
      </w:r>
      <w:r>
        <w:rPr>
          <w:snapToGrid w:val="0"/>
        </w:rPr>
        <w:t>.</w:t>
      </w:r>
      <w:r>
        <w:rPr>
          <w:snapToGrid w:val="0"/>
        </w:rPr>
        <w:tab/>
        <w:t>Tributers</w:t>
      </w:r>
      <w:bookmarkEnd w:id="10"/>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1" w:name="_Toc390078097"/>
      <w:r>
        <w:rPr>
          <w:rStyle w:val="CharSectno"/>
        </w:rPr>
        <w:t>8</w:t>
      </w:r>
      <w:r>
        <w:rPr>
          <w:snapToGrid w:val="0"/>
        </w:rPr>
        <w:t>.</w:t>
      </w:r>
      <w:r>
        <w:rPr>
          <w:snapToGrid w:val="0"/>
        </w:rPr>
        <w:tab/>
        <w:t>Baptist clergymen</w:t>
      </w:r>
      <w:bookmarkEnd w:id="11"/>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2" w:name="_Toc390078098"/>
      <w:r>
        <w:rPr>
          <w:rStyle w:val="CharSectno"/>
        </w:rPr>
        <w:t>9</w:t>
      </w:r>
      <w:r>
        <w:rPr>
          <w:snapToGrid w:val="0"/>
        </w:rPr>
        <w:t>.</w:t>
      </w:r>
      <w:r>
        <w:rPr>
          <w:snapToGrid w:val="0"/>
        </w:rPr>
        <w:tab/>
        <w:t>Anglican clergy</w:t>
      </w:r>
      <w:bookmarkEnd w:id="12"/>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3" w:name="_Toc390078099"/>
      <w:r>
        <w:rPr>
          <w:rStyle w:val="CharSectno"/>
        </w:rPr>
        <w:t>10</w:t>
      </w:r>
      <w:r>
        <w:rPr>
          <w:snapToGrid w:val="0"/>
        </w:rPr>
        <w:t>.</w:t>
      </w:r>
      <w:r>
        <w:rPr>
          <w:snapToGrid w:val="0"/>
        </w:rPr>
        <w:tab/>
        <w:t>Other clergymen</w:t>
      </w:r>
      <w:bookmarkEnd w:id="13"/>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b/>
          <w:snapToGrid w:val="0"/>
        </w:rPr>
        <w:t>“</w:t>
      </w:r>
      <w:r>
        <w:rPr>
          <w:rStyle w:val="CharDefText"/>
        </w:rPr>
        <w:t>worker</w:t>
      </w:r>
      <w:r>
        <w:rPr>
          <w:b/>
          <w:snapToGrid w:val="0"/>
        </w:rPr>
        <w:t>”</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4" w:name="_Toc390078100"/>
      <w:r>
        <w:rPr>
          <w:rStyle w:val="CharSectno"/>
        </w:rPr>
        <w:t>10A</w:t>
      </w:r>
      <w:r>
        <w:t>.</w:t>
      </w:r>
      <w:r>
        <w:tab/>
        <w:t>Working directors</w:t>
      </w:r>
      <w:bookmarkEnd w:id="14"/>
    </w:p>
    <w:p>
      <w:pPr>
        <w:pStyle w:val="Subsection"/>
      </w:pPr>
      <w:r>
        <w:tab/>
        <w:t>(1)</w:t>
      </w:r>
      <w:r>
        <w:tab/>
        <w:t xml:space="preserve">In this section — </w:t>
      </w:r>
    </w:p>
    <w:p>
      <w:pPr>
        <w:pStyle w:val="Defstart"/>
      </w:pPr>
      <w:r>
        <w:rPr>
          <w:b/>
        </w:rPr>
        <w:tab/>
        <w:t>“</w:t>
      </w:r>
      <w:r>
        <w:rPr>
          <w:rStyle w:val="CharDefText"/>
        </w:rPr>
        <w:t>company</w:t>
      </w:r>
      <w:r>
        <w:rPr>
          <w:b/>
        </w:rPr>
        <w:t>”</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t>“</w:t>
      </w:r>
      <w:r>
        <w:rPr>
          <w:rStyle w:val="CharDefText"/>
        </w:rPr>
        <w:t>corporate body</w:t>
      </w:r>
      <w:r>
        <w:rPr>
          <w:b/>
        </w:rPr>
        <w:t>”</w:t>
      </w:r>
      <w:r>
        <w:t xml:space="preserve"> has the same meaning as “company” in section 5(1);</w:t>
      </w:r>
    </w:p>
    <w:p>
      <w:pPr>
        <w:pStyle w:val="Defstart"/>
      </w:pPr>
      <w:r>
        <w:rPr>
          <w:b/>
        </w:rPr>
        <w:tab/>
        <w:t>“</w:t>
      </w:r>
      <w:r>
        <w:rPr>
          <w:rStyle w:val="CharDefText"/>
        </w:rPr>
        <w:t>director</w:t>
      </w:r>
      <w:r>
        <w:rPr>
          <w:b/>
        </w:rPr>
        <w:t>”</w:t>
      </w:r>
      <w:r>
        <w:t xml:space="preserve"> has the meaning given to that term in the </w:t>
      </w:r>
      <w:r>
        <w:rPr>
          <w:i/>
        </w:rPr>
        <w:t xml:space="preserve">Corporations Act 2001 </w:t>
      </w:r>
      <w:r>
        <w:t>of the Commonwealth;</w:t>
      </w:r>
    </w:p>
    <w:p>
      <w:pPr>
        <w:pStyle w:val="Defstart"/>
      </w:pPr>
      <w:r>
        <w:rPr>
          <w:b/>
        </w:rPr>
        <w:tab/>
        <w:t>“</w:t>
      </w:r>
      <w:r>
        <w:rPr>
          <w:rStyle w:val="CharDefText"/>
        </w:rPr>
        <w:t>earnings</w:t>
      </w:r>
      <w:r>
        <w:rPr>
          <w:b/>
        </w:rPr>
        <w:t>”</w:t>
      </w:r>
      <w:r>
        <w:t xml:space="preserve"> means wages, salary and other remuneration;</w:t>
      </w:r>
    </w:p>
    <w:p>
      <w:pPr>
        <w:pStyle w:val="Defstart"/>
        <w:keepNext/>
        <w:keepLines/>
      </w:pPr>
      <w:r>
        <w:rPr>
          <w:b/>
        </w:rPr>
        <w:tab/>
        <w:t>“</w:t>
      </w:r>
      <w:r>
        <w:rPr>
          <w:rStyle w:val="CharDefText"/>
        </w:rPr>
        <w:t>working director</w:t>
      </w:r>
      <w:r>
        <w:rPr>
          <w:b/>
        </w:rPr>
        <w:t>”</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r>
        <w:rPr>
          <w:i w:val="0"/>
          <w:vertAlign w:val="superscript"/>
        </w:rPr>
        <w:t> 4</w:t>
      </w:r>
      <w:r>
        <w:t>.]</w:t>
      </w:r>
    </w:p>
    <w:p>
      <w:pPr>
        <w:pStyle w:val="Heading5"/>
        <w:rPr>
          <w:snapToGrid w:val="0"/>
        </w:rPr>
      </w:pPr>
      <w:bookmarkStart w:id="15" w:name="_Toc390078101"/>
      <w:r>
        <w:rPr>
          <w:rStyle w:val="CharSectno"/>
        </w:rPr>
        <w:t>11</w:t>
      </w:r>
      <w:r>
        <w:rPr>
          <w:snapToGrid w:val="0"/>
        </w:rPr>
        <w:t>.</w:t>
      </w:r>
      <w:r>
        <w:rPr>
          <w:snapToGrid w:val="0"/>
        </w:rPr>
        <w:tab/>
        <w:t>Exclusion of certain persons who are contestants in sporting or athletic activities</w:t>
      </w:r>
      <w:bookmarkEnd w:id="15"/>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6" w:name="_Toc390078102"/>
      <w:r>
        <w:rPr>
          <w:rStyle w:val="CharSectno"/>
        </w:rPr>
        <w:t>11A</w:t>
      </w:r>
      <w:r>
        <w:rPr>
          <w:snapToGrid w:val="0"/>
        </w:rPr>
        <w:t>.</w:t>
      </w:r>
      <w:r>
        <w:rPr>
          <w:snapToGrid w:val="0"/>
        </w:rPr>
        <w:tab/>
        <w:t>Jockeys</w:t>
      </w:r>
      <w:bookmarkEnd w:id="16"/>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b/>
          <w:snapToGrid w:val="0"/>
        </w:rPr>
        <w:t>“</w:t>
      </w:r>
      <w:r>
        <w:rPr>
          <w:rStyle w:val="CharDefText"/>
        </w:rPr>
        <w:t>worker</w:t>
      </w:r>
      <w:r>
        <w:rPr>
          <w:b/>
          <w:snapToGrid w:val="0"/>
        </w:rPr>
        <w:t>”</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spacing w:before="100"/>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spacing w:before="100"/>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 xml:space="preserve">Conciliation and Arbitration Act 1904 </w:t>
      </w:r>
      <w:r>
        <w:rPr>
          <w:snapToGrid w:val="0"/>
          <w:vertAlign w:val="superscript"/>
        </w:rPr>
        <w:t>5</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spacing w:before="120"/>
        <w:rPr>
          <w:snapToGrid w:val="0"/>
        </w:rPr>
      </w:pPr>
      <w:bookmarkStart w:id="17" w:name="_Toc390078103"/>
      <w:r>
        <w:rPr>
          <w:rStyle w:val="CharSectno"/>
        </w:rPr>
        <w:t>12</w:t>
      </w:r>
      <w:r>
        <w:rPr>
          <w:snapToGrid w:val="0"/>
        </w:rPr>
        <w:t>.</w:t>
      </w:r>
      <w:r>
        <w:rPr>
          <w:snapToGrid w:val="0"/>
        </w:rPr>
        <w:tab/>
        <w:t>Compensation not payable in certain cases</w:t>
      </w:r>
      <w:bookmarkEnd w:id="17"/>
      <w:r>
        <w:rPr>
          <w:snapToGrid w:val="0"/>
        </w:rPr>
        <w:t xml:space="preserve"> </w:t>
      </w:r>
    </w:p>
    <w:p>
      <w:pPr>
        <w:pStyle w:val="Subsection"/>
        <w:spacing w:before="100"/>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spacing w:before="80"/>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spacing w:before="120"/>
        <w:rPr>
          <w:snapToGrid w:val="0"/>
        </w:rPr>
      </w:pPr>
      <w:bookmarkStart w:id="18" w:name="_Toc390078104"/>
      <w:r>
        <w:rPr>
          <w:rStyle w:val="CharSectno"/>
        </w:rPr>
        <w:t>13</w:t>
      </w:r>
      <w:r>
        <w:rPr>
          <w:snapToGrid w:val="0"/>
        </w:rPr>
        <w:t>.</w:t>
      </w:r>
      <w:r>
        <w:rPr>
          <w:snapToGrid w:val="0"/>
        </w:rPr>
        <w:tab/>
        <w:t>Continued operation of this Act where compensation previously paid</w:t>
      </w:r>
      <w:bookmarkEnd w:id="18"/>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19" w:name="_Toc390078105"/>
      <w:r>
        <w:rPr>
          <w:rStyle w:val="CharSectno"/>
        </w:rPr>
        <w:t>14</w:t>
      </w:r>
      <w:r>
        <w:rPr>
          <w:snapToGrid w:val="0"/>
        </w:rPr>
        <w:t>.</w:t>
      </w:r>
      <w:r>
        <w:rPr>
          <w:snapToGrid w:val="0"/>
        </w:rPr>
        <w:tab/>
        <w:t>Application to worker in employment of Crown</w:t>
      </w:r>
      <w:bookmarkEnd w:id="19"/>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Crown</w:t>
      </w:r>
      <w:r>
        <w:rPr>
          <w:b/>
          <w:snapToGrid w:val="0"/>
        </w:rPr>
        <w:t>”</w:t>
      </w:r>
      <w:r>
        <w:rPr>
          <w:snapToGrid w:val="0"/>
        </w:rPr>
        <w:t xml:space="preserve"> means Crown in right of the State.</w:t>
      </w:r>
    </w:p>
    <w:p>
      <w:pPr>
        <w:pStyle w:val="Subsection"/>
        <w:spacing w:before="120"/>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spacing w:before="120"/>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spacing w:before="120"/>
        <w:rPr>
          <w:snapToGrid w:val="0"/>
        </w:rPr>
      </w:pPr>
      <w:r>
        <w:rPr>
          <w:snapToGrid w:val="0"/>
        </w:rPr>
        <w:tab/>
      </w:r>
      <w:r>
        <w:rPr>
          <w:snapToGrid w:val="0"/>
        </w:rPr>
        <w:tab/>
        <w:t>is deemed to be a worker employed by or under the Crown.</w:t>
      </w:r>
    </w:p>
    <w:p>
      <w:pPr>
        <w:pStyle w:val="Subsection"/>
        <w:spacing w:before="120"/>
        <w:rPr>
          <w:snapToGrid w:val="0"/>
        </w:rPr>
      </w:pPr>
      <w:r>
        <w:rPr>
          <w:snapToGrid w:val="0"/>
        </w:rPr>
        <w:tab/>
        <w:t>(3)</w:t>
      </w:r>
      <w:r>
        <w:rPr>
          <w:snapToGrid w:val="0"/>
        </w:rPr>
        <w:tab/>
        <w:t>All moneys payable under this Act by or on behalf of the Crown shall be paid out of moneys to be provided by Parliament.</w:t>
      </w:r>
    </w:p>
    <w:p>
      <w:pPr>
        <w:pStyle w:val="Subsection"/>
        <w:spacing w:before="120"/>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r>
        <w:t>[</w:t>
      </w:r>
      <w:r>
        <w:rPr>
          <w:b/>
        </w:rPr>
        <w:t>15.</w:t>
      </w:r>
      <w:r>
        <w:tab/>
        <w:t xml:space="preserve">Repealed by No. 36 of 2004 s. 5.] </w:t>
      </w:r>
    </w:p>
    <w:p>
      <w:pPr>
        <w:pStyle w:val="Heading5"/>
        <w:keepNext w:val="0"/>
        <w:keepLines w:val="0"/>
        <w:rPr>
          <w:snapToGrid w:val="0"/>
        </w:rPr>
      </w:pPr>
      <w:bookmarkStart w:id="20" w:name="_Toc390078106"/>
      <w:r>
        <w:rPr>
          <w:rStyle w:val="CharSectno"/>
        </w:rPr>
        <w:t>16</w:t>
      </w:r>
      <w:r>
        <w:rPr>
          <w:snapToGrid w:val="0"/>
        </w:rPr>
        <w:t>.</w:t>
      </w:r>
      <w:r>
        <w:rPr>
          <w:snapToGrid w:val="0"/>
        </w:rPr>
        <w:tab/>
        <w:t>Act to apply as to injury to persons employed on Western Australian ships</w:t>
      </w:r>
      <w:bookmarkEnd w:id="20"/>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1" w:name="_Toc390078107"/>
      <w:r>
        <w:rPr>
          <w:rStyle w:val="CharSectno"/>
        </w:rPr>
        <w:t>17</w:t>
      </w:r>
      <w:r>
        <w:rPr>
          <w:snapToGrid w:val="0"/>
        </w:rPr>
        <w:t>.</w:t>
      </w:r>
      <w:r>
        <w:rPr>
          <w:snapToGrid w:val="0"/>
        </w:rPr>
        <w:tab/>
        <w:t>Crew of fishing vessel</w:t>
      </w:r>
      <w:bookmarkEnd w:id="21"/>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2" w:name="_Toc390078108"/>
      <w:r>
        <w:rPr>
          <w:rStyle w:val="CharPartNo"/>
        </w:rPr>
        <w:t>Part III</w:t>
      </w:r>
      <w:r>
        <w:t> — </w:t>
      </w:r>
      <w:r>
        <w:rPr>
          <w:rStyle w:val="CharPartText"/>
        </w:rPr>
        <w:t>Compensation</w:t>
      </w:r>
      <w:bookmarkEnd w:id="22"/>
      <w:r>
        <w:rPr>
          <w:rStyle w:val="CharPartText"/>
        </w:rPr>
        <w:t xml:space="preserve"> </w:t>
      </w:r>
    </w:p>
    <w:p>
      <w:pPr>
        <w:pStyle w:val="Heading3"/>
      </w:pPr>
      <w:bookmarkStart w:id="23" w:name="_Toc390078109"/>
      <w:r>
        <w:rPr>
          <w:rStyle w:val="CharDivNo"/>
        </w:rPr>
        <w:t>Division 1</w:t>
      </w:r>
      <w:r>
        <w:t> — </w:t>
      </w:r>
      <w:r>
        <w:rPr>
          <w:rStyle w:val="CharDivText"/>
        </w:rPr>
        <w:t>Injury: general</w:t>
      </w:r>
      <w:bookmarkEnd w:id="23"/>
    </w:p>
    <w:p>
      <w:pPr>
        <w:pStyle w:val="Footnoteheading"/>
      </w:pPr>
      <w:r>
        <w:tab/>
        <w:t>[Heading inserted by No. 42 of 2004 s. 12.]</w:t>
      </w:r>
    </w:p>
    <w:p>
      <w:pPr>
        <w:pStyle w:val="Heading5"/>
        <w:rPr>
          <w:snapToGrid w:val="0"/>
        </w:rPr>
      </w:pPr>
      <w:bookmarkStart w:id="24" w:name="_Toc390078110"/>
      <w:r>
        <w:rPr>
          <w:rStyle w:val="CharSectno"/>
        </w:rPr>
        <w:t>18</w:t>
      </w:r>
      <w:r>
        <w:rPr>
          <w:snapToGrid w:val="0"/>
        </w:rPr>
        <w:t>.</w:t>
      </w:r>
      <w:r>
        <w:rPr>
          <w:snapToGrid w:val="0"/>
        </w:rPr>
        <w:tab/>
        <w:t>Liability of employers to workers for injuries</w:t>
      </w:r>
      <w:bookmarkEnd w:id="24"/>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25" w:name="_Toc390078111"/>
      <w:r>
        <w:rPr>
          <w:rStyle w:val="CharSectno"/>
        </w:rPr>
        <w:t>19</w:t>
      </w:r>
      <w:r>
        <w:rPr>
          <w:snapToGrid w:val="0"/>
        </w:rPr>
        <w:t>.</w:t>
      </w:r>
      <w:r>
        <w:rPr>
          <w:snapToGrid w:val="0"/>
        </w:rPr>
        <w:tab/>
        <w:t>Personal injury by accident arising out of or in course of employment</w:t>
      </w:r>
      <w:bookmarkEnd w:id="25"/>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place of residence</w:t>
      </w:r>
      <w:r>
        <w:rPr>
          <w:b/>
        </w:rPr>
        <w:t>”</w:t>
      </w:r>
      <w:r>
        <w:t xml:space="preserve"> includes a place of temporary residence;</w:t>
      </w:r>
    </w:p>
    <w:p>
      <w:pPr>
        <w:pStyle w:val="Defstart"/>
      </w:pPr>
      <w:r>
        <w:rPr>
          <w:b/>
        </w:rPr>
        <w:tab/>
        <w:t>“</w:t>
      </w:r>
      <w:r>
        <w:rPr>
          <w:rStyle w:val="CharDefText"/>
        </w:rPr>
        <w:t>substantial interruption</w:t>
      </w:r>
      <w:r>
        <w:rPr>
          <w:b/>
        </w:rPr>
        <w:t>”</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26" w:name="_Toc390078112"/>
      <w:r>
        <w:rPr>
          <w:rStyle w:val="CharSectno"/>
        </w:rPr>
        <w:t>20</w:t>
      </w:r>
      <w:r>
        <w:t>.</w:t>
      </w:r>
      <w:r>
        <w:tab/>
        <w:t>Compensation not payable unless worker’s employment connected with this State</w:t>
      </w:r>
      <w:bookmarkEnd w:id="26"/>
    </w:p>
    <w:p>
      <w:pPr>
        <w:pStyle w:val="Subsection"/>
      </w:pPr>
      <w:r>
        <w:tab/>
        <w:t>(1)</w:t>
      </w:r>
      <w:r>
        <w:tab/>
        <w:t xml:space="preserve">In this section — </w:t>
      </w:r>
    </w:p>
    <w:p>
      <w:pPr>
        <w:pStyle w:val="Defstart"/>
      </w:pPr>
      <w:r>
        <w:rPr>
          <w:b/>
        </w:rPr>
        <w:tab/>
        <w:t>“</w:t>
      </w:r>
      <w:r>
        <w:rPr>
          <w:rStyle w:val="CharDefText"/>
        </w:rPr>
        <w:t>State</w:t>
      </w:r>
      <w:r>
        <w:rPr>
          <w:b/>
        </w:rPr>
        <w:t>”</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spacing w:before="120"/>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spacing w:before="120"/>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rPr>
          <w:snapToGrid w:val="0"/>
        </w:rPr>
      </w:pPr>
      <w:bookmarkStart w:id="27" w:name="_Toc390078113"/>
      <w:r>
        <w:rPr>
          <w:rStyle w:val="CharSectno"/>
        </w:rPr>
        <w:t>21</w:t>
      </w:r>
      <w:r>
        <w:rPr>
          <w:snapToGrid w:val="0"/>
        </w:rPr>
        <w:t>.</w:t>
      </w:r>
      <w:r>
        <w:rPr>
          <w:snapToGrid w:val="0"/>
        </w:rPr>
        <w:tab/>
        <w:t>Compensation from date of incapacity</w:t>
      </w:r>
      <w:bookmarkEnd w:id="27"/>
      <w:r>
        <w:rPr>
          <w:snapToGrid w:val="0"/>
        </w:rPr>
        <w:t xml:space="preserve"> </w:t>
      </w:r>
    </w:p>
    <w:p>
      <w:pPr>
        <w:pStyle w:val="Subsection"/>
        <w:spacing w:before="120"/>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rPr>
          <w:snapToGrid w:val="0"/>
        </w:rPr>
      </w:pPr>
      <w:bookmarkStart w:id="28" w:name="_Toc390078114"/>
      <w:r>
        <w:rPr>
          <w:rStyle w:val="CharSectno"/>
        </w:rPr>
        <w:t>22</w:t>
      </w:r>
      <w:r>
        <w:rPr>
          <w:snapToGrid w:val="0"/>
        </w:rPr>
        <w:t>.</w:t>
      </w:r>
      <w:r>
        <w:rPr>
          <w:snapToGrid w:val="0"/>
        </w:rPr>
        <w:tab/>
        <w:t>Serious and wilful misconduct</w:t>
      </w:r>
      <w:bookmarkEnd w:id="28"/>
      <w:r>
        <w:rPr>
          <w:snapToGrid w:val="0"/>
        </w:rPr>
        <w:t xml:space="preserve"> </w:t>
      </w:r>
    </w:p>
    <w:p>
      <w:pPr>
        <w:pStyle w:val="Subsection"/>
        <w:spacing w:before="120"/>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pPr>
      <w:r>
        <w:tab/>
        <w:t>[Section 22 amended by No. 42 of 2004 s. 13 and 147.]</w:t>
      </w:r>
    </w:p>
    <w:p>
      <w:pPr>
        <w:pStyle w:val="Heading5"/>
      </w:pPr>
      <w:bookmarkStart w:id="29" w:name="_Toc390078115"/>
      <w:r>
        <w:rPr>
          <w:rStyle w:val="CharSectno"/>
        </w:rPr>
        <w:t>23</w:t>
      </w:r>
      <w:r>
        <w:t>.</w:t>
      </w:r>
      <w:r>
        <w:tab/>
        <w:t>Person not to be compensated twice</w:t>
      </w:r>
      <w:bookmarkEnd w:id="29"/>
    </w:p>
    <w:p>
      <w:pPr>
        <w:pStyle w:val="Subsection"/>
        <w:spacing w:before="10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0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00"/>
      </w:pPr>
      <w:r>
        <w:tab/>
      </w:r>
      <w:r>
        <w:tab/>
        <w:t>the person from whom compensation under this Act is received may, in a court of competent jurisdiction, sue and recover from the person the amount described in subsection (3).</w:t>
      </w:r>
    </w:p>
    <w:p>
      <w:pPr>
        <w:pStyle w:val="Subsection"/>
        <w:spacing w:before="10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00"/>
      </w:pPr>
      <w:r>
        <w:tab/>
      </w:r>
      <w:r>
        <w:tab/>
        <w:t>whichever is less.</w:t>
      </w:r>
    </w:p>
    <w:p>
      <w:pPr>
        <w:pStyle w:val="Footnotesection"/>
      </w:pPr>
      <w:r>
        <w:tab/>
        <w:t>[Section 23 inserted by No. 36 of 2004 s. 8.]</w:t>
      </w:r>
    </w:p>
    <w:p>
      <w:pPr>
        <w:pStyle w:val="Heading3"/>
      </w:pPr>
      <w:bookmarkStart w:id="30" w:name="_Toc390078116"/>
      <w:r>
        <w:rPr>
          <w:rStyle w:val="CharDivNo"/>
        </w:rPr>
        <w:t>Division 1a</w:t>
      </w:r>
      <w:r>
        <w:t> — </w:t>
      </w:r>
      <w:r>
        <w:rPr>
          <w:rStyle w:val="CharDivText"/>
        </w:rPr>
        <w:t>Determination by courts and recognition of determination</w:t>
      </w:r>
      <w:bookmarkEnd w:id="30"/>
    </w:p>
    <w:p>
      <w:pPr>
        <w:pStyle w:val="Footnoteheading"/>
        <w:tabs>
          <w:tab w:val="left" w:pos="851"/>
        </w:tabs>
      </w:pPr>
      <w:r>
        <w:tab/>
        <w:t>[Heading inserted by No. 36 of 2004 s. 9.]</w:t>
      </w:r>
    </w:p>
    <w:p>
      <w:pPr>
        <w:pStyle w:val="Heading5"/>
      </w:pPr>
      <w:bookmarkStart w:id="31" w:name="_Toc390078117"/>
      <w:r>
        <w:rPr>
          <w:rStyle w:val="CharSectno"/>
        </w:rPr>
        <w:t>23A</w:t>
      </w:r>
      <w:r>
        <w:t>.</w:t>
      </w:r>
      <w:r>
        <w:tab/>
        <w:t>Definition</w:t>
      </w:r>
      <w:bookmarkEnd w:id="31"/>
    </w:p>
    <w:p>
      <w:pPr>
        <w:pStyle w:val="Subsection"/>
        <w:spacing w:before="100"/>
      </w:pPr>
      <w:r>
        <w:tab/>
      </w:r>
      <w:r>
        <w:tab/>
        <w:t xml:space="preserve">In this Division — </w:t>
      </w:r>
    </w:p>
    <w:p>
      <w:pPr>
        <w:pStyle w:val="Defstart"/>
      </w:pPr>
      <w:r>
        <w:rPr>
          <w:b/>
        </w:rPr>
        <w:tab/>
        <w:t>“</w:t>
      </w:r>
      <w:r>
        <w:rPr>
          <w:rStyle w:val="CharDefText"/>
        </w:rPr>
        <w:t>court</w:t>
      </w:r>
      <w:r>
        <w:rPr>
          <w:b/>
        </w:rPr>
        <w:t>”</w:t>
      </w:r>
      <w:r>
        <w:t xml:space="preserve"> includes a tribunal constituted by a judicial officer. </w:t>
      </w:r>
    </w:p>
    <w:p>
      <w:pPr>
        <w:pStyle w:val="Footnotesection"/>
      </w:pPr>
      <w:r>
        <w:tab/>
        <w:t>[Section 23A inserted by No. 36 of 2004 s. 9.]</w:t>
      </w:r>
    </w:p>
    <w:p>
      <w:pPr>
        <w:pStyle w:val="Heading5"/>
      </w:pPr>
      <w:bookmarkStart w:id="32" w:name="_Toc390078118"/>
      <w:r>
        <w:rPr>
          <w:rStyle w:val="CharSectno"/>
        </w:rPr>
        <w:t>23B</w:t>
      </w:r>
      <w:r>
        <w:t>.</w:t>
      </w:r>
      <w:r>
        <w:tab/>
        <w:t>Determination of State with which worker’s employment is connected in proceedings under this Act</w:t>
      </w:r>
      <w:bookmarkEnd w:id="32"/>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33" w:name="_Toc390078119"/>
      <w:r>
        <w:rPr>
          <w:rStyle w:val="CharSectno"/>
        </w:rPr>
        <w:t>23C</w:t>
      </w:r>
      <w:r>
        <w:t>.</w:t>
      </w:r>
      <w:r>
        <w:tab/>
        <w:t>Determination by the District Court of State with which worker’s employment is connected</w:t>
      </w:r>
      <w:bookmarkEnd w:id="33"/>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34" w:name="_Toc390078120"/>
      <w:r>
        <w:rPr>
          <w:rStyle w:val="CharSectno"/>
        </w:rPr>
        <w:t>23D</w:t>
      </w:r>
      <w:r>
        <w:t>.</w:t>
      </w:r>
      <w:r>
        <w:tab/>
        <w:t>Recognition of previous determinations</w:t>
      </w:r>
      <w:bookmarkEnd w:id="34"/>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20"/>
      </w:pPr>
      <w:r>
        <w:tab/>
        <w:t>(2)</w:t>
      </w:r>
      <w:r>
        <w:tab/>
        <w:t>The State determined as mentioned in subsection (1) is to be recognised for the purposes of this Act as the State with which the worker’s employment is connected.</w:t>
      </w:r>
    </w:p>
    <w:p>
      <w:pPr>
        <w:pStyle w:val="Subsection"/>
        <w:spacing w:before="120"/>
      </w:pPr>
      <w:r>
        <w:tab/>
        <w:t>(3)</w:t>
      </w:r>
      <w:r>
        <w:tab/>
        <w:t>This section does not prevent any appeal relating to the determination.</w:t>
      </w:r>
    </w:p>
    <w:p>
      <w:pPr>
        <w:pStyle w:val="Subsection"/>
        <w:spacing w:before="12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pPr>
      <w:bookmarkStart w:id="35" w:name="_Toc390078121"/>
      <w:r>
        <w:rPr>
          <w:rStyle w:val="CharSectno"/>
        </w:rPr>
        <w:t>23E</w:t>
      </w:r>
      <w:r>
        <w:t>.</w:t>
      </w:r>
      <w:r>
        <w:tab/>
        <w:t>Determination may be made by consent</w:t>
      </w:r>
      <w:bookmarkEnd w:id="35"/>
    </w:p>
    <w:p>
      <w:pPr>
        <w:pStyle w:val="Subsection"/>
        <w:spacing w:before="12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36" w:name="_Toc390078122"/>
      <w:r>
        <w:rPr>
          <w:rStyle w:val="CharDivNo"/>
        </w:rPr>
        <w:t>Division 2</w:t>
      </w:r>
      <w:r>
        <w:t> — </w:t>
      </w:r>
      <w:r>
        <w:rPr>
          <w:rStyle w:val="CharDivText"/>
        </w:rPr>
        <w:t>Discontinued regime for lump sum payments for specified injuries</w:t>
      </w:r>
      <w:bookmarkEnd w:id="36"/>
    </w:p>
    <w:p>
      <w:pPr>
        <w:pStyle w:val="Footnoteheading"/>
      </w:pPr>
      <w:r>
        <w:tab/>
        <w:t>[Heading inserted by No. 42 of 2004 s. 14.]</w:t>
      </w:r>
    </w:p>
    <w:p>
      <w:pPr>
        <w:pStyle w:val="Heading5"/>
        <w:rPr>
          <w:snapToGrid w:val="0"/>
        </w:rPr>
      </w:pPr>
      <w:bookmarkStart w:id="37" w:name="_Toc390078123"/>
      <w:r>
        <w:rPr>
          <w:rStyle w:val="CharSectno"/>
        </w:rPr>
        <w:t>24</w:t>
      </w:r>
      <w:r>
        <w:rPr>
          <w:snapToGrid w:val="0"/>
        </w:rPr>
        <w:t>.</w:t>
      </w:r>
      <w:r>
        <w:rPr>
          <w:snapToGrid w:val="0"/>
        </w:rPr>
        <w:tab/>
        <w:t>Compensation for injuries mentioned in Schedule 2</w:t>
      </w:r>
      <w:bookmarkEnd w:id="37"/>
      <w:r>
        <w:rPr>
          <w:snapToGrid w:val="0"/>
        </w:rPr>
        <w:t xml:space="preserve"> </w:t>
      </w:r>
    </w:p>
    <w:p>
      <w:pPr>
        <w:pStyle w:val="Subsection"/>
        <w:spacing w:before="120"/>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rPr>
          <w:snapToGrid w:val="0"/>
        </w:rPr>
      </w:pPr>
      <w:bookmarkStart w:id="38" w:name="_Toc390078124"/>
      <w:r>
        <w:rPr>
          <w:rStyle w:val="CharSectno"/>
        </w:rPr>
        <w:t>24A</w:t>
      </w:r>
      <w:r>
        <w:rPr>
          <w:snapToGrid w:val="0"/>
        </w:rPr>
        <w:t>.</w:t>
      </w:r>
      <w:r>
        <w:rPr>
          <w:snapToGrid w:val="0"/>
        </w:rPr>
        <w:tab/>
        <w:t>Lump sum compensation for noise induced hearing loss</w:t>
      </w:r>
      <w:bookmarkEnd w:id="38"/>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spacing w:before="180"/>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spacing w:before="18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18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spacing w:before="18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39" w:name="_Toc390078125"/>
      <w:r>
        <w:rPr>
          <w:rStyle w:val="CharSectno"/>
        </w:rPr>
        <w:t>24B</w:t>
      </w:r>
      <w:r>
        <w:rPr>
          <w:snapToGrid w:val="0"/>
        </w:rPr>
        <w:t>.</w:t>
      </w:r>
      <w:r>
        <w:rPr>
          <w:snapToGrid w:val="0"/>
        </w:rPr>
        <w:tab/>
        <w:t>Election under section 24 or 24A</w:t>
      </w:r>
      <w:bookmarkEnd w:id="39"/>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spacing w:before="180"/>
        <w:rPr>
          <w:snapToGrid w:val="0"/>
        </w:rPr>
      </w:pPr>
      <w:bookmarkStart w:id="40" w:name="_Toc390078126"/>
      <w:r>
        <w:rPr>
          <w:rStyle w:val="CharSectno"/>
        </w:rPr>
        <w:t>25</w:t>
      </w:r>
      <w:r>
        <w:rPr>
          <w:snapToGrid w:val="0"/>
        </w:rPr>
        <w:t>.</w:t>
      </w:r>
      <w:r>
        <w:rPr>
          <w:snapToGrid w:val="0"/>
        </w:rPr>
        <w:tab/>
        <w:t>“Loss of</w:t>
      </w:r>
      <w:r>
        <w:rPr>
          <w:snapToGrid w:val="0"/>
          <w:vertAlign w:val="superscript"/>
        </w:rPr>
        <w:t xml:space="preserve"> </w:t>
      </w:r>
      <w:r>
        <w:rPr>
          <w:snapToGrid w:val="0"/>
        </w:rPr>
        <w:t>”</w:t>
      </w:r>
      <w:bookmarkEnd w:id="40"/>
      <w:r>
        <w:rPr>
          <w:snapToGrid w:val="0"/>
        </w:rPr>
        <w:t xml:space="preserve"> </w:t>
      </w:r>
    </w:p>
    <w:p>
      <w:pPr>
        <w:pStyle w:val="Subsection"/>
        <w:spacing w:before="120"/>
        <w:rPr>
          <w:snapToGrid w:val="0"/>
        </w:rPr>
      </w:pPr>
      <w:r>
        <w:rPr>
          <w:snapToGrid w:val="0"/>
        </w:rPr>
        <w:tab/>
      </w:r>
      <w:r>
        <w:rPr>
          <w:snapToGrid w:val="0"/>
        </w:rPr>
        <w:tab/>
        <w:t xml:space="preserve">For the purpose of the table set out in Schedule 2, </w:t>
      </w:r>
      <w:r>
        <w:rPr>
          <w:b/>
          <w:snapToGrid w:val="0"/>
        </w:rPr>
        <w:t>“</w:t>
      </w:r>
      <w:r>
        <w:rPr>
          <w:rStyle w:val="CharDefText"/>
        </w:rPr>
        <w:t>loss of</w:t>
      </w:r>
      <w:r>
        <w:rPr>
          <w:rStyle w:val="CharDefText"/>
          <w:vertAlign w:val="superscript"/>
        </w:rPr>
        <w:t xml:space="preserve"> </w:t>
      </w:r>
      <w:r>
        <w:rPr>
          <w:b/>
          <w:snapToGrid w:val="0"/>
        </w:rPr>
        <w:t>”</w:t>
      </w:r>
      <w:r>
        <w:rPr>
          <w:snapToGrid w:val="0"/>
        </w:rPr>
        <w:t xml:space="preserve"> includes — </w:t>
      </w:r>
    </w:p>
    <w:p>
      <w:pPr>
        <w:pStyle w:val="Indenta"/>
        <w:spacing w:before="60"/>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spacing w:before="60"/>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spacing w:before="180"/>
        <w:rPr>
          <w:snapToGrid w:val="0"/>
        </w:rPr>
      </w:pPr>
      <w:bookmarkStart w:id="41" w:name="_Toc390078127"/>
      <w:r>
        <w:rPr>
          <w:rStyle w:val="CharSectno"/>
        </w:rPr>
        <w:t>26</w:t>
      </w:r>
      <w:r>
        <w:rPr>
          <w:snapToGrid w:val="0"/>
        </w:rPr>
        <w:t>.</w:t>
      </w:r>
      <w:r>
        <w:rPr>
          <w:snapToGrid w:val="0"/>
        </w:rPr>
        <w:tab/>
        <w:t>Subsequent injuries</w:t>
      </w:r>
      <w:bookmarkEnd w:id="41"/>
      <w:r>
        <w:rPr>
          <w:snapToGrid w:val="0"/>
        </w:rPr>
        <w:t xml:space="preserve"> </w:t>
      </w:r>
    </w:p>
    <w:p>
      <w:pPr>
        <w:pStyle w:val="Subsection"/>
        <w:spacing w:before="120"/>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spacing w:before="120"/>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spacing w:before="120"/>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spacing w:before="120"/>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spacing w:before="120"/>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spacing w:before="80"/>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spacing w:before="160"/>
        <w:rPr>
          <w:snapToGrid w:val="0"/>
        </w:rPr>
      </w:pPr>
      <w:bookmarkStart w:id="42" w:name="_Toc390078128"/>
      <w:r>
        <w:rPr>
          <w:rStyle w:val="CharSectno"/>
        </w:rPr>
        <w:t>27</w:t>
      </w:r>
      <w:r>
        <w:rPr>
          <w:snapToGrid w:val="0"/>
        </w:rPr>
        <w:t>.</w:t>
      </w:r>
      <w:r>
        <w:rPr>
          <w:snapToGrid w:val="0"/>
        </w:rPr>
        <w:tab/>
        <w:t>Compensation in accordance with table at date of accident</w:t>
      </w:r>
      <w:bookmarkEnd w:id="42"/>
      <w:r>
        <w:rPr>
          <w:snapToGrid w:val="0"/>
        </w:rPr>
        <w:t xml:space="preserve"> </w:t>
      </w:r>
    </w:p>
    <w:p>
      <w:pPr>
        <w:pStyle w:val="Subsection"/>
        <w:keepNext/>
        <w:spacing w:before="80"/>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spacing w:before="160"/>
        <w:rPr>
          <w:snapToGrid w:val="0"/>
        </w:rPr>
      </w:pPr>
      <w:bookmarkStart w:id="43" w:name="_Toc390078129"/>
      <w:r>
        <w:rPr>
          <w:rStyle w:val="CharSectno"/>
        </w:rPr>
        <w:t>28</w:t>
      </w:r>
      <w:r>
        <w:rPr>
          <w:snapToGrid w:val="0"/>
        </w:rPr>
        <w:t>.</w:t>
      </w:r>
      <w:r>
        <w:rPr>
          <w:snapToGrid w:val="0"/>
        </w:rPr>
        <w:tab/>
        <w:t>Limit on compensation of worker electing</w:t>
      </w:r>
      <w:bookmarkEnd w:id="43"/>
      <w:r>
        <w:rPr>
          <w:snapToGrid w:val="0"/>
        </w:rPr>
        <w:t xml:space="preserve"> </w:t>
      </w:r>
    </w:p>
    <w:p>
      <w:pPr>
        <w:pStyle w:val="Subsection"/>
        <w:spacing w:before="80"/>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44" w:name="_Toc390078130"/>
      <w:r>
        <w:rPr>
          <w:rStyle w:val="CharSectno"/>
        </w:rPr>
        <w:t>29</w:t>
      </w:r>
      <w:r>
        <w:rPr>
          <w:snapToGrid w:val="0"/>
        </w:rPr>
        <w:t>.</w:t>
      </w:r>
      <w:r>
        <w:rPr>
          <w:snapToGrid w:val="0"/>
        </w:rPr>
        <w:tab/>
        <w:t>Compensation while incapacity continues</w:t>
      </w:r>
      <w:bookmarkEnd w:id="44"/>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rPr>
          <w:snapToGrid w:val="0"/>
        </w:rPr>
      </w:pPr>
      <w:bookmarkStart w:id="45" w:name="_Toc390078131"/>
      <w:r>
        <w:rPr>
          <w:rStyle w:val="CharSectno"/>
        </w:rPr>
        <w:t>30</w:t>
      </w:r>
      <w:r>
        <w:rPr>
          <w:snapToGrid w:val="0"/>
        </w:rPr>
        <w:t>.</w:t>
      </w:r>
      <w:r>
        <w:rPr>
          <w:snapToGrid w:val="0"/>
        </w:rPr>
        <w:tab/>
        <w:t>Compensation payable before election</w:t>
      </w:r>
      <w:bookmarkEnd w:id="45"/>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pPr>
      <w:r>
        <w:tab/>
        <w:t xml:space="preserve">[Section 30 amended by No. 44 of 1985 s. 15; No. 36 of 1988 s. 9; No. 48 of 1993 s. 28(1); No. 42 of 2004 s. 149.] </w:t>
      </w:r>
    </w:p>
    <w:p>
      <w:pPr>
        <w:pStyle w:val="Heading5"/>
        <w:rPr>
          <w:snapToGrid w:val="0"/>
        </w:rPr>
      </w:pPr>
      <w:bookmarkStart w:id="46" w:name="_Toc390078132"/>
      <w:r>
        <w:rPr>
          <w:rStyle w:val="CharSectno"/>
        </w:rPr>
        <w:t>31</w:t>
      </w:r>
      <w:r>
        <w:rPr>
          <w:snapToGrid w:val="0"/>
        </w:rPr>
        <w:t>.</w:t>
      </w:r>
      <w:r>
        <w:rPr>
          <w:snapToGrid w:val="0"/>
        </w:rPr>
        <w:tab/>
        <w:t>Schedule 2 interpretation</w:t>
      </w:r>
      <w:bookmarkEnd w:id="46"/>
      <w:r>
        <w:rPr>
          <w:snapToGrid w:val="0"/>
        </w:rPr>
        <w:t xml:space="preserve"> </w:t>
      </w:r>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47" w:name="_Toc390078133"/>
      <w:r>
        <w:rPr>
          <w:rStyle w:val="CharDivNo"/>
        </w:rPr>
        <w:t>Division 2A</w:t>
      </w:r>
      <w:r>
        <w:t> — </w:t>
      </w:r>
      <w:r>
        <w:rPr>
          <w:rStyle w:val="CharDivText"/>
        </w:rPr>
        <w:t>New regime for lump sum payments for specified injuries</w:t>
      </w:r>
      <w:bookmarkEnd w:id="47"/>
    </w:p>
    <w:p>
      <w:pPr>
        <w:pStyle w:val="Footnoteheading"/>
      </w:pPr>
      <w:r>
        <w:tab/>
        <w:t>[Heading inserted by No. 42 of 2004 s. 21.]</w:t>
      </w:r>
    </w:p>
    <w:p>
      <w:pPr>
        <w:pStyle w:val="Heading5"/>
      </w:pPr>
      <w:bookmarkStart w:id="48" w:name="_Toc390078134"/>
      <w:r>
        <w:rPr>
          <w:rStyle w:val="CharSectno"/>
        </w:rPr>
        <w:t>31A</w:t>
      </w:r>
      <w:r>
        <w:t>.</w:t>
      </w:r>
      <w:r>
        <w:tab/>
        <w:t>Application of Division</w:t>
      </w:r>
      <w:bookmarkEnd w:id="48"/>
    </w:p>
    <w:p>
      <w:pPr>
        <w:pStyle w:val="Subsection"/>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spacing w:before="180"/>
      </w:pPr>
      <w:bookmarkStart w:id="49" w:name="_Toc390078135"/>
      <w:r>
        <w:rPr>
          <w:rStyle w:val="CharSectno"/>
        </w:rPr>
        <w:t>31B</w:t>
      </w:r>
      <w:r>
        <w:t>.</w:t>
      </w:r>
      <w:r>
        <w:tab/>
        <w:t>Degree of permanent impairment</w:t>
      </w:r>
      <w:bookmarkEnd w:id="49"/>
    </w:p>
    <w:p>
      <w:pPr>
        <w:pStyle w:val="Subsection"/>
        <w:spacing w:before="120"/>
      </w:pPr>
      <w:r>
        <w:tab/>
      </w:r>
      <w:r>
        <w:tab/>
        <w:t xml:space="preserve">In this Division — </w:t>
      </w:r>
    </w:p>
    <w:p>
      <w:pPr>
        <w:pStyle w:val="Defstart"/>
      </w:pPr>
      <w:r>
        <w:rPr>
          <w:b/>
        </w:rPr>
        <w:tab/>
        <w:t>“</w:t>
      </w:r>
      <w:r>
        <w:rPr>
          <w:rStyle w:val="CharDefText"/>
        </w:rPr>
        <w:t>degree of permanent impairment</w:t>
      </w:r>
      <w:r>
        <w:rPr>
          <w:b/>
        </w:rPr>
        <w: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pPr>
      <w:r>
        <w:tab/>
      </w:r>
      <w:r>
        <w:tab/>
        <w:t>resulting from the injury or injuries arising from a single accident.</w:t>
      </w:r>
    </w:p>
    <w:p>
      <w:pPr>
        <w:pStyle w:val="Footnotesection"/>
      </w:pPr>
      <w:r>
        <w:tab/>
        <w:t>[Section 31B inserted by No. 42 of 2004 s. 21.]</w:t>
      </w:r>
    </w:p>
    <w:p>
      <w:pPr>
        <w:pStyle w:val="Heading5"/>
        <w:spacing w:before="180"/>
      </w:pPr>
      <w:bookmarkStart w:id="50" w:name="_Toc390078136"/>
      <w:r>
        <w:rPr>
          <w:rStyle w:val="CharSectno"/>
        </w:rPr>
        <w:t>31C</w:t>
      </w:r>
      <w:r>
        <w:t>.</w:t>
      </w:r>
      <w:r>
        <w:tab/>
        <w:t>Compensation for impairments mentioned in Schedule 2</w:t>
      </w:r>
      <w:bookmarkEnd w:id="50"/>
    </w:p>
    <w:p>
      <w:pPr>
        <w:pStyle w:val="Subsection"/>
        <w:spacing w:before="120"/>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spacing w:before="120"/>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pPr>
      <w:bookmarkStart w:id="51" w:name="_Toc390078137"/>
      <w:r>
        <w:rPr>
          <w:rStyle w:val="CharSectno"/>
        </w:rPr>
        <w:t>31D</w:t>
      </w:r>
      <w:r>
        <w:t>.</w:t>
      </w:r>
      <w:r>
        <w:tab/>
        <w:t>Schedule 2 impairment assessment</w:t>
      </w:r>
      <w:bookmarkEnd w:id="51"/>
    </w:p>
    <w:p>
      <w:pPr>
        <w:pStyle w:val="Subsection"/>
      </w:pPr>
      <w:r>
        <w:tab/>
        <w:t>(1)</w:t>
      </w:r>
      <w:r>
        <w:tab/>
        <w:t xml:space="preserve">In subsection (2) — </w:t>
      </w:r>
    </w:p>
    <w:p>
      <w:pPr>
        <w:pStyle w:val="Defstart"/>
      </w:pPr>
      <w:r>
        <w:rPr>
          <w:b/>
        </w:rPr>
        <w:tab/>
        <w:t>“</w:t>
      </w:r>
      <w:r>
        <w:rPr>
          <w:rStyle w:val="CharDefText"/>
        </w:rPr>
        <w:t>full amount</w:t>
      </w:r>
      <w:r>
        <w:rPr>
          <w:b/>
        </w:rPr>
        <w: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52" w:name="_Toc390078138"/>
      <w:r>
        <w:rPr>
          <w:rStyle w:val="CharSectno"/>
        </w:rPr>
        <w:t>31E</w:t>
      </w:r>
      <w:r>
        <w:t>.</w:t>
      </w:r>
      <w:r>
        <w:tab/>
        <w:t>Lump sum compensation for noise induced hearing loss</w:t>
      </w:r>
      <w:bookmarkEnd w:id="52"/>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w:t>
      </w:r>
    </w:p>
    <w:p>
      <w:pPr>
        <w:pStyle w:val="Heading5"/>
      </w:pPr>
      <w:bookmarkStart w:id="53" w:name="_Toc390078139"/>
      <w:r>
        <w:rPr>
          <w:rStyle w:val="CharSectno"/>
        </w:rPr>
        <w:t>31F</w:t>
      </w:r>
      <w:r>
        <w:t>.</w:t>
      </w:r>
      <w:r>
        <w:tab/>
        <w:t>Lump sum compensation for AIDS</w:t>
      </w:r>
      <w:bookmarkEnd w:id="53"/>
    </w:p>
    <w:p>
      <w:pPr>
        <w:pStyle w:val="Subsection"/>
      </w:pPr>
      <w:r>
        <w:tab/>
        <w:t>(1)</w:t>
      </w:r>
      <w:r>
        <w:tab/>
        <w:t xml:space="preserve">In this section and in the table in Schedule 2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pPr>
      <w:bookmarkStart w:id="54" w:name="_Toc390078140"/>
      <w:r>
        <w:rPr>
          <w:rStyle w:val="CharSectno"/>
        </w:rPr>
        <w:t>31G</w:t>
      </w:r>
      <w:r>
        <w:t>.</w:t>
      </w:r>
      <w:r>
        <w:tab/>
        <w:t>Subsequent injuries</w:t>
      </w:r>
      <w:bookmarkEnd w:id="54"/>
    </w:p>
    <w:p>
      <w:pPr>
        <w:pStyle w:val="Subsection"/>
      </w:pPr>
      <w:r>
        <w:tab/>
        <w:t>(1)</w:t>
      </w:r>
      <w:r>
        <w:tab/>
        <w:t xml:space="preserve">In this section — </w:t>
      </w:r>
    </w:p>
    <w:p>
      <w:pPr>
        <w:pStyle w:val="Defstart"/>
      </w:pPr>
      <w:r>
        <w:rPr>
          <w:b/>
        </w:rPr>
        <w:tab/>
        <w:t>“</w:t>
      </w:r>
      <w:r>
        <w:rPr>
          <w:rStyle w:val="CharDefText"/>
        </w:rPr>
        <w:t>impairment</w:t>
      </w:r>
      <w:r>
        <w:rPr>
          <w:b/>
        </w:rPr>
        <w: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55" w:name="_Toc390078141"/>
      <w:r>
        <w:rPr>
          <w:rStyle w:val="CharSectno"/>
        </w:rPr>
        <w:t>31H</w:t>
      </w:r>
      <w:r>
        <w:t>.</w:t>
      </w:r>
      <w:r>
        <w:tab/>
        <w:t>Election under section 31C or 31E</w:t>
      </w:r>
      <w:bookmarkEnd w:id="55"/>
    </w:p>
    <w:p>
      <w:pPr>
        <w:pStyle w:val="Subsection"/>
        <w:spacing w:before="220"/>
      </w:pPr>
      <w:r>
        <w:tab/>
        <w:t>(1)</w:t>
      </w:r>
      <w:r>
        <w:tab/>
        <w:t xml:space="preserve">A worker elects under this section for the purposes of section 31C or 31E when —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56" w:name="_Toc390078142"/>
      <w:r>
        <w:rPr>
          <w:rStyle w:val="CharSectno"/>
        </w:rPr>
        <w:t>31I</w:t>
      </w:r>
      <w:r>
        <w:t>.</w:t>
      </w:r>
      <w:r>
        <w:tab/>
        <w:t>Effect of election</w:t>
      </w:r>
      <w:bookmarkEnd w:id="56"/>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57" w:name="_Toc390078143"/>
      <w:r>
        <w:rPr>
          <w:rStyle w:val="CharSectno"/>
        </w:rPr>
        <w:t>31J</w:t>
      </w:r>
      <w:r>
        <w:t>.</w:t>
      </w:r>
      <w:r>
        <w:tab/>
        <w:t>Limit on compensation of worker electing</w:t>
      </w:r>
      <w:bookmarkEnd w:id="57"/>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58" w:name="_Toc390078144"/>
      <w:r>
        <w:rPr>
          <w:rStyle w:val="CharSectno"/>
        </w:rPr>
        <w:t>31K</w:t>
      </w:r>
      <w:r>
        <w:t>.</w:t>
      </w:r>
      <w:r>
        <w:tab/>
        <w:t>Compensation payable before election</w:t>
      </w:r>
      <w:bookmarkEnd w:id="58"/>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pPr>
      <w:bookmarkStart w:id="59" w:name="_Toc390078145"/>
      <w:r>
        <w:rPr>
          <w:rStyle w:val="CharDivNo"/>
        </w:rPr>
        <w:t>Division 3</w:t>
      </w:r>
      <w:r>
        <w:t> — </w:t>
      </w:r>
      <w:r>
        <w:rPr>
          <w:rStyle w:val="CharDivText"/>
        </w:rPr>
        <w:t>Injury: specified industrial diseases</w:t>
      </w:r>
      <w:bookmarkEnd w:id="59"/>
    </w:p>
    <w:p>
      <w:pPr>
        <w:pStyle w:val="Footnoteheading"/>
      </w:pPr>
      <w:r>
        <w:tab/>
        <w:t>[Heading inserted by No. 42 of 2004 s. 22.]</w:t>
      </w:r>
    </w:p>
    <w:p>
      <w:pPr>
        <w:pStyle w:val="Heading5"/>
        <w:rPr>
          <w:snapToGrid w:val="0"/>
        </w:rPr>
      </w:pPr>
      <w:bookmarkStart w:id="60" w:name="_Toc390078146"/>
      <w:r>
        <w:rPr>
          <w:rStyle w:val="CharSectno"/>
        </w:rPr>
        <w:t>32</w:t>
      </w:r>
      <w:r>
        <w:rPr>
          <w:snapToGrid w:val="0"/>
        </w:rPr>
        <w:t>.</w:t>
      </w:r>
      <w:r>
        <w:rPr>
          <w:snapToGrid w:val="0"/>
        </w:rPr>
        <w:tab/>
        <w:t>Compensation of worker dying from or affected by certain industrial diseases (Schedule 3)</w:t>
      </w:r>
      <w:bookmarkEnd w:id="60"/>
      <w:r>
        <w:rPr>
          <w:snapToGrid w:val="0"/>
        </w:rPr>
        <w:t xml:space="preserve"> </w:t>
      </w:r>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1" w:name="_Toc390078147"/>
      <w:r>
        <w:rPr>
          <w:rStyle w:val="CharSectno"/>
        </w:rPr>
        <w:t>33</w:t>
      </w:r>
      <w:r>
        <w:rPr>
          <w:snapToGrid w:val="0"/>
        </w:rPr>
        <w:t>.</w:t>
      </w:r>
      <w:r>
        <w:rPr>
          <w:snapToGrid w:val="0"/>
        </w:rPr>
        <w:tab/>
        <w:t>Pneumoconiosis, mesothelioma or lung cancer</w:t>
      </w:r>
      <w:bookmarkEnd w:id="61"/>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2" w:name="_Toc390078148"/>
      <w:r>
        <w:rPr>
          <w:rStyle w:val="CharSectno"/>
        </w:rPr>
        <w:t>34</w:t>
      </w:r>
      <w:r>
        <w:rPr>
          <w:snapToGrid w:val="0"/>
        </w:rPr>
        <w:t>.</w:t>
      </w:r>
      <w:r>
        <w:rPr>
          <w:snapToGrid w:val="0"/>
        </w:rPr>
        <w:tab/>
        <w:t>Worker suffering from chronic bronchitis and pneumoconiosis</w:t>
      </w:r>
      <w:bookmarkEnd w:id="62"/>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63" w:name="_Toc390078149"/>
      <w:r>
        <w:rPr>
          <w:rStyle w:val="CharSectno"/>
        </w:rPr>
        <w:t>35</w:t>
      </w:r>
      <w:r>
        <w:rPr>
          <w:snapToGrid w:val="0"/>
        </w:rPr>
        <w:t>.</w:t>
      </w:r>
      <w:r>
        <w:rPr>
          <w:snapToGrid w:val="0"/>
        </w:rPr>
        <w:tab/>
        <w:t>Worker suffering from lung cancer and pneumoconiosis</w:t>
      </w:r>
      <w:bookmarkEnd w:id="63"/>
      <w:r>
        <w:rPr>
          <w:snapToGrid w:val="0"/>
        </w:rPr>
        <w:t xml:space="preserve"> </w:t>
      </w:r>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64" w:name="_Toc390078150"/>
      <w:r>
        <w:rPr>
          <w:rStyle w:val="CharSectno"/>
        </w:rPr>
        <w:t>36</w:t>
      </w:r>
      <w:r>
        <w:rPr>
          <w:snapToGrid w:val="0"/>
        </w:rPr>
        <w:t>.</w:t>
      </w:r>
      <w:r>
        <w:rPr>
          <w:snapToGrid w:val="0"/>
        </w:rPr>
        <w:tab/>
        <w:t>Reference to medical panel</w:t>
      </w:r>
      <w:bookmarkEnd w:id="64"/>
      <w:r>
        <w:rPr>
          <w:snapToGrid w:val="0"/>
        </w:rPr>
        <w:t xml:space="preserve"> </w:t>
      </w:r>
    </w:p>
    <w:p>
      <w:pPr>
        <w:pStyle w:val="Subsection"/>
        <w:spacing w:before="10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rPr>
          <w:snapToGrid w:val="0"/>
        </w:rPr>
      </w:pPr>
      <w:r>
        <w:rPr>
          <w:snapToGrid w:val="0"/>
        </w:rPr>
        <w:tab/>
        <w:t>(b)</w:t>
      </w:r>
      <w:r>
        <w:rPr>
          <w:snapToGrid w:val="0"/>
        </w:rPr>
        <w:tab/>
        <w:t>at least one of whom specialises in diseases of the chest.</w:t>
      </w:r>
    </w:p>
    <w:p>
      <w:pPr>
        <w:pStyle w:val="Subsection"/>
        <w:spacing w:before="100"/>
        <w:rPr>
          <w:snapToGrid w:val="0"/>
        </w:rPr>
      </w:pPr>
      <w:r>
        <w:rPr>
          <w:snapToGrid w:val="0"/>
        </w:rPr>
        <w:tab/>
        <w:t>(2)</w:t>
      </w:r>
      <w:r>
        <w:rPr>
          <w:snapToGrid w:val="0"/>
        </w:rPr>
        <w:tab/>
        <w:t>An employer who fails to comply with subsection (1) commits an offence.</w:t>
      </w:r>
    </w:p>
    <w:p>
      <w:pPr>
        <w:pStyle w:val="Subsection"/>
        <w:spacing w:before="100"/>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spacing w:before="120"/>
        <w:rPr>
          <w:snapToGrid w:val="0"/>
        </w:rPr>
      </w:pPr>
      <w:bookmarkStart w:id="65" w:name="_Toc390078151"/>
      <w:r>
        <w:rPr>
          <w:rStyle w:val="CharSectno"/>
        </w:rPr>
        <w:t>37</w:t>
      </w:r>
      <w:r>
        <w:rPr>
          <w:snapToGrid w:val="0"/>
        </w:rPr>
        <w:t>.</w:t>
      </w:r>
      <w:r>
        <w:rPr>
          <w:snapToGrid w:val="0"/>
        </w:rPr>
        <w:tab/>
        <w:t>Oral submission by medical practitioner</w:t>
      </w:r>
      <w:bookmarkEnd w:id="65"/>
      <w:r>
        <w:rPr>
          <w:snapToGrid w:val="0"/>
        </w:rPr>
        <w:t xml:space="preserve"> </w:t>
      </w:r>
    </w:p>
    <w:p>
      <w:pPr>
        <w:pStyle w:val="Subsection"/>
        <w:spacing w:before="100"/>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 17.] </w:t>
      </w:r>
    </w:p>
    <w:p>
      <w:pPr>
        <w:pStyle w:val="Heading5"/>
        <w:rPr>
          <w:snapToGrid w:val="0"/>
        </w:rPr>
      </w:pPr>
      <w:bookmarkStart w:id="66" w:name="_Toc390078152"/>
      <w:r>
        <w:rPr>
          <w:rStyle w:val="CharSectno"/>
        </w:rPr>
        <w:t>38</w:t>
      </w:r>
      <w:r>
        <w:rPr>
          <w:snapToGrid w:val="0"/>
        </w:rPr>
        <w:t>.</w:t>
      </w:r>
      <w:r>
        <w:rPr>
          <w:snapToGrid w:val="0"/>
        </w:rPr>
        <w:tab/>
        <w:t>Questions for determination by a medical panel</w:t>
      </w:r>
      <w:bookmarkEnd w:id="66"/>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spacing w:before="100"/>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spacing w:before="120"/>
        <w:rPr>
          <w:snapToGrid w:val="0"/>
        </w:rPr>
      </w:pPr>
      <w:bookmarkStart w:id="67" w:name="_Toc390078153"/>
      <w:r>
        <w:rPr>
          <w:rStyle w:val="CharSectno"/>
        </w:rPr>
        <w:t>39</w:t>
      </w:r>
      <w:r>
        <w:rPr>
          <w:snapToGrid w:val="0"/>
        </w:rPr>
        <w:t>.</w:t>
      </w:r>
      <w:r>
        <w:rPr>
          <w:snapToGrid w:val="0"/>
        </w:rPr>
        <w:tab/>
        <w:t>Worker disabled by tuberculosis and pneumoconiosis</w:t>
      </w:r>
      <w:bookmarkEnd w:id="67"/>
      <w:r>
        <w:rPr>
          <w:snapToGrid w:val="0"/>
        </w:rPr>
        <w:t xml:space="preserve"> </w:t>
      </w:r>
    </w:p>
    <w:p>
      <w:pPr>
        <w:pStyle w:val="Subsection"/>
        <w:spacing w:before="100"/>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8" w:name="_Toc390078154"/>
      <w:r>
        <w:rPr>
          <w:rStyle w:val="CharSectno"/>
        </w:rPr>
        <w:t>40</w:t>
      </w:r>
      <w:r>
        <w:t>.</w:t>
      </w:r>
      <w:r>
        <w:tab/>
        <w:t>Interpretation of this Division in cases of death without prior incapacity</w:t>
      </w:r>
      <w:bookmarkEnd w:id="68"/>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69" w:name="_Toc390078155"/>
      <w:r>
        <w:rPr>
          <w:rStyle w:val="CharSectno"/>
        </w:rPr>
        <w:t>41</w:t>
      </w:r>
      <w:r>
        <w:rPr>
          <w:snapToGrid w:val="0"/>
        </w:rPr>
        <w:t>.</w:t>
      </w:r>
      <w:r>
        <w:rPr>
          <w:snapToGrid w:val="0"/>
        </w:rPr>
        <w:tab/>
        <w:t>Last employer liable but may join others</w:t>
      </w:r>
      <w:bookmarkEnd w:id="69"/>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pPr>
      <w:r>
        <w:tab/>
        <w:t>[Section 41 amended by No. 42 of 2004 s. 31.]</w:t>
      </w:r>
    </w:p>
    <w:p>
      <w:pPr>
        <w:pStyle w:val="Heading5"/>
        <w:rPr>
          <w:snapToGrid w:val="0"/>
        </w:rPr>
      </w:pPr>
      <w:bookmarkStart w:id="70" w:name="_Toc390078156"/>
      <w:r>
        <w:rPr>
          <w:rStyle w:val="CharSectno"/>
        </w:rPr>
        <w:t>42</w:t>
      </w:r>
      <w:r>
        <w:rPr>
          <w:snapToGrid w:val="0"/>
        </w:rPr>
        <w:t>.</w:t>
      </w:r>
      <w:r>
        <w:rPr>
          <w:snapToGrid w:val="0"/>
        </w:rPr>
        <w:tab/>
        <w:t>Relevant earnings</w:t>
      </w:r>
      <w:bookmarkEnd w:id="70"/>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1" w:name="_Toc390078157"/>
      <w:r>
        <w:rPr>
          <w:rStyle w:val="CharSectno"/>
        </w:rPr>
        <w:t>43</w:t>
      </w:r>
      <w:r>
        <w:rPr>
          <w:snapToGrid w:val="0"/>
        </w:rPr>
        <w:t>.</w:t>
      </w:r>
      <w:r>
        <w:rPr>
          <w:snapToGrid w:val="0"/>
        </w:rPr>
        <w:tab/>
        <w:t>Employer to whom notice to be given</w:t>
      </w:r>
      <w:bookmarkEnd w:id="7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2" w:name="_Toc390078158"/>
      <w:r>
        <w:rPr>
          <w:rStyle w:val="CharSectno"/>
        </w:rPr>
        <w:t>44</w:t>
      </w:r>
      <w:r>
        <w:rPr>
          <w:snapToGrid w:val="0"/>
        </w:rPr>
        <w:t>.</w:t>
      </w:r>
      <w:r>
        <w:rPr>
          <w:snapToGrid w:val="0"/>
        </w:rPr>
        <w:tab/>
        <w:t>Disease deemed due to nature of employment</w:t>
      </w:r>
      <w:bookmarkEnd w:id="72"/>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3" w:name="_Toc390078159"/>
      <w:r>
        <w:rPr>
          <w:rStyle w:val="CharSectno"/>
        </w:rPr>
        <w:t>45</w:t>
      </w:r>
      <w:r>
        <w:rPr>
          <w:snapToGrid w:val="0"/>
        </w:rPr>
        <w:t>.</w:t>
      </w:r>
      <w:r>
        <w:rPr>
          <w:snapToGrid w:val="0"/>
        </w:rPr>
        <w:tab/>
        <w:t>Additions to Schedule 3</w:t>
      </w:r>
      <w:bookmarkEnd w:id="73"/>
      <w:r>
        <w:rPr>
          <w:snapToGrid w:val="0"/>
        </w:rPr>
        <w:t xml:space="preserve"> </w:t>
      </w:r>
    </w:p>
    <w:p>
      <w:pPr>
        <w:pStyle w:val="Subsection"/>
        <w:spacing w:before="100"/>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spacing w:before="100"/>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spacing w:before="100"/>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4" w:name="_Toc390078160"/>
      <w:r>
        <w:rPr>
          <w:rStyle w:val="CharSectno"/>
        </w:rPr>
        <w:t>46</w:t>
      </w:r>
      <w:r>
        <w:rPr>
          <w:snapToGrid w:val="0"/>
        </w:rPr>
        <w:t>.</w:t>
      </w:r>
      <w:r>
        <w:rPr>
          <w:snapToGrid w:val="0"/>
        </w:rPr>
        <w:tab/>
        <w:t>Compensation limited to prescribed amount</w:t>
      </w:r>
      <w:bookmarkEnd w:id="74"/>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180"/>
        <w:rPr>
          <w:snapToGrid w:val="0"/>
        </w:rPr>
      </w:pPr>
      <w:bookmarkStart w:id="75" w:name="_Toc390078161"/>
      <w:r>
        <w:rPr>
          <w:rStyle w:val="CharSectno"/>
        </w:rPr>
        <w:t>47</w:t>
      </w:r>
      <w:r>
        <w:rPr>
          <w:snapToGrid w:val="0"/>
        </w:rPr>
        <w:t>.</w:t>
      </w:r>
      <w:r>
        <w:rPr>
          <w:snapToGrid w:val="0"/>
        </w:rPr>
        <w:tab/>
        <w:t>Certain workers not to benefit</w:t>
      </w:r>
      <w:bookmarkEnd w:id="75"/>
      <w:r>
        <w:rPr>
          <w:snapToGrid w:val="0"/>
        </w:rPr>
        <w:t xml:space="preserve"> </w:t>
      </w:r>
    </w:p>
    <w:p>
      <w:pPr>
        <w:pStyle w:val="Subsection"/>
        <w:spacing w:before="12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6" w:name="_Toc390078162"/>
      <w:r>
        <w:rPr>
          <w:rStyle w:val="CharSectno"/>
        </w:rPr>
        <w:t>48</w:t>
      </w:r>
      <w:r>
        <w:rPr>
          <w:snapToGrid w:val="0"/>
        </w:rPr>
        <w:t>.</w:t>
      </w:r>
      <w:r>
        <w:rPr>
          <w:snapToGrid w:val="0"/>
        </w:rPr>
        <w:tab/>
        <w:t>Notification of disease</w:t>
      </w:r>
      <w:bookmarkEnd w:id="76"/>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pPr>
      <w:bookmarkStart w:id="77" w:name="_Toc390078163"/>
      <w:r>
        <w:rPr>
          <w:rStyle w:val="CharDivNo"/>
        </w:rPr>
        <w:t>Division 4</w:t>
      </w:r>
      <w:r>
        <w:t> — </w:t>
      </w:r>
      <w:r>
        <w:rPr>
          <w:rStyle w:val="CharDivText"/>
        </w:rPr>
        <w:t>Injury: specified losses of functions</w:t>
      </w:r>
      <w:bookmarkEnd w:id="77"/>
    </w:p>
    <w:p>
      <w:pPr>
        <w:pStyle w:val="Footnoteheading"/>
      </w:pPr>
      <w:r>
        <w:tab/>
        <w:t>[Heading inserted by No. 42 of 2004 s. 36.]</w:t>
      </w:r>
    </w:p>
    <w:p>
      <w:pPr>
        <w:pStyle w:val="Heading5"/>
      </w:pPr>
      <w:bookmarkStart w:id="78" w:name="_Toc390078164"/>
      <w:r>
        <w:rPr>
          <w:rStyle w:val="CharSectno"/>
        </w:rPr>
        <w:t>49</w:t>
      </w:r>
      <w:r>
        <w:t>.</w:t>
      </w:r>
      <w:r>
        <w:tab/>
        <w:t>Injury occurs when loss of function renders worker less able to earn full wages</w:t>
      </w:r>
      <w:bookmarkEnd w:id="78"/>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Repealed by No. 36 of 1988 s. 10.] </w:t>
      </w:r>
    </w:p>
    <w:p>
      <w:pPr>
        <w:pStyle w:val="Heading5"/>
        <w:rPr>
          <w:snapToGrid w:val="0"/>
        </w:rPr>
      </w:pPr>
      <w:bookmarkStart w:id="79" w:name="_Toc390078165"/>
      <w:r>
        <w:rPr>
          <w:rStyle w:val="CharSectno"/>
        </w:rPr>
        <w:t>51</w:t>
      </w:r>
      <w:r>
        <w:rPr>
          <w:snapToGrid w:val="0"/>
        </w:rPr>
        <w:t>.</w:t>
      </w:r>
      <w:r>
        <w:rPr>
          <w:snapToGrid w:val="0"/>
        </w:rPr>
        <w:tab/>
        <w:t>Compensation recoverable from last employer</w:t>
      </w:r>
      <w:bookmarkEnd w:id="79"/>
      <w:r>
        <w:rPr>
          <w:snapToGrid w:val="0"/>
        </w:rPr>
        <w:t xml:space="preserve"> </w:t>
      </w:r>
    </w:p>
    <w:p>
      <w:pPr>
        <w:pStyle w:val="Subsection"/>
        <w:spacing w:before="8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8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8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8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8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0" w:name="_Toc390078166"/>
      <w:r>
        <w:rPr>
          <w:rStyle w:val="CharSectno"/>
        </w:rPr>
        <w:t>52</w:t>
      </w:r>
      <w:r>
        <w:rPr>
          <w:snapToGrid w:val="0"/>
        </w:rPr>
        <w:t>.</w:t>
      </w:r>
      <w:r>
        <w:rPr>
          <w:snapToGrid w:val="0"/>
        </w:rPr>
        <w:tab/>
        <w:t>How compensation calculated</w:t>
      </w:r>
      <w:bookmarkEnd w:id="80"/>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1" w:name="_Toc390078167"/>
      <w:r>
        <w:rPr>
          <w:rStyle w:val="CharSectno"/>
        </w:rPr>
        <w:t>53</w:t>
      </w:r>
      <w:r>
        <w:rPr>
          <w:snapToGrid w:val="0"/>
        </w:rPr>
        <w:t>.</w:t>
      </w:r>
      <w:r>
        <w:rPr>
          <w:snapToGrid w:val="0"/>
        </w:rPr>
        <w:tab/>
        <w:t>Employer to whom notice given</w:t>
      </w:r>
      <w:bookmarkEnd w:id="8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2" w:name="_Toc390078168"/>
      <w:r>
        <w:rPr>
          <w:rStyle w:val="CharSectno"/>
        </w:rPr>
        <w:t>54</w:t>
      </w:r>
      <w:r>
        <w:rPr>
          <w:snapToGrid w:val="0"/>
        </w:rPr>
        <w:t>.</w:t>
      </w:r>
      <w:r>
        <w:rPr>
          <w:snapToGrid w:val="0"/>
        </w:rPr>
        <w:tab/>
        <w:t>Loss of function deemed due to nature of employment</w:t>
      </w:r>
      <w:bookmarkEnd w:id="82"/>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3" w:name="_Toc390078169"/>
      <w:r>
        <w:rPr>
          <w:rStyle w:val="CharSectno"/>
        </w:rPr>
        <w:t>55</w:t>
      </w:r>
      <w:r>
        <w:rPr>
          <w:snapToGrid w:val="0"/>
        </w:rPr>
        <w:t>.</w:t>
      </w:r>
      <w:r>
        <w:rPr>
          <w:snapToGrid w:val="0"/>
        </w:rPr>
        <w:tab/>
        <w:t>Additions to Schedule 4</w:t>
      </w:r>
      <w:bookmarkEnd w:id="83"/>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4" w:name="_Toc390078170"/>
      <w:r>
        <w:rPr>
          <w:rStyle w:val="CharDivNo"/>
        </w:rPr>
        <w:t>Division 5</w:t>
      </w:r>
      <w:r>
        <w:rPr>
          <w:snapToGrid w:val="0"/>
        </w:rPr>
        <w:t> — </w:t>
      </w:r>
      <w:r>
        <w:rPr>
          <w:rStyle w:val="CharDivText"/>
        </w:rPr>
        <w:t>Commencement, review, suspension, and cessation of payments</w:t>
      </w:r>
      <w:bookmarkEnd w:id="84"/>
      <w:r>
        <w:rPr>
          <w:rStyle w:val="CharDivText"/>
        </w:rPr>
        <w:t xml:space="preserve"> </w:t>
      </w:r>
    </w:p>
    <w:p>
      <w:pPr>
        <w:pStyle w:val="Heading5"/>
        <w:rPr>
          <w:snapToGrid w:val="0"/>
        </w:rPr>
      </w:pPr>
      <w:bookmarkStart w:id="85" w:name="_Toc390078171"/>
      <w:r>
        <w:rPr>
          <w:rStyle w:val="CharSectno"/>
        </w:rPr>
        <w:t>56</w:t>
      </w:r>
      <w:r>
        <w:rPr>
          <w:snapToGrid w:val="0"/>
        </w:rPr>
        <w:t>.</w:t>
      </w:r>
      <w:r>
        <w:rPr>
          <w:snapToGrid w:val="0"/>
        </w:rPr>
        <w:tab/>
        <w:t>Entitlement to weekly payments ceasing on account of age</w:t>
      </w:r>
      <w:bookmarkEnd w:id="85"/>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pPr>
      <w:r>
        <w:tab/>
        <w:t>[Section 56 amended by No. 42 of 2004 s. 146 and 147.]</w:t>
      </w:r>
    </w:p>
    <w:p>
      <w:pPr>
        <w:pStyle w:val="Heading5"/>
        <w:rPr>
          <w:snapToGrid w:val="0"/>
        </w:rPr>
      </w:pPr>
      <w:bookmarkStart w:id="86" w:name="_Toc390078172"/>
      <w:r>
        <w:rPr>
          <w:rStyle w:val="CharSectno"/>
        </w:rPr>
        <w:t>57</w:t>
      </w:r>
      <w:r>
        <w:rPr>
          <w:snapToGrid w:val="0"/>
        </w:rPr>
        <w:t>.</w:t>
      </w:r>
      <w:r>
        <w:rPr>
          <w:snapToGrid w:val="0"/>
        </w:rPr>
        <w:tab/>
        <w:t>Saving as to expenses</w:t>
      </w:r>
      <w:bookmarkEnd w:id="86"/>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7" w:name="_Toc390078173"/>
      <w:r>
        <w:rPr>
          <w:rStyle w:val="CharSectno"/>
        </w:rPr>
        <w:t>57A</w:t>
      </w:r>
      <w:r>
        <w:rPr>
          <w:snapToGrid w:val="0"/>
        </w:rPr>
        <w:t>.</w:t>
      </w:r>
      <w:r>
        <w:rPr>
          <w:snapToGrid w:val="0"/>
        </w:rPr>
        <w:tab/>
        <w:t>Claims procedure — insured employer</w:t>
      </w:r>
      <w:bookmarkEnd w:id="87"/>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80"/>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20"/>
        <w:rPr>
          <w:snapToGrid w:val="0"/>
        </w:rPr>
      </w:pPr>
      <w:r>
        <w:rPr>
          <w:snapToGrid w:val="0"/>
        </w:rPr>
        <w:tab/>
      </w:r>
      <w:r>
        <w:rPr>
          <w:snapToGrid w:val="0"/>
        </w:rPr>
        <w:tab/>
        <w:t>the claim by the worker shall be deemed to be disputed.</w:t>
      </w:r>
    </w:p>
    <w:p>
      <w:pPr>
        <w:pStyle w:val="Subsection"/>
        <w:spacing w:before="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spacing w:before="120"/>
        <w:rPr>
          <w:snapToGrid w:val="0"/>
        </w:rPr>
      </w:pPr>
      <w:bookmarkStart w:id="88" w:name="_Toc390078174"/>
      <w:r>
        <w:rPr>
          <w:rStyle w:val="CharSectno"/>
        </w:rPr>
        <w:t>57B</w:t>
      </w:r>
      <w:r>
        <w:rPr>
          <w:snapToGrid w:val="0"/>
        </w:rPr>
        <w:t>.</w:t>
      </w:r>
      <w:r>
        <w:rPr>
          <w:snapToGrid w:val="0"/>
        </w:rPr>
        <w:tab/>
        <w:t>Claims procedure — self</w:t>
      </w:r>
      <w:r>
        <w:rPr>
          <w:snapToGrid w:val="0"/>
        </w:rPr>
        <w:noBreakHyphen/>
        <w:t>insurer or uninsured employer</w:t>
      </w:r>
      <w:bookmarkEnd w:id="88"/>
      <w:r>
        <w:rPr>
          <w:snapToGrid w:val="0"/>
        </w:rPr>
        <w:t xml:space="preserve"> </w:t>
      </w:r>
    </w:p>
    <w:p>
      <w:pPr>
        <w:pStyle w:val="Subsection"/>
        <w:spacing w:before="100"/>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0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0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0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0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0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0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spacing w:before="10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89" w:name="_Toc390078175"/>
      <w:r>
        <w:rPr>
          <w:rStyle w:val="CharSectno"/>
        </w:rPr>
        <w:t>57BA</w:t>
      </w:r>
      <w:r>
        <w:t>.</w:t>
      </w:r>
      <w:r>
        <w:tab/>
        <w:t>Notices under sections 57A and 57B</w:t>
      </w:r>
      <w:bookmarkEnd w:id="89"/>
    </w:p>
    <w:p>
      <w:pPr>
        <w:pStyle w:val="Subsection"/>
      </w:pPr>
      <w:r>
        <w:tab/>
        <w:t>(1)</w:t>
      </w:r>
      <w:r>
        <w:tab/>
        <w:t>A notice under section 57A or 57B is to be expressed in plain language.</w:t>
      </w:r>
    </w:p>
    <w:p>
      <w:pPr>
        <w:pStyle w:val="Subsection"/>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spacing w:before="60"/>
      </w:pPr>
      <w:r>
        <w:tab/>
        <w:t>(ii)</w:t>
      </w:r>
      <w:r>
        <w:tab/>
        <w:t>if a reason is that the person giving the notice requires further information as to the worker’s weekly earnings, a statement as to the nature and substance of the information required; and</w:t>
      </w:r>
    </w:p>
    <w:p>
      <w:pPr>
        <w:pStyle w:val="Indenti"/>
        <w:spacing w:before="60"/>
      </w:pPr>
      <w:r>
        <w:tab/>
        <w:t>(iii)</w:t>
      </w:r>
      <w:r>
        <w:tab/>
        <w:t>any other particulars required by the person giving the notice to make the decision;</w:t>
      </w:r>
    </w:p>
    <w:p>
      <w:pPr>
        <w:pStyle w:val="Indenta"/>
        <w:spacing w:before="60"/>
      </w:pPr>
      <w:r>
        <w:tab/>
      </w:r>
      <w:r>
        <w:tab/>
        <w:t>and</w:t>
      </w:r>
    </w:p>
    <w:p>
      <w:pPr>
        <w:pStyle w:val="Indenta"/>
        <w:spacing w:before="60"/>
      </w:pPr>
      <w:r>
        <w:tab/>
        <w:t>(c)</w:t>
      </w:r>
      <w:r>
        <w:tab/>
        <w:t>include such other information as the regulations may prescribe.</w:t>
      </w:r>
    </w:p>
    <w:p>
      <w:pPr>
        <w:pStyle w:val="Footnotesection"/>
      </w:pPr>
      <w:r>
        <w:tab/>
        <w:t>[Section 57BA inserted by No. 42 of 2004 s. 43.]</w:t>
      </w:r>
    </w:p>
    <w:p>
      <w:pPr>
        <w:pStyle w:val="Heading5"/>
        <w:spacing w:before="180"/>
        <w:rPr>
          <w:snapToGrid w:val="0"/>
        </w:rPr>
      </w:pPr>
      <w:bookmarkStart w:id="90" w:name="_Toc390078176"/>
      <w:r>
        <w:rPr>
          <w:rStyle w:val="CharSectno"/>
        </w:rPr>
        <w:t>57C</w:t>
      </w:r>
      <w:r>
        <w:rPr>
          <w:snapToGrid w:val="0"/>
        </w:rPr>
        <w:t>.</w:t>
      </w:r>
      <w:r>
        <w:rPr>
          <w:snapToGrid w:val="0"/>
        </w:rPr>
        <w:tab/>
        <w:t>Notification to Commission</w:t>
      </w:r>
      <w:bookmarkEnd w:id="90"/>
      <w:r>
        <w:rPr>
          <w:snapToGrid w:val="0"/>
        </w:rPr>
        <w:t xml:space="preserve"> </w:t>
      </w:r>
    </w:p>
    <w:p>
      <w:pPr>
        <w:pStyle w:val="Subsection"/>
        <w:spacing w:before="120"/>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spacing w:before="80"/>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spacing w:before="80"/>
        <w:ind w:left="890" w:hanging="890"/>
      </w:pPr>
      <w:r>
        <w:tab/>
        <w:t xml:space="preserve">[Section 57C inserted by No. 96 of 1990 s. 8; amended by No. 42 of 2004 s. 44, 147 and 150.] </w:t>
      </w:r>
    </w:p>
    <w:p>
      <w:pPr>
        <w:pStyle w:val="Heading5"/>
        <w:rPr>
          <w:snapToGrid w:val="0"/>
        </w:rPr>
      </w:pPr>
      <w:bookmarkStart w:id="91" w:name="_Toc390078177"/>
      <w:r>
        <w:rPr>
          <w:rStyle w:val="CharSectno"/>
        </w:rPr>
        <w:t>57D</w:t>
      </w:r>
      <w:r>
        <w:rPr>
          <w:snapToGrid w:val="0"/>
        </w:rPr>
        <w:t>.</w:t>
      </w:r>
      <w:r>
        <w:rPr>
          <w:snapToGrid w:val="0"/>
        </w:rPr>
        <w:tab/>
        <w:t>Confidentiality</w:t>
      </w:r>
      <w:bookmarkEnd w:id="91"/>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2" w:name="_Toc390078178"/>
      <w:r>
        <w:rPr>
          <w:rStyle w:val="CharSectno"/>
        </w:rPr>
        <w:t>58</w:t>
      </w:r>
      <w:r>
        <w:rPr>
          <w:snapToGrid w:val="0"/>
        </w:rPr>
        <w:t>.</w:t>
      </w:r>
      <w:r>
        <w:rPr>
          <w:snapToGrid w:val="0"/>
        </w:rPr>
        <w:tab/>
        <w:t>Arbitrator may determine liability</w:t>
      </w:r>
      <w:bookmarkEnd w:id="92"/>
      <w:r>
        <w:rPr>
          <w:snapToGrid w:val="0"/>
        </w:rPr>
        <w:t xml:space="preserve"> </w:t>
      </w:r>
    </w:p>
    <w:p>
      <w:pPr>
        <w:pStyle w:val="Subsection"/>
        <w:spacing w:before="80"/>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80"/>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spacing w:before="80"/>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repealed]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pPr>
      <w:r>
        <w:tab/>
        <w:t xml:space="preserve">[Section 58 inserted by No. 96 of 1990 s. 9; amended by No. 72 of 1992 s. 8; No. 48 of 1993 s. 28(1); No. 49 of 1996 s. 64; No. 42 of 2004 s. 45 and 150; No. 77 of 2006 s. 17.] </w:t>
      </w:r>
    </w:p>
    <w:p>
      <w:pPr>
        <w:pStyle w:val="Heading5"/>
        <w:rPr>
          <w:snapToGrid w:val="0"/>
        </w:rPr>
      </w:pPr>
      <w:bookmarkStart w:id="93" w:name="_Toc390078179"/>
      <w:r>
        <w:rPr>
          <w:rStyle w:val="CharSectno"/>
        </w:rPr>
        <w:t>59</w:t>
      </w:r>
      <w:r>
        <w:rPr>
          <w:snapToGrid w:val="0"/>
        </w:rPr>
        <w:t>.</w:t>
      </w:r>
      <w:r>
        <w:rPr>
          <w:snapToGrid w:val="0"/>
        </w:rPr>
        <w:tab/>
        <w:t>Information as to remunerated work</w:t>
      </w:r>
      <w:bookmarkEnd w:id="93"/>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b/>
          <w:snapToGrid w:val="0"/>
        </w:rPr>
        <w:t>“</w:t>
      </w:r>
      <w:r>
        <w:rPr>
          <w:rStyle w:val="CharDefText"/>
        </w:rPr>
        <w:t>the employer</w:t>
      </w:r>
      <w:r>
        <w:rPr>
          <w:b/>
          <w:snapToGrid w:val="0"/>
        </w:rPr>
        <w:t>”</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80"/>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spacing w:before="80"/>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4" w:name="_Toc390078180"/>
      <w:r>
        <w:rPr>
          <w:rStyle w:val="CharSectno"/>
        </w:rPr>
        <w:t>60</w:t>
      </w:r>
      <w:r>
        <w:rPr>
          <w:snapToGrid w:val="0"/>
        </w:rPr>
        <w:t>.</w:t>
      </w:r>
      <w:r>
        <w:rPr>
          <w:snapToGrid w:val="0"/>
        </w:rPr>
        <w:tab/>
        <w:t>Application for discontinuance or reduction of weekly payments</w:t>
      </w:r>
      <w:bookmarkEnd w:id="94"/>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5" w:name="_Toc390078181"/>
      <w:r>
        <w:rPr>
          <w:rStyle w:val="CharSectno"/>
        </w:rPr>
        <w:t>61</w:t>
      </w:r>
      <w:r>
        <w:rPr>
          <w:snapToGrid w:val="0"/>
        </w:rPr>
        <w:t>.</w:t>
      </w:r>
      <w:r>
        <w:rPr>
          <w:snapToGrid w:val="0"/>
        </w:rPr>
        <w:tab/>
        <w:t>Unlawful discontinuance of weekly payments</w:t>
      </w:r>
      <w:bookmarkEnd w:id="95"/>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outlineLvl w:val="0"/>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outlineLvl w:val="0"/>
        <w:rPr>
          <w:snapToGrid w:val="0"/>
        </w:rPr>
      </w:pPr>
      <w:r>
        <w:rPr>
          <w:snapToGrid w:val="0"/>
        </w:rPr>
        <w:tab/>
        <w:t>(b)</w:t>
      </w:r>
      <w:r>
        <w:rPr>
          <w:snapToGrid w:val="0"/>
        </w:rP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6" w:name="_Toc390078182"/>
      <w:r>
        <w:rPr>
          <w:rStyle w:val="CharSectno"/>
        </w:rPr>
        <w:t>62</w:t>
      </w:r>
      <w:r>
        <w:rPr>
          <w:snapToGrid w:val="0"/>
        </w:rPr>
        <w:t>.</w:t>
      </w:r>
      <w:r>
        <w:rPr>
          <w:snapToGrid w:val="0"/>
        </w:rPr>
        <w:tab/>
        <w:t>Review of weekly payments</w:t>
      </w:r>
      <w:bookmarkEnd w:id="96"/>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7" w:name="_Toc390078183"/>
      <w:r>
        <w:rPr>
          <w:rStyle w:val="CharSectno"/>
        </w:rPr>
        <w:t>63</w:t>
      </w:r>
      <w:r>
        <w:rPr>
          <w:snapToGrid w:val="0"/>
        </w:rPr>
        <w:t>.</w:t>
      </w:r>
      <w:r>
        <w:rPr>
          <w:snapToGrid w:val="0"/>
        </w:rPr>
        <w:tab/>
        <w:t>No compensation during suspension</w:t>
      </w:r>
      <w:bookmarkEnd w:id="97"/>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8" w:name="_Toc390078184"/>
      <w:r>
        <w:rPr>
          <w:rStyle w:val="CharSectno"/>
        </w:rPr>
        <w:t>64</w:t>
      </w:r>
      <w:r>
        <w:rPr>
          <w:snapToGrid w:val="0"/>
        </w:rPr>
        <w:t>.</w:t>
      </w:r>
      <w:r>
        <w:rPr>
          <w:snapToGrid w:val="0"/>
        </w:rPr>
        <w:tab/>
        <w:t>Medical examination</w:t>
      </w:r>
      <w:bookmarkEnd w:id="98"/>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99" w:name="_Toc390078185"/>
      <w:r>
        <w:rPr>
          <w:rStyle w:val="CharSectno"/>
        </w:rPr>
        <w:t>65</w:t>
      </w:r>
      <w:r>
        <w:rPr>
          <w:snapToGrid w:val="0"/>
        </w:rPr>
        <w:t>.</w:t>
      </w:r>
      <w:r>
        <w:rPr>
          <w:snapToGrid w:val="0"/>
        </w:rPr>
        <w:tab/>
        <w:t>Periodical medical examination</w:t>
      </w:r>
      <w:bookmarkEnd w:id="99"/>
      <w:r>
        <w:rPr>
          <w:snapToGrid w:val="0"/>
        </w:rPr>
        <w:t xml:space="preserve"> </w:t>
      </w:r>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00" w:name="_Toc390078186"/>
      <w:r>
        <w:rPr>
          <w:rStyle w:val="CharSectno"/>
        </w:rPr>
        <w:t>66</w:t>
      </w:r>
      <w:r>
        <w:rPr>
          <w:snapToGrid w:val="0"/>
        </w:rPr>
        <w:t>.</w:t>
      </w:r>
      <w:r>
        <w:rPr>
          <w:snapToGrid w:val="0"/>
        </w:rPr>
        <w:tab/>
        <w:t>Regulations as to medical examination</w:t>
      </w:r>
      <w:bookmarkEnd w:id="100"/>
      <w:r>
        <w:rPr>
          <w:snapToGrid w:val="0"/>
        </w:rPr>
        <w:t xml:space="preserve"> </w:t>
      </w:r>
    </w:p>
    <w:p>
      <w:pPr>
        <w:pStyle w:val="Subsection"/>
        <w:spacing w:before="8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101" w:name="_Toc390078187"/>
      <w:r>
        <w:rPr>
          <w:rStyle w:val="CharSectno"/>
        </w:rPr>
        <w:t>66A</w:t>
      </w:r>
      <w:r>
        <w:t>.</w:t>
      </w:r>
      <w:r>
        <w:tab/>
        <w:t>Additional medical examinations</w:t>
      </w:r>
      <w:bookmarkEnd w:id="101"/>
    </w:p>
    <w:p>
      <w:pPr>
        <w:pStyle w:val="Subsection"/>
      </w:pPr>
      <w:r>
        <w:tab/>
        <w:t>(1)</w:t>
      </w:r>
      <w:r>
        <w:tab/>
        <w:t xml:space="preserve">In this section — </w:t>
      </w:r>
    </w:p>
    <w:p>
      <w:pPr>
        <w:pStyle w:val="Defstart"/>
      </w:pPr>
      <w:r>
        <w:rPr>
          <w:b/>
        </w:rPr>
        <w:tab/>
        <w:t>“</w:t>
      </w:r>
      <w:r>
        <w:rPr>
          <w:rStyle w:val="CharDefText"/>
        </w:rPr>
        <w:t>additional medical examination</w:t>
      </w:r>
      <w:r>
        <w:rPr>
          <w:b/>
        </w:rPr>
        <w:t>”</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02" w:name="_Toc390078188"/>
      <w:r>
        <w:rPr>
          <w:rStyle w:val="CharSectno"/>
        </w:rPr>
        <w:t>67</w:t>
      </w:r>
      <w:r>
        <w:rPr>
          <w:snapToGrid w:val="0"/>
        </w:rPr>
        <w:t>.</w:t>
      </w:r>
      <w:r>
        <w:rPr>
          <w:snapToGrid w:val="0"/>
        </w:rPr>
        <w:tab/>
        <w:t>Lump sum in redemption of weekly payments</w:t>
      </w:r>
      <w:bookmarkEnd w:id="10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pPr>
      <w:r>
        <w:tab/>
        <w:t xml:space="preserve">[Section 67 amended by No. 44 of 1985 s. 21; No. 48 of 1993 s. 36; No. 33 of 1999 s. 4; No. 34 of 1999 s. 14; No. 42 of 2004 s. 55, 146 and 147.] </w:t>
      </w:r>
    </w:p>
    <w:p>
      <w:pPr>
        <w:pStyle w:val="Heading5"/>
        <w:rPr>
          <w:snapToGrid w:val="0"/>
        </w:rPr>
      </w:pPr>
      <w:bookmarkStart w:id="103" w:name="_Toc390078189"/>
      <w:r>
        <w:rPr>
          <w:rStyle w:val="CharSectno"/>
        </w:rPr>
        <w:t>68</w:t>
      </w:r>
      <w:r>
        <w:rPr>
          <w:snapToGrid w:val="0"/>
        </w:rPr>
        <w:t>.</w:t>
      </w:r>
      <w:r>
        <w:rPr>
          <w:snapToGrid w:val="0"/>
        </w:rPr>
        <w:tab/>
        <w:t>Calculation of lump sum</w:t>
      </w:r>
      <w:bookmarkEnd w:id="103"/>
      <w:r>
        <w:rPr>
          <w:snapToGrid w:val="0"/>
        </w:rPr>
        <w:t xml:space="preserve"> </w:t>
      </w:r>
    </w:p>
    <w:p>
      <w:pPr>
        <w:pStyle w:val="Ednotesubsection"/>
      </w:pPr>
      <w:r>
        <w:t>[(1)</w:t>
      </w:r>
      <w:r>
        <w:noBreakHyphen/>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b/>
          <w:snapToGrid w:val="0"/>
        </w:rPr>
        <w:t>“</w:t>
      </w:r>
      <w:r>
        <w:rPr>
          <w:rStyle w:val="CharDefText"/>
        </w:rPr>
        <w:t>a compound discount table</w:t>
      </w:r>
      <w:r>
        <w:rPr>
          <w:b/>
          <w:snapToGrid w:val="0"/>
        </w:rPr>
        <w:t>”</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rPr>
          <w:snapToGrid w:val="0"/>
        </w:rPr>
      </w:pPr>
      <w:bookmarkStart w:id="104" w:name="_Toc390078190"/>
      <w:r>
        <w:rPr>
          <w:rStyle w:val="CharSectno"/>
        </w:rPr>
        <w:t>69</w:t>
      </w:r>
      <w:r>
        <w:rPr>
          <w:snapToGrid w:val="0"/>
        </w:rPr>
        <w:t>.</w:t>
      </w:r>
      <w:r>
        <w:rPr>
          <w:snapToGrid w:val="0"/>
        </w:rPr>
        <w:tab/>
        <w:t>Worker not residing in the State</w:t>
      </w:r>
      <w:bookmarkEnd w:id="104"/>
      <w:r>
        <w:rPr>
          <w:snapToGrid w:val="0"/>
        </w:rPr>
        <w:t xml:space="preserve"> </w:t>
      </w:r>
    </w:p>
    <w:p>
      <w:pPr>
        <w:pStyle w:val="Subsection"/>
        <w:spacing w:before="80"/>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05" w:name="_Toc390078191"/>
      <w:r>
        <w:rPr>
          <w:rStyle w:val="CharSectno"/>
        </w:rPr>
        <w:t>70</w:t>
      </w:r>
      <w:r>
        <w:t>.</w:t>
      </w:r>
      <w:r>
        <w:tab/>
        <w:t>Furnishing medical reports</w:t>
      </w:r>
      <w:bookmarkEnd w:id="105"/>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06" w:name="_Toc390078192"/>
      <w:r>
        <w:rPr>
          <w:rStyle w:val="CharSectno"/>
        </w:rPr>
        <w:t>71</w:t>
      </w:r>
      <w:r>
        <w:rPr>
          <w:snapToGrid w:val="0"/>
        </w:rPr>
        <w:t>.</w:t>
      </w:r>
      <w:r>
        <w:rPr>
          <w:snapToGrid w:val="0"/>
        </w:rPr>
        <w:tab/>
        <w:t>Recovery of payments</w:t>
      </w:r>
      <w:bookmarkEnd w:id="106"/>
      <w:r>
        <w:rPr>
          <w:snapToGrid w:val="0"/>
        </w:rPr>
        <w:t xml:space="preserve"> </w:t>
      </w:r>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pPr>
      <w:bookmarkStart w:id="107" w:name="_Toc390078193"/>
      <w:r>
        <w:rPr>
          <w:rStyle w:val="CharSectno"/>
        </w:rPr>
        <w:t>72</w:t>
      </w:r>
      <w:r>
        <w:t>.</w:t>
      </w:r>
      <w:r>
        <w:tab/>
        <w:t>Suspension of payments during custody</w:t>
      </w:r>
      <w:bookmarkEnd w:id="107"/>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108" w:name="_Toc390078194"/>
      <w:r>
        <w:rPr>
          <w:rStyle w:val="CharSectno"/>
        </w:rPr>
        <w:t>72A</w:t>
      </w:r>
      <w:r>
        <w:t>.</w:t>
      </w:r>
      <w:r>
        <w:tab/>
        <w:t>Suspension or cessation of payments for failure to undergo medical examination</w:t>
      </w:r>
      <w:bookmarkEnd w:id="108"/>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109" w:name="_Toc390078195"/>
      <w:r>
        <w:rPr>
          <w:rStyle w:val="CharSectno"/>
        </w:rPr>
        <w:t>72B</w:t>
      </w:r>
      <w:r>
        <w:t>.</w:t>
      </w:r>
      <w:r>
        <w:tab/>
        <w:t>Suspension or cessation of payments for failure to participate in return to work program</w:t>
      </w:r>
      <w:bookmarkEnd w:id="109"/>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outlineLvl w:val="9"/>
      </w:pPr>
      <w:r>
        <w:tab/>
        <w:t>[Division 5A repealed by No. 48 of 1993 s. 28(1).]</w:t>
      </w:r>
    </w:p>
    <w:p>
      <w:pPr>
        <w:pStyle w:val="Heading3"/>
        <w:rPr>
          <w:snapToGrid w:val="0"/>
        </w:rPr>
      </w:pPr>
      <w:bookmarkStart w:id="110" w:name="_Toc390078196"/>
      <w:r>
        <w:rPr>
          <w:rStyle w:val="CharDivNo"/>
        </w:rPr>
        <w:t>Division 6</w:t>
      </w:r>
      <w:r>
        <w:rPr>
          <w:snapToGrid w:val="0"/>
        </w:rPr>
        <w:t> — </w:t>
      </w:r>
      <w:r>
        <w:rPr>
          <w:rStyle w:val="CharDivText"/>
        </w:rPr>
        <w:t>Disputes between employers</w:t>
      </w:r>
      <w:bookmarkEnd w:id="110"/>
      <w:r>
        <w:rPr>
          <w:rStyle w:val="CharDivText"/>
        </w:rPr>
        <w:t xml:space="preserve"> </w:t>
      </w:r>
    </w:p>
    <w:p>
      <w:pPr>
        <w:pStyle w:val="Heading5"/>
        <w:rPr>
          <w:snapToGrid w:val="0"/>
        </w:rPr>
      </w:pPr>
      <w:bookmarkStart w:id="111" w:name="_Toc390078197"/>
      <w:r>
        <w:rPr>
          <w:rStyle w:val="CharSectno"/>
        </w:rPr>
        <w:t>73</w:t>
      </w:r>
      <w:r>
        <w:rPr>
          <w:snapToGrid w:val="0"/>
        </w:rPr>
        <w:t>.</w:t>
      </w:r>
      <w:r>
        <w:rPr>
          <w:snapToGrid w:val="0"/>
        </w:rPr>
        <w:tab/>
        <w:t>Worker entitled but dispute between employers</w:t>
      </w:r>
      <w:bookmarkEnd w:id="111"/>
      <w:r>
        <w:rPr>
          <w:snapToGrid w:val="0"/>
        </w:rPr>
        <w:t xml:space="preserve"> </w:t>
      </w:r>
    </w:p>
    <w:p>
      <w:pPr>
        <w:pStyle w:val="Subsection"/>
        <w:spacing w:before="80"/>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spacing w:before="80"/>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spacing w:before="80"/>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spacing w:before="80"/>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spacing w:before="80"/>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12" w:name="_Toc390078198"/>
      <w:r>
        <w:rPr>
          <w:rStyle w:val="CharSectno"/>
        </w:rPr>
        <w:t>74</w:t>
      </w:r>
      <w:r>
        <w:rPr>
          <w:snapToGrid w:val="0"/>
        </w:rPr>
        <w:t>.</w:t>
      </w:r>
      <w:r>
        <w:rPr>
          <w:snapToGrid w:val="0"/>
        </w:rPr>
        <w:tab/>
        <w:t>Dispute between insurers</w:t>
      </w:r>
      <w:bookmarkEnd w:id="112"/>
      <w:r>
        <w:rPr>
          <w:snapToGrid w:val="0"/>
        </w:rPr>
        <w:t xml:space="preserve"> </w:t>
      </w:r>
    </w:p>
    <w:p>
      <w:pPr>
        <w:pStyle w:val="Subsection"/>
        <w:spacing w:before="120"/>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spacing w:before="120"/>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spacing w:before="120"/>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spacing w:before="160"/>
        <w:rPr>
          <w:snapToGrid w:val="0"/>
        </w:rPr>
      </w:pPr>
      <w:bookmarkStart w:id="113" w:name="_Toc390078199"/>
      <w:r>
        <w:rPr>
          <w:rStyle w:val="CharSectno"/>
        </w:rPr>
        <w:t>74A</w:t>
      </w:r>
      <w:r>
        <w:rPr>
          <w:snapToGrid w:val="0"/>
        </w:rPr>
        <w:t>.</w:t>
      </w:r>
      <w:r>
        <w:rPr>
          <w:snapToGrid w:val="0"/>
        </w:rPr>
        <w:tab/>
        <w:t>Apportionment under sections 73 and 74</w:t>
      </w:r>
      <w:bookmarkEnd w:id="113"/>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14" w:name="_Toc390078200"/>
      <w:r>
        <w:rPr>
          <w:rStyle w:val="CharSectno"/>
        </w:rPr>
        <w:t>75</w:t>
      </w:r>
      <w:r>
        <w:rPr>
          <w:snapToGrid w:val="0"/>
        </w:rPr>
        <w:t>.</w:t>
      </w:r>
      <w:r>
        <w:rPr>
          <w:snapToGrid w:val="0"/>
        </w:rPr>
        <w:tab/>
        <w:t>Obligation to make weekly payments preserved</w:t>
      </w:r>
      <w:bookmarkEnd w:id="114"/>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15" w:name="_Toc390078201"/>
      <w:r>
        <w:rPr>
          <w:rStyle w:val="CharDivNo"/>
        </w:rPr>
        <w:t>Division 7</w:t>
      </w:r>
      <w:r>
        <w:rPr>
          <w:snapToGrid w:val="0"/>
        </w:rPr>
        <w:t> — </w:t>
      </w:r>
      <w:r>
        <w:rPr>
          <w:rStyle w:val="CharDivText"/>
        </w:rPr>
        <w:t>Agreements</w:t>
      </w:r>
      <w:bookmarkEnd w:id="115"/>
      <w:r>
        <w:rPr>
          <w:rStyle w:val="CharDivText"/>
        </w:rPr>
        <w:t xml:space="preserve"> </w:t>
      </w:r>
    </w:p>
    <w:p>
      <w:pPr>
        <w:pStyle w:val="Heading5"/>
        <w:rPr>
          <w:snapToGrid w:val="0"/>
        </w:rPr>
      </w:pPr>
      <w:bookmarkStart w:id="116" w:name="_Toc390078202"/>
      <w:r>
        <w:rPr>
          <w:rStyle w:val="CharSectno"/>
        </w:rPr>
        <w:t>76</w:t>
      </w:r>
      <w:r>
        <w:rPr>
          <w:snapToGrid w:val="0"/>
        </w:rPr>
        <w:t>.</w:t>
      </w:r>
      <w:r>
        <w:rPr>
          <w:snapToGrid w:val="0"/>
        </w:rPr>
        <w:tab/>
        <w:t>Registration of memorandum of agreement</w:t>
      </w:r>
      <w:bookmarkEnd w:id="116"/>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spacing w:before="100"/>
        <w:rPr>
          <w:snapToGrid w:val="0"/>
        </w:rPr>
      </w:pPr>
      <w:r>
        <w:rPr>
          <w:snapToGrid w:val="0"/>
        </w:rPr>
        <w:tab/>
        <w:t>(2)</w:t>
      </w:r>
      <w:r>
        <w:rPr>
          <w:snapToGrid w:val="0"/>
        </w:rPr>
        <w:tab/>
        <w:t>No such memorandum shall be recorded before 7 days after the despatch by the Director of notice to the parties interested.</w:t>
      </w:r>
    </w:p>
    <w:p>
      <w:pPr>
        <w:pStyle w:val="Subsection"/>
        <w:spacing w:before="100"/>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spacing w:before="100"/>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spacing w:before="200"/>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spacing w:before="200"/>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spacing w:before="200"/>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spacing w:before="200"/>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7" w:name="_Toc390078203"/>
      <w:r>
        <w:rPr>
          <w:rStyle w:val="CharSectno"/>
        </w:rPr>
        <w:t>77</w:t>
      </w:r>
      <w:r>
        <w:rPr>
          <w:snapToGrid w:val="0"/>
        </w:rPr>
        <w:t>.</w:t>
      </w:r>
      <w:r>
        <w:rPr>
          <w:snapToGrid w:val="0"/>
        </w:rPr>
        <w:tab/>
        <w:t>Registration obligatory</w:t>
      </w:r>
      <w:bookmarkEnd w:id="117"/>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8" w:name="_Toc390078204"/>
      <w:r>
        <w:rPr>
          <w:rStyle w:val="CharSectno"/>
        </w:rPr>
        <w:t>78</w:t>
      </w:r>
      <w:r>
        <w:rPr>
          <w:snapToGrid w:val="0"/>
        </w:rPr>
        <w:t>.</w:t>
      </w:r>
      <w:r>
        <w:rPr>
          <w:snapToGrid w:val="0"/>
        </w:rPr>
        <w:tab/>
        <w:t>Effect of non</w:t>
      </w:r>
      <w:r>
        <w:rPr>
          <w:snapToGrid w:val="0"/>
        </w:rPr>
        <w:noBreakHyphen/>
        <w:t>registration of agreement</w:t>
      </w:r>
      <w:bookmarkEnd w:id="118"/>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9" w:name="_Toc390078205"/>
      <w:r>
        <w:rPr>
          <w:rStyle w:val="CharDivNo"/>
        </w:rPr>
        <w:t>Division 8</w:t>
      </w:r>
      <w:r>
        <w:rPr>
          <w:snapToGrid w:val="0"/>
        </w:rPr>
        <w:t> — </w:t>
      </w:r>
      <w:r>
        <w:rPr>
          <w:rStyle w:val="CharDivText"/>
        </w:rPr>
        <w:t>Other matters affecting compensation</w:t>
      </w:r>
      <w:bookmarkEnd w:id="119"/>
      <w:r>
        <w:rPr>
          <w:rStyle w:val="CharDivText"/>
        </w:rPr>
        <w:t xml:space="preserve"> </w:t>
      </w:r>
    </w:p>
    <w:p>
      <w:pPr>
        <w:pStyle w:val="Heading5"/>
        <w:spacing w:before="120"/>
        <w:rPr>
          <w:snapToGrid w:val="0"/>
        </w:rPr>
      </w:pPr>
      <w:bookmarkStart w:id="120" w:name="_Toc390078206"/>
      <w:r>
        <w:rPr>
          <w:rStyle w:val="CharSectno"/>
        </w:rPr>
        <w:t>79</w:t>
      </w:r>
      <w:r>
        <w:rPr>
          <w:snapToGrid w:val="0"/>
        </w:rPr>
        <w:t>.</w:t>
      </w:r>
      <w:r>
        <w:rPr>
          <w:snapToGrid w:val="0"/>
        </w:rPr>
        <w:tab/>
        <w:t>Wilful and false representation</w:t>
      </w:r>
      <w:bookmarkEnd w:id="120"/>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1" w:name="_Toc390078207"/>
      <w:r>
        <w:rPr>
          <w:rStyle w:val="CharSectno"/>
        </w:rPr>
        <w:t>80</w:t>
      </w:r>
      <w:r>
        <w:rPr>
          <w:snapToGrid w:val="0"/>
        </w:rPr>
        <w:t>.</w:t>
      </w:r>
      <w:r>
        <w:rPr>
          <w:snapToGrid w:val="0"/>
        </w:rPr>
        <w:tab/>
        <w:t>Effect on annual leave, long service leave and sick leave</w:t>
      </w:r>
      <w:bookmarkEnd w:id="121"/>
      <w:r>
        <w:rPr>
          <w:snapToGrid w:val="0"/>
        </w:rPr>
        <w:t xml:space="preserve"> </w:t>
      </w:r>
    </w:p>
    <w:p>
      <w:pPr>
        <w:pStyle w:val="Subsection"/>
        <w:spacing w:before="80"/>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spacing w:before="80"/>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spacing w:before="80"/>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122" w:name="_Toc390078208"/>
      <w:r>
        <w:rPr>
          <w:rStyle w:val="CharSectno"/>
        </w:rPr>
        <w:t>81</w:t>
      </w:r>
      <w:r>
        <w:rPr>
          <w:snapToGrid w:val="0"/>
        </w:rPr>
        <w:t>.</w:t>
      </w:r>
      <w:r>
        <w:rPr>
          <w:snapToGrid w:val="0"/>
        </w:rPr>
        <w:tab/>
        <w:t>Effect on public holidays pay</w:t>
      </w:r>
      <w:bookmarkEnd w:id="122"/>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3" w:name="_Toc390078209"/>
      <w:r>
        <w:rPr>
          <w:rStyle w:val="CharSectno"/>
        </w:rPr>
        <w:t>82</w:t>
      </w:r>
      <w:r>
        <w:rPr>
          <w:snapToGrid w:val="0"/>
        </w:rPr>
        <w:t>.</w:t>
      </w:r>
      <w:r>
        <w:rPr>
          <w:snapToGrid w:val="0"/>
        </w:rPr>
        <w:tab/>
        <w:t>Recovery of cost of services rendered</w:t>
      </w:r>
      <w:bookmarkEnd w:id="123"/>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4" w:name="_Toc390078210"/>
      <w:r>
        <w:rPr>
          <w:rStyle w:val="CharSectno"/>
        </w:rPr>
        <w:t>83</w:t>
      </w:r>
      <w:r>
        <w:rPr>
          <w:snapToGrid w:val="0"/>
        </w:rPr>
        <w:t>.</w:t>
      </w:r>
      <w:r>
        <w:rPr>
          <w:snapToGrid w:val="0"/>
        </w:rPr>
        <w:tab/>
        <w:t>Industrial award and partial incapacity</w:t>
      </w:r>
      <w:bookmarkEnd w:id="124"/>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rPr>
          <w:snapToGrid w:val="0"/>
        </w:rPr>
      </w:pPr>
      <w:bookmarkStart w:id="125" w:name="_Toc390078211"/>
      <w:r>
        <w:rPr>
          <w:rStyle w:val="CharSectno"/>
        </w:rPr>
        <w:t>84</w:t>
      </w:r>
      <w:r>
        <w:rPr>
          <w:snapToGrid w:val="0"/>
        </w:rPr>
        <w:t>.</w:t>
      </w:r>
      <w:r>
        <w:rPr>
          <w:snapToGrid w:val="0"/>
        </w:rPr>
        <w:tab/>
        <w:t>Worker not to be prejudiced by resuming work</w:t>
      </w:r>
      <w:bookmarkEnd w:id="125"/>
      <w:r>
        <w:rPr>
          <w:snapToGrid w:val="0"/>
        </w:rPr>
        <w:t xml:space="preserve"> </w:t>
      </w:r>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26" w:name="_Toc390078212"/>
      <w:r>
        <w:rPr>
          <w:rStyle w:val="CharSectno"/>
        </w:rPr>
        <w:t>84AA</w:t>
      </w:r>
      <w:r>
        <w:rPr>
          <w:snapToGrid w:val="0"/>
        </w:rPr>
        <w:t>.</w:t>
      </w:r>
      <w:r>
        <w:rPr>
          <w:snapToGrid w:val="0"/>
        </w:rPr>
        <w:tab/>
        <w:t>Employer to keep position available during worker’s incapacity</w:t>
      </w:r>
      <w:bookmarkEnd w:id="126"/>
      <w:r>
        <w:rPr>
          <w:snapToGrid w:val="0"/>
        </w:rPr>
        <w:t xml:space="preserve"> </w:t>
      </w:r>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7" w:name="_Toc390078213"/>
      <w:r>
        <w:rPr>
          <w:rStyle w:val="CharSectno"/>
        </w:rPr>
        <w:t>84AB</w:t>
      </w:r>
      <w:r>
        <w:t>.</w:t>
      </w:r>
      <w:r>
        <w:tab/>
        <w:t>Employer to notify worker and WorkCover WA of intention to dismiss worker</w:t>
      </w:r>
      <w:bookmarkEnd w:id="12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p>
      <w:pPr>
        <w:pStyle w:val="Ednotepart"/>
        <w:ind w:left="1440" w:hanging="1440"/>
        <w:outlineLvl w:val="9"/>
      </w:pPr>
      <w:r>
        <w:t>[Part IIIA:</w:t>
      </w:r>
      <w:r>
        <w:tab/>
        <w:t>s. 84A</w:t>
      </w:r>
      <w:r>
        <w:noBreakHyphen/>
        <w:t>84ZZ repealed by No. 42 of 2004 s. 67;</w:t>
      </w:r>
      <w:r>
        <w:br/>
        <w:t>s. 84ZZA, 84ZZB repealed by No. 59 of 2004 s. 131.]</w:t>
      </w:r>
    </w:p>
    <w:p>
      <w:pPr>
        <w:pStyle w:val="Heading2"/>
      </w:pPr>
      <w:bookmarkStart w:id="128" w:name="_Toc390078214"/>
      <w:r>
        <w:rPr>
          <w:rStyle w:val="CharPartNo"/>
        </w:rPr>
        <w:t>Part IV</w:t>
      </w:r>
      <w:r>
        <w:t> — </w:t>
      </w:r>
      <w:r>
        <w:rPr>
          <w:rStyle w:val="CharPartText"/>
        </w:rPr>
        <w:t>Civil proceedings in addition to or independent of this Act</w:t>
      </w:r>
      <w:bookmarkEnd w:id="128"/>
      <w:r>
        <w:rPr>
          <w:rStyle w:val="CharPartText"/>
        </w:rPr>
        <w:t xml:space="preserve"> </w:t>
      </w:r>
    </w:p>
    <w:p>
      <w:pPr>
        <w:pStyle w:val="Heading3"/>
        <w:rPr>
          <w:snapToGrid w:val="0"/>
        </w:rPr>
      </w:pPr>
      <w:bookmarkStart w:id="129" w:name="_Toc390078215"/>
      <w:r>
        <w:rPr>
          <w:rStyle w:val="CharDivNo"/>
        </w:rPr>
        <w:t>Division 1</w:t>
      </w:r>
      <w:r>
        <w:rPr>
          <w:snapToGrid w:val="0"/>
        </w:rPr>
        <w:t> — </w:t>
      </w:r>
      <w:r>
        <w:rPr>
          <w:rStyle w:val="CharDivText"/>
        </w:rPr>
        <w:t>General</w:t>
      </w:r>
      <w:bookmarkEnd w:id="129"/>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30" w:name="_Toc390078216"/>
      <w:r>
        <w:rPr>
          <w:rStyle w:val="CharSectno"/>
        </w:rPr>
        <w:t>85</w:t>
      </w:r>
      <w:r>
        <w:rPr>
          <w:snapToGrid w:val="0"/>
        </w:rPr>
        <w:t>.</w:t>
      </w:r>
      <w:r>
        <w:rPr>
          <w:snapToGrid w:val="0"/>
        </w:rPr>
        <w:tab/>
        <w:t>Saving — motor vehicle cases</w:t>
      </w:r>
      <w:bookmarkEnd w:id="130"/>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31" w:name="_Toc390078217"/>
      <w:r>
        <w:rPr>
          <w:rStyle w:val="CharSectno"/>
        </w:rPr>
        <w:t>86</w:t>
      </w:r>
      <w:r>
        <w:rPr>
          <w:snapToGrid w:val="0"/>
        </w:rPr>
        <w:t>.</w:t>
      </w:r>
      <w:r>
        <w:rPr>
          <w:snapToGrid w:val="0"/>
        </w:rPr>
        <w:tab/>
        <w:t>Saving — independent liability</w:t>
      </w:r>
      <w:bookmarkEnd w:id="131"/>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32" w:name="_Toc390078218"/>
      <w:r>
        <w:rPr>
          <w:rStyle w:val="CharSectno"/>
        </w:rPr>
        <w:t>87</w:t>
      </w:r>
      <w:r>
        <w:rPr>
          <w:snapToGrid w:val="0"/>
        </w:rPr>
        <w:t>.</w:t>
      </w:r>
      <w:r>
        <w:rPr>
          <w:snapToGrid w:val="0"/>
        </w:rPr>
        <w:tab/>
        <w:t>Costs between solicitor and client in common law actions</w:t>
      </w:r>
      <w:bookmarkEnd w:id="132"/>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(as defined in the </w:t>
      </w:r>
      <w:r>
        <w:rPr>
          <w:i/>
        </w:rPr>
        <w:t>Legal Practice Act 2003</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w:t>
      </w:r>
    </w:p>
    <w:p>
      <w:pPr>
        <w:pStyle w:val="Ednotesection"/>
        <w:outlineLvl w:val="9"/>
      </w:pPr>
      <w:r>
        <w:t>[</w:t>
      </w:r>
      <w:r>
        <w:rPr>
          <w:b/>
        </w:rPr>
        <w:t>88</w:t>
      </w:r>
      <w:r>
        <w:rPr>
          <w:b/>
        </w:rPr>
        <w:noBreakHyphen/>
        <w:t>90.</w:t>
      </w:r>
      <w:r>
        <w:t xml:space="preserve">  Repealed by No. 48 of 1993 s. 4(2).] </w:t>
      </w:r>
    </w:p>
    <w:p>
      <w:pPr>
        <w:pStyle w:val="Heading5"/>
        <w:rPr>
          <w:snapToGrid w:val="0"/>
        </w:rPr>
      </w:pPr>
      <w:bookmarkStart w:id="133" w:name="_Toc390078219"/>
      <w:r>
        <w:rPr>
          <w:rStyle w:val="CharSectno"/>
        </w:rPr>
        <w:t>91</w:t>
      </w:r>
      <w:r>
        <w:rPr>
          <w:snapToGrid w:val="0"/>
        </w:rPr>
        <w:t>.</w:t>
      </w:r>
      <w:r>
        <w:rPr>
          <w:snapToGrid w:val="0"/>
        </w:rPr>
        <w:tab/>
        <w:t>Where action brought for injury for which compensation is payable under this Act</w:t>
      </w:r>
      <w:bookmarkEnd w:id="133"/>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34" w:name="_Toc390078220"/>
      <w:r>
        <w:rPr>
          <w:rStyle w:val="CharSectno"/>
        </w:rPr>
        <w:t>92</w:t>
      </w:r>
      <w:r>
        <w:rPr>
          <w:snapToGrid w:val="0"/>
        </w:rPr>
        <w:t>.</w:t>
      </w:r>
      <w:r>
        <w:rPr>
          <w:snapToGrid w:val="0"/>
        </w:rPr>
        <w:tab/>
        <w:t>Both damages and compensation not recoverable</w:t>
      </w:r>
      <w:bookmarkEnd w:id="134"/>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b/>
          <w:snapToGrid w:val="0"/>
        </w:rPr>
        <w:t>“</w:t>
      </w:r>
      <w:r>
        <w:rPr>
          <w:rStyle w:val="CharDefText"/>
        </w:rPr>
        <w:t>the defendant</w:t>
      </w:r>
      <w:r>
        <w:rPr>
          <w:b/>
          <w:snapToGrid w:val="0"/>
        </w:rPr>
        <w:t>”</w:t>
      </w:r>
      <w:r>
        <w:rPr>
          <w:snapToGrid w:val="0"/>
        </w:rPr>
        <w:t>) or against both of them — </w:t>
      </w:r>
    </w:p>
    <w:p>
      <w:pPr>
        <w:pStyle w:val="Indenta"/>
        <w:spacing w:before="120"/>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spacing w:before="120"/>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spacing w:before="120"/>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spacing w:before="120"/>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spacing w:before="120"/>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spacing w:before="120"/>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35" w:name="_Toc390078221"/>
      <w:r>
        <w:rPr>
          <w:rStyle w:val="CharSectno"/>
        </w:rPr>
        <w:t>93</w:t>
      </w:r>
      <w:r>
        <w:rPr>
          <w:snapToGrid w:val="0"/>
        </w:rPr>
        <w:t>.</w:t>
      </w:r>
      <w:r>
        <w:rPr>
          <w:snapToGrid w:val="0"/>
        </w:rPr>
        <w:tab/>
        <w:t>Remedies against stranger</w:t>
      </w:r>
      <w:bookmarkEnd w:id="135"/>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b/>
          <w:snapToGrid w:val="0"/>
        </w:rPr>
        <w:t>“</w:t>
      </w:r>
      <w:r>
        <w:rPr>
          <w:rStyle w:val="CharDefText"/>
        </w:rPr>
        <w:t>the defendant</w:t>
      </w:r>
      <w:r>
        <w:rPr>
          <w:b/>
          <w:snapToGrid w:val="0"/>
        </w:rPr>
        <w: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spacing w:before="200"/>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20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20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pPr>
      <w:bookmarkStart w:id="136" w:name="_Toc390078222"/>
      <w:r>
        <w:rPr>
          <w:rStyle w:val="CharDivNo"/>
        </w:rPr>
        <w:t>Division 1a</w:t>
      </w:r>
      <w:r>
        <w:t> — </w:t>
      </w:r>
      <w:r>
        <w:rPr>
          <w:rStyle w:val="CharDivText"/>
        </w:rPr>
        <w:t>Choice of law</w:t>
      </w:r>
      <w:bookmarkEnd w:id="136"/>
      <w:r>
        <w:rPr>
          <w:rStyle w:val="CharDivText"/>
        </w:rPr>
        <w:t xml:space="preserve"> </w:t>
      </w:r>
    </w:p>
    <w:p>
      <w:pPr>
        <w:pStyle w:val="Footnoteheading"/>
        <w:keepNext/>
        <w:tabs>
          <w:tab w:val="left" w:pos="851"/>
        </w:tabs>
      </w:pPr>
      <w:r>
        <w:tab/>
        <w:t>[Heading inserted by No. 36 of 2004 s. 10.]</w:t>
      </w:r>
    </w:p>
    <w:p>
      <w:pPr>
        <w:pStyle w:val="Heading5"/>
      </w:pPr>
      <w:bookmarkStart w:id="137" w:name="_Toc390078223"/>
      <w:r>
        <w:rPr>
          <w:rStyle w:val="CharSectno"/>
        </w:rPr>
        <w:t>93AA</w:t>
      </w:r>
      <w:r>
        <w:t>.</w:t>
      </w:r>
      <w:r>
        <w:tab/>
        <w:t>The applicable substantive law for work injury claims</w:t>
      </w:r>
      <w:bookmarkEnd w:id="137"/>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38" w:name="_Toc390078224"/>
      <w:r>
        <w:rPr>
          <w:rStyle w:val="CharSectno"/>
        </w:rPr>
        <w:t>93AB</w:t>
      </w:r>
      <w:r>
        <w:t>.</w:t>
      </w:r>
      <w:r>
        <w:tab/>
        <w:t>Claims to which Division applies</w:t>
      </w:r>
      <w:bookmarkEnd w:id="138"/>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39" w:name="_Toc390078225"/>
      <w:r>
        <w:rPr>
          <w:rStyle w:val="CharSectno"/>
        </w:rPr>
        <w:t>93AC</w:t>
      </w:r>
      <w:r>
        <w:t>.</w:t>
      </w:r>
      <w:r>
        <w:tab/>
        <w:t>What constitutes injury and employment</w:t>
      </w:r>
      <w:bookmarkEnd w:id="139"/>
      <w:r>
        <w:t xml:space="preserve"> </w:t>
      </w:r>
    </w:p>
    <w:p>
      <w:pPr>
        <w:pStyle w:val="Subsection"/>
      </w:pPr>
      <w:r>
        <w:tab/>
      </w:r>
      <w:r>
        <w:tab/>
        <w:t xml:space="preserve">For the purposes of this Division — </w:t>
      </w:r>
    </w:p>
    <w:p>
      <w:pPr>
        <w:pStyle w:val="Indenta"/>
      </w:pPr>
      <w:r>
        <w:tab/>
        <w:t>(a)</w:t>
      </w:r>
      <w:r>
        <w:tab/>
      </w:r>
      <w:r>
        <w:rPr>
          <w:b/>
        </w:rPr>
        <w:t>“</w:t>
      </w:r>
      <w:r>
        <w:rPr>
          <w:rStyle w:val="CharDefText"/>
        </w:rPr>
        <w:t>injury</w:t>
      </w:r>
      <w:r>
        <w:rPr>
          <w:b/>
        </w:rPr>
        <w:t>”</w:t>
      </w:r>
      <w:r>
        <w:t xml:space="preserve">, </w:t>
      </w:r>
      <w:r>
        <w:rPr>
          <w:b/>
        </w:rPr>
        <w:t>“</w:t>
      </w:r>
      <w:r>
        <w:rPr>
          <w:rStyle w:val="CharDefText"/>
        </w:rPr>
        <w:t>employer</w:t>
      </w:r>
      <w:r>
        <w:rPr>
          <w:b/>
        </w:rPr>
        <w:t>”</w:t>
      </w:r>
      <w:r>
        <w:t xml:space="preserve"> and </w:t>
      </w:r>
      <w:r>
        <w:rPr>
          <w:b/>
        </w:rPr>
        <w:t>“</w:t>
      </w:r>
      <w:r>
        <w:rPr>
          <w:rStyle w:val="CharDefText"/>
        </w:rPr>
        <w:t>worker</w:t>
      </w:r>
      <w:r>
        <w:rPr>
          <w:b/>
        </w:rPr>
        <w:t>”</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40" w:name="_Toc390078226"/>
      <w:r>
        <w:rPr>
          <w:rStyle w:val="CharSectno"/>
        </w:rPr>
        <w:t>93AD</w:t>
      </w:r>
      <w:r>
        <w:t>.</w:t>
      </w:r>
      <w:r>
        <w:tab/>
        <w:t>Claim in respect of death included</w:t>
      </w:r>
      <w:bookmarkEnd w:id="140"/>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41" w:name="_Toc390078227"/>
      <w:r>
        <w:rPr>
          <w:rStyle w:val="CharSectno"/>
        </w:rPr>
        <w:t>93AE</w:t>
      </w:r>
      <w:r>
        <w:t>.</w:t>
      </w:r>
      <w:r>
        <w:tab/>
        <w:t>Meaning of “substantive law”</w:t>
      </w:r>
      <w:bookmarkEnd w:id="141"/>
    </w:p>
    <w:p>
      <w:pPr>
        <w:pStyle w:val="Subsection"/>
      </w:pPr>
      <w:r>
        <w:tab/>
      </w:r>
      <w:r>
        <w:tab/>
        <w:t xml:space="preserve">In this Division — </w:t>
      </w:r>
    </w:p>
    <w:p>
      <w:pPr>
        <w:pStyle w:val="Defstart"/>
      </w:pPr>
      <w:r>
        <w:tab/>
      </w:r>
      <w:r>
        <w:rPr>
          <w:b/>
        </w:rPr>
        <w:t>“</w:t>
      </w:r>
      <w:r>
        <w:rPr>
          <w:rStyle w:val="CharDefText"/>
        </w:rPr>
        <w:t>a State’s legislation about damages for a work related injury</w:t>
      </w:r>
      <w:r>
        <w:rPr>
          <w:b/>
        </w:rPr>
        <w:t>”</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b/>
        </w:rPr>
        <w:t>“</w:t>
      </w:r>
      <w:r>
        <w:rPr>
          <w:rStyle w:val="CharDefText"/>
        </w:rPr>
        <w:t>substantive law</w:t>
      </w:r>
      <w:r>
        <w:rPr>
          <w:b/>
        </w:rPr>
        <w:t>”</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pPr>
      <w:r>
        <w:tab/>
      </w:r>
      <w:r>
        <w:tab/>
        <w:t>but does not include a law prescribing rules for choice of law.</w:t>
      </w:r>
    </w:p>
    <w:p>
      <w:pPr>
        <w:pStyle w:val="Footnotesection"/>
      </w:pPr>
      <w:r>
        <w:tab/>
        <w:t>[Section 93AE inserted by No. 36 of 2004 s. 10; amended by No. 36 of 2004 s. 17(3).]</w:t>
      </w:r>
    </w:p>
    <w:p>
      <w:pPr>
        <w:pStyle w:val="Heading5"/>
      </w:pPr>
      <w:bookmarkStart w:id="142" w:name="_Toc390078228"/>
      <w:r>
        <w:rPr>
          <w:rStyle w:val="CharSectno"/>
        </w:rPr>
        <w:t>93AF</w:t>
      </w:r>
      <w:r>
        <w:t>.</w:t>
      </w:r>
      <w:r>
        <w:tab/>
        <w:t>Availability of action in another State not relevant</w:t>
      </w:r>
      <w:bookmarkEnd w:id="142"/>
    </w:p>
    <w:p>
      <w:pPr>
        <w:pStyle w:val="Subsection"/>
        <w:outlineLvl w:val="0"/>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outlineLvl w:val="0"/>
      </w:pPr>
      <w:r>
        <w:tab/>
        <w:t>(2)</w:t>
      </w:r>
      <w:r>
        <w:tab/>
        <w:t>In subsection (1) —</w:t>
      </w:r>
    </w:p>
    <w:p>
      <w:pPr>
        <w:pStyle w:val="Defstart"/>
      </w:pPr>
      <w:r>
        <w:tab/>
      </w:r>
      <w:r>
        <w:rPr>
          <w:b/>
        </w:rPr>
        <w:t>“</w:t>
      </w:r>
      <w:r>
        <w:rPr>
          <w:rStyle w:val="CharDefText"/>
        </w:rPr>
        <w:t>another State</w:t>
      </w:r>
      <w:r>
        <w:rPr>
          <w:b/>
        </w:rPr>
        <w:t>”</w:t>
      </w:r>
      <w:r>
        <w:t xml:space="preserve"> means a State other than the State with which the worker’s employment is connected.</w:t>
      </w:r>
    </w:p>
    <w:p>
      <w:pPr>
        <w:pStyle w:val="Footnotesection"/>
      </w:pPr>
      <w:r>
        <w:tab/>
        <w:t>[Section 93AF inserted by No. 36 of 2004 s. 10.]</w:t>
      </w:r>
    </w:p>
    <w:p>
      <w:pPr>
        <w:pStyle w:val="Heading3"/>
        <w:spacing w:before="220"/>
        <w:rPr>
          <w:snapToGrid w:val="0"/>
        </w:rPr>
      </w:pPr>
      <w:bookmarkStart w:id="143" w:name="_Toc390078229"/>
      <w:r>
        <w:rPr>
          <w:rStyle w:val="CharDivNo"/>
        </w:rPr>
        <w:t>Division 2</w:t>
      </w:r>
      <w:r>
        <w:rPr>
          <w:snapToGrid w:val="0"/>
        </w:rPr>
        <w:t> — </w:t>
      </w:r>
      <w:r>
        <w:rPr>
          <w:rStyle w:val="CharDivText"/>
        </w:rPr>
        <w:t>Constraints on awards of common law damages</w:t>
      </w:r>
      <w:bookmarkEnd w:id="143"/>
      <w:r>
        <w:rPr>
          <w:rStyle w:val="CharDivText"/>
        </w:rPr>
        <w:t xml:space="preserve"> </w:t>
      </w:r>
    </w:p>
    <w:p>
      <w:pPr>
        <w:pStyle w:val="Footnoteheading"/>
        <w:keepNext/>
        <w:rPr>
          <w:snapToGrid w:val="0"/>
        </w:rPr>
      </w:pPr>
      <w:r>
        <w:rPr>
          <w:snapToGrid w:val="0"/>
        </w:rPr>
        <w:tab/>
        <w:t>[Heading inserted by No. 48 of 1993 s. 4(3).]</w:t>
      </w:r>
    </w:p>
    <w:p>
      <w:pPr>
        <w:pStyle w:val="Heading4"/>
      </w:pPr>
      <w:bookmarkStart w:id="144" w:name="_Toc390078230"/>
      <w:r>
        <w:t>Subdivision 1 — Preliminary provisions</w:t>
      </w:r>
      <w:bookmarkEnd w:id="144"/>
    </w:p>
    <w:p>
      <w:pPr>
        <w:pStyle w:val="Footnoteheading"/>
      </w:pPr>
      <w:r>
        <w:tab/>
        <w:t>[Heading inserted by No. 42 of 2004 s. 71.]</w:t>
      </w:r>
    </w:p>
    <w:p>
      <w:pPr>
        <w:pStyle w:val="Heading5"/>
        <w:rPr>
          <w:snapToGrid w:val="0"/>
        </w:rPr>
      </w:pPr>
      <w:bookmarkStart w:id="145" w:name="_Toc390078231"/>
      <w:r>
        <w:rPr>
          <w:rStyle w:val="CharSectno"/>
        </w:rPr>
        <w:t>93A</w:t>
      </w:r>
      <w:r>
        <w:rPr>
          <w:snapToGrid w:val="0"/>
        </w:rPr>
        <w:t>.</w:t>
      </w:r>
      <w:r>
        <w:rPr>
          <w:snapToGrid w:val="0"/>
        </w:rPr>
        <w:tab/>
        <w:t>Definitions for this Division</w:t>
      </w:r>
      <w:bookmarkEnd w:id="145"/>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t>“</w:t>
      </w:r>
      <w:r>
        <w:rPr>
          <w:rStyle w:val="CharDefText"/>
        </w:rPr>
        <w:t>damages</w:t>
      </w:r>
      <w:r>
        <w:rPr>
          <w:b/>
        </w:rPr>
        <w:t>”</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46" w:name="_Toc390078232"/>
      <w:r>
        <w:rPr>
          <w:rStyle w:val="CharSectno"/>
        </w:rPr>
        <w:t>93B</w:t>
      </w:r>
      <w:r>
        <w:rPr>
          <w:snapToGrid w:val="0"/>
        </w:rPr>
        <w:t>.</w:t>
      </w:r>
      <w:r>
        <w:rPr>
          <w:snapToGrid w:val="0"/>
        </w:rPr>
        <w:tab/>
        <w:t>Application of this Division</w:t>
      </w:r>
      <w:bookmarkEnd w:id="146"/>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spacing w:before="120"/>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spacing w:before="120"/>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spacing w:before="120"/>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180"/>
        <w:rPr>
          <w:snapToGrid w:val="0"/>
        </w:rPr>
      </w:pPr>
      <w:bookmarkStart w:id="147" w:name="_Toc390078233"/>
      <w:r>
        <w:rPr>
          <w:rStyle w:val="CharSectno"/>
        </w:rPr>
        <w:t>93C</w:t>
      </w:r>
      <w:r>
        <w:rPr>
          <w:snapToGrid w:val="0"/>
        </w:rPr>
        <w:t>.</w:t>
      </w:r>
      <w:r>
        <w:rPr>
          <w:snapToGrid w:val="0"/>
        </w:rPr>
        <w:tab/>
        <w:t>Limit on powers of courts</w:t>
      </w:r>
      <w:bookmarkEnd w:id="147"/>
      <w:r>
        <w:rPr>
          <w:snapToGrid w:val="0"/>
        </w:rPr>
        <w:t xml:space="preserve"> </w:t>
      </w:r>
    </w:p>
    <w:p>
      <w:pPr>
        <w:pStyle w:val="Subsection"/>
        <w:spacing w:before="12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pPr>
      <w:bookmarkStart w:id="148" w:name="_Toc390078234"/>
      <w:r>
        <w:t>Subdivision 2 — 1993 scheme</w:t>
      </w:r>
      <w:bookmarkEnd w:id="148"/>
    </w:p>
    <w:p>
      <w:pPr>
        <w:pStyle w:val="Footnoteheading"/>
      </w:pPr>
      <w:r>
        <w:tab/>
        <w:t>[Heading inserted by No. 42 of 2004 s. 74.]</w:t>
      </w:r>
    </w:p>
    <w:p>
      <w:pPr>
        <w:pStyle w:val="Heading5"/>
        <w:spacing w:before="180"/>
      </w:pPr>
      <w:bookmarkStart w:id="149" w:name="_Toc390078235"/>
      <w:r>
        <w:rPr>
          <w:rStyle w:val="CharSectno"/>
        </w:rPr>
        <w:t>93CA</w:t>
      </w:r>
      <w:r>
        <w:t>.</w:t>
      </w:r>
      <w:r>
        <w:tab/>
        <w:t>Meaning of “AMA Guides” in this Subdivision</w:t>
      </w:r>
      <w:bookmarkEnd w:id="149"/>
    </w:p>
    <w:p>
      <w:pPr>
        <w:pStyle w:val="Subsection"/>
        <w:spacing w:before="120"/>
        <w:rPr>
          <w:snapToGrid w:val="0"/>
        </w:rPr>
      </w:pPr>
      <w:r>
        <w:tab/>
      </w:r>
      <w:r>
        <w:tab/>
      </w:r>
      <w:r>
        <w:rPr>
          <w:snapToGrid w:val="0"/>
        </w:rPr>
        <w:t>In this Subdivision —</w:t>
      </w:r>
    </w:p>
    <w:p>
      <w:pPr>
        <w:pStyle w:val="Defstart"/>
      </w:pPr>
      <w:r>
        <w:rPr>
          <w:b/>
        </w:rPr>
        <w:tab/>
        <w:t>“</w:t>
      </w:r>
      <w:r>
        <w:rPr>
          <w:rStyle w:val="CharDefText"/>
        </w:rPr>
        <w:t>AMA Guides</w:t>
      </w:r>
      <w:r>
        <w:rPr>
          <w:b/>
        </w:rPr>
        <w:t>”</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pPr>
      <w:bookmarkStart w:id="150" w:name="_Toc390078236"/>
      <w:r>
        <w:rPr>
          <w:rStyle w:val="CharSectno"/>
        </w:rPr>
        <w:t>93CB</w:t>
      </w:r>
      <w:r>
        <w:t>.</w:t>
      </w:r>
      <w:r>
        <w:tab/>
        <w:t>Limits on application of this Subdivision</w:t>
      </w:r>
      <w:bookmarkEnd w:id="150"/>
    </w:p>
    <w:p>
      <w:pPr>
        <w:pStyle w:val="Subsection"/>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pPr>
      <w:r>
        <w:tab/>
        <w:t>[Section 93CB inserted by No. 42 of 2004 s. 75.]</w:t>
      </w:r>
    </w:p>
    <w:p>
      <w:pPr>
        <w:pStyle w:val="Heading5"/>
      </w:pPr>
      <w:bookmarkStart w:id="151" w:name="_Toc390078237"/>
      <w:r>
        <w:rPr>
          <w:rStyle w:val="CharSectno"/>
        </w:rPr>
        <w:t>93CC</w:t>
      </w:r>
      <w:r>
        <w:t>.</w:t>
      </w:r>
      <w:r>
        <w:tab/>
        <w:t>Application of this Subdivision</w:t>
      </w:r>
      <w:bookmarkEnd w:id="151"/>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spacing w:before="120"/>
      </w:pPr>
      <w:bookmarkStart w:id="152" w:name="_Toc390078238"/>
      <w:r>
        <w:rPr>
          <w:rStyle w:val="CharSectno"/>
        </w:rPr>
        <w:t>93D</w:t>
      </w:r>
      <w:r>
        <w:t>.</w:t>
      </w:r>
      <w:r>
        <w:tab/>
        <w:t>Assessment of disability</w:t>
      </w:r>
      <w:bookmarkEnd w:id="152"/>
    </w:p>
    <w:p>
      <w:pPr>
        <w:pStyle w:val="Subsection"/>
        <w:spacing w:before="100"/>
      </w:pPr>
      <w:r>
        <w:tab/>
        <w:t>(1)</w:t>
      </w:r>
      <w:r>
        <w:tab/>
        <w:t xml:space="preserve">In this </w:t>
      </w:r>
      <w:r>
        <w:rPr>
          <w:snapToGrid w:val="0"/>
        </w:rPr>
        <w:t>section</w:t>
      </w:r>
      <w:r>
        <w:t> —</w:t>
      </w:r>
    </w:p>
    <w:p>
      <w:pPr>
        <w:pStyle w:val="Defstart"/>
      </w:pPr>
      <w:r>
        <w:tab/>
      </w:r>
      <w:r>
        <w:rPr>
          <w:b/>
        </w:rPr>
        <w:t>“</w:t>
      </w:r>
      <w:r>
        <w:rPr>
          <w:rStyle w:val="CharDefText"/>
        </w:rPr>
        <w:t>relevant level</w:t>
      </w:r>
      <w:r>
        <w:rPr>
          <w:b/>
        </w:rPr>
        <w:t>”</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spacing w:before="100"/>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spacing w:before="100"/>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spacing w:before="100"/>
      </w:pPr>
      <w:r>
        <w:tab/>
        <w:t>(4)</w:t>
      </w:r>
      <w:r>
        <w:tab/>
        <w:t xml:space="preserve">If section 25 applies, the percentage under subsection (2)(a) is calculated in accordance with the formula — </w:t>
      </w:r>
    </w:p>
    <w:p>
      <w:pPr>
        <w:pStyle w:val="Equation"/>
        <w:tabs>
          <w:tab w:val="left" w:pos="1080"/>
        </w:tabs>
        <w:spacing w:before="120"/>
      </w:pPr>
      <w:r>
        <w:tab/>
      </w:r>
      <w:del w:id="153" w:author="svcMRProcess" w:date="2020-02-21T23:00: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30.65pt" fillcolor="window">
              <v:imagedata r:id="rId15" o:title=""/>
            </v:shape>
          </w:pict>
        </w:r>
      </w:del>
      <w:ins w:id="154" w:author="svcMRProcess" w:date="2020-02-21T23:00:00Z">
        <w:r>
          <w:rPr>
            <w:position w:val="-24"/>
          </w:rPr>
          <w:pict>
            <v:shape id="_x0000_i1026" type="#_x0000_t75" style="width:50pt;height:31.35pt" fillcolor="window">
              <v:imagedata r:id="rId15" o:title=""/>
            </v:shape>
          </w:pict>
        </w:r>
      </w:ins>
    </w:p>
    <w:p>
      <w:pPr>
        <w:pStyle w:val="Subsection"/>
        <w:spacing w:before="100"/>
      </w:pPr>
      <w:r>
        <w:tab/>
      </w:r>
      <w:r>
        <w:tab/>
        <w:t xml:space="preserve">Where — </w:t>
      </w:r>
    </w:p>
    <w:p>
      <w:pPr>
        <w:pStyle w:val="Subsection"/>
        <w:spacing w:before="100"/>
      </w:pPr>
      <w:r>
        <w:tab/>
      </w:r>
      <w:r>
        <w:tab/>
      </w:r>
      <w:r>
        <w:rPr>
          <w:i/>
        </w:rPr>
        <w:t>PD</w:t>
      </w:r>
      <w:r>
        <w:t xml:space="preserve"> is the percentage of the diminution of full efficient use.</w:t>
      </w:r>
    </w:p>
    <w:p>
      <w:pPr>
        <w:pStyle w:val="Subsection"/>
        <w:spacing w:before="100"/>
      </w:pPr>
      <w:r>
        <w:tab/>
      </w:r>
      <w:r>
        <w:tab/>
      </w:r>
      <w:r>
        <w:rPr>
          <w:i/>
        </w:rPr>
        <w:t>TD</w:t>
      </w:r>
      <w:r>
        <w:t xml:space="preserve"> is the relevant percentage set out in Column 2 of Schedule 2.</w:t>
      </w:r>
    </w:p>
    <w:p>
      <w:pPr>
        <w:pStyle w:val="Subsection"/>
        <w:spacing w:before="100"/>
      </w:pPr>
      <w:r>
        <w:tab/>
      </w:r>
      <w:r>
        <w:tab/>
        <w:t>Example 1</w:t>
      </w:r>
    </w:p>
    <w:p>
      <w:pPr>
        <w:pStyle w:val="Subsection"/>
        <w:spacing w:before="100"/>
      </w:pPr>
      <w:r>
        <w:tab/>
      </w:r>
      <w:r>
        <w:tab/>
        <w:t>A worker loses 40% of the full efficient use of one eye.  The percentage under subsection (2)(a) is —</w:t>
      </w:r>
    </w:p>
    <w:p>
      <w:pPr>
        <w:pStyle w:val="Equation"/>
        <w:tabs>
          <w:tab w:val="left" w:pos="1080"/>
        </w:tabs>
        <w:spacing w:before="80"/>
      </w:pPr>
      <w:r>
        <w:tab/>
      </w:r>
      <w:del w:id="155" w:author="svcMRProcess" w:date="2020-02-21T23:00:00Z">
        <w:r>
          <w:rPr>
            <w:position w:val="-24"/>
          </w:rPr>
          <w:pict>
            <v:shape id="_x0000_i1027" type="#_x0000_t75" style="width:1in;height:30.65pt" fillcolor="window">
              <v:imagedata r:id="rId16" o:title=""/>
            </v:shape>
          </w:pict>
        </w:r>
      </w:del>
      <w:ins w:id="156" w:author="svcMRProcess" w:date="2020-02-21T23:00:00Z">
        <w:r>
          <w:rPr>
            <w:position w:val="-24"/>
          </w:rPr>
          <w:pict>
            <v:shape id="_x0000_i1028" type="#_x0000_t75" style="width:1in;height:31.35pt" fillcolor="window">
              <v:imagedata r:id="rId16" o:title=""/>
            </v:shape>
          </w:pict>
        </w:r>
      </w:ins>
    </w:p>
    <w:p>
      <w:pPr>
        <w:pStyle w:val="Subsection"/>
        <w:spacing w:before="100"/>
        <w:outlineLvl w:val="0"/>
      </w:pPr>
      <w:r>
        <w:tab/>
      </w:r>
      <w:r>
        <w:tab/>
        <w:t>Example 2</w:t>
      </w:r>
    </w:p>
    <w:p>
      <w:pPr>
        <w:pStyle w:val="Subsection"/>
        <w:spacing w:before="100"/>
      </w:pPr>
      <w:r>
        <w:tab/>
      </w:r>
      <w:r>
        <w:tab/>
        <w:t>A worker loses the little finger of the left hand, 30% of the full efficient use of one eye and 10% of the full efficient use of the right arm below the elbow.  The percentage under subsection (2)(a) is —</w:t>
      </w:r>
    </w:p>
    <w:p>
      <w:pPr>
        <w:pStyle w:val="Equation"/>
        <w:tabs>
          <w:tab w:val="left" w:pos="1080"/>
        </w:tabs>
        <w:spacing w:before="80"/>
      </w:pPr>
      <w:r>
        <w:tab/>
      </w:r>
      <w:r>
        <w:rPr>
          <w:position w:val="-28"/>
        </w:rPr>
        <w:pict>
          <v:shape id="_x0000_i1029" type="#_x0000_t75" style="width:228pt;height:34pt" fillcolor="window">
            <v:imagedata r:id="rId17" o:title=""/>
          </v:shape>
        </w:pict>
      </w:r>
    </w:p>
    <w:p>
      <w:pPr>
        <w:pStyle w:val="Subsection"/>
        <w:spacing w:before="100"/>
        <w:outlineLvl w:val="0"/>
      </w:pPr>
      <w:r>
        <w:tab/>
      </w:r>
      <w:r>
        <w:tab/>
        <w:t>Example 3</w:t>
      </w:r>
    </w:p>
    <w:p>
      <w:pPr>
        <w:pStyle w:val="Subsection"/>
        <w:spacing w:before="100"/>
      </w:pPr>
      <w:r>
        <w:tab/>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Equation"/>
        <w:tabs>
          <w:tab w:val="left" w:pos="1080"/>
        </w:tabs>
        <w:spacing w:before="80"/>
      </w:pPr>
      <w:r>
        <w:tab/>
      </w:r>
      <w:del w:id="157" w:author="svcMRProcess" w:date="2020-02-21T23:00:00Z">
        <w:r>
          <w:rPr>
            <w:position w:val="-28"/>
          </w:rPr>
          <w:pict>
            <v:shape id="_x0000_i1030" type="#_x0000_t75" style="width:198.65pt;height:34pt" fillcolor="window">
              <v:imagedata r:id="rId18" o:title=""/>
            </v:shape>
          </w:pict>
        </w:r>
      </w:del>
      <w:ins w:id="158" w:author="svcMRProcess" w:date="2020-02-21T23:00:00Z">
        <w:r>
          <w:rPr>
            <w:position w:val="-28"/>
          </w:rPr>
          <w:pict>
            <v:shape id="_x0000_i1031" type="#_x0000_t75" style="width:199.35pt;height:34pt" fillcolor="window">
              <v:imagedata r:id="rId18" o:title=""/>
            </v:shape>
          </w:pict>
        </w:r>
      </w:ins>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59" w:name="_Toc390078239"/>
      <w:r>
        <w:rPr>
          <w:rStyle w:val="CharSectno"/>
        </w:rPr>
        <w:t>93E</w:t>
      </w:r>
      <w:r>
        <w:t>.</w:t>
      </w:r>
      <w:r>
        <w:tab/>
        <w:t>Restrictions on awarding of damages and payment of compensation</w:t>
      </w:r>
      <w:bookmarkEnd w:id="159"/>
    </w:p>
    <w:p>
      <w:pPr>
        <w:pStyle w:val="Subsection"/>
      </w:pPr>
      <w:r>
        <w:tab/>
        <w:t>(1)</w:t>
      </w:r>
      <w:r>
        <w:tab/>
        <w:t xml:space="preserve">In this section — </w:t>
      </w:r>
    </w:p>
    <w:p>
      <w:pPr>
        <w:pStyle w:val="Defstart"/>
      </w:pPr>
      <w:r>
        <w:tab/>
      </w:r>
      <w:r>
        <w:rPr>
          <w:b/>
        </w:rPr>
        <w:t>“</w:t>
      </w:r>
      <w:r>
        <w:rPr>
          <w:rStyle w:val="CharDefText"/>
        </w:rPr>
        <w:t>agreed</w:t>
      </w:r>
      <w:r>
        <w:rPr>
          <w:b/>
        </w:rPr>
        <w:t>”</w:t>
      </w:r>
      <w:r>
        <w:t xml:space="preserve"> means agreed between the worker and the employer, whether under section 93D(12) or otherwise;</w:t>
      </w:r>
    </w:p>
    <w:p>
      <w:pPr>
        <w:pStyle w:val="Defstart"/>
      </w:pPr>
      <w:r>
        <w:tab/>
      </w:r>
      <w:r>
        <w:rPr>
          <w:b/>
        </w:rPr>
        <w:t>“</w:t>
      </w:r>
      <w:r>
        <w:rPr>
          <w:rStyle w:val="CharDefText"/>
        </w:rPr>
        <w:t>degree of disability</w:t>
      </w:r>
      <w:r>
        <w:rPr>
          <w:b/>
        </w:rPr>
        <w:t>”</w:t>
      </w:r>
      <w:r>
        <w:t xml:space="preserve"> means the degree of disability of the worker assessed in accordance with section 93D(2);</w:t>
      </w:r>
    </w:p>
    <w:p>
      <w:pPr>
        <w:pStyle w:val="Defstart"/>
      </w:pPr>
      <w:r>
        <w:tab/>
      </w:r>
      <w:r>
        <w:rPr>
          <w:b/>
        </w:rPr>
        <w:t>“</w:t>
      </w:r>
      <w:r>
        <w:rPr>
          <w:rStyle w:val="CharDefText"/>
        </w:rPr>
        <w:t>determined</w:t>
      </w:r>
      <w:r>
        <w:rPr>
          <w:b/>
        </w:rPr>
        <w:t>”</w:t>
      </w:r>
      <w:r>
        <w:t xml:space="preserve"> means determined or decided when dealt with as described in section 93D(10) or (11);</w:t>
      </w:r>
    </w:p>
    <w:p>
      <w:pPr>
        <w:pStyle w:val="Defstart"/>
      </w:pPr>
      <w:r>
        <w:rPr>
          <w:b/>
        </w:rPr>
        <w:tab/>
        <w:t>“</w:t>
      </w:r>
      <w:r>
        <w:rPr>
          <w:rStyle w:val="CharDefText"/>
        </w:rPr>
        <w:t>termination day</w:t>
      </w:r>
      <w:r>
        <w:rPr>
          <w:b/>
        </w:rPr>
        <w:t>”</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t>“</w:t>
      </w:r>
      <w:r>
        <w:rPr>
          <w:rStyle w:val="CharDefText"/>
        </w:rPr>
        <w:t>relevant period</w:t>
      </w:r>
      <w:r>
        <w:rPr>
          <w:b/>
        </w:rPr>
        <w:t>”</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60" w:name="_Toc390078240"/>
      <w:r>
        <w:rPr>
          <w:rStyle w:val="CharSectno"/>
        </w:rPr>
        <w:t>93EA</w:t>
      </w:r>
      <w:r>
        <w:t>.</w:t>
      </w:r>
      <w:r>
        <w:tab/>
        <w:t>Referring questions with fresh evidence in particular cases</w:t>
      </w:r>
      <w:bookmarkEnd w:id="160"/>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61" w:name="_Toc390078241"/>
      <w:r>
        <w:rPr>
          <w:rStyle w:val="CharSectno"/>
        </w:rPr>
        <w:t>93EB</w:t>
      </w:r>
      <w:r>
        <w:t>.</w:t>
      </w:r>
      <w:r>
        <w:tab/>
        <w:t>Referring questions in certain other cases</w:t>
      </w:r>
      <w:bookmarkEnd w:id="161"/>
    </w:p>
    <w:p>
      <w:pPr>
        <w:pStyle w:val="Subsection"/>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162" w:name="_Toc390078242"/>
      <w:r>
        <w:rPr>
          <w:rStyle w:val="CharSectno"/>
        </w:rPr>
        <w:t>93EC</w:t>
      </w:r>
      <w:r>
        <w:t>.</w:t>
      </w:r>
      <w:r>
        <w:tab/>
        <w:t>Extended time for commencing proceedings</w:t>
      </w:r>
      <w:bookmarkEnd w:id="162"/>
    </w:p>
    <w:p>
      <w:pPr>
        <w:pStyle w:val="Subsection"/>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b/>
        </w:rPr>
        <w:t>“</w:t>
      </w:r>
      <w:r>
        <w:rPr>
          <w:rStyle w:val="CharDefText"/>
        </w:rPr>
        <w:t>notification day</w:t>
      </w:r>
      <w:r>
        <w:rPr>
          <w:b/>
        </w:rPr>
        <w:t>”</w:t>
      </w:r>
      <w:r>
        <w:t>); or</w:t>
      </w:r>
    </w:p>
    <w:p>
      <w:pPr>
        <w:pStyle w:val="Indenti"/>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spacing w:before="120"/>
      </w:pPr>
      <w:bookmarkStart w:id="163" w:name="_Toc390078243"/>
      <w:r>
        <w:rPr>
          <w:rStyle w:val="CharSectno"/>
        </w:rPr>
        <w:t>93F</w:t>
      </w:r>
      <w:r>
        <w:t>.</w:t>
      </w:r>
      <w:r>
        <w:tab/>
        <w:t>Restrictions on awarding and amount of damages if disability less than 30%</w:t>
      </w:r>
      <w:bookmarkEnd w:id="163"/>
    </w:p>
    <w:p>
      <w:pPr>
        <w:pStyle w:val="Subsection"/>
        <w:spacing w:before="100"/>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pPr>
      <w:r>
        <w:tab/>
        <w:t>(b)</w:t>
      </w:r>
      <w:r>
        <w:tab/>
        <w:t>damages in respect of the injury have been awarded in accordance with subsection (1),</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spacing w:before="100"/>
      </w:pPr>
      <w:r>
        <w:tab/>
        <w:t>(8)</w:t>
      </w:r>
      <w:r>
        <w:tab/>
        <w:t xml:space="preserve">In this section — </w:t>
      </w:r>
    </w:p>
    <w:p>
      <w:pPr>
        <w:pStyle w:val="Defstart"/>
        <w:outlineLvl w:val="0"/>
      </w:pPr>
      <w:r>
        <w:tab/>
      </w:r>
      <w:r>
        <w:rPr>
          <w:b/>
        </w:rPr>
        <w:t>“</w:t>
      </w:r>
      <w:r>
        <w:rPr>
          <w:rStyle w:val="CharDefText"/>
        </w:rPr>
        <w:t>Amount A</w:t>
      </w:r>
      <w:r>
        <w:rPr>
          <w:b/>
        </w:rPr>
        <w:t>”</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spacing w:before="120"/>
      </w:pPr>
      <w:bookmarkStart w:id="164" w:name="_Toc390078244"/>
      <w:r>
        <w:rPr>
          <w:rStyle w:val="CharSectno"/>
        </w:rPr>
        <w:t>93G</w:t>
      </w:r>
      <w:r>
        <w:t>.</w:t>
      </w:r>
      <w:r>
        <w:tab/>
        <w:t>Regulations</w:t>
      </w:r>
      <w:bookmarkEnd w:id="164"/>
    </w:p>
    <w:p>
      <w:pPr>
        <w:pStyle w:val="Subsection"/>
        <w:spacing w:before="100"/>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65" w:name="_Toc390078245"/>
      <w:r>
        <w:t>Subdivision 3 — 2004 scheme</w:t>
      </w:r>
      <w:bookmarkEnd w:id="165"/>
    </w:p>
    <w:p>
      <w:pPr>
        <w:pStyle w:val="Footnoteheading"/>
        <w:keepNext/>
        <w:keepLines/>
      </w:pPr>
      <w:r>
        <w:tab/>
        <w:t>[Heading inserted by No. 42 of 2004 s. 79.]</w:t>
      </w:r>
    </w:p>
    <w:p>
      <w:pPr>
        <w:pStyle w:val="Heading5"/>
      </w:pPr>
      <w:bookmarkStart w:id="166" w:name="_Toc390078246"/>
      <w:r>
        <w:rPr>
          <w:rStyle w:val="CharSectno"/>
        </w:rPr>
        <w:t>93H</w:t>
      </w:r>
      <w:r>
        <w:t>.</w:t>
      </w:r>
      <w:r>
        <w:tab/>
        <w:t>Terms used in this Subdivision</w:t>
      </w:r>
      <w:bookmarkEnd w:id="166"/>
    </w:p>
    <w:p>
      <w:pPr>
        <w:pStyle w:val="Subsection"/>
        <w:outlineLvl w:val="0"/>
      </w:pPr>
      <w:r>
        <w:tab/>
        <w:t>(1)</w:t>
      </w:r>
      <w:r>
        <w:tab/>
        <w:t xml:space="preserve">In this Subdivision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t>“</w:t>
      </w:r>
      <w:r>
        <w:rPr>
          <w:rStyle w:val="CharDefText"/>
        </w:rPr>
        <w:t>election registration day</w:t>
      </w:r>
      <w:r>
        <w:rPr>
          <w:b/>
        </w:rPr>
        <w:t>”</w:t>
      </w:r>
      <w:r>
        <w:t xml:space="preserve"> means the day on which the Director registers the election under section 93K(4)(b).</w:t>
      </w:r>
    </w:p>
    <w:p>
      <w:pPr>
        <w:pStyle w:val="Subsection"/>
        <w:outlineLvl w:val="0"/>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167" w:name="_Toc390078247"/>
      <w:r>
        <w:rPr>
          <w:rStyle w:val="CharSectno"/>
        </w:rPr>
        <w:t>93I</w:t>
      </w:r>
      <w:r>
        <w:t>.</w:t>
      </w:r>
      <w:r>
        <w:tab/>
        <w:t>Application of this Subdivision</w:t>
      </w:r>
      <w:bookmarkEnd w:id="167"/>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168" w:name="_Toc390078248"/>
      <w:r>
        <w:rPr>
          <w:rStyle w:val="CharSectno"/>
        </w:rPr>
        <w:t>93J</w:t>
      </w:r>
      <w:r>
        <w:t>.</w:t>
      </w:r>
      <w:r>
        <w:tab/>
        <w:t>No damages for noise induced hearing loss if not an injury</w:t>
      </w:r>
      <w:bookmarkEnd w:id="168"/>
    </w:p>
    <w:p>
      <w:pPr>
        <w:pStyle w:val="Subsection"/>
        <w:spacing w:before="120"/>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spacing w:before="180"/>
      </w:pPr>
      <w:bookmarkStart w:id="169" w:name="_Toc390078249"/>
      <w:r>
        <w:rPr>
          <w:rStyle w:val="CharSectno"/>
        </w:rPr>
        <w:t>93K</w:t>
      </w:r>
      <w:r>
        <w:t>.</w:t>
      </w:r>
      <w:r>
        <w:tab/>
        <w:t>Restrictions on awarding, and amount of, damages</w:t>
      </w:r>
      <w:bookmarkEnd w:id="169"/>
    </w:p>
    <w:p>
      <w:pPr>
        <w:pStyle w:val="Subsection"/>
        <w:spacing w:before="120"/>
      </w:pPr>
      <w:r>
        <w:tab/>
        <w:t>(1)</w:t>
      </w:r>
      <w:r>
        <w:tab/>
        <w:t>If the liability for an incapacity resulting from the injury has been redeemed under section 67, damages are not to be awarded in respect of the injury.</w:t>
      </w:r>
    </w:p>
    <w:p>
      <w:pPr>
        <w:pStyle w:val="Subsection"/>
        <w:spacing w:before="120"/>
      </w:pPr>
      <w:r>
        <w:tab/>
        <w:t>(2)</w:t>
      </w:r>
      <w:r>
        <w:tab/>
        <w:t>If a further additional sum has been allowed to the worker under clause 18A(1b) in relation to an injury that is compensable under this Act, damages are not to be awarded in respect of the injury.</w:t>
      </w:r>
    </w:p>
    <w:p>
      <w:pPr>
        <w:pStyle w:val="Subsection"/>
        <w:spacing w:before="120"/>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spacing w:before="120"/>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b/>
        </w:rPr>
        <w:t>“</w:t>
      </w:r>
      <w:r>
        <w:rPr>
          <w:rStyle w:val="CharDefText"/>
        </w:rPr>
        <w:t>Amount A</w:t>
      </w:r>
      <w:r>
        <w:rPr>
          <w:b/>
        </w:rPr>
        <w:t>”</w:t>
      </w:r>
      <w:r>
        <w:t xml:space="preserve"> means, in relation to a financial year, the amount that section 93F(8) defines to be Amount A in relation to that financial year.</w:t>
      </w:r>
    </w:p>
    <w:p>
      <w:pPr>
        <w:pStyle w:val="Subsection"/>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w:t>
      </w:r>
    </w:p>
    <w:p>
      <w:pPr>
        <w:pStyle w:val="Heading5"/>
      </w:pPr>
      <w:bookmarkStart w:id="170" w:name="_Toc390078250"/>
      <w:r>
        <w:rPr>
          <w:rStyle w:val="CharSectno"/>
        </w:rPr>
        <w:t>93L</w:t>
      </w:r>
      <w:r>
        <w:t>.</w:t>
      </w:r>
      <w:r>
        <w:tab/>
        <w:t>Election to retain right to seek damages</w:t>
      </w:r>
      <w:bookmarkEnd w:id="170"/>
    </w:p>
    <w:p>
      <w:pPr>
        <w:pStyle w:val="Subsection"/>
        <w:keepNext/>
      </w:pPr>
      <w:r>
        <w:tab/>
        <w:t>(1)</w:t>
      </w:r>
      <w:r>
        <w:tab/>
        <w:t xml:space="preserve">In this section — </w:t>
      </w:r>
    </w:p>
    <w:p>
      <w:pPr>
        <w:pStyle w:val="Defstart"/>
      </w:pPr>
      <w:r>
        <w:rPr>
          <w:b/>
        </w:rPr>
        <w:tab/>
        <w:t>“</w:t>
      </w:r>
      <w:r>
        <w:rPr>
          <w:rStyle w:val="CharDefText"/>
        </w:rPr>
        <w:t>termination day</w:t>
      </w:r>
      <w:r>
        <w:rPr>
          <w:b/>
        </w:rPr>
        <w:t>”</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171" w:name="_Toc390078251"/>
      <w:r>
        <w:rPr>
          <w:rStyle w:val="CharSectno"/>
        </w:rPr>
        <w:t>93M</w:t>
      </w:r>
      <w:r>
        <w:t>.</w:t>
      </w:r>
      <w:r>
        <w:tab/>
        <w:t>Termination day</w:t>
      </w:r>
      <w:bookmarkEnd w:id="171"/>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t>“</w:t>
      </w:r>
      <w:r>
        <w:rPr>
          <w:rStyle w:val="CharDefText"/>
        </w:rPr>
        <w:t>claim for compensation by way of weekly payments</w:t>
      </w:r>
      <w:r>
        <w:rPr>
          <w:b/>
        </w:rPr>
        <w:t>”</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t>“</w:t>
      </w:r>
      <w:r>
        <w:rPr>
          <w:rStyle w:val="CharDefText"/>
        </w:rPr>
        <w:t>normal evaluation</w:t>
      </w:r>
      <w:r>
        <w:rPr>
          <w:b/>
        </w:rPr>
        <w:t>”</w:t>
      </w:r>
      <w:r>
        <w:t xml:space="preserve"> has the meaning given to that term in section 146C(3);</w:t>
      </w:r>
    </w:p>
    <w:p>
      <w:pPr>
        <w:pStyle w:val="Defstart"/>
      </w:pPr>
      <w:r>
        <w:rPr>
          <w:b/>
        </w:rPr>
        <w:tab/>
        <w:t>“</w:t>
      </w:r>
      <w:r>
        <w:rPr>
          <w:rStyle w:val="CharDefText"/>
        </w:rPr>
        <w:t>special evaluation</w:t>
      </w:r>
      <w:r>
        <w:rPr>
          <w:b/>
        </w:rPr>
        <w:t>”</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r>
        <w:tab/>
        <w:t>[Section 93M inserted by No. 42 of 2004 s. 79.]</w:t>
      </w:r>
    </w:p>
    <w:p>
      <w:pPr>
        <w:pStyle w:val="Heading5"/>
      </w:pPr>
      <w:bookmarkStart w:id="172" w:name="_Toc390078252"/>
      <w:r>
        <w:rPr>
          <w:rStyle w:val="CharSectno"/>
        </w:rPr>
        <w:t>93N</w:t>
      </w:r>
      <w:r>
        <w:t>.</w:t>
      </w:r>
      <w:r>
        <w:tab/>
        <w:t>Special evaluation if condition has not sufficiently stabilised</w:t>
      </w:r>
      <w:bookmarkEnd w:id="172"/>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t>“</w:t>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173" w:name="_Toc390078253"/>
      <w:r>
        <w:rPr>
          <w:rStyle w:val="CharSectno"/>
        </w:rPr>
        <w:t>93O</w:t>
      </w:r>
      <w:r>
        <w:t>.</w:t>
      </w:r>
      <w:r>
        <w:tab/>
        <w:t>Employer to give worker notice of certain things</w:t>
      </w:r>
      <w:bookmarkEnd w:id="173"/>
    </w:p>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174" w:name="_Toc390078254"/>
      <w:r>
        <w:rPr>
          <w:rStyle w:val="CharSectno"/>
        </w:rPr>
        <w:t>93P</w:t>
      </w:r>
      <w:r>
        <w:t>.</w:t>
      </w:r>
      <w:r>
        <w:tab/>
        <w:t>How election may affect statutory compensation</w:t>
      </w:r>
      <w:bookmarkEnd w:id="174"/>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t>“</w:t>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175" w:name="_Toc390078255"/>
      <w:r>
        <w:rPr>
          <w:rStyle w:val="CharSectno"/>
        </w:rPr>
        <w:t>93Q</w:t>
      </w:r>
      <w:r>
        <w:t>.</w:t>
      </w:r>
      <w:r>
        <w:tab/>
        <w:t>Special provisions about HIV and AIDS</w:t>
      </w:r>
      <w:bookmarkEnd w:id="175"/>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176" w:name="_Toc390078256"/>
      <w:r>
        <w:rPr>
          <w:rStyle w:val="CharSectno"/>
        </w:rPr>
        <w:t>93R</w:t>
      </w:r>
      <w:r>
        <w:t>.</w:t>
      </w:r>
      <w:r>
        <w:tab/>
        <w:t>Special provisions about specified industrial diseases</w:t>
      </w:r>
      <w:bookmarkEnd w:id="176"/>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177" w:name="_Toc390078257"/>
      <w:r>
        <w:rPr>
          <w:rStyle w:val="CharSectno"/>
        </w:rPr>
        <w:t>93S</w:t>
      </w:r>
      <w:r>
        <w:t>.</w:t>
      </w:r>
      <w:r>
        <w:tab/>
        <w:t>Regulations</w:t>
      </w:r>
      <w:bookmarkEnd w:id="177"/>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8" w:name="_Toc390078258"/>
      <w:r>
        <w:rPr>
          <w:rStyle w:val="CharPartNo"/>
        </w:rPr>
        <w:t>Part V </w:t>
      </w:r>
      <w:r>
        <w:t>—</w:t>
      </w:r>
      <w:r>
        <w:rPr>
          <w:b w:val="0"/>
        </w:rPr>
        <w:t> </w:t>
      </w:r>
      <w:r>
        <w:rPr>
          <w:rStyle w:val="CharPartText"/>
        </w:rPr>
        <w:t>WorkCover Western Australia Authority</w:t>
      </w:r>
      <w:bookmarkEnd w:id="178"/>
    </w:p>
    <w:p>
      <w:pPr>
        <w:pStyle w:val="Footnoteheading"/>
        <w:rPr>
          <w:snapToGrid w:val="0"/>
        </w:rPr>
      </w:pPr>
      <w:r>
        <w:rPr>
          <w:snapToGrid w:val="0"/>
        </w:rPr>
        <w:tab/>
        <w:t>[Heading inserted by No. 42 of 2004 s. 80.]</w:t>
      </w:r>
    </w:p>
    <w:p>
      <w:pPr>
        <w:pStyle w:val="Heading3"/>
        <w:spacing w:before="160"/>
        <w:rPr>
          <w:snapToGrid w:val="0"/>
        </w:rPr>
      </w:pPr>
      <w:bookmarkStart w:id="179" w:name="_Toc390078259"/>
      <w:r>
        <w:rPr>
          <w:rStyle w:val="CharDivNo"/>
        </w:rPr>
        <w:t>Division 1</w:t>
      </w:r>
      <w:r>
        <w:rPr>
          <w:snapToGrid w:val="0"/>
        </w:rPr>
        <w:t> — </w:t>
      </w:r>
      <w:r>
        <w:rPr>
          <w:rStyle w:val="CharDivText"/>
        </w:rPr>
        <w:t>Constitution, purposes, and powers</w:t>
      </w:r>
      <w:bookmarkEnd w:id="179"/>
      <w:r>
        <w:rPr>
          <w:rStyle w:val="CharDivText"/>
        </w:rPr>
        <w:t xml:space="preserve"> </w:t>
      </w:r>
    </w:p>
    <w:p>
      <w:pPr>
        <w:pStyle w:val="Heading5"/>
        <w:spacing w:before="160"/>
        <w:rPr>
          <w:snapToGrid w:val="0"/>
        </w:rPr>
      </w:pPr>
      <w:bookmarkStart w:id="180" w:name="_Toc390078260"/>
      <w:r>
        <w:rPr>
          <w:rStyle w:val="CharSectno"/>
        </w:rPr>
        <w:t>94</w:t>
      </w:r>
      <w:r>
        <w:rPr>
          <w:snapToGrid w:val="0"/>
        </w:rPr>
        <w:t>.</w:t>
      </w:r>
      <w:r>
        <w:rPr>
          <w:snapToGrid w:val="0"/>
        </w:rPr>
        <w:tab/>
        <w:t>WorkCover Western Australia Authority</w:t>
      </w:r>
      <w:bookmarkEnd w:id="180"/>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spacing w:before="80"/>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spacing w:before="80"/>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spacing w:before="80"/>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spacing w:before="80"/>
        <w:ind w:left="890" w:hanging="890"/>
      </w:pPr>
      <w:r>
        <w:tab/>
        <w:t xml:space="preserve">[Section 94 amended by No. 86 of 1986 s. 8; No. 48 of 1993 s. 40; No. 42 of 2004 s. 81 and 150.] </w:t>
      </w:r>
    </w:p>
    <w:p>
      <w:pPr>
        <w:pStyle w:val="Heading5"/>
      </w:pPr>
      <w:bookmarkStart w:id="181" w:name="_Toc390078261"/>
      <w:r>
        <w:rPr>
          <w:rStyle w:val="CharSectno"/>
        </w:rPr>
        <w:t>95</w:t>
      </w:r>
      <w:r>
        <w:t>.</w:t>
      </w:r>
      <w:r>
        <w:tab/>
        <w:t>WorkCover WA’s governing body</w:t>
      </w:r>
      <w:bookmarkEnd w:id="181"/>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spacing w:before="200"/>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spacing w:before="200"/>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82" w:name="_Toc390078262"/>
      <w:r>
        <w:rPr>
          <w:rStyle w:val="CharSectno"/>
        </w:rPr>
        <w:t>96</w:t>
      </w:r>
      <w:r>
        <w:rPr>
          <w:snapToGrid w:val="0"/>
        </w:rPr>
        <w:t>.</w:t>
      </w:r>
      <w:r>
        <w:rPr>
          <w:snapToGrid w:val="0"/>
        </w:rPr>
        <w:tab/>
        <w:t>Term of office</w:t>
      </w:r>
      <w:bookmarkEnd w:id="182"/>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spacing w:before="80"/>
        <w:rPr>
          <w:snapToGrid w:val="0"/>
        </w:rPr>
      </w:pPr>
      <w:r>
        <w:rPr>
          <w:snapToGrid w:val="0"/>
        </w:rPr>
        <w:tab/>
        <w:t>(2)</w:t>
      </w:r>
      <w:r>
        <w:rPr>
          <w:snapToGrid w:val="0"/>
        </w:rPr>
        <w:tab/>
        <w:t>The Minister on such terms as he thinks fit may grant leave of absence to a nominee member.</w:t>
      </w:r>
    </w:p>
    <w:p>
      <w:pPr>
        <w:pStyle w:val="Subsection"/>
        <w:spacing w:before="80"/>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spacing w:before="80"/>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spacing w:before="80"/>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spacing w:before="80"/>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spacing w:before="160"/>
        <w:rPr>
          <w:snapToGrid w:val="0"/>
        </w:rPr>
      </w:pPr>
      <w:bookmarkStart w:id="183" w:name="_Toc390078263"/>
      <w:r>
        <w:rPr>
          <w:rStyle w:val="CharSectno"/>
        </w:rPr>
        <w:t>97</w:t>
      </w:r>
      <w:r>
        <w:rPr>
          <w:snapToGrid w:val="0"/>
        </w:rPr>
        <w:t>.</w:t>
      </w:r>
      <w:r>
        <w:rPr>
          <w:snapToGrid w:val="0"/>
        </w:rPr>
        <w:tab/>
        <w:t>Meetings</w:t>
      </w:r>
      <w:bookmarkEnd w:id="183"/>
      <w:r>
        <w:rPr>
          <w:snapToGrid w:val="0"/>
        </w:rPr>
        <w:t xml:space="preserve"> </w:t>
      </w:r>
    </w:p>
    <w:p>
      <w:pPr>
        <w:pStyle w:val="Subsection"/>
        <w:spacing w:before="80"/>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spacing w:before="80"/>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spacing w:before="80"/>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spacing w:before="80"/>
        <w:rPr>
          <w:snapToGrid w:val="0"/>
        </w:rPr>
      </w:pPr>
      <w:r>
        <w:rPr>
          <w:snapToGrid w:val="0"/>
        </w:rPr>
        <w:tab/>
        <w:t>(4)</w:t>
      </w:r>
      <w:r>
        <w:rPr>
          <w:snapToGrid w:val="0"/>
        </w:rPr>
        <w:tab/>
        <w:t>Any question arising at a meeting is to be decided by a majority of the members present and voting.</w:t>
      </w:r>
    </w:p>
    <w:p>
      <w:pPr>
        <w:pStyle w:val="Subsection"/>
        <w:spacing w:before="80"/>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84" w:name="_Toc390078264"/>
      <w:r>
        <w:rPr>
          <w:rStyle w:val="CharSectno"/>
        </w:rPr>
        <w:t>98</w:t>
      </w:r>
      <w:r>
        <w:rPr>
          <w:snapToGrid w:val="0"/>
        </w:rPr>
        <w:t>.</w:t>
      </w:r>
      <w:r>
        <w:rPr>
          <w:snapToGrid w:val="0"/>
        </w:rPr>
        <w:tab/>
        <w:t>Defects not to invalidate proceedings</w:t>
      </w:r>
      <w:bookmarkEnd w:id="184"/>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85" w:name="_Toc390078265"/>
      <w:r>
        <w:rPr>
          <w:rStyle w:val="CharSectno"/>
        </w:rPr>
        <w:t>99.</w:t>
      </w:r>
      <w:r>
        <w:rPr>
          <w:rStyle w:val="CharSectno"/>
        </w:rPr>
        <w:tab/>
      </w:r>
      <w:r>
        <w:rPr>
          <w:snapToGrid w:val="0"/>
        </w:rPr>
        <w:t>Conditions of appointment</w:t>
      </w:r>
      <w:bookmarkEnd w:id="185"/>
      <w:r>
        <w:rPr>
          <w:snapToGrid w:val="0"/>
        </w:rPr>
        <w:t xml:space="preserve"> </w:t>
      </w:r>
    </w:p>
    <w:p>
      <w:pPr>
        <w:pStyle w:val="Subsection"/>
        <w:spacing w:before="80"/>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spacing w:before="80"/>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spacing w:before="120"/>
        <w:rPr>
          <w:snapToGrid w:val="0"/>
        </w:rPr>
      </w:pPr>
      <w:bookmarkStart w:id="186" w:name="_Toc390078266"/>
      <w:r>
        <w:rPr>
          <w:rStyle w:val="CharSectno"/>
        </w:rPr>
        <w:t>100</w:t>
      </w:r>
      <w:r>
        <w:rPr>
          <w:snapToGrid w:val="0"/>
        </w:rPr>
        <w:t>.</w:t>
      </w:r>
      <w:r>
        <w:rPr>
          <w:snapToGrid w:val="0"/>
        </w:rPr>
        <w:tab/>
        <w:t>Functions of WorkCover WA</w:t>
      </w:r>
      <w:bookmarkEnd w:id="186"/>
      <w:r>
        <w:rPr>
          <w:snapToGrid w:val="0"/>
        </w:rPr>
        <w:t xml:space="preserve"> </w:t>
      </w:r>
    </w:p>
    <w:p>
      <w:pPr>
        <w:pStyle w:val="Subsection"/>
        <w:spacing w:before="100"/>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 17.] </w:t>
      </w:r>
    </w:p>
    <w:p>
      <w:pPr>
        <w:pStyle w:val="Heading5"/>
        <w:spacing w:before="120"/>
        <w:rPr>
          <w:snapToGrid w:val="0"/>
        </w:rPr>
      </w:pPr>
      <w:bookmarkStart w:id="187" w:name="_Toc390078267"/>
      <w:r>
        <w:rPr>
          <w:rStyle w:val="CharSectno"/>
        </w:rPr>
        <w:t>100A</w:t>
      </w:r>
      <w:r>
        <w:rPr>
          <w:snapToGrid w:val="0"/>
        </w:rPr>
        <w:t>.</w:t>
      </w:r>
      <w:r>
        <w:rPr>
          <w:snapToGrid w:val="0"/>
        </w:rPr>
        <w:tab/>
        <w:t>Advisory committees</w:t>
      </w:r>
      <w:bookmarkEnd w:id="187"/>
      <w:r>
        <w:rPr>
          <w:snapToGrid w:val="0"/>
        </w:rPr>
        <w:t xml:space="preserve"> </w:t>
      </w:r>
    </w:p>
    <w:p>
      <w:pPr>
        <w:pStyle w:val="Subsection"/>
        <w:spacing w:before="10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0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0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0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spacing w:before="10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0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 17.] </w:t>
      </w:r>
    </w:p>
    <w:p>
      <w:pPr>
        <w:pStyle w:val="Heading5"/>
      </w:pPr>
      <w:bookmarkStart w:id="188" w:name="_Toc390078268"/>
      <w:r>
        <w:rPr>
          <w:rStyle w:val="CharSectno"/>
        </w:rPr>
        <w:t>100B</w:t>
      </w:r>
      <w:r>
        <w:t>.</w:t>
      </w:r>
      <w:r>
        <w:tab/>
        <w:t>Disclosure of information</w:t>
      </w:r>
      <w:bookmarkEnd w:id="188"/>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spacing w:before="120"/>
        <w:rPr>
          <w:snapToGrid w:val="0"/>
        </w:rPr>
      </w:pPr>
      <w:bookmarkStart w:id="189" w:name="_Toc390078269"/>
      <w:r>
        <w:rPr>
          <w:rStyle w:val="CharSectno"/>
        </w:rPr>
        <w:t>101</w:t>
      </w:r>
      <w:r>
        <w:rPr>
          <w:snapToGrid w:val="0"/>
        </w:rPr>
        <w:t>.</w:t>
      </w:r>
      <w:r>
        <w:rPr>
          <w:snapToGrid w:val="0"/>
        </w:rPr>
        <w:tab/>
        <w:t>Powers</w:t>
      </w:r>
      <w:bookmarkEnd w:id="189"/>
      <w:r>
        <w:rPr>
          <w:snapToGrid w:val="0"/>
        </w:rPr>
        <w:t xml:space="preserve"> </w:t>
      </w:r>
    </w:p>
    <w:p>
      <w:pPr>
        <w:pStyle w:val="Subsection"/>
        <w:spacing w:before="100"/>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spacing w:before="60"/>
        <w:rPr>
          <w:snapToGrid w:val="0"/>
        </w:rPr>
      </w:pPr>
      <w:r>
        <w:rPr>
          <w:snapToGrid w:val="0"/>
        </w:rPr>
        <w:tab/>
        <w:t>(aa)</w:t>
      </w:r>
      <w:r>
        <w:rPr>
          <w:snapToGrid w:val="0"/>
        </w:rPr>
        <w:tab/>
        <w:t>to charge for the provision of any service that it makes available such fees as it determines;</w:t>
      </w:r>
    </w:p>
    <w:p>
      <w:pPr>
        <w:pStyle w:val="Indenta"/>
        <w:spacing w:before="60"/>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spacing w:before="60"/>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spacing w:before="60"/>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spacing w:before="60"/>
        <w:rPr>
          <w:snapToGrid w:val="0"/>
        </w:rPr>
      </w:pPr>
      <w:r>
        <w:rPr>
          <w:snapToGrid w:val="0"/>
        </w:rPr>
        <w:tab/>
        <w:t>(cb)</w:t>
      </w:r>
      <w:r>
        <w:rPr>
          <w:snapToGrid w:val="0"/>
        </w:rPr>
        <w:tab/>
        <w:t>to improve, develop or alter real property;</w:t>
      </w:r>
    </w:p>
    <w:p>
      <w:pPr>
        <w:pStyle w:val="Indenta"/>
        <w:spacing w:before="60"/>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spacing w:before="60"/>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spacing w:before="80"/>
        <w:ind w:left="890" w:hanging="890"/>
      </w:pPr>
      <w:r>
        <w:tab/>
        <w:t xml:space="preserve">[Section 101 amended by No. 104 of 1984 s. 4; No. 86 of 1986 s. 5; No. 96 of 1990 s. 23; No. 34 of 1999 s. 34; No. 42 of 2004 s. 90 and 150; No. 77 of 2006 s. 17.] </w:t>
      </w:r>
    </w:p>
    <w:p>
      <w:pPr>
        <w:pStyle w:val="Heading5"/>
        <w:spacing w:before="120"/>
      </w:pPr>
      <w:bookmarkStart w:id="190" w:name="_Toc390078270"/>
      <w:r>
        <w:rPr>
          <w:rStyle w:val="CharSectno"/>
        </w:rPr>
        <w:t>101AA</w:t>
      </w:r>
      <w:r>
        <w:t>.</w:t>
      </w:r>
      <w:r>
        <w:tab/>
        <w:t>Delegation by WorkCover WA</w:t>
      </w:r>
      <w:bookmarkEnd w:id="190"/>
    </w:p>
    <w:p>
      <w:pPr>
        <w:pStyle w:val="Subsection"/>
        <w:spacing w:before="100"/>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91" w:name="_Toc390078271"/>
      <w:r>
        <w:rPr>
          <w:rStyle w:val="CharSectno"/>
        </w:rPr>
        <w:t>101A</w:t>
      </w:r>
      <w:r>
        <w:rPr>
          <w:snapToGrid w:val="0"/>
        </w:rPr>
        <w:t>.</w:t>
      </w:r>
      <w:r>
        <w:rPr>
          <w:snapToGrid w:val="0"/>
        </w:rPr>
        <w:tab/>
        <w:t xml:space="preserve">Borrowings by </w:t>
      </w:r>
      <w:r>
        <w:t>WorkCover WA</w:t>
      </w:r>
      <w:bookmarkEnd w:id="191"/>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92" w:name="_Toc390078272"/>
      <w:r>
        <w:rPr>
          <w:rStyle w:val="CharSectno"/>
        </w:rPr>
        <w:t>101B</w:t>
      </w:r>
      <w:r>
        <w:rPr>
          <w:snapToGrid w:val="0"/>
        </w:rPr>
        <w:t>.</w:t>
      </w:r>
      <w:r>
        <w:rPr>
          <w:snapToGrid w:val="0"/>
        </w:rPr>
        <w:tab/>
        <w:t>Guarantees of borrowings</w:t>
      </w:r>
      <w:bookmarkEnd w:id="192"/>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93" w:name="_Toc390078273"/>
      <w:r>
        <w:rPr>
          <w:rStyle w:val="CharSectno"/>
        </w:rPr>
        <w:t>102</w:t>
      </w:r>
      <w:r>
        <w:rPr>
          <w:snapToGrid w:val="0"/>
        </w:rPr>
        <w:t>.</w:t>
      </w:r>
      <w:r>
        <w:rPr>
          <w:snapToGrid w:val="0"/>
        </w:rPr>
        <w:tab/>
        <w:t>Limitation on powers</w:t>
      </w:r>
      <w:bookmarkEnd w:id="193"/>
      <w:r>
        <w:rPr>
          <w:snapToGrid w:val="0"/>
        </w:rPr>
        <w:t xml:space="preserve"> </w:t>
      </w:r>
    </w:p>
    <w:p>
      <w:pPr>
        <w:pStyle w:val="Subsection"/>
        <w:spacing w:before="200"/>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ind w:left="890" w:hanging="890"/>
        <w:outlineLvl w:val="9"/>
      </w:pPr>
      <w:r>
        <w:t>[</w:t>
      </w:r>
      <w:r>
        <w:rPr>
          <w:b/>
        </w:rPr>
        <w:t>103.</w:t>
      </w:r>
      <w:r>
        <w:rPr>
          <w:b/>
        </w:rPr>
        <w:tab/>
      </w:r>
      <w:r>
        <w:t>Repealed by No. 34 of 1999 s. 35.]</w:t>
      </w:r>
    </w:p>
    <w:p>
      <w:pPr>
        <w:pStyle w:val="Heading5"/>
        <w:spacing w:before="260"/>
        <w:rPr>
          <w:snapToGrid w:val="0"/>
        </w:rPr>
      </w:pPr>
      <w:bookmarkStart w:id="194" w:name="_Toc390078274"/>
      <w:r>
        <w:rPr>
          <w:rStyle w:val="CharSectno"/>
        </w:rPr>
        <w:t>103A</w:t>
      </w:r>
      <w:r>
        <w:rPr>
          <w:snapToGrid w:val="0"/>
        </w:rPr>
        <w:t>.</w:t>
      </w:r>
      <w:r>
        <w:rPr>
          <w:snapToGrid w:val="0"/>
        </w:rPr>
        <w:tab/>
        <w:t>Returns</w:t>
      </w:r>
      <w:bookmarkEnd w:id="194"/>
      <w:r>
        <w:rPr>
          <w:snapToGrid w:val="0"/>
        </w:rPr>
        <w:t xml:space="preserve"> </w:t>
      </w:r>
    </w:p>
    <w:p>
      <w:pPr>
        <w:pStyle w:val="Subsection"/>
        <w:spacing w:before="200"/>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95" w:name="_Toc390078275"/>
      <w:r>
        <w:rPr>
          <w:rStyle w:val="CharSectno"/>
        </w:rPr>
        <w:t>104</w:t>
      </w:r>
      <w:r>
        <w:rPr>
          <w:snapToGrid w:val="0"/>
        </w:rPr>
        <w:t>.</w:t>
      </w:r>
      <w:r>
        <w:rPr>
          <w:snapToGrid w:val="0"/>
        </w:rPr>
        <w:tab/>
        <w:t>Publishing and furnishing information</w:t>
      </w:r>
      <w:bookmarkEnd w:id="195"/>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6" w:name="_Toc390078276"/>
      <w:r>
        <w:rPr>
          <w:rStyle w:val="CharDivNo"/>
        </w:rPr>
        <w:t>Division 1AA</w:t>
      </w:r>
      <w:r>
        <w:t> — </w:t>
      </w:r>
      <w:r>
        <w:rPr>
          <w:rStyle w:val="CharDivText"/>
        </w:rPr>
        <w:t>Personal interest</w:t>
      </w:r>
      <w:bookmarkEnd w:id="196"/>
    </w:p>
    <w:p>
      <w:pPr>
        <w:pStyle w:val="Footnoteheading"/>
        <w:tabs>
          <w:tab w:val="left" w:pos="851"/>
        </w:tabs>
      </w:pPr>
      <w:r>
        <w:tab/>
        <w:t>[Heading inserted by No. 42 of 2004 s. 95.]</w:t>
      </w:r>
    </w:p>
    <w:p>
      <w:pPr>
        <w:pStyle w:val="Heading5"/>
        <w:rPr>
          <w:snapToGrid w:val="0"/>
        </w:rPr>
      </w:pPr>
      <w:bookmarkStart w:id="197" w:name="_Toc390078277"/>
      <w:r>
        <w:rPr>
          <w:rStyle w:val="CharSectno"/>
        </w:rPr>
        <w:t>104AA</w:t>
      </w:r>
      <w:r>
        <w:t>.</w:t>
      </w:r>
      <w:r>
        <w:tab/>
        <w:t>D</w:t>
      </w:r>
      <w:r>
        <w:rPr>
          <w:snapToGrid w:val="0"/>
        </w:rPr>
        <w:t>isclosure of interests</w:t>
      </w:r>
      <w:bookmarkEnd w:id="197"/>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198" w:name="_Toc390078278"/>
      <w:r>
        <w:rPr>
          <w:rStyle w:val="CharSectno"/>
        </w:rPr>
        <w:t>104AB</w:t>
      </w:r>
      <w:r>
        <w:rPr>
          <w:snapToGrid w:val="0"/>
        </w:rPr>
        <w:t>.</w:t>
      </w:r>
      <w:r>
        <w:rPr>
          <w:snapToGrid w:val="0"/>
        </w:rPr>
        <w:tab/>
        <w:t>Exclusion of interested member</w:t>
      </w:r>
      <w:bookmarkEnd w:id="198"/>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199" w:name="_Toc390078279"/>
      <w:r>
        <w:rPr>
          <w:rStyle w:val="CharSectno"/>
        </w:rPr>
        <w:t>104AC</w:t>
      </w:r>
      <w:r>
        <w:rPr>
          <w:snapToGrid w:val="0"/>
        </w:rPr>
        <w:t>.</w:t>
      </w:r>
      <w:r>
        <w:rPr>
          <w:snapToGrid w:val="0"/>
        </w:rPr>
        <w:tab/>
        <w:t>Resolution that section 104AB inapplicable</w:t>
      </w:r>
      <w:bookmarkEnd w:id="199"/>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00" w:name="_Toc390078280"/>
      <w:r>
        <w:rPr>
          <w:rStyle w:val="CharSectno"/>
        </w:rPr>
        <w:t>104AD</w:t>
      </w:r>
      <w:r>
        <w:rPr>
          <w:snapToGrid w:val="0"/>
        </w:rPr>
        <w:t>.</w:t>
      </w:r>
      <w:r>
        <w:rPr>
          <w:snapToGrid w:val="0"/>
        </w:rPr>
        <w:tab/>
        <w:t>Quorum where section 104AB applies</w:t>
      </w:r>
      <w:bookmarkEnd w:id="200"/>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rPr>
          <w:snapToGrid w:val="0"/>
        </w:rPr>
      </w:pPr>
      <w:bookmarkStart w:id="201" w:name="_Toc390078281"/>
      <w:r>
        <w:rPr>
          <w:rStyle w:val="CharSectno"/>
        </w:rPr>
        <w:t>104AE</w:t>
      </w:r>
      <w:r>
        <w:rPr>
          <w:snapToGrid w:val="0"/>
        </w:rPr>
        <w:t>.</w:t>
      </w:r>
      <w:r>
        <w:rPr>
          <w:snapToGrid w:val="0"/>
        </w:rPr>
        <w:tab/>
        <w:t>Minister may declare sections 104AB and 104AD inapplicable</w:t>
      </w:r>
      <w:bookmarkEnd w:id="201"/>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repealed by No. 42 of 2004 s. 96.]</w:t>
      </w:r>
    </w:p>
    <w:p>
      <w:pPr>
        <w:pStyle w:val="Heading3"/>
        <w:rPr>
          <w:snapToGrid w:val="0"/>
        </w:rPr>
      </w:pPr>
      <w:bookmarkStart w:id="202" w:name="_Toc390078282"/>
      <w:r>
        <w:rPr>
          <w:rStyle w:val="CharDivNo"/>
        </w:rPr>
        <w:t>Division 2</w:t>
      </w:r>
      <w:r>
        <w:rPr>
          <w:snapToGrid w:val="0"/>
        </w:rPr>
        <w:t> — </w:t>
      </w:r>
      <w:r>
        <w:rPr>
          <w:rStyle w:val="CharDivText"/>
        </w:rPr>
        <w:t>Accounts and audit</w:t>
      </w:r>
      <w:bookmarkEnd w:id="202"/>
      <w:r>
        <w:rPr>
          <w:rStyle w:val="CharDivText"/>
        </w:rPr>
        <w:t xml:space="preserve"> </w:t>
      </w:r>
    </w:p>
    <w:p>
      <w:pPr>
        <w:pStyle w:val="Heading5"/>
        <w:spacing w:before="160"/>
        <w:rPr>
          <w:snapToGrid w:val="0"/>
        </w:rPr>
      </w:pPr>
      <w:bookmarkStart w:id="203" w:name="_Toc390078283"/>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03"/>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 17 .] </w:t>
      </w:r>
    </w:p>
    <w:p>
      <w:pPr>
        <w:pStyle w:val="Heading3"/>
        <w:rPr>
          <w:snapToGrid w:val="0"/>
        </w:rPr>
      </w:pPr>
      <w:bookmarkStart w:id="204" w:name="_Toc390078284"/>
      <w:r>
        <w:rPr>
          <w:rStyle w:val="CharDivNo"/>
        </w:rPr>
        <w:t>Division 3</w:t>
      </w:r>
      <w:r>
        <w:rPr>
          <w:snapToGrid w:val="0"/>
        </w:rPr>
        <w:t> — </w:t>
      </w:r>
      <w:r>
        <w:rPr>
          <w:rStyle w:val="CharDivText"/>
        </w:rPr>
        <w:t>Workers’ Compensation and Injury Management General Fund</w:t>
      </w:r>
      <w:bookmarkEnd w:id="204"/>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205" w:name="_Toc390078285"/>
      <w:r>
        <w:rPr>
          <w:rStyle w:val="CharSectno"/>
        </w:rPr>
        <w:t>106</w:t>
      </w:r>
      <w:r>
        <w:rPr>
          <w:snapToGrid w:val="0"/>
        </w:rPr>
        <w:t>.</w:t>
      </w:r>
      <w:r>
        <w:rPr>
          <w:snapToGrid w:val="0"/>
        </w:rPr>
        <w:tab/>
        <w:t xml:space="preserve">General </w:t>
      </w:r>
      <w:r>
        <w:t>Account</w:t>
      </w:r>
      <w:bookmarkEnd w:id="205"/>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Fund</w:t>
      </w:r>
      <w:r>
        <w:rPr>
          <w:snapToGrid w:val="0"/>
        </w:rPr>
        <w:t xml:space="preserve"> under section 6A(1) of the </w:t>
      </w:r>
      <w:r>
        <w:rPr>
          <w:i/>
          <w:snapToGrid w:val="0"/>
        </w:rPr>
        <w:t>Employers’ Indemnity Supplementation Fund Act 1980</w:t>
      </w:r>
      <w:r>
        <w:rPr>
          <w:snapToGrid w:val="0"/>
        </w:rPr>
        <w:t>.</w:t>
      </w:r>
    </w:p>
    <w:p>
      <w:pPr>
        <w:pStyle w:val="Subsection"/>
        <w:spacing w:before="120"/>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spacing w:before="60"/>
      </w:pPr>
      <w:r>
        <w:tab/>
        <w:t>(a)</w:t>
      </w:r>
      <w:r>
        <w:tab/>
      </w:r>
      <w:r>
        <w:rPr>
          <w:snapToGrid w:val="0"/>
        </w:rPr>
        <w:t>all moneys required for the remuneration and allowances of members of the governing body of WorkCover WA and of WorkCover WA’s staff;</w:t>
      </w:r>
    </w:p>
    <w:p>
      <w:pPr>
        <w:pStyle w:val="Indenta"/>
        <w:spacing w:before="60"/>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spacing w:before="60"/>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spacing w:before="60"/>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 17.] </w:t>
      </w:r>
    </w:p>
    <w:p>
      <w:pPr>
        <w:pStyle w:val="Heading5"/>
        <w:keepNext w:val="0"/>
        <w:keepLines w:val="0"/>
        <w:rPr>
          <w:snapToGrid w:val="0"/>
        </w:rPr>
      </w:pPr>
      <w:bookmarkStart w:id="206" w:name="_Toc390078286"/>
      <w:r>
        <w:rPr>
          <w:rStyle w:val="CharSectno"/>
        </w:rPr>
        <w:t>107</w:t>
      </w:r>
      <w:r>
        <w:rPr>
          <w:snapToGrid w:val="0"/>
        </w:rPr>
        <w:t>.</w:t>
      </w:r>
      <w:r>
        <w:rPr>
          <w:snapToGrid w:val="0"/>
        </w:rPr>
        <w:tab/>
        <w:t>Estimates</w:t>
      </w:r>
      <w:bookmarkEnd w:id="206"/>
      <w:r>
        <w:rPr>
          <w:snapToGrid w:val="0"/>
        </w:rPr>
        <w:t xml:space="preserve"> </w:t>
      </w:r>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 17.] </w:t>
      </w:r>
    </w:p>
    <w:p>
      <w:pPr>
        <w:pStyle w:val="Heading5"/>
        <w:rPr>
          <w:snapToGrid w:val="0"/>
        </w:rPr>
      </w:pPr>
      <w:bookmarkStart w:id="207" w:name="_Toc390078287"/>
      <w:r>
        <w:rPr>
          <w:rStyle w:val="CharSectno"/>
        </w:rPr>
        <w:t>108</w:t>
      </w:r>
      <w:r>
        <w:rPr>
          <w:snapToGrid w:val="0"/>
        </w:rPr>
        <w:t>.</w:t>
      </w:r>
      <w:r>
        <w:rPr>
          <w:snapToGrid w:val="0"/>
        </w:rPr>
        <w:tab/>
        <w:t>Total contributions</w:t>
      </w:r>
      <w:bookmarkEnd w:id="207"/>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 17.]</w:t>
      </w:r>
    </w:p>
    <w:p>
      <w:pPr>
        <w:pStyle w:val="Heading5"/>
        <w:rPr>
          <w:snapToGrid w:val="0"/>
        </w:rPr>
      </w:pPr>
      <w:bookmarkStart w:id="208" w:name="_Toc390078288"/>
      <w:r>
        <w:rPr>
          <w:rStyle w:val="CharSectno"/>
        </w:rPr>
        <w:t>109</w:t>
      </w:r>
      <w:r>
        <w:rPr>
          <w:snapToGrid w:val="0"/>
        </w:rPr>
        <w:t>.</w:t>
      </w:r>
      <w:r>
        <w:rPr>
          <w:snapToGrid w:val="0"/>
        </w:rPr>
        <w:tab/>
        <w:t xml:space="preserve">Contributions to General </w:t>
      </w:r>
      <w:r>
        <w:t>Account</w:t>
      </w:r>
      <w:r>
        <w:rPr>
          <w:snapToGrid w:val="0"/>
        </w:rPr>
        <w:t xml:space="preserve"> by insurers</w:t>
      </w:r>
      <w:bookmarkEnd w:id="208"/>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spacing w:before="200"/>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spacing w:before="200"/>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spacing w:before="200"/>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spacing w:before="120"/>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spacing w:before="120"/>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spacing w:before="100"/>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 17.] </w:t>
      </w:r>
    </w:p>
    <w:p>
      <w:pPr>
        <w:pStyle w:val="Heading3"/>
        <w:spacing w:before="120"/>
        <w:rPr>
          <w:snapToGrid w:val="0"/>
        </w:rPr>
      </w:pPr>
      <w:bookmarkStart w:id="209" w:name="_Toc390078289"/>
      <w:r>
        <w:rPr>
          <w:rStyle w:val="CharDivNo"/>
        </w:rPr>
        <w:t>Division 4</w:t>
      </w:r>
      <w:r>
        <w:rPr>
          <w:snapToGrid w:val="0"/>
        </w:rPr>
        <w:t> — </w:t>
      </w:r>
      <w:r>
        <w:rPr>
          <w:rStyle w:val="CharDivText"/>
        </w:rPr>
        <w:t>Workers’ Compensation and Injury Management Trust Fund</w:t>
      </w:r>
      <w:bookmarkEnd w:id="209"/>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spacing w:before="120"/>
        <w:rPr>
          <w:snapToGrid w:val="0"/>
        </w:rPr>
      </w:pPr>
      <w:bookmarkStart w:id="210" w:name="_Toc390078290"/>
      <w:r>
        <w:rPr>
          <w:rStyle w:val="CharSectno"/>
        </w:rPr>
        <w:t>110</w:t>
      </w:r>
      <w:r>
        <w:rPr>
          <w:snapToGrid w:val="0"/>
        </w:rPr>
        <w:t>.</w:t>
      </w:r>
      <w:r>
        <w:rPr>
          <w:snapToGrid w:val="0"/>
        </w:rPr>
        <w:tab/>
        <w:t xml:space="preserve">Trust </w:t>
      </w:r>
      <w:r>
        <w:t>Account</w:t>
      </w:r>
      <w:bookmarkEnd w:id="210"/>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 17.] </w:t>
      </w:r>
    </w:p>
    <w:p>
      <w:pPr>
        <w:pStyle w:val="Heading3"/>
        <w:rPr>
          <w:snapToGrid w:val="0"/>
        </w:rPr>
      </w:pPr>
      <w:bookmarkStart w:id="211" w:name="_Toc390078291"/>
      <w:r>
        <w:rPr>
          <w:rStyle w:val="CharDivNo"/>
        </w:rPr>
        <w:t>Division 5</w:t>
      </w:r>
      <w:r>
        <w:rPr>
          <w:snapToGrid w:val="0"/>
        </w:rPr>
        <w:t> — </w:t>
      </w:r>
      <w:r>
        <w:rPr>
          <w:rStyle w:val="CharDivText"/>
        </w:rPr>
        <w:t>Ministerial control</w:t>
      </w:r>
      <w:bookmarkEnd w:id="211"/>
      <w:r>
        <w:rPr>
          <w:rStyle w:val="CharDivText"/>
        </w:rPr>
        <w:t xml:space="preserve"> </w:t>
      </w:r>
    </w:p>
    <w:p>
      <w:pPr>
        <w:pStyle w:val="Heading5"/>
        <w:rPr>
          <w:snapToGrid w:val="0"/>
        </w:rPr>
      </w:pPr>
      <w:bookmarkStart w:id="212" w:name="_Toc390078292"/>
      <w:r>
        <w:rPr>
          <w:rStyle w:val="CharSectno"/>
        </w:rPr>
        <w:t>111</w:t>
      </w:r>
      <w:r>
        <w:rPr>
          <w:snapToGrid w:val="0"/>
        </w:rPr>
        <w:t>.</w:t>
      </w:r>
      <w:r>
        <w:rPr>
          <w:snapToGrid w:val="0"/>
        </w:rPr>
        <w:tab/>
        <w:t>Minister may give directions</w:t>
      </w:r>
      <w:bookmarkEnd w:id="212"/>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 17.] </w:t>
      </w:r>
    </w:p>
    <w:p>
      <w:pPr>
        <w:pStyle w:val="Heading5"/>
        <w:spacing w:before="160"/>
        <w:rPr>
          <w:snapToGrid w:val="0"/>
        </w:rPr>
      </w:pPr>
      <w:bookmarkStart w:id="213" w:name="_Toc390078293"/>
      <w:r>
        <w:rPr>
          <w:rStyle w:val="CharSectno"/>
        </w:rPr>
        <w:t>111A</w:t>
      </w:r>
      <w:r>
        <w:rPr>
          <w:snapToGrid w:val="0"/>
        </w:rPr>
        <w:t>.</w:t>
      </w:r>
      <w:r>
        <w:rPr>
          <w:snapToGrid w:val="0"/>
        </w:rPr>
        <w:tab/>
        <w:t>Minister to have access to information</w:t>
      </w:r>
      <w:bookmarkEnd w:id="213"/>
      <w:r>
        <w:rPr>
          <w:snapToGrid w:val="0"/>
        </w:rPr>
        <w:t xml:space="preserve"> </w:t>
      </w:r>
    </w:p>
    <w:p>
      <w:pPr>
        <w:pStyle w:val="Subsection"/>
        <w:spacing w:before="8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8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spacing w:before="80"/>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spacing w:before="80"/>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WorkCover WA;</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repealed by No. 42 of 2004 s. 103;</w:t>
      </w:r>
      <w:r>
        <w:br/>
        <w:t>s. 121</w:t>
      </w:r>
      <w:r>
        <w:noBreakHyphen/>
        <w:t>144 repealed by No. 48 of 1993 s. 24.]</w:t>
      </w:r>
    </w:p>
    <w:p>
      <w:pPr>
        <w:pStyle w:val="Heading2"/>
      </w:pPr>
      <w:bookmarkStart w:id="214" w:name="_Toc390078294"/>
      <w:r>
        <w:rPr>
          <w:rStyle w:val="CharPartNo"/>
        </w:rPr>
        <w:t>Part VII</w:t>
      </w:r>
      <w:r>
        <w:rPr>
          <w:b w:val="0"/>
        </w:rPr>
        <w:t> </w:t>
      </w:r>
      <w:r>
        <w:t>—</w:t>
      </w:r>
      <w:r>
        <w:rPr>
          <w:b w:val="0"/>
        </w:rPr>
        <w:t> </w:t>
      </w:r>
      <w:r>
        <w:rPr>
          <w:rStyle w:val="CharPartText"/>
        </w:rPr>
        <w:t>Medical assessment and assessment for specialised retraining programs</w:t>
      </w:r>
      <w:bookmarkEnd w:id="214"/>
    </w:p>
    <w:p>
      <w:pPr>
        <w:pStyle w:val="Footnoteheading"/>
      </w:pPr>
      <w:r>
        <w:tab/>
        <w:t>[Heading inserted by No. 42 of 2004 s. 104.]</w:t>
      </w:r>
    </w:p>
    <w:p>
      <w:pPr>
        <w:pStyle w:val="Heading3"/>
      </w:pPr>
      <w:bookmarkStart w:id="215" w:name="_Toc390078295"/>
      <w:bookmarkStart w:id="216" w:name="_Toc390078653"/>
      <w:r>
        <w:rPr>
          <w:rStyle w:val="CharDivNo"/>
        </w:rPr>
        <w:t>Division 1</w:t>
      </w:r>
      <w:r>
        <w:t> — </w:t>
      </w:r>
      <w:r>
        <w:rPr>
          <w:rStyle w:val="CharDivText"/>
        </w:rPr>
        <w:t>Medical assessment panels</w:t>
      </w:r>
      <w:bookmarkEnd w:id="215"/>
      <w:bookmarkEnd w:id="216"/>
    </w:p>
    <w:p>
      <w:pPr>
        <w:pStyle w:val="Footnoteheading"/>
      </w:pPr>
      <w:r>
        <w:tab/>
        <w:t>[Heading inserted by No. 42 of 2004 s. 104.]</w:t>
      </w:r>
    </w:p>
    <w:p>
      <w:pPr>
        <w:pStyle w:val="Heading5"/>
        <w:spacing w:before="120"/>
        <w:rPr>
          <w:snapToGrid w:val="0"/>
        </w:rPr>
      </w:pPr>
      <w:bookmarkStart w:id="217" w:name="_Toc390078296"/>
      <w:bookmarkStart w:id="218" w:name="_Toc390078654"/>
      <w:r>
        <w:rPr>
          <w:rStyle w:val="CharSectno"/>
        </w:rPr>
        <w:t>145</w:t>
      </w:r>
      <w:r>
        <w:rPr>
          <w:snapToGrid w:val="0"/>
        </w:rPr>
        <w:t>.</w:t>
      </w:r>
      <w:r>
        <w:rPr>
          <w:snapToGrid w:val="0"/>
        </w:rPr>
        <w:tab/>
        <w:t>Exclusion</w:t>
      </w:r>
      <w:bookmarkEnd w:id="217"/>
      <w:bookmarkEnd w:id="218"/>
      <w:r>
        <w:rPr>
          <w:snapToGrid w:val="0"/>
        </w:rPr>
        <w:t xml:space="preserve"> </w:t>
      </w:r>
    </w:p>
    <w:p>
      <w:pPr>
        <w:pStyle w:val="Subsection"/>
        <w:spacing w:before="8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pPr>
      <w:r>
        <w:tab/>
        <w:t>[Section 145 inserted by No. 48 of 1993 s. 25.]</w:t>
      </w:r>
    </w:p>
    <w:p>
      <w:pPr>
        <w:pStyle w:val="Heading5"/>
        <w:spacing w:before="120"/>
        <w:rPr>
          <w:rStyle w:val="CharSectno"/>
        </w:rPr>
      </w:pPr>
      <w:bookmarkStart w:id="219" w:name="_Toc390078297"/>
      <w:bookmarkStart w:id="220" w:name="_Toc390078655"/>
      <w:r>
        <w:rPr>
          <w:rStyle w:val="CharSectno"/>
        </w:rPr>
        <w:t>145A.</w:t>
      </w:r>
      <w:r>
        <w:rPr>
          <w:rStyle w:val="CharSectno"/>
        </w:rPr>
        <w:tab/>
        <w:t>Questions that have to be referred</w:t>
      </w:r>
      <w:bookmarkEnd w:id="219"/>
      <w:bookmarkEnd w:id="220"/>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21" w:name="_Toc390078298"/>
      <w:bookmarkStart w:id="222" w:name="_Toc390078656"/>
      <w:r>
        <w:rPr>
          <w:rStyle w:val="CharSectno"/>
        </w:rPr>
        <w:t>145B</w:t>
      </w:r>
      <w:r>
        <w:rPr>
          <w:snapToGrid w:val="0"/>
        </w:rPr>
        <w:t>.</w:t>
      </w:r>
      <w:r>
        <w:rPr>
          <w:snapToGrid w:val="0"/>
        </w:rPr>
        <w:tab/>
        <w:t>Register for panel membership</w:t>
      </w:r>
      <w:bookmarkEnd w:id="221"/>
      <w:bookmarkEnd w:id="222"/>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23" w:name="_Toc390078299"/>
      <w:bookmarkStart w:id="224" w:name="_Toc390078657"/>
      <w:r>
        <w:rPr>
          <w:rStyle w:val="CharSectno"/>
        </w:rPr>
        <w:t>145C</w:t>
      </w:r>
      <w:r>
        <w:rPr>
          <w:snapToGrid w:val="0"/>
        </w:rPr>
        <w:t>.</w:t>
      </w:r>
      <w:r>
        <w:rPr>
          <w:snapToGrid w:val="0"/>
        </w:rPr>
        <w:tab/>
        <w:t>Panel to be constituted</w:t>
      </w:r>
      <w:bookmarkEnd w:id="223"/>
      <w:bookmarkEnd w:id="224"/>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25" w:name="_Toc390078300"/>
      <w:bookmarkStart w:id="226" w:name="_Toc390078658"/>
      <w:r>
        <w:rPr>
          <w:rStyle w:val="CharSectno"/>
        </w:rPr>
        <w:t>145D</w:t>
      </w:r>
      <w:r>
        <w:rPr>
          <w:snapToGrid w:val="0"/>
        </w:rPr>
        <w:t>.</w:t>
      </w:r>
      <w:r>
        <w:rPr>
          <w:snapToGrid w:val="0"/>
        </w:rPr>
        <w:tab/>
        <w:t>Procedures</w:t>
      </w:r>
      <w:bookmarkEnd w:id="225"/>
      <w:bookmarkEnd w:id="226"/>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27" w:name="_Toc390078301"/>
      <w:bookmarkStart w:id="228" w:name="_Toc390078659"/>
      <w:r>
        <w:rPr>
          <w:rStyle w:val="CharSectno"/>
        </w:rPr>
        <w:t>145E</w:t>
      </w:r>
      <w:r>
        <w:rPr>
          <w:snapToGrid w:val="0"/>
        </w:rPr>
        <w:t>.</w:t>
      </w:r>
      <w:r>
        <w:rPr>
          <w:snapToGrid w:val="0"/>
        </w:rPr>
        <w:tab/>
        <w:t>Determinations</w:t>
      </w:r>
      <w:bookmarkEnd w:id="227"/>
      <w:bookmarkEnd w:id="228"/>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29" w:name="_Toc390078302"/>
      <w:bookmarkStart w:id="230" w:name="_Toc390078660"/>
      <w:r>
        <w:rPr>
          <w:rStyle w:val="CharSectno"/>
        </w:rPr>
        <w:t>145F</w:t>
      </w:r>
      <w:r>
        <w:rPr>
          <w:snapToGrid w:val="0"/>
        </w:rPr>
        <w:t>.</w:t>
      </w:r>
      <w:r>
        <w:rPr>
          <w:snapToGrid w:val="0"/>
        </w:rPr>
        <w:tab/>
        <w:t>Review</w:t>
      </w:r>
      <w:bookmarkEnd w:id="229"/>
      <w:bookmarkEnd w:id="230"/>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31" w:name="_Toc390078303"/>
      <w:bookmarkStart w:id="232" w:name="_Toc390078661"/>
      <w:r>
        <w:rPr>
          <w:rStyle w:val="CharSectno"/>
        </w:rPr>
        <w:t>145G</w:t>
      </w:r>
      <w:r>
        <w:rPr>
          <w:snapToGrid w:val="0"/>
        </w:rPr>
        <w:t>.</w:t>
      </w:r>
      <w:r>
        <w:rPr>
          <w:snapToGrid w:val="0"/>
        </w:rPr>
        <w:tab/>
        <w:t>Remuneration</w:t>
      </w:r>
      <w:bookmarkEnd w:id="231"/>
      <w:bookmarkEnd w:id="232"/>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 17.]</w:t>
      </w:r>
    </w:p>
    <w:p>
      <w:pPr>
        <w:pStyle w:val="Heading3"/>
      </w:pPr>
      <w:bookmarkStart w:id="233" w:name="_Toc390078304"/>
      <w:bookmarkStart w:id="234" w:name="_Toc390078662"/>
      <w:r>
        <w:rPr>
          <w:rStyle w:val="CharDivNo"/>
        </w:rPr>
        <w:t>Division 2</w:t>
      </w:r>
      <w:r>
        <w:t> — </w:t>
      </w:r>
      <w:r>
        <w:rPr>
          <w:rStyle w:val="CharDivText"/>
        </w:rPr>
        <w:t>Assessing degree of impairment</w:t>
      </w:r>
      <w:bookmarkEnd w:id="233"/>
      <w:bookmarkEnd w:id="234"/>
    </w:p>
    <w:p>
      <w:pPr>
        <w:pStyle w:val="Footnoteheading"/>
      </w:pPr>
      <w:r>
        <w:tab/>
        <w:t>[Heading inserted by No. 42 of 2004 s. 109.]</w:t>
      </w:r>
    </w:p>
    <w:p>
      <w:pPr>
        <w:pStyle w:val="Heading5"/>
      </w:pPr>
      <w:bookmarkStart w:id="235" w:name="_Toc390078305"/>
      <w:bookmarkStart w:id="236" w:name="_Toc390078663"/>
      <w:r>
        <w:rPr>
          <w:rStyle w:val="CharSectno"/>
        </w:rPr>
        <w:t>146</w:t>
      </w:r>
      <w:r>
        <w:t>.</w:t>
      </w:r>
      <w:r>
        <w:tab/>
        <w:t>Degree of impairment</w:t>
      </w:r>
      <w:bookmarkEnd w:id="235"/>
      <w:bookmarkEnd w:id="236"/>
    </w:p>
    <w:p>
      <w:pPr>
        <w:pStyle w:val="Subsection"/>
      </w:pPr>
      <w:r>
        <w:tab/>
      </w:r>
      <w:r>
        <w:tab/>
        <w:t xml:space="preserve">In this Part — </w:t>
      </w:r>
    </w:p>
    <w:p>
      <w:pPr>
        <w:pStyle w:val="Defstart"/>
      </w:pPr>
      <w:r>
        <w:rPr>
          <w:b/>
        </w:rPr>
        <w:tab/>
        <w:t>“</w:t>
      </w:r>
      <w:r>
        <w:rPr>
          <w:rStyle w:val="CharDefText"/>
        </w:rPr>
        <w:t>degree of impairment</w:t>
      </w:r>
      <w:r>
        <w:rPr>
          <w:b/>
        </w:rPr>
        <w: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t>“</w:t>
      </w:r>
      <w:r>
        <w:rPr>
          <w:rStyle w:val="CharDefText"/>
        </w:rPr>
        <w:t>secondary condition</w:t>
      </w:r>
      <w:r>
        <w:rPr>
          <w:b/>
        </w:rPr>
        <w:t>”</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37" w:name="_Toc390078306"/>
      <w:bookmarkStart w:id="238" w:name="_Toc390078664"/>
      <w:r>
        <w:rPr>
          <w:rStyle w:val="CharSectno"/>
        </w:rPr>
        <w:t>146A</w:t>
      </w:r>
      <w:r>
        <w:t>.</w:t>
      </w:r>
      <w:r>
        <w:tab/>
        <w:t>Evaluation of impairment generally</w:t>
      </w:r>
      <w:bookmarkEnd w:id="237"/>
      <w:bookmarkEnd w:id="23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239" w:name="_Toc390078307"/>
      <w:bookmarkStart w:id="240" w:name="_Toc390078665"/>
      <w:r>
        <w:rPr>
          <w:rStyle w:val="CharSectno"/>
        </w:rPr>
        <w:t>146B</w:t>
      </w:r>
      <w:r>
        <w:t>.</w:t>
      </w:r>
      <w:r>
        <w:tab/>
        <w:t>Evaluation for the purposes of Part III Division 2A</w:t>
      </w:r>
      <w:bookmarkEnd w:id="239"/>
      <w:bookmarkEnd w:id="240"/>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241" w:name="_Toc390078308"/>
      <w:bookmarkStart w:id="242" w:name="_Toc390078666"/>
      <w:r>
        <w:rPr>
          <w:rStyle w:val="CharSectno"/>
        </w:rPr>
        <w:t>146C</w:t>
      </w:r>
      <w:r>
        <w:t>.</w:t>
      </w:r>
      <w:r>
        <w:tab/>
        <w:t>Evaluation for purposes of Part IV Division 2 Subdivision 3</w:t>
      </w:r>
      <w:bookmarkEnd w:id="241"/>
      <w:bookmarkEnd w:id="24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t>“</w:t>
      </w:r>
      <w:r>
        <w:rPr>
          <w:rStyle w:val="CharDefText"/>
        </w:rPr>
        <w:t>normal evaluation</w:t>
      </w:r>
      <w:r>
        <w:rPr>
          <w:b/>
        </w:rPr>
        <w:t>”</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b/>
        </w:rPr>
        <w:t>“</w:t>
      </w:r>
      <w:r>
        <w:rPr>
          <w:rStyle w:val="CharDefText"/>
        </w:rPr>
        <w:t>special evaluation</w:t>
      </w:r>
      <w:r>
        <w:rPr>
          <w:b/>
        </w:rPr>
        <w:t>”</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pPr>
      <w:bookmarkStart w:id="243" w:name="_Toc390078309"/>
      <w:bookmarkStart w:id="244" w:name="_Toc390078667"/>
      <w:r>
        <w:rPr>
          <w:rStyle w:val="CharSectno"/>
        </w:rPr>
        <w:t>146D</w:t>
      </w:r>
      <w:r>
        <w:t>.</w:t>
      </w:r>
      <w:r>
        <w:tab/>
        <w:t>Evaluation for the purposes of Part IXA</w:t>
      </w:r>
      <w:bookmarkEnd w:id="243"/>
      <w:bookmarkEnd w:id="244"/>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pPr>
      <w:bookmarkStart w:id="245" w:name="_Toc390078310"/>
      <w:bookmarkStart w:id="246" w:name="_Toc390078668"/>
      <w:r>
        <w:rPr>
          <w:rStyle w:val="CharSectno"/>
        </w:rPr>
        <w:t>146E</w:t>
      </w:r>
      <w:r>
        <w:t>.</w:t>
      </w:r>
      <w:r>
        <w:tab/>
        <w:t>Evaluation for the purposes of clause 18A</w:t>
      </w:r>
      <w:bookmarkEnd w:id="245"/>
      <w:bookmarkEnd w:id="246"/>
    </w:p>
    <w:p>
      <w:pPr>
        <w:pStyle w:val="Subsection"/>
      </w:pPr>
      <w:r>
        <w:tab/>
        <w:t>(1)</w:t>
      </w:r>
      <w:r>
        <w:tab/>
        <w:t>This section applies to an evaluation of a worker’s degree of permanent whole of person impairment for the purposes of clause 18A.</w:t>
      </w:r>
    </w:p>
    <w:p>
      <w:pPr>
        <w:pStyle w:val="Subsection"/>
      </w:pPr>
      <w:r>
        <w:tab/>
        <w:t>(2)</w:t>
      </w:r>
      <w:r>
        <w:tab/>
        <w:t xml:space="preserve">The evaluation (a </w:t>
      </w:r>
      <w:r>
        <w:rPr>
          <w:b/>
        </w:rPr>
        <w:t>“</w:t>
      </w:r>
      <w:r>
        <w:rPr>
          <w:rStyle w:val="CharDefText"/>
        </w:rPr>
        <w:t>special evaluation</w:t>
      </w:r>
      <w:r>
        <w:rPr>
          <w:b/>
        </w:rPr>
        <w:t>”</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247" w:name="_Toc390078311"/>
      <w:bookmarkStart w:id="248" w:name="_Toc390078669"/>
      <w:r>
        <w:rPr>
          <w:rStyle w:val="CharSectno"/>
        </w:rPr>
        <w:t>146F</w:t>
      </w:r>
      <w:r>
        <w:t>.</w:t>
      </w:r>
      <w:r>
        <w:tab/>
        <w:t>Approved medical specialist</w:t>
      </w:r>
      <w:bookmarkEnd w:id="247"/>
      <w:bookmarkEnd w:id="248"/>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r>
        <w:tab/>
        <w:t>[Section 146F inserted by No. 42 of 2004 s. 109.]</w:t>
      </w:r>
    </w:p>
    <w:p>
      <w:pPr>
        <w:pStyle w:val="Heading5"/>
      </w:pPr>
      <w:bookmarkStart w:id="249" w:name="_Toc390078312"/>
      <w:bookmarkStart w:id="250" w:name="_Toc390078670"/>
      <w:r>
        <w:rPr>
          <w:rStyle w:val="CharSectno"/>
        </w:rPr>
        <w:t>146G</w:t>
      </w:r>
      <w:r>
        <w:t>.</w:t>
      </w:r>
      <w:r>
        <w:tab/>
        <w:t>Powers of approved medical specialist</w:t>
      </w:r>
      <w:bookmarkEnd w:id="249"/>
      <w:bookmarkEnd w:id="250"/>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pPr>
      <w:bookmarkStart w:id="251" w:name="_Toc390078313"/>
      <w:bookmarkStart w:id="252" w:name="_Toc390078671"/>
      <w:r>
        <w:rPr>
          <w:rStyle w:val="CharSectno"/>
        </w:rPr>
        <w:t>146H</w:t>
      </w:r>
      <w:r>
        <w:t>.</w:t>
      </w:r>
      <w:r>
        <w:tab/>
        <w:t>Outcome of assessment</w:t>
      </w:r>
      <w:bookmarkEnd w:id="251"/>
      <w:bookmarkEnd w:id="252"/>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w:t>
      </w:r>
    </w:p>
    <w:p>
      <w:pPr>
        <w:pStyle w:val="Heading5"/>
      </w:pPr>
      <w:bookmarkStart w:id="253" w:name="_Toc390078314"/>
      <w:bookmarkStart w:id="254" w:name="_Toc390078672"/>
      <w:r>
        <w:rPr>
          <w:rStyle w:val="CharSectno"/>
        </w:rPr>
        <w:t>146I</w:t>
      </w:r>
      <w:r>
        <w:t>.</w:t>
      </w:r>
      <w:r>
        <w:tab/>
        <w:t>Release of information relevant to assessment</w:t>
      </w:r>
      <w:bookmarkEnd w:id="253"/>
      <w:bookmarkEnd w:id="254"/>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r>
        <w:tab/>
        <w:t>[Section 146I inserted by No. 42 of 2004 s. 109.]</w:t>
      </w:r>
    </w:p>
    <w:p>
      <w:pPr>
        <w:pStyle w:val="Heading5"/>
      </w:pPr>
      <w:bookmarkStart w:id="255" w:name="_Toc390078315"/>
      <w:bookmarkStart w:id="256" w:name="_Toc390078673"/>
      <w:r>
        <w:rPr>
          <w:rStyle w:val="CharSectno"/>
        </w:rPr>
        <w:t>146J</w:t>
      </w:r>
      <w:r>
        <w:t>.</w:t>
      </w:r>
      <w:r>
        <w:tab/>
        <w:t>Decisions of approved medical specialist</w:t>
      </w:r>
      <w:bookmarkEnd w:id="255"/>
      <w:bookmarkEnd w:id="256"/>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t>“</w:t>
      </w:r>
      <w:r>
        <w:rPr>
          <w:rStyle w:val="CharDefText"/>
        </w:rPr>
        <w:t>decision of an approved medical specialist</w:t>
      </w:r>
      <w:r>
        <w:rPr>
          <w:b/>
        </w:rPr>
        <w:t>”</w:t>
      </w:r>
      <w:r>
        <w:t xml:space="preserve"> means an opinion, assessment, or other decision of an approved medical specialist that is relevant to the operation of Part III Division 2A, Part IV Division 2, Part IXA or clause 18A.</w:t>
      </w:r>
    </w:p>
    <w:p>
      <w:pPr>
        <w:pStyle w:val="Footnotesection"/>
      </w:pPr>
      <w:r>
        <w:tab/>
        <w:t>[Section 146J inserted by No. 42 of 2004 s. 109.]</w:t>
      </w:r>
    </w:p>
    <w:p>
      <w:pPr>
        <w:pStyle w:val="Heading3"/>
      </w:pPr>
      <w:bookmarkStart w:id="257" w:name="_Toc390078316"/>
      <w:bookmarkStart w:id="258" w:name="_Toc390078674"/>
      <w:r>
        <w:rPr>
          <w:rStyle w:val="CharDivNo"/>
        </w:rPr>
        <w:t>Division 3</w:t>
      </w:r>
      <w:r>
        <w:t> — </w:t>
      </w:r>
      <w:r>
        <w:rPr>
          <w:rStyle w:val="CharDivText"/>
        </w:rPr>
        <w:t>Approved medical specialist panels</w:t>
      </w:r>
      <w:bookmarkEnd w:id="257"/>
      <w:bookmarkEnd w:id="258"/>
    </w:p>
    <w:p>
      <w:pPr>
        <w:pStyle w:val="Footnoteheading"/>
      </w:pPr>
      <w:r>
        <w:tab/>
        <w:t>[Heading inserted by No. 42 of 2004 s. 109.]</w:t>
      </w:r>
    </w:p>
    <w:p>
      <w:pPr>
        <w:pStyle w:val="Heading5"/>
      </w:pPr>
      <w:bookmarkStart w:id="259" w:name="_Toc390078317"/>
      <w:bookmarkStart w:id="260" w:name="_Toc390078675"/>
      <w:r>
        <w:rPr>
          <w:rStyle w:val="CharSectno"/>
        </w:rPr>
        <w:t>146K</w:t>
      </w:r>
      <w:r>
        <w:t>.</w:t>
      </w:r>
      <w:r>
        <w:tab/>
        <w:t>Panel to be constituted</w:t>
      </w:r>
      <w:bookmarkEnd w:id="259"/>
      <w:bookmarkEnd w:id="260"/>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by No. 42 of 2004 s. 109.]</w:t>
      </w:r>
    </w:p>
    <w:p>
      <w:pPr>
        <w:pStyle w:val="Heading5"/>
      </w:pPr>
      <w:bookmarkStart w:id="261" w:name="_Toc390078318"/>
      <w:bookmarkStart w:id="262" w:name="_Toc390078676"/>
      <w:r>
        <w:rPr>
          <w:rStyle w:val="CharSectno"/>
        </w:rPr>
        <w:t>146L</w:t>
      </w:r>
      <w:r>
        <w:t>.</w:t>
      </w:r>
      <w:r>
        <w:tab/>
        <w:t>Procedures</w:t>
      </w:r>
      <w:bookmarkEnd w:id="261"/>
      <w:bookmarkEnd w:id="262"/>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263" w:name="_Toc390078319"/>
      <w:bookmarkStart w:id="264" w:name="_Toc390078677"/>
      <w:r>
        <w:rPr>
          <w:rStyle w:val="CharSectno"/>
        </w:rPr>
        <w:t>146M</w:t>
      </w:r>
      <w:r>
        <w:t>.</w:t>
      </w:r>
      <w:r>
        <w:tab/>
        <w:t>Failure to comply with requirement of approved medical specialist panel</w:t>
      </w:r>
      <w:bookmarkEnd w:id="263"/>
      <w:bookmarkEnd w:id="264"/>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w:t>
      </w:r>
    </w:p>
    <w:p>
      <w:pPr>
        <w:pStyle w:val="Heading5"/>
      </w:pPr>
      <w:bookmarkStart w:id="265" w:name="_Toc390078320"/>
      <w:bookmarkStart w:id="266" w:name="_Toc390078678"/>
      <w:r>
        <w:rPr>
          <w:rStyle w:val="CharSectno"/>
        </w:rPr>
        <w:t>146N</w:t>
      </w:r>
      <w:r>
        <w:t>.</w:t>
      </w:r>
      <w:r>
        <w:tab/>
        <w:t>Assessment of impairment by approved medical specialist panel</w:t>
      </w:r>
      <w:bookmarkEnd w:id="265"/>
      <w:bookmarkEnd w:id="266"/>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267" w:name="_Toc390078321"/>
      <w:bookmarkStart w:id="268" w:name="_Toc390078679"/>
      <w:r>
        <w:rPr>
          <w:rStyle w:val="CharSectno"/>
        </w:rPr>
        <w:t>146O</w:t>
      </w:r>
      <w:r>
        <w:t>.</w:t>
      </w:r>
      <w:r>
        <w:tab/>
        <w:t>Outcome of assessment by approved medical specialist panel</w:t>
      </w:r>
      <w:bookmarkEnd w:id="267"/>
      <w:bookmarkEnd w:id="268"/>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t>“</w:t>
      </w:r>
      <w:r>
        <w:rPr>
          <w:rStyle w:val="CharDefText"/>
        </w:rPr>
        <w:t>decision of an approved medical specialist panel</w:t>
      </w:r>
      <w:r>
        <w:rPr>
          <w:b/>
        </w:rPr>
        <w:t>”</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r>
        <w:tab/>
        <w:t>[Section 146O inserted by No. 42 of 2004 s. 109; amended by No. 16 of 2005 s. 19.]</w:t>
      </w:r>
    </w:p>
    <w:p>
      <w:pPr>
        <w:pStyle w:val="Heading5"/>
      </w:pPr>
      <w:bookmarkStart w:id="269" w:name="_Toc390078322"/>
      <w:bookmarkStart w:id="270" w:name="_Toc390078680"/>
      <w:r>
        <w:rPr>
          <w:rStyle w:val="CharSectno"/>
        </w:rPr>
        <w:t>146P</w:t>
      </w:r>
      <w:r>
        <w:t>.</w:t>
      </w:r>
      <w:r>
        <w:tab/>
        <w:t>No assessment without unanimous agreement</w:t>
      </w:r>
      <w:bookmarkEnd w:id="269"/>
      <w:bookmarkEnd w:id="270"/>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271" w:name="_Toc390078323"/>
      <w:bookmarkStart w:id="272" w:name="_Toc390078681"/>
      <w:r>
        <w:rPr>
          <w:rStyle w:val="CharSectno"/>
        </w:rPr>
        <w:t>146Q</w:t>
      </w:r>
      <w:r>
        <w:t>.</w:t>
      </w:r>
      <w:r>
        <w:tab/>
        <w:t>Remuneration</w:t>
      </w:r>
      <w:bookmarkEnd w:id="271"/>
      <w:bookmarkEnd w:id="272"/>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by No. 42 of 2004 s. 109; amended by No. 77 of 2006 s. 17.]</w:t>
      </w:r>
    </w:p>
    <w:p>
      <w:pPr>
        <w:pStyle w:val="Heading3"/>
      </w:pPr>
      <w:bookmarkStart w:id="273" w:name="_Toc390078324"/>
      <w:bookmarkStart w:id="274" w:name="_Toc390078682"/>
      <w:r>
        <w:rPr>
          <w:rStyle w:val="CharDivNo"/>
        </w:rPr>
        <w:t>Division 4</w:t>
      </w:r>
      <w:r>
        <w:t xml:space="preserve"> — </w:t>
      </w:r>
      <w:r>
        <w:rPr>
          <w:rStyle w:val="CharDivText"/>
        </w:rPr>
        <w:t>WorkCover Guides</w:t>
      </w:r>
      <w:bookmarkEnd w:id="273"/>
      <w:bookmarkEnd w:id="274"/>
    </w:p>
    <w:p>
      <w:pPr>
        <w:pStyle w:val="Footnoteheading"/>
        <w:keepNext/>
      </w:pPr>
      <w:r>
        <w:tab/>
        <w:t>[Heading inserted by No. 42 of 2004 s. 109.]</w:t>
      </w:r>
    </w:p>
    <w:p>
      <w:pPr>
        <w:pStyle w:val="Heading5"/>
      </w:pPr>
      <w:bookmarkStart w:id="275" w:name="_Toc390078325"/>
      <w:bookmarkStart w:id="276" w:name="_Toc390078683"/>
      <w:r>
        <w:rPr>
          <w:rStyle w:val="CharSectno"/>
        </w:rPr>
        <w:t>146R</w:t>
      </w:r>
      <w:r>
        <w:t>.</w:t>
      </w:r>
      <w:r>
        <w:tab/>
        <w:t>WorkCover Guides</w:t>
      </w:r>
      <w:bookmarkEnd w:id="275"/>
      <w:bookmarkEnd w:id="276"/>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77" w:name="_Toc390078326"/>
      <w:bookmarkStart w:id="278" w:name="_Toc390078684"/>
      <w:r>
        <w:rPr>
          <w:rStyle w:val="CharDivNo"/>
        </w:rPr>
        <w:t>Division 5</w:t>
      </w:r>
      <w:r>
        <w:t> — </w:t>
      </w:r>
      <w:r>
        <w:rPr>
          <w:rStyle w:val="CharDivText"/>
        </w:rPr>
        <w:t>Assessment for specialised retraining programs</w:t>
      </w:r>
      <w:bookmarkEnd w:id="277"/>
      <w:bookmarkEnd w:id="278"/>
    </w:p>
    <w:p>
      <w:pPr>
        <w:pStyle w:val="Footnoteheading"/>
      </w:pPr>
      <w:r>
        <w:tab/>
        <w:t>[Heading inserted by No. 42 of 2004 s. 110.]</w:t>
      </w:r>
    </w:p>
    <w:p>
      <w:pPr>
        <w:pStyle w:val="Heading5"/>
      </w:pPr>
      <w:bookmarkStart w:id="279" w:name="_Toc390078327"/>
      <w:bookmarkStart w:id="280" w:name="_Toc390078685"/>
      <w:r>
        <w:rPr>
          <w:rStyle w:val="CharSectno"/>
        </w:rPr>
        <w:t>146S</w:t>
      </w:r>
      <w:r>
        <w:t>.</w:t>
      </w:r>
      <w:r>
        <w:tab/>
        <w:t>Register for panel membership</w:t>
      </w:r>
      <w:bookmarkEnd w:id="279"/>
      <w:bookmarkEnd w:id="280"/>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w:t>
      </w:r>
    </w:p>
    <w:p>
      <w:pPr>
        <w:pStyle w:val="Heading5"/>
      </w:pPr>
      <w:bookmarkStart w:id="281" w:name="_Toc390078328"/>
      <w:bookmarkStart w:id="282" w:name="_Toc390078686"/>
      <w:r>
        <w:rPr>
          <w:rStyle w:val="CharSectno"/>
        </w:rPr>
        <w:t>146T</w:t>
      </w:r>
      <w:r>
        <w:t>.</w:t>
      </w:r>
      <w:r>
        <w:tab/>
        <w:t>Panel to be constituted</w:t>
      </w:r>
      <w:bookmarkEnd w:id="281"/>
      <w:bookmarkEnd w:id="282"/>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pPr>
      <w:r>
        <w:tab/>
        <w:t>(4)</w:t>
      </w:r>
      <w:r>
        <w:tab/>
        <w:t>The Director is to nominate one of the members of the panel to be its chairman.</w:t>
      </w:r>
    </w:p>
    <w:p>
      <w:pPr>
        <w:pStyle w:val="Footnotesection"/>
      </w:pPr>
      <w:r>
        <w:tab/>
        <w:t>[Section 146T inserted by No. 42 of 2004 s. 110.]</w:t>
      </w:r>
    </w:p>
    <w:p>
      <w:pPr>
        <w:pStyle w:val="Heading5"/>
      </w:pPr>
      <w:bookmarkStart w:id="283" w:name="_Toc390078329"/>
      <w:bookmarkStart w:id="284" w:name="_Toc390078687"/>
      <w:r>
        <w:rPr>
          <w:rStyle w:val="CharSectno"/>
        </w:rPr>
        <w:t>146U</w:t>
      </w:r>
      <w:r>
        <w:t>.</w:t>
      </w:r>
      <w:r>
        <w:tab/>
        <w:t>Procedures</w:t>
      </w:r>
      <w:bookmarkEnd w:id="283"/>
      <w:bookmarkEnd w:id="284"/>
    </w:p>
    <w:p>
      <w:pPr>
        <w:pStyle w:val="Subsection"/>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285" w:name="_Toc390078330"/>
      <w:bookmarkStart w:id="286" w:name="_Toc390078688"/>
      <w:r>
        <w:rPr>
          <w:rStyle w:val="CharSectno"/>
        </w:rPr>
        <w:t>146V</w:t>
      </w:r>
      <w:r>
        <w:t>.</w:t>
      </w:r>
      <w:r>
        <w:tab/>
        <w:t>Assessments</w:t>
      </w:r>
      <w:bookmarkEnd w:id="285"/>
      <w:bookmarkEnd w:id="286"/>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pPr>
      <w:r>
        <w:tab/>
        <w:t>(9)</w:t>
      </w:r>
      <w:r>
        <w:tab/>
        <w:t xml:space="preserve">In subsection (8) — </w:t>
      </w:r>
    </w:p>
    <w:p>
      <w:pPr>
        <w:pStyle w:val="Defstart"/>
      </w:pPr>
      <w:r>
        <w:rPr>
          <w:b/>
        </w:rPr>
        <w:tab/>
        <w:t>“</w:t>
      </w:r>
      <w:r>
        <w:rPr>
          <w:rStyle w:val="CharDefText"/>
        </w:rPr>
        <w:t>decision of a specialised retraining assessment panel</w:t>
      </w:r>
      <w:r>
        <w:rPr>
          <w:b/>
        </w:rPr>
        <w:t>”</w:t>
      </w:r>
      <w:r>
        <w:t xml:space="preserve"> means an opinion, assessment, or other decision of a specialised retraining assessment panel that is relevant to the operation of Part IXA.</w:t>
      </w:r>
    </w:p>
    <w:p>
      <w:pPr>
        <w:pStyle w:val="Footnotesection"/>
      </w:pPr>
      <w:r>
        <w:tab/>
        <w:t>[Section 146V inserted by No. 42 of 2004 s. 110.]</w:t>
      </w:r>
    </w:p>
    <w:p>
      <w:pPr>
        <w:pStyle w:val="Heading5"/>
      </w:pPr>
      <w:bookmarkStart w:id="287" w:name="_Toc390078331"/>
      <w:bookmarkStart w:id="288" w:name="_Toc390078689"/>
      <w:r>
        <w:rPr>
          <w:rStyle w:val="CharSectno"/>
        </w:rPr>
        <w:t>146W</w:t>
      </w:r>
      <w:r>
        <w:t>.</w:t>
      </w:r>
      <w:r>
        <w:tab/>
        <w:t>Remuneration</w:t>
      </w:r>
      <w:bookmarkEnd w:id="287"/>
      <w:bookmarkEnd w:id="288"/>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 17.]</w:t>
      </w:r>
    </w:p>
    <w:p>
      <w:pPr>
        <w:pStyle w:val="Heading2"/>
      </w:pPr>
      <w:bookmarkStart w:id="289" w:name="_Toc390078332"/>
      <w:bookmarkStart w:id="290" w:name="_Toc390078690"/>
      <w:r>
        <w:rPr>
          <w:rStyle w:val="CharPartNo"/>
        </w:rPr>
        <w:t>Part VIII</w:t>
      </w:r>
      <w:r>
        <w:rPr>
          <w:rStyle w:val="CharDivNo"/>
        </w:rPr>
        <w:t> </w:t>
      </w:r>
      <w:r>
        <w:t>—</w:t>
      </w:r>
      <w:r>
        <w:rPr>
          <w:rStyle w:val="CharDivText"/>
        </w:rPr>
        <w:t> </w:t>
      </w:r>
      <w:r>
        <w:rPr>
          <w:rStyle w:val="CharPartText"/>
        </w:rPr>
        <w:t>Premium rates</w:t>
      </w:r>
      <w:bookmarkEnd w:id="289"/>
      <w:bookmarkEnd w:id="290"/>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Repealed by No. 42 of 2004 s. 112.]</w:t>
      </w:r>
    </w:p>
    <w:p>
      <w:pPr>
        <w:pStyle w:val="Heading5"/>
        <w:spacing w:before="120"/>
        <w:rPr>
          <w:snapToGrid w:val="0"/>
        </w:rPr>
      </w:pPr>
      <w:bookmarkStart w:id="291" w:name="_Toc390078333"/>
      <w:bookmarkStart w:id="292" w:name="_Toc390078691"/>
      <w:r>
        <w:rPr>
          <w:rStyle w:val="CharSectno"/>
        </w:rPr>
        <w:t>151</w:t>
      </w:r>
      <w:r>
        <w:rPr>
          <w:snapToGrid w:val="0"/>
        </w:rPr>
        <w:t>.</w:t>
      </w:r>
      <w:r>
        <w:rPr>
          <w:snapToGrid w:val="0"/>
        </w:rPr>
        <w:tab/>
        <w:t>Fixing premiums</w:t>
      </w:r>
      <w:bookmarkEnd w:id="291"/>
      <w:bookmarkEnd w:id="292"/>
      <w:r>
        <w:rPr>
          <w:snapToGrid w:val="0"/>
        </w:rPr>
        <w:t xml:space="preserve"> </w:t>
      </w:r>
    </w:p>
    <w:p>
      <w:pPr>
        <w:pStyle w:val="Subsection"/>
        <w:spacing w:before="100"/>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spacing w:before="120"/>
        <w:rPr>
          <w:snapToGrid w:val="0"/>
        </w:rPr>
      </w:pPr>
      <w:bookmarkStart w:id="293" w:name="_Toc390078334"/>
      <w:bookmarkStart w:id="294" w:name="_Toc390078692"/>
      <w:r>
        <w:rPr>
          <w:rStyle w:val="CharSectno"/>
        </w:rPr>
        <w:t>151A</w:t>
      </w:r>
      <w:r>
        <w:rPr>
          <w:snapToGrid w:val="0"/>
        </w:rPr>
        <w:t>.</w:t>
      </w:r>
      <w:r>
        <w:rPr>
          <w:snapToGrid w:val="0"/>
        </w:rPr>
        <w:tab/>
        <w:t>Report as to rates</w:t>
      </w:r>
      <w:bookmarkEnd w:id="293"/>
      <w:bookmarkEnd w:id="294"/>
      <w:r>
        <w:rPr>
          <w:snapToGrid w:val="0"/>
        </w:rPr>
        <w:t xml:space="preserve"> </w:t>
      </w:r>
    </w:p>
    <w:p>
      <w:pPr>
        <w:pStyle w:val="Subsection"/>
        <w:spacing w:before="80"/>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spacing w:before="80"/>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95" w:name="_Toc390078335"/>
      <w:bookmarkStart w:id="296" w:name="_Toc390078693"/>
      <w:r>
        <w:rPr>
          <w:rStyle w:val="CharSectno"/>
        </w:rPr>
        <w:t>152</w:t>
      </w:r>
      <w:r>
        <w:t>.</w:t>
      </w:r>
      <w:r>
        <w:tab/>
        <w:t>Loading not to exceed 100% unless permitted by WorkCover WA</w:t>
      </w:r>
      <w:bookmarkEnd w:id="295"/>
      <w:bookmarkEnd w:id="296"/>
    </w:p>
    <w:p>
      <w:pPr>
        <w:pStyle w:val="Subsection"/>
        <w:spacing w:before="80"/>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97" w:name="_Toc390078336"/>
      <w:bookmarkStart w:id="298" w:name="_Toc390078694"/>
      <w:r>
        <w:rPr>
          <w:rStyle w:val="CharSectno"/>
        </w:rPr>
        <w:t>153.</w:t>
      </w:r>
      <w:r>
        <w:rPr>
          <w:rStyle w:val="CharSectno"/>
        </w:rPr>
        <w:tab/>
      </w:r>
      <w:r>
        <w:rPr>
          <w:snapToGrid w:val="0"/>
        </w:rPr>
        <w:t>Fixing maximum loading or discount</w:t>
      </w:r>
      <w:bookmarkEnd w:id="297"/>
      <w:bookmarkEnd w:id="298"/>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299" w:name="_Toc390078337"/>
      <w:bookmarkStart w:id="300" w:name="_Toc390078695"/>
      <w:r>
        <w:rPr>
          <w:rStyle w:val="CharSectno"/>
        </w:rPr>
        <w:t>153A</w:t>
      </w:r>
      <w:r>
        <w:rPr>
          <w:snapToGrid w:val="0"/>
        </w:rPr>
        <w:t>.</w:t>
      </w:r>
      <w:r>
        <w:rPr>
          <w:snapToGrid w:val="0"/>
        </w:rPr>
        <w:tab/>
        <w:t>Minimum premiums</w:t>
      </w:r>
      <w:bookmarkEnd w:id="299"/>
      <w:bookmarkEnd w:id="300"/>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301" w:name="_Toc390078338"/>
      <w:bookmarkStart w:id="302" w:name="_Toc390078696"/>
      <w:r>
        <w:rPr>
          <w:rStyle w:val="CharSectno"/>
        </w:rPr>
        <w:t>154</w:t>
      </w:r>
      <w:r>
        <w:rPr>
          <w:snapToGrid w:val="0"/>
        </w:rPr>
        <w:t>.</w:t>
      </w:r>
      <w:r>
        <w:rPr>
          <w:snapToGrid w:val="0"/>
        </w:rPr>
        <w:tab/>
        <w:t>Appeals</w:t>
      </w:r>
      <w:bookmarkEnd w:id="301"/>
      <w:bookmarkEnd w:id="302"/>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303" w:name="_Toc390078339"/>
      <w:bookmarkStart w:id="304" w:name="_Toc390078697"/>
      <w:r>
        <w:rPr>
          <w:rStyle w:val="CharSectno"/>
        </w:rPr>
        <w:t>154A</w:t>
      </w:r>
      <w:r>
        <w:t>.</w:t>
      </w:r>
      <w:r>
        <w:tab/>
        <w:t>Regulations for provision of information</w:t>
      </w:r>
      <w:bookmarkEnd w:id="303"/>
      <w:bookmarkEnd w:id="304"/>
    </w:p>
    <w:p>
      <w:pPr>
        <w:pStyle w:val="Subsection"/>
        <w:outlineLvl w:val="0"/>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outlineLvl w:val="0"/>
      </w:pPr>
      <w:r>
        <w:tab/>
        <w:t>(2)</w:t>
      </w:r>
      <w:r>
        <w:tab/>
        <w:t>In subsection (1) —</w:t>
      </w:r>
    </w:p>
    <w:p>
      <w:pPr>
        <w:pStyle w:val="Defstart"/>
      </w:pPr>
      <w:r>
        <w:rPr>
          <w:b/>
        </w:rPr>
        <w:tab/>
        <w:t>“</w:t>
      </w:r>
      <w:r>
        <w:rPr>
          <w:rStyle w:val="CharDefText"/>
        </w:rPr>
        <w:t>employer</w:t>
      </w:r>
      <w:r>
        <w:rPr>
          <w:b/>
        </w:rPr>
        <w:t>”</w:t>
      </w:r>
      <w:r>
        <w:t xml:space="preserve"> means an employer holding, or seeking to obtain, a policy of insurance against liability to pay compensation under this Act;</w:t>
      </w:r>
    </w:p>
    <w:p>
      <w:pPr>
        <w:pStyle w:val="Defstart"/>
      </w:pPr>
      <w:r>
        <w:rPr>
          <w:b/>
        </w:rPr>
        <w:tab/>
        <w:t>“</w:t>
      </w:r>
      <w:r>
        <w:rPr>
          <w:rStyle w:val="CharDefText"/>
        </w:rPr>
        <w:t>specified</w:t>
      </w:r>
      <w:r>
        <w:rPr>
          <w:b/>
        </w:rPr>
        <w:t>”</w:t>
      </w:r>
      <w:r>
        <w:t xml:space="preserve"> means specified in the regulations.</w:t>
      </w:r>
    </w:p>
    <w:p>
      <w:pPr>
        <w:pStyle w:val="Footnotesection"/>
      </w:pPr>
      <w:r>
        <w:tab/>
        <w:t>[Section 154A inserted by No. 42 of 2004 s. 117.]</w:t>
      </w:r>
    </w:p>
    <w:p>
      <w:pPr>
        <w:pStyle w:val="Heading5"/>
      </w:pPr>
      <w:bookmarkStart w:id="305" w:name="_Toc390078340"/>
      <w:bookmarkStart w:id="306" w:name="_Toc390078698"/>
      <w:r>
        <w:rPr>
          <w:rStyle w:val="CharSectno"/>
        </w:rPr>
        <w:t>154AB</w:t>
      </w:r>
      <w:r>
        <w:t>.</w:t>
      </w:r>
      <w:r>
        <w:tab/>
        <w:t>Special directions by Minister</w:t>
      </w:r>
      <w:bookmarkEnd w:id="305"/>
      <w:bookmarkEnd w:id="306"/>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07" w:name="_Toc390078341"/>
      <w:bookmarkStart w:id="308" w:name="_Toc390078699"/>
      <w:r>
        <w:rPr>
          <w:rStyle w:val="CharSectno"/>
        </w:rPr>
        <w:t>154AC</w:t>
      </w:r>
      <w:r>
        <w:t>.</w:t>
      </w:r>
      <w:r>
        <w:tab/>
        <w:t>Regulations for subsidy from Supplementation Fund</w:t>
      </w:r>
      <w:bookmarkEnd w:id="307"/>
      <w:bookmarkEnd w:id="308"/>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09" w:name="_Toc390078342"/>
      <w:bookmarkStart w:id="310" w:name="_Toc390078700"/>
      <w:r>
        <w:rPr>
          <w:rStyle w:val="CharPartNo"/>
        </w:rPr>
        <w:t>Part IX</w:t>
      </w:r>
      <w:r>
        <w:rPr>
          <w:b w:val="0"/>
        </w:rPr>
        <w:t> </w:t>
      </w:r>
      <w:r>
        <w:t>—</w:t>
      </w:r>
      <w:r>
        <w:rPr>
          <w:b w:val="0"/>
        </w:rPr>
        <w:t> </w:t>
      </w:r>
      <w:r>
        <w:rPr>
          <w:rStyle w:val="CharPartText"/>
        </w:rPr>
        <w:t>Injury management</w:t>
      </w:r>
      <w:bookmarkEnd w:id="309"/>
      <w:bookmarkEnd w:id="310"/>
    </w:p>
    <w:p>
      <w:pPr>
        <w:pStyle w:val="Footnoteheading"/>
      </w:pPr>
      <w:r>
        <w:tab/>
        <w:t>[Heading inserted by No. 42 of 2004 s. 118.]</w:t>
      </w:r>
    </w:p>
    <w:p>
      <w:pPr>
        <w:pStyle w:val="Heading5"/>
      </w:pPr>
      <w:bookmarkStart w:id="311" w:name="_Toc390078343"/>
      <w:bookmarkStart w:id="312" w:name="_Toc390078701"/>
      <w:r>
        <w:rPr>
          <w:rStyle w:val="CharSectno"/>
        </w:rPr>
        <w:t>155</w:t>
      </w:r>
      <w:r>
        <w:t>.</w:t>
      </w:r>
      <w:r>
        <w:tab/>
        <w:t>Terms used in this Part</w:t>
      </w:r>
      <w:bookmarkEnd w:id="311"/>
      <w:bookmarkEnd w:id="312"/>
    </w:p>
    <w:p>
      <w:pPr>
        <w:pStyle w:val="Subsection"/>
      </w:pPr>
      <w:r>
        <w:tab/>
      </w:r>
      <w:r>
        <w:tab/>
        <w:t xml:space="preserve">In this Part — </w:t>
      </w:r>
    </w:p>
    <w:p>
      <w:pPr>
        <w:pStyle w:val="Defstart"/>
      </w:pPr>
      <w:r>
        <w:rPr>
          <w:b/>
        </w:rPr>
        <w:tab/>
        <w:t>“</w:t>
      </w:r>
      <w:r>
        <w:rPr>
          <w:rStyle w:val="CharDefText"/>
        </w:rPr>
        <w:t>code</w:t>
      </w:r>
      <w:r>
        <w:rPr>
          <w:b/>
        </w:rPr>
        <w:t>”</w:t>
      </w:r>
      <w:r>
        <w:t xml:space="preserve"> means the code of practice (injury management) issued under section 155A(1) that is currently in force;</w:t>
      </w:r>
    </w:p>
    <w:p>
      <w:pPr>
        <w:pStyle w:val="Defstart"/>
      </w:pPr>
      <w:r>
        <w:rPr>
          <w:b/>
        </w:rPr>
        <w:tab/>
        <w:t>“</w:t>
      </w:r>
      <w:r>
        <w:rPr>
          <w:rStyle w:val="CharDefText"/>
        </w:rPr>
        <w:t>injury management system</w:t>
      </w:r>
      <w:r>
        <w:rPr>
          <w:b/>
        </w:rPr>
        <w:t>”</w:t>
      </w:r>
      <w:r>
        <w:t xml:space="preserve"> means an injury management system established under section 155B;</w:t>
      </w:r>
    </w:p>
    <w:p>
      <w:pPr>
        <w:pStyle w:val="Defstart"/>
      </w:pPr>
      <w:r>
        <w:rPr>
          <w:b/>
        </w:rPr>
        <w:tab/>
        <w:t>“</w:t>
      </w:r>
      <w:r>
        <w:rPr>
          <w:rStyle w:val="CharDefText"/>
        </w:rPr>
        <w:t>return to work program</w:t>
      </w:r>
      <w:r>
        <w:rPr>
          <w:b/>
        </w:rPr>
        <w:t>”</w:t>
      </w:r>
      <w:r>
        <w:t xml:space="preserve"> means a return to work program established under section 155C(1);</w:t>
      </w:r>
    </w:p>
    <w:p>
      <w:pPr>
        <w:pStyle w:val="Defstart"/>
      </w:pPr>
      <w:r>
        <w:rPr>
          <w:b/>
        </w:rPr>
        <w:tab/>
        <w:t>“</w:t>
      </w:r>
      <w:r>
        <w:rPr>
          <w:rStyle w:val="CharDefText"/>
        </w:rPr>
        <w:t>treating medical practitioner</w:t>
      </w:r>
      <w:r>
        <w:rPr>
          <w:b/>
        </w:rPr>
        <w:t>”</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13" w:name="_Toc390078344"/>
      <w:bookmarkStart w:id="314" w:name="_Toc390078702"/>
      <w:r>
        <w:rPr>
          <w:rStyle w:val="CharSectno"/>
        </w:rPr>
        <w:t>155A</w:t>
      </w:r>
      <w:r>
        <w:t>.</w:t>
      </w:r>
      <w:r>
        <w:tab/>
        <w:t>Code of practice (injury management)</w:t>
      </w:r>
      <w:bookmarkEnd w:id="313"/>
      <w:bookmarkEnd w:id="314"/>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spacing w:before="120"/>
      </w:pPr>
      <w:r>
        <w:tab/>
        <w:t>(3)</w:t>
      </w:r>
      <w:r>
        <w:tab/>
        <w:t>The code may adopt the provisions of other publications, whether with or without modification or addition and whether in force at a particular time or from time to time.</w:t>
      </w:r>
    </w:p>
    <w:p>
      <w:pPr>
        <w:pStyle w:val="Subsection"/>
        <w:spacing w:before="120"/>
      </w:pPr>
      <w:r>
        <w:tab/>
        <w:t>(4)</w:t>
      </w:r>
      <w:r>
        <w:tab/>
        <w:t xml:space="preserve">Sections 41, 42, 43 and 44 of the </w:t>
      </w:r>
      <w:r>
        <w:rPr>
          <w:i/>
        </w:rPr>
        <w:t>Interpretation Act 1984</w:t>
      </w:r>
      <w:r>
        <w:t xml:space="preserve"> apply to the code as if the code were regulations.</w:t>
      </w:r>
    </w:p>
    <w:p>
      <w:pPr>
        <w:pStyle w:val="Footnotesection"/>
      </w:pPr>
      <w:r>
        <w:tab/>
        <w:t>[Section 155A inserted by No. 42 of 2004 s. 118.]</w:t>
      </w:r>
    </w:p>
    <w:p>
      <w:pPr>
        <w:pStyle w:val="Heading5"/>
      </w:pPr>
      <w:bookmarkStart w:id="315" w:name="_Toc390078345"/>
      <w:bookmarkStart w:id="316" w:name="_Toc390078703"/>
      <w:r>
        <w:rPr>
          <w:rStyle w:val="CharSectno"/>
        </w:rPr>
        <w:t>155B</w:t>
      </w:r>
      <w:r>
        <w:t>.</w:t>
      </w:r>
      <w:r>
        <w:tab/>
        <w:t>Establishment of injury management systems for employer’s workers</w:t>
      </w:r>
      <w:bookmarkEnd w:id="315"/>
      <w:bookmarkEnd w:id="316"/>
      <w:r>
        <w:t xml:space="preserve"> </w:t>
      </w:r>
    </w:p>
    <w:p>
      <w:pPr>
        <w:pStyle w:val="Subsection"/>
        <w:spacing w:before="120"/>
      </w:pPr>
      <w:r>
        <w:tab/>
      </w:r>
      <w:r>
        <w:tab/>
        <w:t xml:space="preserve">Each employer is to ensure that —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pPr>
      <w:r>
        <w:tab/>
        <w:t>[Section 155B inserted by No. 42 of 2004 s. 118.]</w:t>
      </w:r>
    </w:p>
    <w:p>
      <w:pPr>
        <w:pStyle w:val="Heading5"/>
      </w:pPr>
      <w:bookmarkStart w:id="317" w:name="_Toc390078346"/>
      <w:bookmarkStart w:id="318" w:name="_Toc390078704"/>
      <w:r>
        <w:rPr>
          <w:rStyle w:val="CharSectno"/>
        </w:rPr>
        <w:t>155C</w:t>
      </w:r>
      <w:r>
        <w:t>.</w:t>
      </w:r>
      <w:r>
        <w:tab/>
        <w:t>Establishment of return to work programs for individual workers</w:t>
      </w:r>
      <w:bookmarkEnd w:id="317"/>
      <w:bookmarkEnd w:id="318"/>
    </w:p>
    <w:p>
      <w:pPr>
        <w:pStyle w:val="Subsection"/>
        <w:spacing w:before="120"/>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spacing w:before="60"/>
      </w:pPr>
      <w:r>
        <w:tab/>
        <w:t>(a)</w:t>
      </w:r>
      <w:r>
        <w:tab/>
        <w:t xml:space="preserve">the worker’s treating medical practitioner advises the employer in writing that a return to work program should be established for the worker; </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20"/>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spacing w:before="12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r>
        <w:tab/>
        <w:t>[Section 155C inserted by No. 42 of 2004 s. 118.]</w:t>
      </w:r>
    </w:p>
    <w:p>
      <w:pPr>
        <w:pStyle w:val="Heading5"/>
      </w:pPr>
      <w:bookmarkStart w:id="319" w:name="_Toc390078347"/>
      <w:bookmarkStart w:id="320" w:name="_Toc390078705"/>
      <w:r>
        <w:rPr>
          <w:rStyle w:val="CharSectno"/>
        </w:rPr>
        <w:t>155D</w:t>
      </w:r>
      <w:r>
        <w:t>.</w:t>
      </w:r>
      <w:r>
        <w:tab/>
        <w:t>Injury management: insurers’ obligations</w:t>
      </w:r>
      <w:bookmarkEnd w:id="319"/>
      <w:bookmarkEnd w:id="320"/>
    </w:p>
    <w:p>
      <w:pPr>
        <w:pStyle w:val="Subsection"/>
        <w:spacing w:before="12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20"/>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spacing w:before="120"/>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pPr>
      <w:r>
        <w:tab/>
        <w:t>[Section 155D inserted by No. 42 of 2004 s. 118.]</w:t>
      </w:r>
    </w:p>
    <w:p>
      <w:pPr>
        <w:pStyle w:val="Heading5"/>
        <w:rPr>
          <w:snapToGrid w:val="0"/>
        </w:rPr>
      </w:pPr>
      <w:bookmarkStart w:id="321" w:name="_Toc390078348"/>
      <w:bookmarkStart w:id="322" w:name="_Toc390078706"/>
      <w:r>
        <w:rPr>
          <w:rStyle w:val="CharSectno"/>
        </w:rPr>
        <w:t>156</w:t>
      </w:r>
      <w:r>
        <w:rPr>
          <w:snapToGrid w:val="0"/>
        </w:rPr>
        <w:t>.</w:t>
      </w:r>
      <w:r>
        <w:rPr>
          <w:snapToGrid w:val="0"/>
        </w:rPr>
        <w:tab/>
        <w:t>Approval of vocational rehabilitation providers</w:t>
      </w:r>
      <w:bookmarkEnd w:id="321"/>
      <w:bookmarkEnd w:id="322"/>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323" w:name="_Toc390078349"/>
      <w:bookmarkStart w:id="324" w:name="_Toc390078707"/>
      <w:r>
        <w:rPr>
          <w:rStyle w:val="CharSectno"/>
        </w:rPr>
        <w:t>156A</w:t>
      </w:r>
      <w:r>
        <w:t>.</w:t>
      </w:r>
      <w:r>
        <w:tab/>
        <w:t>Vocational rehabilitation services</w:t>
      </w:r>
      <w:bookmarkEnd w:id="323"/>
      <w:bookmarkEnd w:id="324"/>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325" w:name="_Toc390078350"/>
      <w:bookmarkStart w:id="326" w:name="_Toc390078708"/>
      <w:r>
        <w:rPr>
          <w:rStyle w:val="CharSectno"/>
        </w:rPr>
        <w:t>156B</w:t>
      </w:r>
      <w:r>
        <w:rPr>
          <w:snapToGrid w:val="0"/>
        </w:rPr>
        <w:t>.</w:t>
      </w:r>
      <w:r>
        <w:rPr>
          <w:snapToGrid w:val="0"/>
        </w:rPr>
        <w:tab/>
        <w:t>Arbitrators’ powers in relation to return to work programs</w:t>
      </w:r>
      <w:bookmarkEnd w:id="325"/>
      <w:bookmarkEnd w:id="326"/>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327" w:name="_Toc390078351"/>
      <w:bookmarkStart w:id="328" w:name="_Toc390078709"/>
      <w:r>
        <w:rPr>
          <w:rStyle w:val="CharSectno"/>
        </w:rPr>
        <w:t>157</w:t>
      </w:r>
      <w:r>
        <w:rPr>
          <w:snapToGrid w:val="0"/>
        </w:rPr>
        <w:t>.</w:t>
      </w:r>
      <w:r>
        <w:rPr>
          <w:snapToGrid w:val="0"/>
        </w:rPr>
        <w:tab/>
        <w:t>Information about injury management matters</w:t>
      </w:r>
      <w:bookmarkEnd w:id="327"/>
      <w:bookmarkEnd w:id="328"/>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by No. 42 of 2004 s. 118.]</w:t>
      </w:r>
    </w:p>
    <w:p>
      <w:pPr>
        <w:pStyle w:val="Heading5"/>
      </w:pPr>
      <w:bookmarkStart w:id="329" w:name="_Toc390078352"/>
      <w:bookmarkStart w:id="330" w:name="_Toc390078710"/>
      <w:r>
        <w:rPr>
          <w:rStyle w:val="CharSectno"/>
        </w:rPr>
        <w:t>157A</w:t>
      </w:r>
      <w:r>
        <w:t>.</w:t>
      </w:r>
      <w:r>
        <w:tab/>
        <w:t>Early identification of injuries that require, or may require, management</w:t>
      </w:r>
      <w:bookmarkEnd w:id="329"/>
      <w:bookmarkEnd w:id="330"/>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r>
        <w:tab/>
        <w:t>[Section 157A inserted by No. 42 of 2004 s. 118.]</w:t>
      </w:r>
    </w:p>
    <w:p>
      <w:pPr>
        <w:pStyle w:val="Heading5"/>
      </w:pPr>
      <w:bookmarkStart w:id="331" w:name="_Toc390078353"/>
      <w:bookmarkStart w:id="332" w:name="_Toc390078711"/>
      <w:r>
        <w:rPr>
          <w:rStyle w:val="CharSectno"/>
        </w:rPr>
        <w:t>157B</w:t>
      </w:r>
      <w:r>
        <w:t>.</w:t>
      </w:r>
      <w:r>
        <w:tab/>
        <w:t>Mediation and assistance</w:t>
      </w:r>
      <w:bookmarkEnd w:id="331"/>
      <w:bookmarkEnd w:id="332"/>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33" w:name="_Toc390078354"/>
      <w:bookmarkStart w:id="334" w:name="_Toc390078712"/>
      <w:r>
        <w:rPr>
          <w:rStyle w:val="CharPartNo"/>
        </w:rPr>
        <w:t>Part IXA</w:t>
      </w:r>
      <w:r>
        <w:rPr>
          <w:b w:val="0"/>
        </w:rPr>
        <w:t> </w:t>
      </w:r>
      <w:r>
        <w:t>—</w:t>
      </w:r>
      <w:r>
        <w:rPr>
          <w:b w:val="0"/>
        </w:rPr>
        <w:t> </w:t>
      </w:r>
      <w:r>
        <w:rPr>
          <w:rStyle w:val="CharPartText"/>
        </w:rPr>
        <w:t>Specialised retraining programs</w:t>
      </w:r>
      <w:bookmarkEnd w:id="333"/>
      <w:bookmarkEnd w:id="334"/>
    </w:p>
    <w:p>
      <w:pPr>
        <w:pStyle w:val="Footnoteheading"/>
      </w:pPr>
      <w:r>
        <w:tab/>
        <w:t>[Heading inserted by No. 42 of 2004 s. 119.]</w:t>
      </w:r>
    </w:p>
    <w:p>
      <w:pPr>
        <w:pStyle w:val="Heading5"/>
      </w:pPr>
      <w:bookmarkStart w:id="335" w:name="_Toc390078355"/>
      <w:bookmarkStart w:id="336" w:name="_Toc390078713"/>
      <w:r>
        <w:rPr>
          <w:rStyle w:val="CharSectno"/>
        </w:rPr>
        <w:t>158</w:t>
      </w:r>
      <w:r>
        <w:t>.</w:t>
      </w:r>
      <w:r>
        <w:tab/>
        <w:t>Meaning of “retraining criteria”</w:t>
      </w:r>
      <w:bookmarkEnd w:id="335"/>
      <w:bookmarkEnd w:id="336"/>
    </w:p>
    <w:p>
      <w:pPr>
        <w:pStyle w:val="Subsection"/>
      </w:pPr>
      <w:r>
        <w:tab/>
        <w:t>(1)</w:t>
      </w:r>
      <w:r>
        <w:tab/>
        <w:t xml:space="preserve">In this Part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t>“</w:t>
      </w:r>
      <w:r>
        <w:rPr>
          <w:rStyle w:val="CharDefText"/>
        </w:rPr>
        <w:t>retraining criteria</w:t>
      </w:r>
      <w:r>
        <w:rPr>
          <w:b/>
        </w:rPr>
        <w:t>”</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r>
        <w:tab/>
        <w:t>[Section 158 inserted by No. 42 of 2004 s. 119.]</w:t>
      </w:r>
    </w:p>
    <w:p>
      <w:pPr>
        <w:pStyle w:val="Heading5"/>
      </w:pPr>
      <w:bookmarkStart w:id="337" w:name="_Toc390078356"/>
      <w:bookmarkStart w:id="338" w:name="_Toc390078714"/>
      <w:r>
        <w:rPr>
          <w:rStyle w:val="CharSectno"/>
        </w:rPr>
        <w:t>158A</w:t>
      </w:r>
      <w:r>
        <w:t>.</w:t>
      </w:r>
      <w:r>
        <w:tab/>
        <w:t>Eligibility to participate in specialised retraining programs</w:t>
      </w:r>
      <w:bookmarkEnd w:id="337"/>
      <w:bookmarkEnd w:id="338"/>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339" w:name="_Toc390078357"/>
      <w:bookmarkStart w:id="340" w:name="_Toc390078715"/>
      <w:r>
        <w:rPr>
          <w:rStyle w:val="CharSectno"/>
        </w:rPr>
        <w:t>158B</w:t>
      </w:r>
      <w:r>
        <w:t>.</w:t>
      </w:r>
      <w:r>
        <w:tab/>
        <w:t>Final day for recording agreed matters, referring disputed matters for determination</w:t>
      </w:r>
      <w:bookmarkEnd w:id="339"/>
      <w:bookmarkEnd w:id="340"/>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341" w:name="_Toc390078358"/>
      <w:bookmarkStart w:id="342" w:name="_Toc390078716"/>
      <w:r>
        <w:rPr>
          <w:rStyle w:val="CharSectno"/>
        </w:rPr>
        <w:t>158C</w:t>
      </w:r>
      <w:r>
        <w:t>.</w:t>
      </w:r>
      <w:r>
        <w:tab/>
        <w:t>Disputes as to degree of permanent whole of person impairment</w:t>
      </w:r>
      <w:bookmarkEnd w:id="341"/>
      <w:bookmarkEnd w:id="342"/>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343" w:name="_Toc390078359"/>
      <w:bookmarkStart w:id="344" w:name="_Toc390078717"/>
      <w:r>
        <w:rPr>
          <w:rStyle w:val="CharSectno"/>
        </w:rPr>
        <w:t>158D</w:t>
      </w:r>
      <w:r>
        <w:t>.</w:t>
      </w:r>
      <w:r>
        <w:tab/>
        <w:t>Disputes as to retraining criteria</w:t>
      </w:r>
      <w:bookmarkEnd w:id="343"/>
      <w:bookmarkEnd w:id="344"/>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345" w:name="_Toc390078360"/>
      <w:bookmarkStart w:id="346" w:name="_Toc390078718"/>
      <w:r>
        <w:rPr>
          <w:rStyle w:val="CharSectno"/>
        </w:rPr>
        <w:t>158E</w:t>
      </w:r>
      <w:r>
        <w:t>.</w:t>
      </w:r>
      <w:r>
        <w:tab/>
        <w:t>Specialised retraining program agreements</w:t>
      </w:r>
      <w:bookmarkEnd w:id="345"/>
      <w:bookmarkEnd w:id="346"/>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347" w:name="_Toc390078361"/>
      <w:bookmarkStart w:id="348" w:name="_Toc390078719"/>
      <w:r>
        <w:rPr>
          <w:rStyle w:val="CharSectno"/>
        </w:rPr>
        <w:t>158F</w:t>
      </w:r>
      <w:r>
        <w:t>.</w:t>
      </w:r>
      <w:r>
        <w:tab/>
        <w:t>WorkCover WA to direct payments in relation to specialised retraining programs</w:t>
      </w:r>
      <w:bookmarkEnd w:id="347"/>
      <w:bookmarkEnd w:id="348"/>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r>
        <w:tab/>
        <w:t>[Section 158F inserted by No. 42 of 2004 s. 119.]</w:t>
      </w:r>
    </w:p>
    <w:p>
      <w:pPr>
        <w:pStyle w:val="Heading5"/>
      </w:pPr>
      <w:bookmarkStart w:id="349" w:name="_Toc390078362"/>
      <w:bookmarkStart w:id="350" w:name="_Toc390078720"/>
      <w:r>
        <w:rPr>
          <w:rStyle w:val="CharSectno"/>
        </w:rPr>
        <w:t>158G</w:t>
      </w:r>
      <w:r>
        <w:t>.</w:t>
      </w:r>
      <w:r>
        <w:tab/>
        <w:t>Obligations of employers, insurers</w:t>
      </w:r>
      <w:bookmarkEnd w:id="349"/>
      <w:bookmarkEnd w:id="350"/>
    </w:p>
    <w:p>
      <w:pPr>
        <w:pStyle w:val="Subsection"/>
        <w:spacing w:before="120"/>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spacing w:before="120"/>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spacing w:before="120"/>
      </w:pPr>
      <w:r>
        <w:tab/>
        <w:t>(3)</w:t>
      </w:r>
      <w:r>
        <w:tab/>
        <w:t>A reference in section 174(1)(c) to the obtaining of an award by the worker includes a reference to the receipt by an employer or insurer of a direction under section 158F or 158I.</w:t>
      </w:r>
    </w:p>
    <w:p>
      <w:pPr>
        <w:pStyle w:val="Subsection"/>
        <w:spacing w:before="120"/>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pPr>
      <w:r>
        <w:tab/>
        <w:t>(b)</w:t>
      </w:r>
      <w:r>
        <w:tab/>
        <w:t>moneys have already been paid from the General Account in respect of that program.</w:t>
      </w:r>
    </w:p>
    <w:p>
      <w:pPr>
        <w:pStyle w:val="Footnotesection"/>
      </w:pPr>
      <w:r>
        <w:tab/>
        <w:t>[Section 158G inserted by No. 42 of 2004 s. 119; amended by No. 77 of 2006 s. 17.]</w:t>
      </w:r>
    </w:p>
    <w:p>
      <w:pPr>
        <w:pStyle w:val="Heading5"/>
      </w:pPr>
      <w:bookmarkStart w:id="351" w:name="_Toc390078363"/>
      <w:bookmarkStart w:id="352" w:name="_Toc390078721"/>
      <w:r>
        <w:rPr>
          <w:rStyle w:val="CharSectno"/>
        </w:rPr>
        <w:t>158H</w:t>
      </w:r>
      <w:r>
        <w:t>.</w:t>
      </w:r>
      <w:r>
        <w:tab/>
        <w:t>3 monthly reviews of performance, payments under specialised retraining programs</w:t>
      </w:r>
      <w:bookmarkEnd w:id="351"/>
      <w:bookmarkEnd w:id="352"/>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353" w:name="_Toc390078364"/>
      <w:bookmarkStart w:id="354" w:name="_Toc390078722"/>
      <w:r>
        <w:rPr>
          <w:rStyle w:val="CharSectno"/>
        </w:rPr>
        <w:t>158I</w:t>
      </w:r>
      <w:r>
        <w:t>.</w:t>
      </w:r>
      <w:r>
        <w:tab/>
        <w:t>WorkCover WA may direct modification, suspension, cessation of payments under specialised retraining programs</w:t>
      </w:r>
      <w:bookmarkEnd w:id="353"/>
      <w:bookmarkEnd w:id="354"/>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by No. 42 of 2004 s. 119.]</w:t>
      </w:r>
    </w:p>
    <w:p>
      <w:pPr>
        <w:pStyle w:val="Heading5"/>
      </w:pPr>
      <w:bookmarkStart w:id="355" w:name="_Toc390078365"/>
      <w:bookmarkStart w:id="356" w:name="_Toc390078723"/>
      <w:r>
        <w:rPr>
          <w:rStyle w:val="CharSectno"/>
        </w:rPr>
        <w:t>158J</w:t>
      </w:r>
      <w:r>
        <w:t>.</w:t>
      </w:r>
      <w:r>
        <w:tab/>
        <w:t>Cessation of payments</w:t>
      </w:r>
      <w:bookmarkEnd w:id="355"/>
      <w:bookmarkEnd w:id="356"/>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r>
        <w:tab/>
        <w:t>[Section 158J inserted by No. 42 of 2004 s. 119.]</w:t>
      </w:r>
    </w:p>
    <w:p>
      <w:pPr>
        <w:pStyle w:val="Heading5"/>
      </w:pPr>
      <w:bookmarkStart w:id="357" w:name="_Toc390078366"/>
      <w:bookmarkStart w:id="358" w:name="_Toc390078724"/>
      <w:r>
        <w:rPr>
          <w:rStyle w:val="CharSectno"/>
        </w:rPr>
        <w:t>158K</w:t>
      </w:r>
      <w:r>
        <w:t>.</w:t>
      </w:r>
      <w:r>
        <w:tab/>
        <w:t>Directions not open to challenge etc.</w:t>
      </w:r>
      <w:bookmarkEnd w:id="357"/>
      <w:bookmarkEnd w:id="358"/>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r>
        <w:tab/>
        <w:t>[Section 158K inserted by No. 42 of 2004 s. 119.]</w:t>
      </w:r>
    </w:p>
    <w:p>
      <w:pPr>
        <w:pStyle w:val="Heading5"/>
      </w:pPr>
      <w:bookmarkStart w:id="359" w:name="_Toc390078367"/>
      <w:bookmarkStart w:id="360" w:name="_Toc390078725"/>
      <w:r>
        <w:rPr>
          <w:rStyle w:val="CharSectno"/>
        </w:rPr>
        <w:t>158L</w:t>
      </w:r>
      <w:r>
        <w:t>.</w:t>
      </w:r>
      <w:r>
        <w:tab/>
        <w:t>Other effects of participation in specialised retraining program</w:t>
      </w:r>
      <w:bookmarkEnd w:id="359"/>
      <w:bookmarkEnd w:id="360"/>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Repealed by No. 42 of 2004 s. 118.]</w:t>
      </w:r>
    </w:p>
    <w:p>
      <w:pPr>
        <w:pStyle w:val="Heading2"/>
      </w:pPr>
      <w:bookmarkStart w:id="361" w:name="_Toc390078368"/>
      <w:bookmarkStart w:id="362" w:name="_Toc390078726"/>
      <w:r>
        <w:rPr>
          <w:rStyle w:val="CharPartNo"/>
        </w:rPr>
        <w:t>Part X</w:t>
      </w:r>
      <w:r>
        <w:t> — </w:t>
      </w:r>
      <w:r>
        <w:rPr>
          <w:rStyle w:val="CharPartText"/>
        </w:rPr>
        <w:t>Insurance</w:t>
      </w:r>
      <w:bookmarkEnd w:id="361"/>
      <w:bookmarkEnd w:id="362"/>
      <w:r>
        <w:rPr>
          <w:rStyle w:val="CharPartText"/>
        </w:rPr>
        <w:t xml:space="preserve"> </w:t>
      </w:r>
    </w:p>
    <w:p>
      <w:pPr>
        <w:pStyle w:val="Heading3"/>
        <w:rPr>
          <w:snapToGrid w:val="0"/>
        </w:rPr>
      </w:pPr>
      <w:bookmarkStart w:id="363" w:name="_Toc390078369"/>
      <w:bookmarkStart w:id="364" w:name="_Toc390078727"/>
      <w:r>
        <w:rPr>
          <w:rStyle w:val="CharDivNo"/>
        </w:rPr>
        <w:t>Division 1</w:t>
      </w:r>
      <w:r>
        <w:rPr>
          <w:snapToGrid w:val="0"/>
        </w:rPr>
        <w:t> — </w:t>
      </w:r>
      <w:r>
        <w:rPr>
          <w:rStyle w:val="CharDivText"/>
        </w:rPr>
        <w:t>Liability of employers and insurers</w:t>
      </w:r>
      <w:bookmarkEnd w:id="363"/>
      <w:bookmarkEnd w:id="364"/>
      <w:r>
        <w:rPr>
          <w:rStyle w:val="CharDivText"/>
        </w:rPr>
        <w:t xml:space="preserve"> </w:t>
      </w:r>
    </w:p>
    <w:p>
      <w:pPr>
        <w:pStyle w:val="Heading5"/>
        <w:rPr>
          <w:snapToGrid w:val="0"/>
        </w:rPr>
      </w:pPr>
      <w:bookmarkStart w:id="365" w:name="_Toc390078370"/>
      <w:bookmarkStart w:id="366" w:name="_Toc390078728"/>
      <w:r>
        <w:rPr>
          <w:rStyle w:val="CharSectno"/>
        </w:rPr>
        <w:t>160</w:t>
      </w:r>
      <w:r>
        <w:rPr>
          <w:snapToGrid w:val="0"/>
        </w:rPr>
        <w:t>.</w:t>
      </w:r>
      <w:r>
        <w:rPr>
          <w:snapToGrid w:val="0"/>
        </w:rPr>
        <w:tab/>
        <w:t>Employer to obtain insurance</w:t>
      </w:r>
      <w:bookmarkEnd w:id="365"/>
      <w:bookmarkEnd w:id="366"/>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367" w:name="_Toc390078371"/>
      <w:bookmarkStart w:id="368" w:name="_Toc390078729"/>
      <w:r>
        <w:rPr>
          <w:rStyle w:val="CharSectno"/>
        </w:rPr>
        <w:t>160A</w:t>
      </w:r>
      <w:r>
        <w:t>.</w:t>
      </w:r>
      <w:r>
        <w:tab/>
        <w:t>Insurance in respect of working directors</w:t>
      </w:r>
      <w:bookmarkEnd w:id="367"/>
      <w:bookmarkEnd w:id="368"/>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369" w:name="_Toc390078372"/>
      <w:bookmarkStart w:id="370" w:name="_Toc390078730"/>
      <w:r>
        <w:rPr>
          <w:rStyle w:val="CharSectno"/>
        </w:rPr>
        <w:t>161A</w:t>
      </w:r>
      <w:r>
        <w:rPr>
          <w:snapToGrid w:val="0"/>
        </w:rPr>
        <w:t>.</w:t>
      </w:r>
      <w:r>
        <w:rPr>
          <w:snapToGrid w:val="0"/>
        </w:rPr>
        <w:tab/>
        <w:t>Penalty — issue or renewal of policy without approval</w:t>
      </w:r>
      <w:bookmarkEnd w:id="369"/>
      <w:bookmarkEnd w:id="370"/>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371" w:name="_Toc390078373"/>
      <w:bookmarkStart w:id="372" w:name="_Toc390078731"/>
      <w:r>
        <w:rPr>
          <w:rStyle w:val="CharSectno"/>
        </w:rPr>
        <w:t>161</w:t>
      </w:r>
      <w:r>
        <w:rPr>
          <w:snapToGrid w:val="0"/>
        </w:rPr>
        <w:t>.</w:t>
      </w:r>
      <w:r>
        <w:rPr>
          <w:snapToGrid w:val="0"/>
        </w:rPr>
        <w:tab/>
        <w:t>Approvals</w:t>
      </w:r>
      <w:bookmarkEnd w:id="371"/>
      <w:bookmarkEnd w:id="372"/>
      <w:r>
        <w:rPr>
          <w:snapToGrid w:val="0"/>
        </w:rPr>
        <w:t xml:space="preserve"> </w:t>
      </w:r>
    </w:p>
    <w:p>
      <w:pPr>
        <w:pStyle w:val="Subsection"/>
        <w:spacing w:before="120"/>
        <w:rPr>
          <w:snapToGrid w:val="0"/>
        </w:rPr>
      </w:pPr>
      <w:r>
        <w:rPr>
          <w:snapToGrid w:val="0"/>
        </w:rPr>
        <w:tab/>
        <w:t>(1)</w:t>
      </w:r>
      <w:r>
        <w:rPr>
          <w:snapToGrid w:val="0"/>
        </w:rPr>
        <w:tab/>
        <w:t xml:space="preserve">For the purpose of this Part </w:t>
      </w:r>
      <w:r>
        <w:rPr>
          <w:b/>
          <w:snapToGrid w:val="0"/>
        </w:rPr>
        <w:t>“</w:t>
      </w:r>
      <w:r>
        <w:rPr>
          <w:rStyle w:val="CharDefText"/>
        </w:rPr>
        <w:t>incorporated insurance office</w:t>
      </w:r>
      <w:r>
        <w:rPr>
          <w:b/>
          <w:snapToGrid w:val="0"/>
        </w:rPr>
        <w:t>”</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spacing w:before="120"/>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spacing w:before="120"/>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spacing w:before="120"/>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2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2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20"/>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373" w:name="_Toc390078374"/>
      <w:bookmarkStart w:id="374" w:name="_Toc390078732"/>
      <w:r>
        <w:rPr>
          <w:rStyle w:val="CharSectno"/>
        </w:rPr>
        <w:t>162</w:t>
      </w:r>
      <w:r>
        <w:rPr>
          <w:snapToGrid w:val="0"/>
        </w:rPr>
        <w:t>.</w:t>
      </w:r>
      <w:r>
        <w:rPr>
          <w:snapToGrid w:val="0"/>
        </w:rPr>
        <w:tab/>
        <w:t>The State Government Insurance Commission sole insurer against certain industrial diseases</w:t>
      </w:r>
      <w:bookmarkEnd w:id="373"/>
      <w:bookmarkEnd w:id="374"/>
      <w:r>
        <w:rPr>
          <w:snapToGrid w:val="0"/>
        </w:rPr>
        <w:t xml:space="preserve"> </w:t>
      </w:r>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spacing w:before="120"/>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375" w:name="_Toc390078375"/>
      <w:bookmarkStart w:id="376" w:name="_Toc390078733"/>
      <w:r>
        <w:rPr>
          <w:rStyle w:val="CharSectno"/>
        </w:rPr>
        <w:t>163</w:t>
      </w:r>
      <w:r>
        <w:rPr>
          <w:snapToGrid w:val="0"/>
        </w:rPr>
        <w:t>.</w:t>
      </w:r>
      <w:r>
        <w:rPr>
          <w:snapToGrid w:val="0"/>
        </w:rPr>
        <w:tab/>
        <w:t>Payment of industrial disease premium and issue of policy</w:t>
      </w:r>
      <w:bookmarkEnd w:id="375"/>
      <w:bookmarkEnd w:id="376"/>
      <w:r>
        <w:rPr>
          <w:snapToGrid w:val="0"/>
        </w:rPr>
        <w:t xml:space="preserve"> </w:t>
      </w:r>
    </w:p>
    <w:p>
      <w:pPr>
        <w:pStyle w:val="Subsection"/>
        <w:spacing w:before="120"/>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377" w:name="_Toc390078376"/>
      <w:bookmarkStart w:id="378" w:name="_Toc390078734"/>
      <w:r>
        <w:rPr>
          <w:rStyle w:val="CharSectno"/>
        </w:rPr>
        <w:t>164</w:t>
      </w:r>
      <w:r>
        <w:rPr>
          <w:snapToGrid w:val="0"/>
        </w:rPr>
        <w:t>.</w:t>
      </w:r>
      <w:r>
        <w:rPr>
          <w:snapToGrid w:val="0"/>
        </w:rPr>
        <w:tab/>
        <w:t>Exempt employer</w:t>
      </w:r>
      <w:bookmarkEnd w:id="377"/>
      <w:bookmarkEnd w:id="378"/>
      <w:r>
        <w:rPr>
          <w:snapToGrid w:val="0"/>
        </w:rPr>
        <w:t xml:space="preserve"> </w:t>
      </w:r>
    </w:p>
    <w:p>
      <w:pPr>
        <w:pStyle w:val="Subsection"/>
        <w:spacing w:before="120"/>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spacing w:before="120"/>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spacing w:before="160"/>
        <w:rPr>
          <w:snapToGrid w:val="0"/>
        </w:rPr>
      </w:pPr>
      <w:bookmarkStart w:id="379" w:name="_Toc390078377"/>
      <w:bookmarkStart w:id="380" w:name="_Toc390078735"/>
      <w:r>
        <w:rPr>
          <w:rStyle w:val="CharSectno"/>
        </w:rPr>
        <w:t>165</w:t>
      </w:r>
      <w:r>
        <w:rPr>
          <w:snapToGrid w:val="0"/>
        </w:rPr>
        <w:t>.</w:t>
      </w:r>
      <w:r>
        <w:rPr>
          <w:snapToGrid w:val="0"/>
        </w:rPr>
        <w:tab/>
        <w:t>Review of exemptions</w:t>
      </w:r>
      <w:bookmarkEnd w:id="379"/>
      <w:bookmarkEnd w:id="380"/>
      <w:r>
        <w:rPr>
          <w:snapToGrid w:val="0"/>
        </w:rPr>
        <w:t xml:space="preserve"> </w:t>
      </w:r>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spacing w:before="120"/>
        <w:rPr>
          <w:snapToGrid w:val="0"/>
        </w:rPr>
      </w:pPr>
      <w:r>
        <w:rPr>
          <w:snapToGrid w:val="0"/>
        </w:rPr>
        <w:tab/>
        <w:t>(3)</w:t>
      </w:r>
      <w:r>
        <w:rPr>
          <w:snapToGrid w:val="0"/>
        </w:rPr>
        <w:tab/>
        <w:t>The Minister may after a review recommend to the Governor that an exemption be cancelled — </w:t>
      </w:r>
    </w:p>
    <w:p>
      <w:pPr>
        <w:pStyle w:val="Indenta"/>
        <w:spacing w:before="60"/>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spacing w:before="60"/>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spacing w:before="60"/>
        <w:rPr>
          <w:snapToGrid w:val="0"/>
        </w:rPr>
      </w:pPr>
      <w:r>
        <w:rPr>
          <w:snapToGrid w:val="0"/>
        </w:rPr>
        <w:tab/>
      </w:r>
      <w:r>
        <w:rPr>
          <w:snapToGrid w:val="0"/>
        </w:rPr>
        <w:tab/>
        <w:t>and the Governor may then cancel the exemption.</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spacing w:before="60"/>
        <w:rPr>
          <w:snapToGrid w:val="0"/>
        </w:rPr>
      </w:pPr>
      <w:r>
        <w:rPr>
          <w:snapToGrid w:val="0"/>
        </w:rPr>
        <w:tab/>
        <w:t>(b)</w:t>
      </w:r>
      <w:r>
        <w:rPr>
          <w:snapToGrid w:val="0"/>
        </w:rPr>
        <w:tab/>
        <w:t>the Minister requires an increase in the value of securities deposited by an employer or group of employers — </w:t>
      </w:r>
    </w:p>
    <w:p>
      <w:pPr>
        <w:pStyle w:val="Indenti"/>
        <w:spacing w:before="60"/>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81" w:name="_Toc390078378"/>
      <w:bookmarkStart w:id="382" w:name="_Toc390078736"/>
      <w:r>
        <w:rPr>
          <w:rStyle w:val="CharSectno"/>
        </w:rPr>
        <w:t>166</w:t>
      </w:r>
      <w:r>
        <w:rPr>
          <w:snapToGrid w:val="0"/>
        </w:rPr>
        <w:t>.</w:t>
      </w:r>
      <w:r>
        <w:rPr>
          <w:snapToGrid w:val="0"/>
        </w:rPr>
        <w:tab/>
        <w:t>Other cancellations</w:t>
      </w:r>
      <w:bookmarkEnd w:id="381"/>
      <w:bookmarkEnd w:id="382"/>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spacing w:before="120"/>
        <w:rPr>
          <w:snapToGrid w:val="0"/>
        </w:rPr>
      </w:pPr>
      <w:bookmarkStart w:id="383" w:name="_Toc390078379"/>
      <w:bookmarkStart w:id="384" w:name="_Toc390078737"/>
      <w:r>
        <w:rPr>
          <w:rStyle w:val="CharSectno"/>
        </w:rPr>
        <w:t>167</w:t>
      </w:r>
      <w:r>
        <w:rPr>
          <w:snapToGrid w:val="0"/>
        </w:rPr>
        <w:t>.</w:t>
      </w:r>
      <w:r>
        <w:rPr>
          <w:snapToGrid w:val="0"/>
        </w:rPr>
        <w:tab/>
        <w:t>Effect of cessation of exemption</w:t>
      </w:r>
      <w:bookmarkEnd w:id="383"/>
      <w:bookmarkEnd w:id="384"/>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spacing w:before="120"/>
        <w:rPr>
          <w:snapToGrid w:val="0"/>
        </w:rPr>
      </w:pPr>
      <w:bookmarkStart w:id="385" w:name="_Toc390078380"/>
      <w:bookmarkStart w:id="386" w:name="_Toc390078738"/>
      <w:r>
        <w:rPr>
          <w:rStyle w:val="CharSectno"/>
        </w:rPr>
        <w:t>168</w:t>
      </w:r>
      <w:r>
        <w:rPr>
          <w:snapToGrid w:val="0"/>
        </w:rPr>
        <w:t>.</w:t>
      </w:r>
      <w:r>
        <w:rPr>
          <w:snapToGrid w:val="0"/>
        </w:rPr>
        <w:tab/>
        <w:t>Cessation of exemption</w:t>
      </w:r>
      <w:bookmarkEnd w:id="385"/>
      <w:bookmarkEnd w:id="386"/>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87" w:name="_Toc390078381"/>
      <w:bookmarkStart w:id="388" w:name="_Toc390078739"/>
      <w:r>
        <w:rPr>
          <w:rStyle w:val="CharSectno"/>
        </w:rPr>
        <w:t>169</w:t>
      </w:r>
      <w:r>
        <w:rPr>
          <w:snapToGrid w:val="0"/>
        </w:rPr>
        <w:t>.</w:t>
      </w:r>
      <w:r>
        <w:rPr>
          <w:snapToGrid w:val="0"/>
        </w:rPr>
        <w:tab/>
        <w:t>Forms of policy</w:t>
      </w:r>
      <w:bookmarkEnd w:id="387"/>
      <w:bookmarkEnd w:id="388"/>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89" w:name="_Toc390078382"/>
      <w:bookmarkStart w:id="390" w:name="_Toc390078740"/>
      <w:r>
        <w:rPr>
          <w:rStyle w:val="CharSectno"/>
        </w:rPr>
        <w:t>170</w:t>
      </w:r>
      <w:r>
        <w:rPr>
          <w:snapToGrid w:val="0"/>
        </w:rPr>
        <w:t>.</w:t>
      </w:r>
      <w:r>
        <w:rPr>
          <w:snapToGrid w:val="0"/>
        </w:rPr>
        <w:tab/>
        <w:t>Penalty — uninsured worker</w:t>
      </w:r>
      <w:bookmarkEnd w:id="389"/>
      <w:bookmarkEnd w:id="390"/>
      <w:r>
        <w:rPr>
          <w:snapToGrid w:val="0"/>
        </w:rPr>
        <w:t xml:space="preserve"> </w:t>
      </w:r>
    </w:p>
    <w:p>
      <w:pPr>
        <w:pStyle w:val="Subsection"/>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b/>
          <w:snapToGrid w:val="0"/>
        </w:rPr>
        <w:t>“</w:t>
      </w:r>
      <w:r>
        <w:rPr>
          <w:rStyle w:val="CharDefText"/>
        </w:rPr>
        <w:t>responsible officer</w:t>
      </w:r>
      <w:r>
        <w:rPr>
          <w:b/>
          <w:snapToGrid w:val="0"/>
        </w:rPr>
        <w:t>”</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t>“</w:t>
      </w:r>
      <w:r>
        <w:rPr>
          <w:rStyle w:val="CharDefText"/>
        </w:rPr>
        <w:t>workers’ compensation cover</w:t>
      </w:r>
      <w:r>
        <w:rPr>
          <w:b/>
        </w:rPr>
        <w:t>”</w:t>
      </w:r>
      <w:r>
        <w:t xml:space="preserve"> means insurance or registration required under the law of a State in respect of liability for statutory workers’ compensation under that law.</w:t>
      </w:r>
    </w:p>
    <w:p>
      <w:pPr>
        <w:pStyle w:val="Footnotesection"/>
      </w:pPr>
      <w:r>
        <w:tab/>
        <w:t xml:space="preserve">[Section 170 amended by No. 44 of 1985 s. 37; No. 33 of 1986 s. 7; No. 86 of 1986 s. 5; No. 96 of 1990 s. 43; No. 34 of 1999 s. 43 and 57; No. 36 of 2004 s. 11; No. 42 of 2004 s. 150; No. 84 of 2004 s. 80; No. 77 of 2006 s. 17.] </w:t>
      </w:r>
    </w:p>
    <w:p>
      <w:pPr>
        <w:pStyle w:val="Heading5"/>
        <w:keepLines w:val="0"/>
        <w:spacing w:before="160"/>
        <w:rPr>
          <w:snapToGrid w:val="0"/>
        </w:rPr>
      </w:pPr>
      <w:bookmarkStart w:id="391" w:name="_Toc390078383"/>
      <w:bookmarkStart w:id="392" w:name="_Toc390078741"/>
      <w:r>
        <w:rPr>
          <w:rStyle w:val="CharSectno"/>
        </w:rPr>
        <w:t>171</w:t>
      </w:r>
      <w:r>
        <w:rPr>
          <w:snapToGrid w:val="0"/>
        </w:rPr>
        <w:t>.</w:t>
      </w:r>
      <w:r>
        <w:rPr>
          <w:snapToGrid w:val="0"/>
        </w:rPr>
        <w:tab/>
        <w:t>Insurance offices to furnish certain statements</w:t>
      </w:r>
      <w:bookmarkEnd w:id="391"/>
      <w:bookmarkEnd w:id="392"/>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93" w:name="_Toc390078384"/>
      <w:bookmarkStart w:id="394" w:name="_Toc390078742"/>
      <w:r>
        <w:rPr>
          <w:rStyle w:val="CharSectno"/>
        </w:rPr>
        <w:t>172</w:t>
      </w:r>
      <w:r>
        <w:t>.</w:t>
      </w:r>
      <w:r>
        <w:tab/>
        <w:t>WorkCover WA may pass on certain information to insurer</w:t>
      </w:r>
      <w:bookmarkEnd w:id="393"/>
      <w:bookmarkEnd w:id="394"/>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Repealed by No. 34 of 1999 s. 44.]</w:t>
      </w:r>
    </w:p>
    <w:p>
      <w:pPr>
        <w:pStyle w:val="Heading5"/>
        <w:spacing w:before="260"/>
        <w:rPr>
          <w:snapToGrid w:val="0"/>
        </w:rPr>
      </w:pPr>
      <w:bookmarkStart w:id="395" w:name="_Toc390078385"/>
      <w:bookmarkStart w:id="396" w:name="_Toc390078743"/>
      <w:r>
        <w:rPr>
          <w:rStyle w:val="CharSectno"/>
        </w:rPr>
        <w:t>173</w:t>
      </w:r>
      <w:r>
        <w:rPr>
          <w:snapToGrid w:val="0"/>
        </w:rPr>
        <w:t>.</w:t>
      </w:r>
      <w:r>
        <w:rPr>
          <w:snapToGrid w:val="0"/>
        </w:rPr>
        <w:tab/>
        <w:t>Worker’s rights against insurer</w:t>
      </w:r>
      <w:bookmarkEnd w:id="395"/>
      <w:bookmarkEnd w:id="396"/>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97" w:name="_Toc390078386"/>
      <w:bookmarkStart w:id="398" w:name="_Toc390078744"/>
      <w:r>
        <w:rPr>
          <w:rStyle w:val="CharSectno"/>
        </w:rPr>
        <w:t>174</w:t>
      </w:r>
      <w:r>
        <w:rPr>
          <w:snapToGrid w:val="0"/>
        </w:rPr>
        <w:t>.</w:t>
      </w:r>
      <w:r>
        <w:rPr>
          <w:snapToGrid w:val="0"/>
        </w:rPr>
        <w:tab/>
        <w:t xml:space="preserve">Payment to worker from General </w:t>
      </w:r>
      <w:r>
        <w:t>Account</w:t>
      </w:r>
      <w:bookmarkEnd w:id="397"/>
      <w:bookmarkEnd w:id="39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spacing w:before="100"/>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spacing w:before="100"/>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spacing w:before="120"/>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 17.] </w:t>
      </w:r>
    </w:p>
    <w:p>
      <w:pPr>
        <w:pStyle w:val="Heading5"/>
        <w:spacing w:before="120"/>
      </w:pPr>
      <w:bookmarkStart w:id="399" w:name="_Toc390078387"/>
      <w:bookmarkStart w:id="400" w:name="_Toc390078745"/>
      <w:r>
        <w:rPr>
          <w:rStyle w:val="CharSectno"/>
        </w:rPr>
        <w:t>174AA</w:t>
      </w:r>
      <w:r>
        <w:t>.</w:t>
      </w:r>
      <w:r>
        <w:tab/>
        <w:t>Recovery from responsible officers of body corporate</w:t>
      </w:r>
      <w:bookmarkEnd w:id="399"/>
      <w:bookmarkEnd w:id="400"/>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spacing w:before="120"/>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 17.]</w:t>
      </w:r>
    </w:p>
    <w:p>
      <w:pPr>
        <w:pStyle w:val="Heading5"/>
      </w:pPr>
      <w:bookmarkStart w:id="401" w:name="_Toc390078388"/>
      <w:bookmarkStart w:id="402" w:name="_Toc390078746"/>
      <w:r>
        <w:rPr>
          <w:rStyle w:val="CharSectno"/>
        </w:rPr>
        <w:t>174AB</w:t>
      </w:r>
      <w:r>
        <w:t>.</w:t>
      </w:r>
      <w:r>
        <w:tab/>
        <w:t>WorkCover WA may exercise rights of employer</w:t>
      </w:r>
      <w:bookmarkEnd w:id="401"/>
      <w:bookmarkEnd w:id="402"/>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by No. 42 of 2004 s. 128.]</w:t>
      </w:r>
    </w:p>
    <w:p>
      <w:pPr>
        <w:pStyle w:val="Heading5"/>
      </w:pPr>
      <w:bookmarkStart w:id="403" w:name="_Toc390078389"/>
      <w:bookmarkStart w:id="404" w:name="_Toc390078747"/>
      <w:r>
        <w:rPr>
          <w:rStyle w:val="CharSectno"/>
        </w:rPr>
        <w:t>174AC</w:t>
      </w:r>
      <w:r>
        <w:t>.</w:t>
      </w:r>
      <w:r>
        <w:tab/>
        <w:t>WorkCover WA’s right of subrogation</w:t>
      </w:r>
      <w:bookmarkEnd w:id="403"/>
      <w:bookmarkEnd w:id="404"/>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 17.]</w:t>
      </w:r>
    </w:p>
    <w:p>
      <w:pPr>
        <w:pStyle w:val="Heading5"/>
        <w:rPr>
          <w:snapToGrid w:val="0"/>
        </w:rPr>
      </w:pPr>
      <w:bookmarkStart w:id="405" w:name="_Toc390078390"/>
      <w:bookmarkStart w:id="406" w:name="_Toc390078748"/>
      <w:r>
        <w:rPr>
          <w:rStyle w:val="CharSectno"/>
        </w:rPr>
        <w:t>174A</w:t>
      </w:r>
      <w:r>
        <w:rPr>
          <w:snapToGrid w:val="0"/>
        </w:rPr>
        <w:t>.</w:t>
      </w:r>
      <w:r>
        <w:rPr>
          <w:snapToGrid w:val="0"/>
        </w:rPr>
        <w:tab/>
        <w:t>Insurer may not refuse to indemnify in certain circumstances</w:t>
      </w:r>
      <w:bookmarkEnd w:id="405"/>
      <w:bookmarkEnd w:id="406"/>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407" w:name="_Toc390078391"/>
      <w:bookmarkStart w:id="408" w:name="_Toc390078749"/>
      <w:r>
        <w:rPr>
          <w:rStyle w:val="CharDivNo"/>
        </w:rPr>
        <w:t>Division 2</w:t>
      </w:r>
      <w:r>
        <w:rPr>
          <w:snapToGrid w:val="0"/>
        </w:rPr>
        <w:t> — </w:t>
      </w:r>
      <w:r>
        <w:rPr>
          <w:rStyle w:val="CharDivText"/>
        </w:rPr>
        <w:t>Insurance by principals, contractors, and sub</w:t>
      </w:r>
      <w:r>
        <w:rPr>
          <w:rStyle w:val="CharDivText"/>
        </w:rPr>
        <w:noBreakHyphen/>
        <w:t>contractors</w:t>
      </w:r>
      <w:bookmarkEnd w:id="407"/>
      <w:bookmarkEnd w:id="408"/>
      <w:r>
        <w:rPr>
          <w:rStyle w:val="CharDivText"/>
        </w:rPr>
        <w:t xml:space="preserve"> </w:t>
      </w:r>
    </w:p>
    <w:p>
      <w:pPr>
        <w:pStyle w:val="Heading5"/>
        <w:rPr>
          <w:snapToGrid w:val="0"/>
        </w:rPr>
      </w:pPr>
      <w:bookmarkStart w:id="409" w:name="_Toc390078392"/>
      <w:bookmarkStart w:id="410" w:name="_Toc390078750"/>
      <w:r>
        <w:rPr>
          <w:rStyle w:val="CharSectno"/>
        </w:rPr>
        <w:t>175</w:t>
      </w:r>
      <w:r>
        <w:rPr>
          <w:snapToGrid w:val="0"/>
        </w:rPr>
        <w:t>.</w:t>
      </w:r>
      <w:r>
        <w:rPr>
          <w:snapToGrid w:val="0"/>
        </w:rPr>
        <w:tab/>
        <w:t>Principal contractor and sub</w:t>
      </w:r>
      <w:r>
        <w:rPr>
          <w:snapToGrid w:val="0"/>
        </w:rPr>
        <w:noBreakHyphen/>
        <w:t>contractor deemed employers</w:t>
      </w:r>
      <w:bookmarkEnd w:id="409"/>
      <w:bookmarkEnd w:id="410"/>
      <w:r>
        <w:rPr>
          <w:snapToGrid w:val="0"/>
        </w:rPr>
        <w:t xml:space="preserve"> </w:t>
      </w:r>
    </w:p>
    <w:p>
      <w:pPr>
        <w:pStyle w:val="Subsection"/>
        <w:rPr>
          <w:snapToGrid w:val="0"/>
        </w:rPr>
      </w:pPr>
      <w:r>
        <w:rPr>
          <w:snapToGrid w:val="0"/>
        </w:rPr>
        <w:tab/>
        <w:t>(1)</w:t>
      </w:r>
      <w:r>
        <w:rPr>
          <w:snapToGrid w:val="0"/>
        </w:rPr>
        <w:tab/>
        <w:t>Where a person (in this section referred to as the principal) contracts with another person (in this section referred to as the contractor)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b/>
          <w:snapToGrid w:val="0"/>
        </w:rPr>
        <w:t>“</w:t>
      </w:r>
      <w:r>
        <w:rPr>
          <w:rStyle w:val="CharDefText"/>
        </w:rPr>
        <w:t>principal</w:t>
      </w:r>
      <w:r>
        <w:rPr>
          <w:b/>
          <w:snapToGrid w:val="0"/>
        </w:rPr>
        <w:t>”</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b/>
          <w:snapToGrid w:val="0"/>
        </w:rPr>
        <w:t>“</w:t>
      </w:r>
      <w:r>
        <w:rPr>
          <w:rStyle w:val="CharDefText"/>
        </w:rPr>
        <w:t>contractor</w:t>
      </w:r>
      <w:r>
        <w:rPr>
          <w:b/>
          <w:snapToGrid w:val="0"/>
        </w:rPr>
        <w:t>”</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pPr>
      <w:bookmarkStart w:id="411" w:name="_Toc390078393"/>
      <w:bookmarkStart w:id="412" w:name="_Toc390078751"/>
      <w:r>
        <w:rPr>
          <w:rStyle w:val="CharSectno"/>
        </w:rPr>
        <w:t>175AA</w:t>
      </w:r>
      <w:r>
        <w:t>.</w:t>
      </w:r>
      <w:r>
        <w:tab/>
        <w:t>Certain persons deemed workers</w:t>
      </w:r>
      <w:bookmarkEnd w:id="411"/>
      <w:bookmarkEnd w:id="412"/>
    </w:p>
    <w:p>
      <w:pPr>
        <w:pStyle w:val="Subsection"/>
      </w:pPr>
      <w:r>
        <w:tab/>
        <w:t>(1)</w:t>
      </w:r>
      <w:r>
        <w:tab/>
        <w:t>For the purposes of this section, a person (</w:t>
      </w:r>
      <w:r>
        <w:rPr>
          <w:b/>
        </w:rPr>
        <w:t>“W”</w:t>
      </w:r>
      <w:r>
        <w:t>) executes work for another person (</w:t>
      </w:r>
      <w:r>
        <w:rPr>
          <w:b/>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b/>
        </w:rPr>
        <w:t>“</w:t>
      </w:r>
      <w:r>
        <w:rPr>
          <w:rStyle w:val="CharDefText"/>
        </w:rPr>
        <w:t>company</w:t>
      </w:r>
      <w:r>
        <w:rPr>
          <w:b/>
        </w:rPr>
        <w:t>”</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413" w:name="_Toc390078394"/>
      <w:bookmarkStart w:id="414" w:name="_Toc390078752"/>
      <w:r>
        <w:rPr>
          <w:rStyle w:val="CharDivNo"/>
        </w:rPr>
        <w:t>Division 3</w:t>
      </w:r>
      <w:r>
        <w:rPr>
          <w:snapToGrid w:val="0"/>
        </w:rPr>
        <w:t> — </w:t>
      </w:r>
      <w:r>
        <w:rPr>
          <w:rStyle w:val="CharDivText"/>
        </w:rPr>
        <w:t>Inspectors</w:t>
      </w:r>
      <w:bookmarkEnd w:id="413"/>
      <w:bookmarkEnd w:id="414"/>
    </w:p>
    <w:p>
      <w:pPr>
        <w:pStyle w:val="Footnoteheading"/>
      </w:pPr>
      <w:r>
        <w:tab/>
        <w:t>[Heading inserted by No. 34 of 1999 s. 46(1).]</w:t>
      </w:r>
    </w:p>
    <w:p>
      <w:pPr>
        <w:pStyle w:val="Heading5"/>
        <w:rPr>
          <w:snapToGrid w:val="0"/>
        </w:rPr>
      </w:pPr>
      <w:bookmarkStart w:id="415" w:name="_Toc390078395"/>
      <w:bookmarkStart w:id="416" w:name="_Toc390078753"/>
      <w:r>
        <w:rPr>
          <w:rStyle w:val="CharSectno"/>
        </w:rPr>
        <w:t>175A</w:t>
      </w:r>
      <w:r>
        <w:rPr>
          <w:snapToGrid w:val="0"/>
        </w:rPr>
        <w:t>.</w:t>
      </w:r>
      <w:r>
        <w:rPr>
          <w:snapToGrid w:val="0"/>
        </w:rPr>
        <w:tab/>
        <w:t>Authorisation</w:t>
      </w:r>
      <w:bookmarkEnd w:id="415"/>
      <w:bookmarkEnd w:id="416"/>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417" w:name="_Toc390078396"/>
      <w:bookmarkStart w:id="418" w:name="_Toc390078754"/>
      <w:r>
        <w:rPr>
          <w:rStyle w:val="CharSectno"/>
        </w:rPr>
        <w:t>175B</w:t>
      </w:r>
      <w:r>
        <w:rPr>
          <w:snapToGrid w:val="0"/>
        </w:rPr>
        <w:t>.</w:t>
      </w:r>
      <w:r>
        <w:rPr>
          <w:snapToGrid w:val="0"/>
        </w:rPr>
        <w:tab/>
        <w:t>Powers</w:t>
      </w:r>
      <w:bookmarkEnd w:id="417"/>
      <w:bookmarkEnd w:id="418"/>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auditor</w:t>
      </w:r>
      <w:r>
        <w:rPr>
          <w:b/>
        </w:rPr>
        <w:t>”</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19" w:name="_Toc390078397"/>
      <w:bookmarkStart w:id="420" w:name="_Toc390078755"/>
      <w:r>
        <w:rPr>
          <w:rStyle w:val="CharSectno"/>
        </w:rPr>
        <w:t>175C</w:t>
      </w:r>
      <w:r>
        <w:rPr>
          <w:snapToGrid w:val="0"/>
        </w:rPr>
        <w:t>.</w:t>
      </w:r>
      <w:r>
        <w:rPr>
          <w:snapToGrid w:val="0"/>
        </w:rPr>
        <w:tab/>
        <w:t>Interpreters</w:t>
      </w:r>
      <w:bookmarkEnd w:id="419"/>
      <w:bookmarkEnd w:id="420"/>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421" w:name="_Toc390078398"/>
      <w:bookmarkStart w:id="422" w:name="_Toc390078756"/>
      <w:r>
        <w:rPr>
          <w:rStyle w:val="CharSectno"/>
        </w:rPr>
        <w:t>175D</w:t>
      </w:r>
      <w:r>
        <w:rPr>
          <w:snapToGrid w:val="0"/>
        </w:rPr>
        <w:t>.</w:t>
      </w:r>
      <w:r>
        <w:rPr>
          <w:snapToGrid w:val="0"/>
        </w:rPr>
        <w:tab/>
        <w:t>Offences</w:t>
      </w:r>
      <w:bookmarkEnd w:id="421"/>
      <w:bookmarkEnd w:id="42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423" w:name="_Toc390078399"/>
      <w:bookmarkStart w:id="424" w:name="_Toc390078757"/>
      <w:r>
        <w:rPr>
          <w:rStyle w:val="CharPartNo"/>
        </w:rPr>
        <w:t>Part XA</w:t>
      </w:r>
      <w:r>
        <w:rPr>
          <w:rStyle w:val="CharDivNo"/>
        </w:rPr>
        <w:t> </w:t>
      </w:r>
      <w:r>
        <w:t>—</w:t>
      </w:r>
      <w:r>
        <w:rPr>
          <w:rStyle w:val="CharDivText"/>
        </w:rPr>
        <w:t> </w:t>
      </w:r>
      <w:r>
        <w:rPr>
          <w:rStyle w:val="CharPartText"/>
        </w:rPr>
        <w:t>Infringement notices and modified penalties</w:t>
      </w:r>
      <w:bookmarkEnd w:id="423"/>
      <w:bookmarkEnd w:id="424"/>
    </w:p>
    <w:p>
      <w:pPr>
        <w:pStyle w:val="Footnoteheading"/>
      </w:pPr>
      <w:r>
        <w:tab/>
        <w:t>[Heading inserted by No. 42 of 2004 s. 129.]</w:t>
      </w:r>
    </w:p>
    <w:p>
      <w:pPr>
        <w:pStyle w:val="Heading5"/>
      </w:pPr>
      <w:bookmarkStart w:id="425" w:name="_Toc390078400"/>
      <w:bookmarkStart w:id="426" w:name="_Toc390078758"/>
      <w:r>
        <w:rPr>
          <w:rStyle w:val="CharSectno"/>
        </w:rPr>
        <w:t>175E</w:t>
      </w:r>
      <w:r>
        <w:t>.</w:t>
      </w:r>
      <w:r>
        <w:tab/>
        <w:t>Definitions</w:t>
      </w:r>
      <w:bookmarkEnd w:id="425"/>
      <w:bookmarkEnd w:id="426"/>
    </w:p>
    <w:p>
      <w:pPr>
        <w:pStyle w:val="Subsection"/>
      </w:pPr>
      <w:r>
        <w:tab/>
      </w:r>
      <w:r>
        <w:tab/>
        <w:t xml:space="preserve">In sections 175G, 175H, 175I and 175J — </w:t>
      </w:r>
    </w:p>
    <w:p>
      <w:pPr>
        <w:pStyle w:val="Defstart"/>
      </w:pPr>
      <w:r>
        <w:rPr>
          <w:b/>
        </w:rPr>
        <w:tab/>
        <w:t>“</w:t>
      </w:r>
      <w:r>
        <w:rPr>
          <w:rStyle w:val="CharDefText"/>
        </w:rPr>
        <w:t>authorised officer</w:t>
      </w:r>
      <w:r>
        <w:rPr>
          <w:b/>
        </w:rPr>
        <w:t>”</w:t>
      </w:r>
      <w:r>
        <w:t xml:space="preserve"> means a person designated as an authorised officer under section 175F for the purposes of the section in which the term is used;</w:t>
      </w:r>
    </w:p>
    <w:p>
      <w:pPr>
        <w:pStyle w:val="Defstart"/>
      </w:pPr>
      <w:r>
        <w:rPr>
          <w:b/>
        </w:rPr>
        <w:tab/>
        <w:t>“</w:t>
      </w:r>
      <w:r>
        <w:rPr>
          <w:rStyle w:val="CharDefText"/>
        </w:rPr>
        <w:t>prescribed</w:t>
      </w:r>
      <w:r>
        <w:rPr>
          <w:b/>
        </w:rPr>
        <w:t>”</w:t>
      </w:r>
      <w:r>
        <w:t xml:space="preserve"> means prescribed by the regulations.</w:t>
      </w:r>
    </w:p>
    <w:p>
      <w:pPr>
        <w:pStyle w:val="Footnotesection"/>
      </w:pPr>
      <w:r>
        <w:tab/>
        <w:t>[Section 175E inserted by No. 42 of 2004 s. 129.]</w:t>
      </w:r>
    </w:p>
    <w:p>
      <w:pPr>
        <w:pStyle w:val="Heading5"/>
      </w:pPr>
      <w:bookmarkStart w:id="427" w:name="_Toc390078401"/>
      <w:bookmarkStart w:id="428" w:name="_Toc390078759"/>
      <w:r>
        <w:rPr>
          <w:rStyle w:val="CharSectno"/>
        </w:rPr>
        <w:t>175F</w:t>
      </w:r>
      <w:r>
        <w:t>.</w:t>
      </w:r>
      <w:r>
        <w:tab/>
        <w:t>Authorised officers</w:t>
      </w:r>
      <w:bookmarkEnd w:id="427"/>
      <w:bookmarkEnd w:id="428"/>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r>
        <w:tab/>
        <w:t>[Section 175F inserted by No. 42 of 2004 s. 129.]</w:t>
      </w:r>
    </w:p>
    <w:p>
      <w:pPr>
        <w:pStyle w:val="Heading5"/>
      </w:pPr>
      <w:bookmarkStart w:id="429" w:name="_Toc390078402"/>
      <w:bookmarkStart w:id="430" w:name="_Toc390078760"/>
      <w:r>
        <w:rPr>
          <w:rStyle w:val="CharSectno"/>
        </w:rPr>
        <w:t>175G</w:t>
      </w:r>
      <w:r>
        <w:t>.</w:t>
      </w:r>
      <w:r>
        <w:tab/>
        <w:t>Giving of notice</w:t>
      </w:r>
      <w:bookmarkEnd w:id="429"/>
      <w:bookmarkEnd w:id="430"/>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431" w:name="_Toc390078403"/>
      <w:bookmarkStart w:id="432" w:name="_Toc390078761"/>
      <w:r>
        <w:rPr>
          <w:rStyle w:val="CharSectno"/>
        </w:rPr>
        <w:t>175H</w:t>
      </w:r>
      <w:r>
        <w:t>.</w:t>
      </w:r>
      <w:r>
        <w:tab/>
        <w:t>Content of notice</w:t>
      </w:r>
      <w:bookmarkEnd w:id="431"/>
      <w:bookmarkEnd w:id="432"/>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 xml:space="preserve">advise that if the alleged offender does not wish to </w:t>
      </w:r>
      <w:del w:id="433" w:author="svcMRProcess" w:date="2020-02-21T23:00:00Z">
        <w:r>
          <w:delText>have a complaint of</w:delText>
        </w:r>
      </w:del>
      <w:ins w:id="434" w:author="svcMRProcess" w:date="2020-02-21T23:00:00Z">
        <w:r>
          <w:t>be prosecuted for</w:t>
        </w:r>
      </w:ins>
      <w:r>
        <w:t xml:space="preserve"> the alleged offence </w:t>
      </w:r>
      <w:del w:id="435" w:author="svcMRProcess" w:date="2020-02-21T23:00:00Z">
        <w:r>
          <w:delText>heard and determined by</w:delText>
        </w:r>
      </w:del>
      <w:ins w:id="436" w:author="svcMRProcess" w:date="2020-02-21T23:00:00Z">
        <w:r>
          <w:t>in</w:t>
        </w:r>
      </w:ins>
      <w:r>
        <w:t xml:space="preserve">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 xml:space="preserve">[Section 175H inserted by No. 42 of 2004 s. 129; amended by No. 84 of 2004 s. </w:t>
      </w:r>
      <w:del w:id="437" w:author="svcMRProcess" w:date="2020-02-21T23:00:00Z">
        <w:r>
          <w:delText>80</w:delText>
        </w:r>
      </w:del>
      <w:ins w:id="438" w:author="svcMRProcess" w:date="2020-02-21T23:00:00Z">
        <w:r>
          <w:t>80; No. 2 of 2008 s. 73</w:t>
        </w:r>
      </w:ins>
      <w:r>
        <w:t>.]</w:t>
      </w:r>
    </w:p>
    <w:p>
      <w:pPr>
        <w:pStyle w:val="Heading5"/>
      </w:pPr>
      <w:bookmarkStart w:id="439" w:name="_Toc390078404"/>
      <w:bookmarkStart w:id="440" w:name="_Toc390078762"/>
      <w:r>
        <w:rPr>
          <w:rStyle w:val="CharSectno"/>
        </w:rPr>
        <w:t>175I</w:t>
      </w:r>
      <w:r>
        <w:t>.</w:t>
      </w:r>
      <w:r>
        <w:tab/>
        <w:t>Extension of time</w:t>
      </w:r>
      <w:bookmarkEnd w:id="439"/>
      <w:bookmarkEnd w:id="440"/>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441" w:name="_Toc390078405"/>
      <w:bookmarkStart w:id="442" w:name="_Toc390078763"/>
      <w:r>
        <w:rPr>
          <w:rStyle w:val="CharSectno"/>
        </w:rPr>
        <w:t>175J</w:t>
      </w:r>
      <w:r>
        <w:t>.</w:t>
      </w:r>
      <w:r>
        <w:tab/>
        <w:t>Withdrawal of notice</w:t>
      </w:r>
      <w:bookmarkEnd w:id="441"/>
      <w:bookmarkEnd w:id="442"/>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443" w:name="_Toc390078406"/>
      <w:bookmarkStart w:id="444" w:name="_Toc390078764"/>
      <w:r>
        <w:rPr>
          <w:rStyle w:val="CharSectno"/>
        </w:rPr>
        <w:t>175K</w:t>
      </w:r>
      <w:r>
        <w:t>.</w:t>
      </w:r>
      <w:r>
        <w:tab/>
        <w:t>Benefit of paying modified penalty</w:t>
      </w:r>
      <w:bookmarkEnd w:id="443"/>
      <w:bookmarkEnd w:id="44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445" w:name="_Toc390078407"/>
      <w:bookmarkStart w:id="446" w:name="_Toc390078765"/>
      <w:r>
        <w:rPr>
          <w:rStyle w:val="CharSectno"/>
        </w:rPr>
        <w:t>175L</w:t>
      </w:r>
      <w:r>
        <w:t>.</w:t>
      </w:r>
      <w:r>
        <w:tab/>
        <w:t>No admission implied by payment</w:t>
      </w:r>
      <w:bookmarkEnd w:id="445"/>
      <w:bookmarkEnd w:id="446"/>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447" w:name="_Toc390078408"/>
      <w:bookmarkStart w:id="448" w:name="_Toc390078766"/>
      <w:r>
        <w:rPr>
          <w:rStyle w:val="CharSectno"/>
        </w:rPr>
        <w:t>175M</w:t>
      </w:r>
      <w:r>
        <w:t>.</w:t>
      </w:r>
      <w:r>
        <w:tab/>
        <w:t>Application of penalties collected</w:t>
      </w:r>
      <w:bookmarkEnd w:id="447"/>
      <w:bookmarkEnd w:id="448"/>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449" w:name="_Toc390078409"/>
      <w:bookmarkStart w:id="450" w:name="_Toc390078767"/>
      <w:r>
        <w:rPr>
          <w:rStyle w:val="CharPartNo"/>
        </w:rPr>
        <w:t>Part XI</w:t>
      </w:r>
      <w:r>
        <w:rPr>
          <w:b w:val="0"/>
        </w:rPr>
        <w:t> </w:t>
      </w:r>
      <w:r>
        <w:t>—</w:t>
      </w:r>
      <w:r>
        <w:rPr>
          <w:b w:val="0"/>
        </w:rPr>
        <w:t> </w:t>
      </w:r>
      <w:r>
        <w:rPr>
          <w:rStyle w:val="CharPartText"/>
        </w:rPr>
        <w:t>Dispute resolution</w:t>
      </w:r>
      <w:bookmarkEnd w:id="449"/>
      <w:bookmarkEnd w:id="450"/>
    </w:p>
    <w:p>
      <w:pPr>
        <w:pStyle w:val="Footnoteheading"/>
      </w:pPr>
      <w:r>
        <w:tab/>
        <w:t>[Heading inserted by No. 42 of 2004 s. 130.]</w:t>
      </w:r>
    </w:p>
    <w:p>
      <w:pPr>
        <w:pStyle w:val="Heading3"/>
      </w:pPr>
      <w:bookmarkStart w:id="451" w:name="_Toc390078410"/>
      <w:bookmarkStart w:id="452" w:name="_Toc390078768"/>
      <w:r>
        <w:rPr>
          <w:rStyle w:val="CharDivNo"/>
        </w:rPr>
        <w:t>Division 1</w:t>
      </w:r>
      <w:r>
        <w:t> — </w:t>
      </w:r>
      <w:r>
        <w:rPr>
          <w:rStyle w:val="CharDivText"/>
        </w:rPr>
        <w:t>General</w:t>
      </w:r>
      <w:bookmarkEnd w:id="451"/>
      <w:bookmarkEnd w:id="452"/>
    </w:p>
    <w:p>
      <w:pPr>
        <w:pStyle w:val="Footnoteheading"/>
      </w:pPr>
      <w:r>
        <w:tab/>
        <w:t>[Heading inserted by No. 42 of 2004 s. 130.]</w:t>
      </w:r>
    </w:p>
    <w:p>
      <w:pPr>
        <w:pStyle w:val="Heading5"/>
        <w:spacing w:before="180"/>
      </w:pPr>
      <w:bookmarkStart w:id="453" w:name="_Toc390078411"/>
      <w:bookmarkStart w:id="454" w:name="_Toc390078769"/>
      <w:r>
        <w:rPr>
          <w:rStyle w:val="CharSectno"/>
        </w:rPr>
        <w:t>176</w:t>
      </w:r>
      <w:r>
        <w:t>.</w:t>
      </w:r>
      <w:r>
        <w:tab/>
        <w:t>Exclusive jurisdiction</w:t>
      </w:r>
      <w:bookmarkEnd w:id="453"/>
      <w:bookmarkEnd w:id="454"/>
    </w:p>
    <w:p>
      <w:pPr>
        <w:pStyle w:val="Subsection"/>
        <w:spacing w:before="120"/>
      </w:pPr>
      <w:r>
        <w:tab/>
        <w:t>(1)</w:t>
      </w:r>
      <w:r>
        <w:tab/>
        <w:t xml:space="preserve">In this Part — </w:t>
      </w:r>
    </w:p>
    <w:p>
      <w:pPr>
        <w:pStyle w:val="Defstart"/>
      </w:pPr>
      <w:r>
        <w:rPr>
          <w:b/>
        </w:rPr>
        <w:tab/>
        <w:t>“</w:t>
      </w:r>
      <w:r>
        <w:rPr>
          <w:rStyle w:val="CharDefText"/>
        </w:rPr>
        <w:t>dispute</w:t>
      </w:r>
      <w:r>
        <w:rPr>
          <w:b/>
        </w:rPr>
        <w:t>”</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spacing w:before="120"/>
      </w:pPr>
      <w:r>
        <w:tab/>
        <w:t>(2)</w:t>
      </w:r>
      <w:r>
        <w:tab/>
        <w:t>A proceeding for the determination of a dispute is not capable of being brought other than under this Part or Part XII.</w:t>
      </w:r>
    </w:p>
    <w:p>
      <w:pPr>
        <w:pStyle w:val="Subsection"/>
        <w:spacing w:before="120"/>
      </w:pPr>
      <w:r>
        <w:tab/>
        <w:t>(3)</w:t>
      </w:r>
      <w:r>
        <w:tab/>
        <w:t>Subject to this Act, arbitrators have exclusive jurisdiction to examine, hear and determine all disputes.</w:t>
      </w:r>
    </w:p>
    <w:p>
      <w:pPr>
        <w:pStyle w:val="Footnotesection"/>
      </w:pPr>
      <w:r>
        <w:tab/>
        <w:t>[Section 176 inserted by No. 42 of 2004 s. 130.]</w:t>
      </w:r>
    </w:p>
    <w:p>
      <w:pPr>
        <w:pStyle w:val="Heading5"/>
        <w:spacing w:before="180"/>
      </w:pPr>
      <w:bookmarkStart w:id="455" w:name="_Toc390078412"/>
      <w:bookmarkStart w:id="456" w:name="_Toc390078770"/>
      <w:r>
        <w:rPr>
          <w:rStyle w:val="CharSectno"/>
        </w:rPr>
        <w:t>177</w:t>
      </w:r>
      <w:r>
        <w:t>.</w:t>
      </w:r>
      <w:r>
        <w:tab/>
        <w:t>Evidence of communication between worker and injury management officer</w:t>
      </w:r>
      <w:bookmarkEnd w:id="455"/>
      <w:bookmarkEnd w:id="456"/>
    </w:p>
    <w:p>
      <w:pPr>
        <w:pStyle w:val="Subsection"/>
        <w:spacing w:before="120"/>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r>
        <w:tab/>
        <w:t>[Section 177 inserted by No. 42 of 2004 s. 130.]</w:t>
      </w:r>
    </w:p>
    <w:p>
      <w:pPr>
        <w:pStyle w:val="Heading3"/>
      </w:pPr>
      <w:bookmarkStart w:id="457" w:name="_Toc390078413"/>
      <w:bookmarkStart w:id="458" w:name="_Toc390078771"/>
      <w:r>
        <w:rPr>
          <w:rStyle w:val="CharDivNo"/>
        </w:rPr>
        <w:t>Division 2</w:t>
      </w:r>
      <w:r>
        <w:t> — </w:t>
      </w:r>
      <w:r>
        <w:rPr>
          <w:rStyle w:val="CharDivText"/>
        </w:rPr>
        <w:t>Requirements before commencing proceeding</w:t>
      </w:r>
      <w:bookmarkEnd w:id="457"/>
      <w:bookmarkEnd w:id="458"/>
    </w:p>
    <w:p>
      <w:pPr>
        <w:pStyle w:val="Footnoteheading"/>
      </w:pPr>
      <w:r>
        <w:tab/>
        <w:t>[Heading inserted by No. 42 of 2004 s. 130.]</w:t>
      </w:r>
    </w:p>
    <w:p>
      <w:pPr>
        <w:pStyle w:val="Heading5"/>
      </w:pPr>
      <w:bookmarkStart w:id="459" w:name="_Toc390078414"/>
      <w:bookmarkStart w:id="460" w:name="_Toc390078772"/>
      <w:r>
        <w:rPr>
          <w:rStyle w:val="CharSectno"/>
        </w:rPr>
        <w:t>178</w:t>
      </w:r>
      <w:r>
        <w:t>.</w:t>
      </w:r>
      <w:r>
        <w:tab/>
        <w:t>Notice of injury and claim</w:t>
      </w:r>
      <w:bookmarkEnd w:id="459"/>
      <w:bookmarkEnd w:id="460"/>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w:t>
      </w:r>
    </w:p>
    <w:p>
      <w:pPr>
        <w:pStyle w:val="Heading5"/>
      </w:pPr>
      <w:bookmarkStart w:id="461" w:name="_Toc390078415"/>
      <w:bookmarkStart w:id="462" w:name="_Toc390078773"/>
      <w:r>
        <w:rPr>
          <w:rStyle w:val="CharSectno"/>
        </w:rPr>
        <w:t>179</w:t>
      </w:r>
      <w:r>
        <w:t>.</w:t>
      </w:r>
      <w:r>
        <w:tab/>
        <w:t>Service of notice of injury</w:t>
      </w:r>
      <w:bookmarkEnd w:id="461"/>
      <w:bookmarkEnd w:id="462"/>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463" w:name="_Toc390078416"/>
      <w:bookmarkStart w:id="464" w:name="_Toc390078774"/>
      <w:r>
        <w:rPr>
          <w:rStyle w:val="CharSectno"/>
        </w:rPr>
        <w:t>180</w:t>
      </w:r>
      <w:r>
        <w:t>.</w:t>
      </w:r>
      <w:r>
        <w:tab/>
        <w:t>Provision of certain documents before commencement of proceeding</w:t>
      </w:r>
      <w:bookmarkEnd w:id="463"/>
      <w:bookmarkEnd w:id="464"/>
    </w:p>
    <w:p>
      <w:pPr>
        <w:pStyle w:val="Subsection"/>
      </w:pPr>
      <w:r>
        <w:tab/>
        <w:t>(1)</w:t>
      </w:r>
      <w:r>
        <w:tab/>
        <w:t xml:space="preserve">In this section — </w:t>
      </w:r>
    </w:p>
    <w:p>
      <w:pPr>
        <w:pStyle w:val="Defstart"/>
      </w:pPr>
      <w:r>
        <w:rPr>
          <w:b/>
        </w:rPr>
        <w:tab/>
        <w:t>“</w:t>
      </w:r>
      <w:r>
        <w:rPr>
          <w:rStyle w:val="CharDefText"/>
        </w:rPr>
        <w:t>injury</w:t>
      </w:r>
      <w:r>
        <w:rPr>
          <w:b/>
        </w:rPr>
        <w:t>”</w:t>
      </w:r>
      <w:r>
        <w:t xml:space="preserve"> includes alleged injury;</w:t>
      </w:r>
    </w:p>
    <w:p>
      <w:pPr>
        <w:pStyle w:val="Defstart"/>
        <w:keepNext/>
        <w:keepLines/>
      </w:pPr>
      <w:r>
        <w:rPr>
          <w:b/>
        </w:rPr>
        <w:tab/>
        <w:t>“</w:t>
      </w:r>
      <w:r>
        <w:rPr>
          <w:rStyle w:val="CharDefText"/>
        </w:rPr>
        <w:t>relevant document</w:t>
      </w:r>
      <w:r>
        <w:rPr>
          <w:b/>
        </w:rPr>
        <w: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are of a kind described in paragraph (d), (e) or (f) of the definition of “relevant document”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w:t>
      </w:r>
    </w:p>
    <w:p>
      <w:pPr>
        <w:pStyle w:val="Heading3"/>
      </w:pPr>
      <w:bookmarkStart w:id="465" w:name="_Toc390078417"/>
      <w:bookmarkStart w:id="466" w:name="_Toc390078775"/>
      <w:r>
        <w:rPr>
          <w:rStyle w:val="CharDivNo"/>
        </w:rPr>
        <w:t>Division 3</w:t>
      </w:r>
      <w:r>
        <w:t> — </w:t>
      </w:r>
      <w:r>
        <w:rPr>
          <w:rStyle w:val="CharDivText"/>
        </w:rPr>
        <w:t>Proceedings before an arbitrator</w:t>
      </w:r>
      <w:bookmarkEnd w:id="465"/>
      <w:bookmarkEnd w:id="466"/>
    </w:p>
    <w:p>
      <w:pPr>
        <w:pStyle w:val="Footnoteheading"/>
      </w:pPr>
      <w:r>
        <w:tab/>
        <w:t>[Heading inserted by No. 42 of 2004 s. 130.]</w:t>
      </w:r>
    </w:p>
    <w:p>
      <w:pPr>
        <w:pStyle w:val="Heading5"/>
      </w:pPr>
      <w:bookmarkStart w:id="467" w:name="_Toc390078418"/>
      <w:bookmarkStart w:id="468" w:name="_Toc390078776"/>
      <w:r>
        <w:rPr>
          <w:rStyle w:val="CharSectno"/>
        </w:rPr>
        <w:t>181</w:t>
      </w:r>
      <w:r>
        <w:t>.</w:t>
      </w:r>
      <w:r>
        <w:tab/>
        <w:t>Arbitrators to determine disputes</w:t>
      </w:r>
      <w:bookmarkEnd w:id="467"/>
      <w:bookmarkEnd w:id="468"/>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r>
        <w:tab/>
        <w:t>[Section 181 inserted by No. 42 of 2004 s. 130.]</w:t>
      </w:r>
    </w:p>
    <w:p>
      <w:pPr>
        <w:pStyle w:val="Heading5"/>
      </w:pPr>
      <w:bookmarkStart w:id="469" w:name="_Toc390078419"/>
      <w:bookmarkStart w:id="470" w:name="_Toc390078777"/>
      <w:r>
        <w:rPr>
          <w:rStyle w:val="CharSectno"/>
        </w:rPr>
        <w:t>182</w:t>
      </w:r>
      <w:r>
        <w:t>.</w:t>
      </w:r>
      <w:r>
        <w:tab/>
        <w:t>Who is to be given a copy of an application</w:t>
      </w:r>
      <w:bookmarkEnd w:id="469"/>
      <w:bookmarkEnd w:id="470"/>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 xml:space="preserve">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r>
        <w:tab/>
        <w:t>[Section 182 inserted by No. 42 of 2004 s. 130.]</w:t>
      </w:r>
    </w:p>
    <w:p>
      <w:pPr>
        <w:pStyle w:val="Heading5"/>
      </w:pPr>
      <w:bookmarkStart w:id="471" w:name="_Toc390078420"/>
      <w:bookmarkStart w:id="472" w:name="_Toc390078778"/>
      <w:r>
        <w:rPr>
          <w:rStyle w:val="CharSectno"/>
        </w:rPr>
        <w:t>183</w:t>
      </w:r>
      <w:r>
        <w:t>.</w:t>
      </w:r>
      <w:r>
        <w:tab/>
        <w:t>Information exchange between parties</w:t>
      </w:r>
      <w:bookmarkEnd w:id="471"/>
      <w:bookmarkEnd w:id="472"/>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w:t>
      </w:r>
    </w:p>
    <w:p>
      <w:pPr>
        <w:pStyle w:val="Heading5"/>
      </w:pPr>
      <w:bookmarkStart w:id="473" w:name="_Toc390078421"/>
      <w:bookmarkStart w:id="474" w:name="_Toc390078779"/>
      <w:r>
        <w:rPr>
          <w:rStyle w:val="CharSectno"/>
        </w:rPr>
        <w:t>184</w:t>
      </w:r>
      <w:r>
        <w:t>.</w:t>
      </w:r>
      <w:r>
        <w:tab/>
        <w:t>Interim assessment and minor claims</w:t>
      </w:r>
      <w:bookmarkEnd w:id="473"/>
      <w:bookmarkEnd w:id="474"/>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r>
        <w:tab/>
        <w:t>[Section 184 inserted by No. 42 of 2004 s. 130.]</w:t>
      </w:r>
    </w:p>
    <w:p>
      <w:pPr>
        <w:pStyle w:val="Heading5"/>
      </w:pPr>
      <w:bookmarkStart w:id="475" w:name="_Toc390078422"/>
      <w:bookmarkStart w:id="476" w:name="_Toc390078780"/>
      <w:r>
        <w:rPr>
          <w:rStyle w:val="CharSectno"/>
        </w:rPr>
        <w:t>185</w:t>
      </w:r>
      <w:r>
        <w:t>.</w:t>
      </w:r>
      <w:r>
        <w:tab/>
        <w:t>Arbitrator to attempt conciliation</w:t>
      </w:r>
      <w:bookmarkEnd w:id="475"/>
      <w:bookmarkEnd w:id="476"/>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r>
        <w:tab/>
        <w:t>[Section 185 inserted by No. 42 of 2004 s. 130.]</w:t>
      </w:r>
    </w:p>
    <w:p>
      <w:pPr>
        <w:pStyle w:val="Heading5"/>
      </w:pPr>
      <w:bookmarkStart w:id="477" w:name="_Toc390078423"/>
      <w:bookmarkStart w:id="478" w:name="_Toc390078781"/>
      <w:r>
        <w:rPr>
          <w:rStyle w:val="CharSectno"/>
        </w:rPr>
        <w:t>186</w:t>
      </w:r>
      <w:r>
        <w:t>.</w:t>
      </w:r>
      <w:r>
        <w:tab/>
        <w:t>Arbitrator may review decision</w:t>
      </w:r>
      <w:bookmarkEnd w:id="477"/>
      <w:bookmarkEnd w:id="478"/>
    </w:p>
    <w:p>
      <w:pPr>
        <w:pStyle w:val="Subsection"/>
        <w:spacing w:before="120"/>
      </w:pPr>
      <w:r>
        <w:tab/>
        <w:t>(1)</w:t>
      </w:r>
      <w:r>
        <w:tab/>
        <w:t xml:space="preserve">In this section — </w:t>
      </w:r>
    </w:p>
    <w:p>
      <w:pPr>
        <w:pStyle w:val="Defstart"/>
      </w:pPr>
      <w:r>
        <w:rPr>
          <w:b/>
        </w:rPr>
        <w:tab/>
        <w:t>“</w:t>
      </w:r>
      <w:r>
        <w:rPr>
          <w:rStyle w:val="CharDefText"/>
        </w:rPr>
        <w:t>new information</w:t>
      </w:r>
      <w:r>
        <w:rPr>
          <w:b/>
        </w:rPr>
        <w:t>”</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186 inserted by No. 42 of 2004 s. 130.]</w:t>
      </w:r>
    </w:p>
    <w:p>
      <w:pPr>
        <w:pStyle w:val="Heading5"/>
      </w:pPr>
      <w:bookmarkStart w:id="479" w:name="_Toc390078424"/>
      <w:bookmarkStart w:id="480" w:name="_Toc390078782"/>
      <w:r>
        <w:rPr>
          <w:rStyle w:val="CharSectno"/>
        </w:rPr>
        <w:t>187</w:t>
      </w:r>
      <w:r>
        <w:t>.</w:t>
      </w:r>
      <w:r>
        <w:tab/>
        <w:t>Decisions of arbitrator</w:t>
      </w:r>
      <w:bookmarkEnd w:id="479"/>
      <w:bookmarkEnd w:id="480"/>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r>
        <w:tab/>
        <w:t>[Section 187 inserted by No. 42 of 2004 s. 130.]</w:t>
      </w:r>
    </w:p>
    <w:p>
      <w:pPr>
        <w:pStyle w:val="Heading3"/>
      </w:pPr>
      <w:bookmarkStart w:id="481" w:name="_Toc390078425"/>
      <w:bookmarkStart w:id="482" w:name="_Toc390078783"/>
      <w:r>
        <w:rPr>
          <w:rStyle w:val="CharDivNo"/>
        </w:rPr>
        <w:t>Division 4</w:t>
      </w:r>
      <w:r>
        <w:t> — </w:t>
      </w:r>
      <w:r>
        <w:rPr>
          <w:rStyle w:val="CharDivText"/>
        </w:rPr>
        <w:t>Practice and procedure</w:t>
      </w:r>
      <w:bookmarkEnd w:id="481"/>
      <w:bookmarkEnd w:id="482"/>
    </w:p>
    <w:p>
      <w:pPr>
        <w:pStyle w:val="Footnoteheading"/>
      </w:pPr>
      <w:r>
        <w:tab/>
        <w:t>[Heading inserted by No. 42 of 2004 s. 130.]</w:t>
      </w:r>
    </w:p>
    <w:p>
      <w:pPr>
        <w:pStyle w:val="Heading5"/>
      </w:pPr>
      <w:bookmarkStart w:id="483" w:name="_Toc390078426"/>
      <w:bookmarkStart w:id="484" w:name="_Toc390078784"/>
      <w:r>
        <w:rPr>
          <w:rStyle w:val="CharSectno"/>
        </w:rPr>
        <w:t>188</w:t>
      </w:r>
      <w:r>
        <w:t>.</w:t>
      </w:r>
      <w:r>
        <w:tab/>
        <w:t>Practice and procedure, generally</w:t>
      </w:r>
      <w:bookmarkEnd w:id="483"/>
      <w:bookmarkEnd w:id="484"/>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w:t>
      </w:r>
    </w:p>
    <w:p>
      <w:pPr>
        <w:pStyle w:val="Ednotesection"/>
        <w:outlineLvl w:val="9"/>
      </w:pPr>
      <w:r>
        <w:t>[</w:t>
      </w:r>
      <w:r>
        <w:rPr>
          <w:b/>
        </w:rPr>
        <w:t>188A.</w:t>
      </w:r>
      <w:r>
        <w:tab/>
        <w:t>Repealed by No. 42 of 2004 s. 136.]</w:t>
      </w:r>
    </w:p>
    <w:p>
      <w:pPr>
        <w:pStyle w:val="Heading5"/>
      </w:pPr>
      <w:bookmarkStart w:id="485" w:name="_Toc390078427"/>
      <w:bookmarkStart w:id="486" w:name="_Toc390078785"/>
      <w:r>
        <w:rPr>
          <w:rStyle w:val="CharSectno"/>
        </w:rPr>
        <w:t>189</w:t>
      </w:r>
      <w:r>
        <w:t>.</w:t>
      </w:r>
      <w:r>
        <w:tab/>
        <w:t>Relief or redress not restricted to claim</w:t>
      </w:r>
      <w:bookmarkEnd w:id="485"/>
      <w:bookmarkEnd w:id="486"/>
    </w:p>
    <w:p>
      <w:pPr>
        <w:pStyle w:val="Subsection"/>
      </w:pPr>
      <w:r>
        <w:tab/>
      </w:r>
      <w:r>
        <w:tab/>
        <w:t>The granting of relief or redress under this Act is not necessarily to be restricted to the specific claim made nor to the subject matter of the claim.</w:t>
      </w:r>
    </w:p>
    <w:p>
      <w:pPr>
        <w:pStyle w:val="Footnotesection"/>
      </w:pPr>
      <w:r>
        <w:tab/>
        <w:t>[Section 189 inserted by No. 42 of 2004 s. 130.]</w:t>
      </w:r>
    </w:p>
    <w:p>
      <w:pPr>
        <w:pStyle w:val="Heading5"/>
      </w:pPr>
      <w:bookmarkStart w:id="487" w:name="_Toc390078428"/>
      <w:bookmarkStart w:id="488" w:name="_Toc390078786"/>
      <w:r>
        <w:rPr>
          <w:rStyle w:val="CharSectno"/>
        </w:rPr>
        <w:t>190</w:t>
      </w:r>
      <w:r>
        <w:t>.</w:t>
      </w:r>
      <w:r>
        <w:tab/>
        <w:t>Directions</w:t>
      </w:r>
      <w:bookmarkEnd w:id="487"/>
      <w:bookmarkEnd w:id="488"/>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489" w:name="_Toc390078429"/>
      <w:bookmarkStart w:id="490" w:name="_Toc390078787"/>
      <w:r>
        <w:rPr>
          <w:rStyle w:val="CharSectno"/>
        </w:rPr>
        <w:t>191</w:t>
      </w:r>
      <w:r>
        <w:t>.</w:t>
      </w:r>
      <w:r>
        <w:tab/>
        <w:t>Dependants</w:t>
      </w:r>
      <w:bookmarkEnd w:id="489"/>
      <w:bookmarkEnd w:id="490"/>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491" w:name="_Toc390078430"/>
      <w:bookmarkStart w:id="492" w:name="_Toc390078788"/>
      <w:r>
        <w:rPr>
          <w:rStyle w:val="CharSectno"/>
        </w:rPr>
        <w:t>192</w:t>
      </w:r>
      <w:r>
        <w:t>.</w:t>
      </w:r>
      <w:r>
        <w:tab/>
        <w:t>Arbitrator may regard illegal contracts of employment as valid</w:t>
      </w:r>
      <w:bookmarkEnd w:id="491"/>
      <w:bookmarkEnd w:id="492"/>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493" w:name="_Toc390078431"/>
      <w:bookmarkStart w:id="494" w:name="_Toc390078789"/>
      <w:r>
        <w:rPr>
          <w:rStyle w:val="CharSectno"/>
        </w:rPr>
        <w:t>193</w:t>
      </w:r>
      <w:r>
        <w:t>.</w:t>
      </w:r>
      <w:r>
        <w:tab/>
        <w:t>Power of arbitrator to require information</w:t>
      </w:r>
      <w:bookmarkEnd w:id="493"/>
      <w:bookmarkEnd w:id="494"/>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w:t>
      </w:r>
    </w:p>
    <w:p>
      <w:pPr>
        <w:pStyle w:val="Heading5"/>
      </w:pPr>
      <w:bookmarkStart w:id="495" w:name="_Toc390078432"/>
      <w:bookmarkStart w:id="496" w:name="_Toc390078790"/>
      <w:r>
        <w:rPr>
          <w:rStyle w:val="CharSectno"/>
        </w:rPr>
        <w:t>194</w:t>
      </w:r>
      <w:r>
        <w:t>.</w:t>
      </w:r>
      <w:r>
        <w:tab/>
        <w:t>Arbitrator may provide documents, material and information to party</w:t>
      </w:r>
      <w:bookmarkEnd w:id="495"/>
      <w:bookmarkEnd w:id="496"/>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w:t>
      </w:r>
    </w:p>
    <w:p>
      <w:pPr>
        <w:pStyle w:val="Heading5"/>
      </w:pPr>
      <w:bookmarkStart w:id="497" w:name="_Toc390078433"/>
      <w:bookmarkStart w:id="498" w:name="_Toc390078791"/>
      <w:r>
        <w:rPr>
          <w:rStyle w:val="CharSectno"/>
        </w:rPr>
        <w:t>195</w:t>
      </w:r>
      <w:r>
        <w:t>.</w:t>
      </w:r>
      <w:r>
        <w:tab/>
        <w:t>Representation</w:t>
      </w:r>
      <w:bookmarkEnd w:id="497"/>
      <w:bookmarkEnd w:id="498"/>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r>
        <w:tab/>
        <w:t>[Section 195 inserted by No. 42 of 2004 s. 130.]</w:t>
      </w:r>
    </w:p>
    <w:p>
      <w:pPr>
        <w:pStyle w:val="Heading5"/>
      </w:pPr>
      <w:bookmarkStart w:id="499" w:name="_Toc390078434"/>
      <w:bookmarkStart w:id="500" w:name="_Toc390078792"/>
      <w:r>
        <w:rPr>
          <w:rStyle w:val="CharSectno"/>
        </w:rPr>
        <w:t>196</w:t>
      </w:r>
      <w:r>
        <w:t>.</w:t>
      </w:r>
      <w:r>
        <w:tab/>
        <w:t>Arbitrator may appoint guardian</w:t>
      </w:r>
      <w:bookmarkEnd w:id="499"/>
      <w:bookmarkEnd w:id="500"/>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r>
        <w:tab/>
        <w:t>[Section 196 inserted by No. 42 of 2004 s. 130.]</w:t>
      </w:r>
    </w:p>
    <w:p>
      <w:pPr>
        <w:pStyle w:val="Heading5"/>
      </w:pPr>
      <w:bookmarkStart w:id="501" w:name="_Toc390078435"/>
      <w:bookmarkStart w:id="502" w:name="_Toc390078793"/>
      <w:r>
        <w:rPr>
          <w:rStyle w:val="CharSectno"/>
        </w:rPr>
        <w:t>197</w:t>
      </w:r>
      <w:r>
        <w:t>.</w:t>
      </w:r>
      <w:r>
        <w:tab/>
        <w:t>Interpreters and assistants</w:t>
      </w:r>
      <w:bookmarkEnd w:id="501"/>
      <w:bookmarkEnd w:id="502"/>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r>
        <w:tab/>
        <w:t>[Section 197 inserted by No. 42 of 2004 s. 130.]</w:t>
      </w:r>
    </w:p>
    <w:p>
      <w:pPr>
        <w:pStyle w:val="Heading5"/>
      </w:pPr>
      <w:bookmarkStart w:id="503" w:name="_Toc390078436"/>
      <w:bookmarkStart w:id="504" w:name="_Toc390078794"/>
      <w:r>
        <w:rPr>
          <w:rStyle w:val="CharSectno"/>
        </w:rPr>
        <w:t>198</w:t>
      </w:r>
      <w:r>
        <w:t>.</w:t>
      </w:r>
      <w:r>
        <w:tab/>
        <w:t>Electronic hearings and proceedings without hearings</w:t>
      </w:r>
      <w:bookmarkEnd w:id="503"/>
      <w:bookmarkEnd w:id="504"/>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r>
        <w:tab/>
        <w:t>[Section 198 inserted by No. 42 of 2004 s. 130; amended by No. 16 of 2005 s. 23.]</w:t>
      </w:r>
    </w:p>
    <w:p>
      <w:pPr>
        <w:pStyle w:val="Heading5"/>
      </w:pPr>
      <w:bookmarkStart w:id="505" w:name="_Toc390078437"/>
      <w:bookmarkStart w:id="506" w:name="_Toc390078795"/>
      <w:r>
        <w:rPr>
          <w:rStyle w:val="CharSectno"/>
        </w:rPr>
        <w:t>199</w:t>
      </w:r>
      <w:r>
        <w:t>.</w:t>
      </w:r>
      <w:r>
        <w:tab/>
        <w:t>Hearings to be held in private</w:t>
      </w:r>
      <w:bookmarkEnd w:id="505"/>
      <w:bookmarkEnd w:id="506"/>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r>
        <w:tab/>
        <w:t>[Section 199 inserted by No. 42 of 2004 s. 130.]</w:t>
      </w:r>
    </w:p>
    <w:p>
      <w:pPr>
        <w:pStyle w:val="Heading5"/>
      </w:pPr>
      <w:bookmarkStart w:id="507" w:name="_Toc390078438"/>
      <w:bookmarkStart w:id="508" w:name="_Toc390078796"/>
      <w:r>
        <w:rPr>
          <w:rStyle w:val="CharSectno"/>
        </w:rPr>
        <w:t>200</w:t>
      </w:r>
      <w:r>
        <w:t>.</w:t>
      </w:r>
      <w:r>
        <w:tab/>
        <w:t>Notice of hearings</w:t>
      </w:r>
      <w:bookmarkEnd w:id="507"/>
      <w:bookmarkEnd w:id="508"/>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r>
        <w:tab/>
        <w:t>[Section 200 inserted by No. 42 of 2004 s. 130.]</w:t>
      </w:r>
    </w:p>
    <w:p>
      <w:pPr>
        <w:pStyle w:val="Heading5"/>
      </w:pPr>
      <w:bookmarkStart w:id="509" w:name="_Toc390078439"/>
      <w:bookmarkStart w:id="510" w:name="_Toc390078797"/>
      <w:r>
        <w:rPr>
          <w:rStyle w:val="CharSectno"/>
        </w:rPr>
        <w:t>201</w:t>
      </w:r>
      <w:r>
        <w:t>.</w:t>
      </w:r>
      <w:r>
        <w:tab/>
        <w:t>Expert or professional assistance</w:t>
      </w:r>
      <w:bookmarkEnd w:id="509"/>
      <w:bookmarkEnd w:id="510"/>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511" w:name="_Toc390078440"/>
      <w:bookmarkStart w:id="512" w:name="_Toc390078798"/>
      <w:r>
        <w:rPr>
          <w:rStyle w:val="CharSectno"/>
        </w:rPr>
        <w:t>202</w:t>
      </w:r>
      <w:r>
        <w:t>.</w:t>
      </w:r>
      <w:r>
        <w:tab/>
        <w:t>Summoning witnesses</w:t>
      </w:r>
      <w:bookmarkEnd w:id="511"/>
      <w:bookmarkEnd w:id="512"/>
    </w:p>
    <w:p>
      <w:pPr>
        <w:pStyle w:val="Subsection"/>
      </w:pPr>
      <w:r>
        <w:tab/>
      </w:r>
      <w:r>
        <w:tab/>
        <w:t>The Director or an arbitrator may issue a summons requiring the attendance of a person before an arbitrator.</w:t>
      </w:r>
    </w:p>
    <w:p>
      <w:pPr>
        <w:pStyle w:val="Footnotesection"/>
      </w:pPr>
      <w:r>
        <w:tab/>
        <w:t>[Section 202 inserted by No. 42 of 2004 s. 130.]</w:t>
      </w:r>
    </w:p>
    <w:p>
      <w:pPr>
        <w:pStyle w:val="Heading5"/>
      </w:pPr>
      <w:bookmarkStart w:id="513" w:name="_Toc390078441"/>
      <w:bookmarkStart w:id="514" w:name="_Toc390078799"/>
      <w:r>
        <w:rPr>
          <w:rStyle w:val="CharSectno"/>
        </w:rPr>
        <w:t>203</w:t>
      </w:r>
      <w:r>
        <w:t>.</w:t>
      </w:r>
      <w:r>
        <w:tab/>
        <w:t>Powers relating to witnesses</w:t>
      </w:r>
      <w:bookmarkEnd w:id="513"/>
      <w:bookmarkEnd w:id="514"/>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515" w:name="_Toc390078442"/>
      <w:bookmarkStart w:id="516" w:name="_Toc390078800"/>
      <w:r>
        <w:rPr>
          <w:rStyle w:val="CharSectno"/>
        </w:rPr>
        <w:t>204</w:t>
      </w:r>
      <w:r>
        <w:t>.</w:t>
      </w:r>
      <w:r>
        <w:tab/>
        <w:t>Privilege against self</w:t>
      </w:r>
      <w:r>
        <w:noBreakHyphen/>
        <w:t>incrimination</w:t>
      </w:r>
      <w:bookmarkEnd w:id="515"/>
      <w:bookmarkEnd w:id="516"/>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w:t>
      </w:r>
    </w:p>
    <w:p>
      <w:pPr>
        <w:pStyle w:val="Heading5"/>
      </w:pPr>
      <w:bookmarkStart w:id="517" w:name="_Toc390078443"/>
      <w:bookmarkStart w:id="518" w:name="_Toc390078801"/>
      <w:r>
        <w:rPr>
          <w:rStyle w:val="CharSectno"/>
        </w:rPr>
        <w:t>205</w:t>
      </w:r>
      <w:r>
        <w:t>.</w:t>
      </w:r>
      <w:r>
        <w:tab/>
        <w:t>Legal professional privilege in relation to medical reports</w:t>
      </w:r>
      <w:bookmarkEnd w:id="517"/>
      <w:bookmarkEnd w:id="518"/>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r>
        <w:tab/>
        <w:t>[Section 205 inserted by No. 42 of 2004 s. 130.]</w:t>
      </w:r>
    </w:p>
    <w:p>
      <w:pPr>
        <w:pStyle w:val="Heading5"/>
      </w:pPr>
      <w:bookmarkStart w:id="519" w:name="_Toc390078444"/>
      <w:bookmarkStart w:id="520" w:name="_Toc390078802"/>
      <w:r>
        <w:rPr>
          <w:rStyle w:val="CharSectno"/>
        </w:rPr>
        <w:t>206</w:t>
      </w:r>
      <w:r>
        <w:t>.</w:t>
      </w:r>
      <w:r>
        <w:tab/>
        <w:t>Other claims of privilege</w:t>
      </w:r>
      <w:bookmarkEnd w:id="519"/>
      <w:bookmarkEnd w:id="520"/>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r>
        <w:tab/>
        <w:t>[Section 206 inserted by No. 42 of 2004 s. 130.]</w:t>
      </w:r>
    </w:p>
    <w:p>
      <w:pPr>
        <w:pStyle w:val="Heading5"/>
      </w:pPr>
      <w:bookmarkStart w:id="521" w:name="_Toc390078445"/>
      <w:bookmarkStart w:id="522" w:name="_Toc390078803"/>
      <w:r>
        <w:rPr>
          <w:rStyle w:val="CharSectno"/>
        </w:rPr>
        <w:t>207</w:t>
      </w:r>
      <w:r>
        <w:t>.</w:t>
      </w:r>
      <w:r>
        <w:tab/>
        <w:t>Oaths and affirmations</w:t>
      </w:r>
      <w:bookmarkEnd w:id="521"/>
      <w:bookmarkEnd w:id="522"/>
    </w:p>
    <w:p>
      <w:pPr>
        <w:pStyle w:val="Subsection"/>
      </w:pPr>
      <w:r>
        <w:tab/>
      </w:r>
      <w:r>
        <w:tab/>
        <w:t>An arbitrator may administer an oath or take an affirmation for the purposes of this Act.</w:t>
      </w:r>
    </w:p>
    <w:p>
      <w:pPr>
        <w:pStyle w:val="Footnotesection"/>
      </w:pPr>
      <w:r>
        <w:tab/>
        <w:t>[Section 207 inserted by No. 42 of 2004 s. 130.]</w:t>
      </w:r>
    </w:p>
    <w:p>
      <w:pPr>
        <w:pStyle w:val="Heading5"/>
      </w:pPr>
      <w:bookmarkStart w:id="523" w:name="_Toc390078446"/>
      <w:bookmarkStart w:id="524" w:name="_Toc390078804"/>
      <w:r>
        <w:rPr>
          <w:rStyle w:val="CharSectno"/>
        </w:rPr>
        <w:t>208</w:t>
      </w:r>
      <w:r>
        <w:t>.</w:t>
      </w:r>
      <w:r>
        <w:tab/>
        <w:t>Authorising person to take evidence</w:t>
      </w:r>
      <w:bookmarkEnd w:id="523"/>
      <w:bookmarkEnd w:id="524"/>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525" w:name="_Toc390078447"/>
      <w:bookmarkStart w:id="526" w:name="_Toc390078805"/>
      <w:r>
        <w:rPr>
          <w:rStyle w:val="CharSectno"/>
        </w:rPr>
        <w:t>209</w:t>
      </w:r>
      <w:r>
        <w:t>.</w:t>
      </w:r>
      <w:r>
        <w:tab/>
        <w:t>Dealing with things produced</w:t>
      </w:r>
      <w:bookmarkEnd w:id="525"/>
      <w:bookmarkEnd w:id="526"/>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527" w:name="_Toc390078448"/>
      <w:bookmarkStart w:id="528" w:name="_Toc390078806"/>
      <w:r>
        <w:rPr>
          <w:rStyle w:val="CharSectno"/>
        </w:rPr>
        <w:t>210</w:t>
      </w:r>
      <w:r>
        <w:t>.</w:t>
      </w:r>
      <w:r>
        <w:tab/>
        <w:t>Referral of medical dispute for assessment</w:t>
      </w:r>
      <w:bookmarkEnd w:id="527"/>
      <w:bookmarkEnd w:id="528"/>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3"/>
      </w:pPr>
      <w:bookmarkStart w:id="529" w:name="_Toc390078449"/>
      <w:bookmarkStart w:id="530" w:name="_Toc390078807"/>
      <w:r>
        <w:rPr>
          <w:rStyle w:val="CharDivNo"/>
        </w:rPr>
        <w:t>Division 5</w:t>
      </w:r>
      <w:r>
        <w:t> — </w:t>
      </w:r>
      <w:r>
        <w:rPr>
          <w:rStyle w:val="CharDivText"/>
        </w:rPr>
        <w:t>Decisions</w:t>
      </w:r>
      <w:bookmarkEnd w:id="529"/>
      <w:bookmarkEnd w:id="530"/>
    </w:p>
    <w:p>
      <w:pPr>
        <w:pStyle w:val="Footnoteheading"/>
      </w:pPr>
      <w:r>
        <w:tab/>
        <w:t>[Heading inserted by No. 42 of 2004 s. 130.]</w:t>
      </w:r>
    </w:p>
    <w:p>
      <w:pPr>
        <w:pStyle w:val="Heading4"/>
      </w:pPr>
      <w:bookmarkStart w:id="531" w:name="_Toc390078450"/>
      <w:bookmarkStart w:id="532" w:name="_Toc390078808"/>
      <w:r>
        <w:t>Subdivision 1 — General provisions</w:t>
      </w:r>
      <w:bookmarkEnd w:id="531"/>
      <w:bookmarkEnd w:id="532"/>
    </w:p>
    <w:p>
      <w:pPr>
        <w:pStyle w:val="Footnoteheading"/>
      </w:pPr>
      <w:r>
        <w:tab/>
        <w:t>[Heading inserted by No. 42 of 2004 s. 130.]</w:t>
      </w:r>
    </w:p>
    <w:p>
      <w:pPr>
        <w:pStyle w:val="Heading5"/>
      </w:pPr>
      <w:bookmarkStart w:id="533" w:name="_Toc390078451"/>
      <w:bookmarkStart w:id="534" w:name="_Toc390078809"/>
      <w:r>
        <w:rPr>
          <w:rStyle w:val="CharSectno"/>
        </w:rPr>
        <w:t>211</w:t>
      </w:r>
      <w:r>
        <w:t>.</w:t>
      </w:r>
      <w:r>
        <w:tab/>
        <w:t>Decisions generally</w:t>
      </w:r>
      <w:bookmarkEnd w:id="533"/>
      <w:bookmarkEnd w:id="534"/>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r>
        <w:tab/>
        <w:t>[Section 211 inserted by No. 42 of 2004 s. 130.]</w:t>
      </w:r>
    </w:p>
    <w:p>
      <w:pPr>
        <w:pStyle w:val="Heading5"/>
      </w:pPr>
      <w:bookmarkStart w:id="535" w:name="_Toc390078452"/>
      <w:bookmarkStart w:id="536" w:name="_Toc390078810"/>
      <w:r>
        <w:rPr>
          <w:rStyle w:val="CharSectno"/>
        </w:rPr>
        <w:t>212</w:t>
      </w:r>
      <w:r>
        <w:t>.</w:t>
      </w:r>
      <w:r>
        <w:tab/>
        <w:t>Conditional and ancillary orders and directions</w:t>
      </w:r>
      <w:bookmarkEnd w:id="535"/>
      <w:bookmarkEnd w:id="536"/>
    </w:p>
    <w:p>
      <w:pPr>
        <w:pStyle w:val="Subsection"/>
      </w:pPr>
      <w:r>
        <w:tab/>
      </w:r>
      <w:r>
        <w:tab/>
        <w:t xml:space="preserve">A power of an arbitrator to make an order or give a direction (the </w:t>
      </w:r>
      <w:r>
        <w:rPr>
          <w:b/>
        </w:rPr>
        <w:t>“</w:t>
      </w:r>
      <w:r>
        <w:rPr>
          <w:rStyle w:val="CharDefText"/>
        </w:rPr>
        <w:t>primary power</w:t>
      </w:r>
      <w:r>
        <w:rPr>
          <w:b/>
        </w:rPr>
        <w:t>”</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537" w:name="_Toc390078453"/>
      <w:bookmarkStart w:id="538" w:name="_Toc390078811"/>
      <w:r>
        <w:rPr>
          <w:rStyle w:val="CharSectno"/>
        </w:rPr>
        <w:t>213</w:t>
      </w:r>
      <w:r>
        <w:t>.</w:t>
      </w:r>
      <w:r>
        <w:tab/>
        <w:t>Form and content of decision and reasons</w:t>
      </w:r>
      <w:bookmarkEnd w:id="537"/>
      <w:bookmarkEnd w:id="538"/>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r>
        <w:tab/>
        <w:t>[Section 213 inserted by No. 42 of 2004 s. 130.]</w:t>
      </w:r>
    </w:p>
    <w:p>
      <w:pPr>
        <w:pStyle w:val="Heading5"/>
      </w:pPr>
      <w:bookmarkStart w:id="539" w:name="_Toc390078454"/>
      <w:bookmarkStart w:id="540" w:name="_Toc390078812"/>
      <w:r>
        <w:rPr>
          <w:rStyle w:val="CharSectno"/>
        </w:rPr>
        <w:t>214</w:t>
      </w:r>
      <w:r>
        <w:t>.</w:t>
      </w:r>
      <w:r>
        <w:tab/>
        <w:t>Validity of decision</w:t>
      </w:r>
      <w:bookmarkEnd w:id="539"/>
      <w:bookmarkEnd w:id="540"/>
    </w:p>
    <w:p>
      <w:pPr>
        <w:pStyle w:val="Subsection"/>
      </w:pPr>
      <w:r>
        <w:tab/>
      </w:r>
      <w:r>
        <w:tab/>
        <w:t>A failure of an arbitrator to comply with a requirement of this Subdivision does not affect the validity of a decision.</w:t>
      </w:r>
    </w:p>
    <w:p>
      <w:pPr>
        <w:pStyle w:val="Footnotesection"/>
      </w:pPr>
      <w:r>
        <w:tab/>
        <w:t>[Section 214 inserted by No. 42 of 2004 s. 130.]</w:t>
      </w:r>
    </w:p>
    <w:p>
      <w:pPr>
        <w:pStyle w:val="Heading5"/>
      </w:pPr>
      <w:bookmarkStart w:id="541" w:name="_Toc390078455"/>
      <w:bookmarkStart w:id="542" w:name="_Toc390078813"/>
      <w:r>
        <w:rPr>
          <w:rStyle w:val="CharSectno"/>
        </w:rPr>
        <w:t>215</w:t>
      </w:r>
      <w:r>
        <w:t>.</w:t>
      </w:r>
      <w:r>
        <w:tab/>
        <w:t>When decision has effect</w:t>
      </w:r>
      <w:bookmarkEnd w:id="541"/>
      <w:bookmarkEnd w:id="542"/>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r>
        <w:tab/>
        <w:t>[Section 215 inserted by No. 42 of 2004 s. 130.]</w:t>
      </w:r>
    </w:p>
    <w:p>
      <w:pPr>
        <w:pStyle w:val="Heading5"/>
      </w:pPr>
      <w:bookmarkStart w:id="543" w:name="_Toc390078456"/>
      <w:bookmarkStart w:id="544" w:name="_Toc390078814"/>
      <w:r>
        <w:rPr>
          <w:rStyle w:val="CharSectno"/>
        </w:rPr>
        <w:t>216</w:t>
      </w:r>
      <w:r>
        <w:t>.</w:t>
      </w:r>
      <w:r>
        <w:tab/>
        <w:t>Correcting mistakes</w:t>
      </w:r>
      <w:bookmarkEnd w:id="543"/>
      <w:bookmarkEnd w:id="544"/>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r>
        <w:tab/>
        <w:t>[Section 216 inserted by No. 42 of 2004 s. 130.]</w:t>
      </w:r>
    </w:p>
    <w:p>
      <w:pPr>
        <w:pStyle w:val="Heading4"/>
      </w:pPr>
      <w:bookmarkStart w:id="545" w:name="_Toc390078457"/>
      <w:bookmarkStart w:id="546" w:name="_Toc390078815"/>
      <w:r>
        <w:t>Subdivision 2 — Particular orders</w:t>
      </w:r>
      <w:bookmarkEnd w:id="545"/>
      <w:bookmarkEnd w:id="546"/>
    </w:p>
    <w:p>
      <w:pPr>
        <w:pStyle w:val="Footnoteheading"/>
      </w:pPr>
      <w:r>
        <w:tab/>
        <w:t>[Heading inserted by No. 42 of 2004 s. 130.]</w:t>
      </w:r>
    </w:p>
    <w:p>
      <w:pPr>
        <w:pStyle w:val="Heading5"/>
      </w:pPr>
      <w:bookmarkStart w:id="547" w:name="_Toc390078458"/>
      <w:bookmarkStart w:id="548" w:name="_Toc390078816"/>
      <w:r>
        <w:rPr>
          <w:rStyle w:val="CharSectno"/>
        </w:rPr>
        <w:t>217</w:t>
      </w:r>
      <w:r>
        <w:t>.</w:t>
      </w:r>
      <w:r>
        <w:tab/>
        <w:t>Order as to total liability</w:t>
      </w:r>
      <w:bookmarkEnd w:id="547"/>
      <w:bookmarkEnd w:id="548"/>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spacing w:before="120"/>
      </w:pPr>
      <w:r>
        <w:tab/>
        <w:t>(2)</w:t>
      </w:r>
      <w:r>
        <w:tab/>
        <w:t>If this section applies, the arbitrator may, subject to this section, make any order as to the total liability of the employer for the incapacity that the arbitrator thinks proper in the circumstances.</w:t>
      </w:r>
    </w:p>
    <w:p>
      <w:pPr>
        <w:pStyle w:val="Subsection"/>
        <w:spacing w:before="120"/>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spacing w:before="120"/>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549" w:name="_Toc390078459"/>
      <w:bookmarkStart w:id="550" w:name="_Toc390078817"/>
      <w:r>
        <w:rPr>
          <w:rStyle w:val="CharSectno"/>
        </w:rPr>
        <w:t>218</w:t>
      </w:r>
      <w:r>
        <w:t>.</w:t>
      </w:r>
      <w:r>
        <w:tab/>
        <w:t>Order relating to payment of compensation in respect of persons under legal disability or who are dependants</w:t>
      </w:r>
      <w:bookmarkEnd w:id="549"/>
      <w:bookmarkEnd w:id="550"/>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r>
        <w:tab/>
        <w:t>[Section 218 inserted by No. 42 of 2004 s. 130.]</w:t>
      </w:r>
    </w:p>
    <w:p>
      <w:pPr>
        <w:pStyle w:val="Heading4"/>
      </w:pPr>
      <w:bookmarkStart w:id="551" w:name="_Toc390078460"/>
      <w:bookmarkStart w:id="552" w:name="_Toc390078818"/>
      <w:r>
        <w:t>Subdivision 3 — Enforcement of decisions</w:t>
      </w:r>
      <w:bookmarkEnd w:id="551"/>
      <w:bookmarkEnd w:id="552"/>
    </w:p>
    <w:p>
      <w:pPr>
        <w:pStyle w:val="Footnoteheading"/>
      </w:pPr>
      <w:r>
        <w:tab/>
        <w:t>[Heading inserted by No. 42 of 2004 s. 130.]</w:t>
      </w:r>
    </w:p>
    <w:p>
      <w:pPr>
        <w:pStyle w:val="Heading5"/>
        <w:keepLines w:val="0"/>
      </w:pPr>
      <w:bookmarkStart w:id="553" w:name="_Toc390078461"/>
      <w:bookmarkStart w:id="554" w:name="_Toc390078819"/>
      <w:r>
        <w:rPr>
          <w:rStyle w:val="CharSectno"/>
        </w:rPr>
        <w:t>219</w:t>
      </w:r>
      <w:r>
        <w:t>.</w:t>
      </w:r>
      <w:r>
        <w:tab/>
        <w:t>Enforcement of decisions</w:t>
      </w:r>
      <w:bookmarkEnd w:id="553"/>
      <w:bookmarkEnd w:id="554"/>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w:t>
      </w:r>
    </w:p>
    <w:p>
      <w:pPr>
        <w:pStyle w:val="Heading3"/>
      </w:pPr>
      <w:bookmarkStart w:id="555" w:name="_Toc390078462"/>
      <w:bookmarkStart w:id="556" w:name="_Toc390078820"/>
      <w:r>
        <w:rPr>
          <w:rStyle w:val="CharDivNo"/>
        </w:rPr>
        <w:t>Division 6</w:t>
      </w:r>
      <w:r>
        <w:t> — </w:t>
      </w:r>
      <w:r>
        <w:rPr>
          <w:rStyle w:val="CharDivText"/>
        </w:rPr>
        <w:t>Miscellaneous</w:t>
      </w:r>
      <w:bookmarkEnd w:id="555"/>
      <w:bookmarkEnd w:id="556"/>
    </w:p>
    <w:p>
      <w:pPr>
        <w:pStyle w:val="Footnoteheading"/>
      </w:pPr>
      <w:r>
        <w:tab/>
        <w:t>[Heading inserted by No. 42 of 2004 s. 130.]</w:t>
      </w:r>
    </w:p>
    <w:p>
      <w:pPr>
        <w:pStyle w:val="Heading5"/>
      </w:pPr>
      <w:bookmarkStart w:id="557" w:name="_Toc390078463"/>
      <w:bookmarkStart w:id="558" w:name="_Toc390078821"/>
      <w:r>
        <w:rPr>
          <w:rStyle w:val="CharSectno"/>
        </w:rPr>
        <w:t>220</w:t>
      </w:r>
      <w:r>
        <w:t>.</w:t>
      </w:r>
      <w:r>
        <w:tab/>
        <w:t>Evidence not admissible in common law proceedings</w:t>
      </w:r>
      <w:bookmarkEnd w:id="557"/>
      <w:bookmarkEnd w:id="558"/>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559" w:name="_Toc390078464"/>
      <w:bookmarkStart w:id="560" w:name="_Toc390078822"/>
      <w:r>
        <w:rPr>
          <w:rStyle w:val="CharSectno"/>
        </w:rPr>
        <w:t>221</w:t>
      </w:r>
      <w:r>
        <w:rPr>
          <w:snapToGrid w:val="0"/>
        </w:rPr>
        <w:t>.</w:t>
      </w:r>
      <w:r>
        <w:rPr>
          <w:snapToGrid w:val="0"/>
        </w:rPr>
        <w:tab/>
        <w:t>Payment of compensation awarded</w:t>
      </w:r>
      <w:bookmarkEnd w:id="559"/>
      <w:bookmarkEnd w:id="560"/>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pPr>
      <w:r>
        <w:tab/>
        <w:t>[Section 221 inserted by No. 42 of 2004 s. 130.]</w:t>
      </w:r>
    </w:p>
    <w:p>
      <w:pPr>
        <w:pStyle w:val="Heading5"/>
      </w:pPr>
      <w:bookmarkStart w:id="561" w:name="_Toc390078465"/>
      <w:bookmarkStart w:id="562" w:name="_Toc390078823"/>
      <w:r>
        <w:rPr>
          <w:rStyle w:val="CharSectno"/>
        </w:rPr>
        <w:t>222</w:t>
      </w:r>
      <w:r>
        <w:t>.</w:t>
      </w:r>
      <w:r>
        <w:tab/>
        <w:t>Interest before order for payment</w:t>
      </w:r>
      <w:bookmarkEnd w:id="561"/>
      <w:bookmarkEnd w:id="562"/>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563" w:name="_Toc390078466"/>
      <w:bookmarkStart w:id="564" w:name="_Toc390078824"/>
      <w:r>
        <w:rPr>
          <w:rStyle w:val="CharSectno"/>
        </w:rPr>
        <w:t>223</w:t>
      </w:r>
      <w:r>
        <w:t>.</w:t>
      </w:r>
      <w:r>
        <w:tab/>
        <w:t>Interest after order for payment</w:t>
      </w:r>
      <w:bookmarkEnd w:id="563"/>
      <w:bookmarkEnd w:id="564"/>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565" w:name="_Toc390078467"/>
      <w:bookmarkStart w:id="566" w:name="_Toc390078825"/>
      <w:r>
        <w:rPr>
          <w:rStyle w:val="CharSectno"/>
        </w:rPr>
        <w:t>224</w:t>
      </w:r>
      <w:r>
        <w:t>.</w:t>
      </w:r>
      <w:r>
        <w:tab/>
        <w:t>Interest on agreed payment of lump sum compensation</w:t>
      </w:r>
      <w:bookmarkEnd w:id="565"/>
      <w:bookmarkEnd w:id="566"/>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567" w:name="_Toc390078468"/>
      <w:bookmarkStart w:id="568" w:name="_Toc390078826"/>
      <w:r>
        <w:rPr>
          <w:rStyle w:val="CharSectno"/>
        </w:rPr>
        <w:t>225</w:t>
      </w:r>
      <w:r>
        <w:t>.</w:t>
      </w:r>
      <w:r>
        <w:tab/>
        <w:t>Regulations may exclude interest</w:t>
      </w:r>
      <w:bookmarkEnd w:id="567"/>
      <w:bookmarkEnd w:id="568"/>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Heading2"/>
      </w:pPr>
      <w:bookmarkStart w:id="569" w:name="_Toc390078469"/>
      <w:bookmarkStart w:id="570" w:name="_Toc390078827"/>
      <w:r>
        <w:rPr>
          <w:rStyle w:val="CharPartNo"/>
        </w:rPr>
        <w:t>Part XII</w:t>
      </w:r>
      <w:r>
        <w:rPr>
          <w:b w:val="0"/>
        </w:rPr>
        <w:t> </w:t>
      </w:r>
      <w:r>
        <w:t>—</w:t>
      </w:r>
      <w:r>
        <w:rPr>
          <w:b w:val="0"/>
        </w:rPr>
        <w:t> </w:t>
      </w:r>
      <w:r>
        <w:rPr>
          <w:rStyle w:val="CharPartText"/>
        </w:rPr>
        <w:t>Interim orders and minor claims</w:t>
      </w:r>
      <w:bookmarkEnd w:id="569"/>
      <w:bookmarkEnd w:id="570"/>
    </w:p>
    <w:p>
      <w:pPr>
        <w:pStyle w:val="Footnoteheading"/>
      </w:pPr>
      <w:r>
        <w:tab/>
        <w:t>[Heading inserted by No. 42 of 2004 s. 130.]</w:t>
      </w:r>
    </w:p>
    <w:p>
      <w:pPr>
        <w:pStyle w:val="Heading3"/>
      </w:pPr>
      <w:bookmarkStart w:id="571" w:name="_Toc390078470"/>
      <w:bookmarkStart w:id="572" w:name="_Toc390078828"/>
      <w:r>
        <w:rPr>
          <w:rStyle w:val="CharDivNo"/>
        </w:rPr>
        <w:t>Division 1</w:t>
      </w:r>
      <w:r>
        <w:t> — </w:t>
      </w:r>
      <w:r>
        <w:rPr>
          <w:rStyle w:val="CharDivText"/>
        </w:rPr>
        <w:t>Preliminary</w:t>
      </w:r>
      <w:bookmarkEnd w:id="571"/>
      <w:bookmarkEnd w:id="572"/>
    </w:p>
    <w:p>
      <w:pPr>
        <w:pStyle w:val="Footnoteheading"/>
      </w:pPr>
      <w:r>
        <w:tab/>
        <w:t>[Heading inserted by No. 42 of 2004 s. 130.]</w:t>
      </w:r>
    </w:p>
    <w:p>
      <w:pPr>
        <w:pStyle w:val="Heading5"/>
      </w:pPr>
      <w:bookmarkStart w:id="573" w:name="_Toc390078471"/>
      <w:bookmarkStart w:id="574" w:name="_Toc390078829"/>
      <w:r>
        <w:rPr>
          <w:rStyle w:val="CharSectno"/>
        </w:rPr>
        <w:t>226</w:t>
      </w:r>
      <w:r>
        <w:t>.</w:t>
      </w:r>
      <w:r>
        <w:tab/>
        <w:t>Interpretation</w:t>
      </w:r>
      <w:bookmarkEnd w:id="573"/>
      <w:bookmarkEnd w:id="574"/>
    </w:p>
    <w:p>
      <w:pPr>
        <w:pStyle w:val="Subsection"/>
      </w:pPr>
      <w:r>
        <w:tab/>
      </w:r>
      <w:r>
        <w:tab/>
        <w:t xml:space="preserve">In this Part — </w:t>
      </w:r>
    </w:p>
    <w:p>
      <w:pPr>
        <w:pStyle w:val="Defstart"/>
      </w:pPr>
      <w:r>
        <w:rPr>
          <w:b/>
        </w:rPr>
        <w:tab/>
        <w:t>“</w:t>
      </w:r>
      <w:r>
        <w:rPr>
          <w:rStyle w:val="CharDefText"/>
        </w:rPr>
        <w:t>statutory expenses</w:t>
      </w:r>
      <w:r>
        <w:rPr>
          <w:b/>
        </w:rPr>
        <w:t>”</w:t>
      </w:r>
      <w:r>
        <w:t xml:space="preserve"> means a compensation entitlement under clause 17.</w:t>
      </w:r>
    </w:p>
    <w:p>
      <w:pPr>
        <w:pStyle w:val="Footnotesection"/>
      </w:pPr>
      <w:r>
        <w:tab/>
        <w:t>[Section 226 inserted by No. 42 of 2004 s. 130.]</w:t>
      </w:r>
    </w:p>
    <w:p>
      <w:pPr>
        <w:pStyle w:val="Heading5"/>
      </w:pPr>
      <w:bookmarkStart w:id="575" w:name="_Toc390078472"/>
      <w:bookmarkStart w:id="576" w:name="_Toc390078830"/>
      <w:r>
        <w:rPr>
          <w:rStyle w:val="CharSectno"/>
        </w:rPr>
        <w:t>227</w:t>
      </w:r>
      <w:r>
        <w:t>.</w:t>
      </w:r>
      <w:r>
        <w:tab/>
        <w:t>Exercise of functions under this Part</w:t>
      </w:r>
      <w:bookmarkEnd w:id="575"/>
      <w:bookmarkEnd w:id="576"/>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r>
        <w:tab/>
        <w:t>[Section 227 inserted by No. 42 of 2004 s. 130.]</w:t>
      </w:r>
    </w:p>
    <w:p>
      <w:pPr>
        <w:pStyle w:val="Heading5"/>
      </w:pPr>
      <w:bookmarkStart w:id="577" w:name="_Toc390078473"/>
      <w:bookmarkStart w:id="578" w:name="_Toc390078831"/>
      <w:r>
        <w:rPr>
          <w:rStyle w:val="CharSectno"/>
        </w:rPr>
        <w:t>228</w:t>
      </w:r>
      <w:r>
        <w:t>.</w:t>
      </w:r>
      <w:r>
        <w:tab/>
        <w:t>Provisions of Part XI apply</w:t>
      </w:r>
      <w:bookmarkEnd w:id="577"/>
      <w:bookmarkEnd w:id="578"/>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r>
        <w:tab/>
        <w:t>[Section 228 inserted by No. 42 of 2004 s. 130.]</w:t>
      </w:r>
    </w:p>
    <w:p>
      <w:pPr>
        <w:pStyle w:val="Heading5"/>
      </w:pPr>
      <w:bookmarkStart w:id="579" w:name="_Toc390078474"/>
      <w:bookmarkStart w:id="580" w:name="_Toc390078832"/>
      <w:r>
        <w:rPr>
          <w:rStyle w:val="CharSectno"/>
        </w:rPr>
        <w:t>229</w:t>
      </w:r>
      <w:r>
        <w:t>.</w:t>
      </w:r>
      <w:r>
        <w:tab/>
        <w:t>Arbitrator may direct that matter be dealt with under Part XI</w:t>
      </w:r>
      <w:bookmarkEnd w:id="579"/>
      <w:bookmarkEnd w:id="580"/>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r>
        <w:tab/>
        <w:t>[Section 229 inserted by No. 42 of 2004 s. 130.]</w:t>
      </w:r>
    </w:p>
    <w:p>
      <w:pPr>
        <w:pStyle w:val="Heading5"/>
      </w:pPr>
      <w:bookmarkStart w:id="581" w:name="_Toc390078475"/>
      <w:bookmarkStart w:id="582" w:name="_Toc390078833"/>
      <w:r>
        <w:rPr>
          <w:rStyle w:val="CharSectno"/>
        </w:rPr>
        <w:t>230</w:t>
      </w:r>
      <w:r>
        <w:t>.</w:t>
      </w:r>
      <w:r>
        <w:tab/>
        <w:t>DRD Rules apply</w:t>
      </w:r>
      <w:bookmarkEnd w:id="581"/>
      <w:bookmarkEnd w:id="582"/>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r>
        <w:tab/>
        <w:t>[Section 230 inserted by No. 42 of 2004 s. 130.]</w:t>
      </w:r>
    </w:p>
    <w:p>
      <w:pPr>
        <w:pStyle w:val="Heading3"/>
      </w:pPr>
      <w:bookmarkStart w:id="583" w:name="_Toc390078476"/>
      <w:bookmarkStart w:id="584" w:name="_Toc390078834"/>
      <w:r>
        <w:rPr>
          <w:rStyle w:val="CharDivNo"/>
        </w:rPr>
        <w:t>Division 2</w:t>
      </w:r>
      <w:r>
        <w:t> — </w:t>
      </w:r>
      <w:r>
        <w:rPr>
          <w:rStyle w:val="CharDivText"/>
        </w:rPr>
        <w:t>Interim payment orders</w:t>
      </w:r>
      <w:bookmarkEnd w:id="583"/>
      <w:bookmarkEnd w:id="584"/>
    </w:p>
    <w:p>
      <w:pPr>
        <w:pStyle w:val="Footnoteheading"/>
      </w:pPr>
      <w:r>
        <w:tab/>
        <w:t>[Heading inserted by No. 42 of 2004 s. 130.]</w:t>
      </w:r>
    </w:p>
    <w:p>
      <w:pPr>
        <w:pStyle w:val="Heading5"/>
        <w:rPr>
          <w:rStyle w:val="CharSectno"/>
        </w:rPr>
      </w:pPr>
      <w:bookmarkStart w:id="585" w:name="_Toc390078477"/>
      <w:bookmarkStart w:id="586" w:name="_Toc390078835"/>
      <w:r>
        <w:rPr>
          <w:rStyle w:val="CharSectno"/>
        </w:rPr>
        <w:t>231.</w:t>
      </w:r>
      <w:r>
        <w:rPr>
          <w:rStyle w:val="CharSectno"/>
        </w:rPr>
        <w:tab/>
        <w:t>Application for interim payment order</w:t>
      </w:r>
      <w:bookmarkEnd w:id="585"/>
      <w:bookmarkEnd w:id="586"/>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r>
        <w:tab/>
        <w:t>[Section 231 inserted by No. 42 of 2004 s. 130; amended by No. 16 of 2005 s. 25.]</w:t>
      </w:r>
    </w:p>
    <w:p>
      <w:pPr>
        <w:pStyle w:val="Heading5"/>
      </w:pPr>
      <w:bookmarkStart w:id="587" w:name="_Toc390078478"/>
      <w:bookmarkStart w:id="588" w:name="_Toc390078836"/>
      <w:r>
        <w:rPr>
          <w:rStyle w:val="CharSectno"/>
        </w:rPr>
        <w:t>232</w:t>
      </w:r>
      <w:r>
        <w:t>.</w:t>
      </w:r>
      <w:r>
        <w:tab/>
        <w:t>Orders for interim weekly payments</w:t>
      </w:r>
      <w:bookmarkEnd w:id="587"/>
      <w:bookmarkEnd w:id="588"/>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232 inserted by No. 42 of 2004 s. 130.]</w:t>
      </w:r>
    </w:p>
    <w:p>
      <w:pPr>
        <w:pStyle w:val="Heading5"/>
      </w:pPr>
      <w:bookmarkStart w:id="589" w:name="_Toc390078479"/>
      <w:bookmarkStart w:id="590" w:name="_Toc390078837"/>
      <w:r>
        <w:rPr>
          <w:rStyle w:val="CharSectno"/>
        </w:rPr>
        <w:t>233</w:t>
      </w:r>
      <w:r>
        <w:t>.</w:t>
      </w:r>
      <w:r>
        <w:tab/>
        <w:t>Orders for interim payment of statutory expenses</w:t>
      </w:r>
      <w:bookmarkEnd w:id="589"/>
      <w:bookmarkEnd w:id="590"/>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233 inserted by No. 42 of 2004 s. 130.]</w:t>
      </w:r>
    </w:p>
    <w:p>
      <w:pPr>
        <w:pStyle w:val="Heading5"/>
      </w:pPr>
      <w:bookmarkStart w:id="591" w:name="_Toc390078480"/>
      <w:bookmarkStart w:id="592" w:name="_Toc390078838"/>
      <w:r>
        <w:rPr>
          <w:rStyle w:val="CharSectno"/>
        </w:rPr>
        <w:t>234</w:t>
      </w:r>
      <w:r>
        <w:t>.</w:t>
      </w:r>
      <w:r>
        <w:tab/>
        <w:t>Limits on interim payment orders</w:t>
      </w:r>
      <w:bookmarkEnd w:id="591"/>
      <w:bookmarkEnd w:id="592"/>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r>
        <w:tab/>
        <w:t>[Section 234 inserted by No. 42 of 2004 s. 130.]</w:t>
      </w:r>
    </w:p>
    <w:p>
      <w:pPr>
        <w:pStyle w:val="Heading5"/>
      </w:pPr>
      <w:bookmarkStart w:id="593" w:name="_Toc390078481"/>
      <w:bookmarkStart w:id="594" w:name="_Toc390078839"/>
      <w:r>
        <w:rPr>
          <w:rStyle w:val="CharSectno"/>
        </w:rPr>
        <w:t>235</w:t>
      </w:r>
      <w:r>
        <w:t>.</w:t>
      </w:r>
      <w:r>
        <w:tab/>
        <w:t>Effect of interim payment order</w:t>
      </w:r>
      <w:bookmarkEnd w:id="593"/>
      <w:bookmarkEnd w:id="594"/>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r>
        <w:tab/>
        <w:t>[Section 235 inserted by No. 42 of 2004 s. 130.]</w:t>
      </w:r>
    </w:p>
    <w:p>
      <w:pPr>
        <w:pStyle w:val="Heading5"/>
      </w:pPr>
      <w:bookmarkStart w:id="595" w:name="_Toc390078482"/>
      <w:bookmarkStart w:id="596" w:name="_Toc390078840"/>
      <w:r>
        <w:rPr>
          <w:rStyle w:val="CharSectno"/>
        </w:rPr>
        <w:t>236</w:t>
      </w:r>
      <w:r>
        <w:t>.</w:t>
      </w:r>
      <w:r>
        <w:tab/>
        <w:t>Recovery of payments</w:t>
      </w:r>
      <w:bookmarkEnd w:id="595"/>
      <w:bookmarkEnd w:id="596"/>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236 inserted by No. 42 of 2004 s. 130.]</w:t>
      </w:r>
    </w:p>
    <w:p>
      <w:pPr>
        <w:pStyle w:val="Heading5"/>
      </w:pPr>
      <w:bookmarkStart w:id="597" w:name="_Toc390078483"/>
      <w:bookmarkStart w:id="598" w:name="_Toc390078841"/>
      <w:r>
        <w:rPr>
          <w:rStyle w:val="CharSectno"/>
        </w:rPr>
        <w:t>237</w:t>
      </w:r>
      <w:r>
        <w:t>.</w:t>
      </w:r>
      <w:r>
        <w:tab/>
        <w:t>Revocation of interim payment order</w:t>
      </w:r>
      <w:bookmarkEnd w:id="597"/>
      <w:bookmarkEnd w:id="598"/>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r>
        <w:tab/>
        <w:t>[Section 237 inserted by No. 42 of 2004 s. 130.]</w:t>
      </w:r>
    </w:p>
    <w:p>
      <w:pPr>
        <w:pStyle w:val="Heading3"/>
      </w:pPr>
      <w:bookmarkStart w:id="599" w:name="_Toc390078484"/>
      <w:bookmarkStart w:id="600" w:name="_Toc390078842"/>
      <w:r>
        <w:rPr>
          <w:rStyle w:val="CharDivNo"/>
        </w:rPr>
        <w:t>Division 3</w:t>
      </w:r>
      <w:r>
        <w:t> — </w:t>
      </w:r>
      <w:r>
        <w:rPr>
          <w:rStyle w:val="CharDivText"/>
        </w:rPr>
        <w:t>Interim suspension or reduction orders</w:t>
      </w:r>
      <w:bookmarkEnd w:id="599"/>
      <w:bookmarkEnd w:id="600"/>
    </w:p>
    <w:p>
      <w:pPr>
        <w:pStyle w:val="Footnoteheading"/>
      </w:pPr>
      <w:r>
        <w:tab/>
        <w:t>[Heading inserted by No. 42 of 2004 s. 130.]</w:t>
      </w:r>
    </w:p>
    <w:p>
      <w:pPr>
        <w:pStyle w:val="Heading5"/>
      </w:pPr>
      <w:bookmarkStart w:id="601" w:name="_Toc390078485"/>
      <w:bookmarkStart w:id="602" w:name="_Toc390078843"/>
      <w:r>
        <w:rPr>
          <w:rStyle w:val="CharSectno"/>
        </w:rPr>
        <w:t>238</w:t>
      </w:r>
      <w:r>
        <w:t>.</w:t>
      </w:r>
      <w:r>
        <w:tab/>
        <w:t>Interim suspension or reduction order</w:t>
      </w:r>
      <w:bookmarkEnd w:id="601"/>
      <w:bookmarkEnd w:id="602"/>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b/>
        </w:rPr>
        <w:t>“</w:t>
      </w:r>
      <w:r>
        <w:rPr>
          <w:rStyle w:val="CharDefText"/>
        </w:rPr>
        <w:t>Part XI application</w:t>
      </w:r>
      <w:r>
        <w:rPr>
          <w:b/>
        </w:rPr>
        <w:t>”</w:t>
      </w:r>
      <w:r>
        <w:t>); or</w:t>
      </w:r>
    </w:p>
    <w:p>
      <w:pPr>
        <w:pStyle w:val="Indenta"/>
      </w:pPr>
      <w:r>
        <w:tab/>
        <w:t>(b)</w:t>
      </w:r>
      <w:r>
        <w:tab/>
        <w:t xml:space="preserve">after lodging an application under Part XI in respect of the same matter (the </w:t>
      </w:r>
      <w:r>
        <w:rPr>
          <w:b/>
        </w:rPr>
        <w:t>“</w:t>
      </w:r>
      <w:r>
        <w:rPr>
          <w:rStyle w:val="CharDefText"/>
        </w:rPr>
        <w:t>Part XI application</w:t>
      </w:r>
      <w:r>
        <w:rPr>
          <w:b/>
        </w:rPr>
        <w:t>”</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b/>
        </w:rPr>
        <w:t>“</w:t>
      </w:r>
      <w:r>
        <w:rPr>
          <w:rStyle w:val="CharDefText"/>
        </w:rPr>
        <w:t>interim suspension order</w:t>
      </w:r>
      <w:r>
        <w:rPr>
          <w:b/>
        </w:rPr>
        <w:t xml:space="preserve">” </w:t>
      </w:r>
      <w:r>
        <w:t xml:space="preserve">or an </w:t>
      </w:r>
      <w:r>
        <w:rPr>
          <w:b/>
        </w:rPr>
        <w:t>“</w:t>
      </w:r>
      <w:r>
        <w:rPr>
          <w:rStyle w:val="CharDefText"/>
        </w:rPr>
        <w:t>interim reduction order</w:t>
      </w:r>
      <w:r>
        <w:rPr>
          <w:b/>
        </w:rPr>
        <w:t>”</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r>
        <w:tab/>
        <w:t>[Section 238 inserted by No. 42 of 2004 s. 130.]</w:t>
      </w:r>
    </w:p>
    <w:p>
      <w:pPr>
        <w:pStyle w:val="Heading5"/>
      </w:pPr>
      <w:bookmarkStart w:id="603" w:name="_Toc390078486"/>
      <w:bookmarkStart w:id="604" w:name="_Toc390078844"/>
      <w:r>
        <w:rPr>
          <w:rStyle w:val="CharSectno"/>
        </w:rPr>
        <w:t>239</w:t>
      </w:r>
      <w:r>
        <w:t>.</w:t>
      </w:r>
      <w:r>
        <w:tab/>
        <w:t>Effect of Part XI determination on the same matter as a matter determined under this Division</w:t>
      </w:r>
      <w:bookmarkEnd w:id="603"/>
      <w:bookmarkEnd w:id="604"/>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r>
        <w:tab/>
        <w:t>[Section 239 inserted by No. 42 of 2004 s. 130.]</w:t>
      </w:r>
    </w:p>
    <w:p>
      <w:pPr>
        <w:pStyle w:val="Heading5"/>
        <w:spacing w:before="260"/>
      </w:pPr>
      <w:bookmarkStart w:id="605" w:name="_Toc390078487"/>
      <w:bookmarkStart w:id="606" w:name="_Toc390078845"/>
      <w:r>
        <w:rPr>
          <w:rStyle w:val="CharSectno"/>
        </w:rPr>
        <w:t>240</w:t>
      </w:r>
      <w:r>
        <w:t>.</w:t>
      </w:r>
      <w:r>
        <w:tab/>
        <w:t>Revocation of interim suspension or reduction order</w:t>
      </w:r>
      <w:bookmarkEnd w:id="605"/>
      <w:bookmarkEnd w:id="606"/>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r>
        <w:tab/>
        <w:t>[Section 240 inserted by No. 42 of 2004 s. 130.]</w:t>
      </w:r>
    </w:p>
    <w:p>
      <w:pPr>
        <w:pStyle w:val="Heading3"/>
        <w:keepLines/>
      </w:pPr>
      <w:bookmarkStart w:id="607" w:name="_Toc390078488"/>
      <w:bookmarkStart w:id="608" w:name="_Toc390078846"/>
      <w:r>
        <w:rPr>
          <w:rStyle w:val="CharDivNo"/>
        </w:rPr>
        <w:t>Division 4</w:t>
      </w:r>
      <w:r>
        <w:t> — </w:t>
      </w:r>
      <w:r>
        <w:rPr>
          <w:rStyle w:val="CharDivText"/>
        </w:rPr>
        <w:t>Expedited determination of minor claims</w:t>
      </w:r>
      <w:bookmarkEnd w:id="607"/>
      <w:bookmarkEnd w:id="608"/>
    </w:p>
    <w:p>
      <w:pPr>
        <w:pStyle w:val="Footnoteheading"/>
        <w:keepNext/>
        <w:keepLines/>
      </w:pPr>
      <w:r>
        <w:tab/>
        <w:t>[Heading inserted by No. 42 of 2004 s. 130.]</w:t>
      </w:r>
    </w:p>
    <w:p>
      <w:pPr>
        <w:pStyle w:val="Heading5"/>
      </w:pPr>
      <w:bookmarkStart w:id="609" w:name="_Toc390078489"/>
      <w:bookmarkStart w:id="610" w:name="_Toc390078847"/>
      <w:r>
        <w:rPr>
          <w:rStyle w:val="CharSectno"/>
        </w:rPr>
        <w:t>241</w:t>
      </w:r>
      <w:r>
        <w:t>.</w:t>
      </w:r>
      <w:r>
        <w:tab/>
        <w:t>Application for determination of minor claim</w:t>
      </w:r>
      <w:bookmarkEnd w:id="609"/>
      <w:bookmarkEnd w:id="610"/>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r>
        <w:tab/>
        <w:t>[Section 241 inserted by No. 42 of 2004 s. 130; amended by No. 16 of 2005 s. 26.]</w:t>
      </w:r>
    </w:p>
    <w:p>
      <w:pPr>
        <w:pStyle w:val="Heading5"/>
      </w:pPr>
      <w:bookmarkStart w:id="611" w:name="_Toc390078490"/>
      <w:bookmarkStart w:id="612" w:name="_Toc390078848"/>
      <w:r>
        <w:rPr>
          <w:rStyle w:val="CharSectno"/>
        </w:rPr>
        <w:t>242</w:t>
      </w:r>
      <w:r>
        <w:t>.</w:t>
      </w:r>
      <w:r>
        <w:tab/>
        <w:t>Limits on minor claims orders</w:t>
      </w:r>
      <w:bookmarkEnd w:id="611"/>
      <w:bookmarkEnd w:id="612"/>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r>
        <w:tab/>
        <w:t>[Section 242 inserted by No. 42 of 2004 s. 130.]</w:t>
      </w:r>
    </w:p>
    <w:p>
      <w:pPr>
        <w:pStyle w:val="Heading5"/>
      </w:pPr>
      <w:bookmarkStart w:id="613" w:name="_Toc390078491"/>
      <w:bookmarkStart w:id="614" w:name="_Toc390078849"/>
      <w:r>
        <w:rPr>
          <w:rStyle w:val="CharSectno"/>
        </w:rPr>
        <w:t>243</w:t>
      </w:r>
      <w:r>
        <w:t>.</w:t>
      </w:r>
      <w:r>
        <w:tab/>
        <w:t>No recovery of compensation</w:t>
      </w:r>
      <w:bookmarkEnd w:id="613"/>
      <w:bookmarkEnd w:id="614"/>
    </w:p>
    <w:p>
      <w:pPr>
        <w:pStyle w:val="Subsection"/>
      </w:pPr>
      <w:r>
        <w:tab/>
      </w:r>
      <w:r>
        <w:tab/>
        <w:t>A worker cannot be required to refund compensation paid to the worker under this Division.</w:t>
      </w:r>
    </w:p>
    <w:p>
      <w:pPr>
        <w:pStyle w:val="Footnotesection"/>
      </w:pPr>
      <w:r>
        <w:tab/>
        <w:t>[Section 243 inserted by No. 42 of 2004 s. 130.]</w:t>
      </w:r>
    </w:p>
    <w:p>
      <w:pPr>
        <w:pStyle w:val="Heading5"/>
      </w:pPr>
      <w:bookmarkStart w:id="615" w:name="_Toc390078492"/>
      <w:bookmarkStart w:id="616" w:name="_Toc390078850"/>
      <w:r>
        <w:rPr>
          <w:rStyle w:val="CharSectno"/>
        </w:rPr>
        <w:t>244</w:t>
      </w:r>
      <w:r>
        <w:t>.</w:t>
      </w:r>
      <w:r>
        <w:tab/>
        <w:t>Production of documents</w:t>
      </w:r>
      <w:bookmarkEnd w:id="615"/>
      <w:bookmarkEnd w:id="616"/>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r>
        <w:tab/>
        <w:t>[Section 244 inserted by No. 42 of 2004 s. 130.]</w:t>
      </w:r>
    </w:p>
    <w:p>
      <w:pPr>
        <w:pStyle w:val="Heading2"/>
      </w:pPr>
      <w:bookmarkStart w:id="617" w:name="_Toc390078493"/>
      <w:bookmarkStart w:id="618" w:name="_Toc390078851"/>
      <w:r>
        <w:rPr>
          <w:rStyle w:val="CharPartNo"/>
        </w:rPr>
        <w:t>Part XIII</w:t>
      </w:r>
      <w:r>
        <w:rPr>
          <w:rStyle w:val="CharDivNo"/>
        </w:rPr>
        <w:t> </w:t>
      </w:r>
      <w:r>
        <w:t>—</w:t>
      </w:r>
      <w:r>
        <w:rPr>
          <w:rStyle w:val="CharDivText"/>
        </w:rPr>
        <w:t> </w:t>
      </w:r>
      <w:r>
        <w:rPr>
          <w:rStyle w:val="CharPartText"/>
        </w:rPr>
        <w:t>Questions of law and appeals</w:t>
      </w:r>
      <w:bookmarkEnd w:id="617"/>
      <w:bookmarkEnd w:id="618"/>
    </w:p>
    <w:p>
      <w:pPr>
        <w:pStyle w:val="Footnoteheading"/>
      </w:pPr>
      <w:r>
        <w:tab/>
        <w:t>[Heading inserted by No. 42 of 2004 s. 130.]</w:t>
      </w:r>
    </w:p>
    <w:p>
      <w:pPr>
        <w:pStyle w:val="Heading5"/>
      </w:pPr>
      <w:bookmarkStart w:id="619" w:name="_Toc390078494"/>
      <w:bookmarkStart w:id="620" w:name="_Toc390078852"/>
      <w:r>
        <w:rPr>
          <w:rStyle w:val="CharSectno"/>
        </w:rPr>
        <w:t>245</w:t>
      </w:r>
      <w:r>
        <w:t>.</w:t>
      </w:r>
      <w:r>
        <w:tab/>
        <w:t>Application of Part XI</w:t>
      </w:r>
      <w:bookmarkEnd w:id="619"/>
      <w:bookmarkEnd w:id="620"/>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r>
        <w:tab/>
        <w:t>[Section 245 inserted by No. 42 of 2004 s. 130.]</w:t>
      </w:r>
    </w:p>
    <w:p>
      <w:pPr>
        <w:pStyle w:val="Heading5"/>
      </w:pPr>
      <w:bookmarkStart w:id="621" w:name="_Toc390078495"/>
      <w:bookmarkStart w:id="622" w:name="_Toc390078853"/>
      <w:r>
        <w:rPr>
          <w:rStyle w:val="CharSectno"/>
        </w:rPr>
        <w:t>246</w:t>
      </w:r>
      <w:r>
        <w:t>.</w:t>
      </w:r>
      <w:r>
        <w:tab/>
        <w:t>Reference of question of law to Commissioner</w:t>
      </w:r>
      <w:bookmarkEnd w:id="621"/>
      <w:bookmarkEnd w:id="622"/>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r>
        <w:tab/>
        <w:t>[Section 246 inserted by No. 42 of 2004 s. 130.]</w:t>
      </w:r>
    </w:p>
    <w:p>
      <w:pPr>
        <w:pStyle w:val="Heading5"/>
      </w:pPr>
      <w:bookmarkStart w:id="623" w:name="_Toc390078496"/>
      <w:bookmarkStart w:id="624" w:name="_Toc390078854"/>
      <w:r>
        <w:rPr>
          <w:rStyle w:val="CharSectno"/>
        </w:rPr>
        <w:t>247</w:t>
      </w:r>
      <w:r>
        <w:t>.</w:t>
      </w:r>
      <w:r>
        <w:tab/>
        <w:t>Appeal against decision of arbitrator</w:t>
      </w:r>
      <w:bookmarkEnd w:id="623"/>
      <w:bookmarkEnd w:id="624"/>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r>
        <w:tab/>
        <w:t>[Section 247 inserted by No. 42 of 2004 s. 130; amended by No. 16 of 2005 s. 27.]</w:t>
      </w:r>
    </w:p>
    <w:p>
      <w:pPr>
        <w:pStyle w:val="Heading5"/>
      </w:pPr>
      <w:bookmarkStart w:id="625" w:name="_Toc390078497"/>
      <w:bookmarkStart w:id="626" w:name="_Toc390078855"/>
      <w:r>
        <w:rPr>
          <w:rStyle w:val="CharSectno"/>
        </w:rPr>
        <w:t>248</w:t>
      </w:r>
      <w:r>
        <w:t>.</w:t>
      </w:r>
      <w:r>
        <w:tab/>
        <w:t>Commencing appeal</w:t>
      </w:r>
      <w:bookmarkEnd w:id="625"/>
      <w:bookmarkEnd w:id="626"/>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r>
        <w:tab/>
        <w:t>[Section 248 inserted by No. 42 of 2004 s. 130.]</w:t>
      </w:r>
    </w:p>
    <w:p>
      <w:pPr>
        <w:pStyle w:val="Heading5"/>
      </w:pPr>
      <w:bookmarkStart w:id="627" w:name="_Toc390078498"/>
      <w:bookmarkStart w:id="628" w:name="_Toc390078856"/>
      <w:r>
        <w:rPr>
          <w:rStyle w:val="CharSectno"/>
        </w:rPr>
        <w:t>249</w:t>
      </w:r>
      <w:r>
        <w:t>.</w:t>
      </w:r>
      <w:r>
        <w:tab/>
        <w:t>Commissioner hearing to be held in public</w:t>
      </w:r>
      <w:bookmarkEnd w:id="627"/>
      <w:bookmarkEnd w:id="628"/>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r>
        <w:tab/>
        <w:t>[Section 249 inserted by No. 42 of 2004 s. 130.]</w:t>
      </w:r>
    </w:p>
    <w:p>
      <w:pPr>
        <w:pStyle w:val="Heading5"/>
      </w:pPr>
      <w:bookmarkStart w:id="629" w:name="_Toc390078499"/>
      <w:bookmarkStart w:id="630" w:name="_Toc390078857"/>
      <w:r>
        <w:rPr>
          <w:rStyle w:val="CharSectno"/>
        </w:rPr>
        <w:t>250</w:t>
      </w:r>
      <w:r>
        <w:t>.</w:t>
      </w:r>
      <w:r>
        <w:tab/>
        <w:t>Effect of decision against which appeal made</w:t>
      </w:r>
      <w:bookmarkEnd w:id="629"/>
      <w:bookmarkEnd w:id="630"/>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631" w:name="_Toc390078500"/>
      <w:bookmarkStart w:id="632" w:name="_Toc390078858"/>
      <w:r>
        <w:rPr>
          <w:rStyle w:val="CharSectno"/>
        </w:rPr>
        <w:t>251</w:t>
      </w:r>
      <w:r>
        <w:t>.</w:t>
      </w:r>
      <w:r>
        <w:tab/>
        <w:t>Commissioner may state case</w:t>
      </w:r>
      <w:bookmarkEnd w:id="631"/>
      <w:bookmarkEnd w:id="632"/>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r>
        <w:tab/>
        <w:t>[Section 251 inserted by No. 42 of 2004 s. 130; amended by No. 16 of 2005 s. 32(3).]</w:t>
      </w:r>
    </w:p>
    <w:p>
      <w:pPr>
        <w:pStyle w:val="Heading5"/>
      </w:pPr>
      <w:bookmarkStart w:id="633" w:name="_Toc390078501"/>
      <w:bookmarkStart w:id="634" w:name="_Toc390078859"/>
      <w:r>
        <w:rPr>
          <w:rStyle w:val="CharSectno"/>
        </w:rPr>
        <w:t>252</w:t>
      </w:r>
      <w:r>
        <w:t>.</w:t>
      </w:r>
      <w:r>
        <w:tab/>
        <w:t>Indemnity as to costs</w:t>
      </w:r>
      <w:bookmarkEnd w:id="633"/>
      <w:bookmarkEnd w:id="634"/>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 17.]</w:t>
      </w:r>
    </w:p>
    <w:p>
      <w:pPr>
        <w:pStyle w:val="Heading5"/>
      </w:pPr>
      <w:bookmarkStart w:id="635" w:name="_Toc390078502"/>
      <w:bookmarkStart w:id="636" w:name="_Toc390078860"/>
      <w:r>
        <w:rPr>
          <w:rStyle w:val="CharSectno"/>
        </w:rPr>
        <w:t>253</w:t>
      </w:r>
      <w:r>
        <w:t>.</w:t>
      </w:r>
      <w:r>
        <w:tab/>
        <w:t>Decisions of Commissioner</w:t>
      </w:r>
      <w:bookmarkEnd w:id="635"/>
      <w:bookmarkEnd w:id="636"/>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637" w:name="_Toc390078503"/>
      <w:bookmarkStart w:id="638" w:name="_Toc390078861"/>
      <w:r>
        <w:rPr>
          <w:rStyle w:val="CharSectno"/>
        </w:rPr>
        <w:t>254</w:t>
      </w:r>
      <w:r>
        <w:t>.</w:t>
      </w:r>
      <w:r>
        <w:tab/>
        <w:t>Appeal against decision of Commissioner</w:t>
      </w:r>
      <w:bookmarkEnd w:id="637"/>
      <w:bookmarkEnd w:id="638"/>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r>
        <w:tab/>
        <w:t>[Section 254 inserted by No. 42 of 2004 s. 130; amended by No. 16 of 2005 s. 32(4)</w:t>
      </w:r>
      <w:r>
        <w:noBreakHyphen/>
        <w:t>(6).]</w:t>
      </w:r>
    </w:p>
    <w:p>
      <w:pPr>
        <w:pStyle w:val="Heading2"/>
      </w:pPr>
      <w:bookmarkStart w:id="639" w:name="_Toc390078504"/>
      <w:bookmarkStart w:id="640" w:name="_Toc390078862"/>
      <w:r>
        <w:rPr>
          <w:rStyle w:val="CharPartNo"/>
        </w:rPr>
        <w:t>Part XIV</w:t>
      </w:r>
      <w:r>
        <w:rPr>
          <w:b w:val="0"/>
        </w:rPr>
        <w:t> </w:t>
      </w:r>
      <w:r>
        <w:t>—</w:t>
      </w:r>
      <w:r>
        <w:rPr>
          <w:b w:val="0"/>
        </w:rPr>
        <w:t> </w:t>
      </w:r>
      <w:r>
        <w:rPr>
          <w:rStyle w:val="CharPartText"/>
        </w:rPr>
        <w:t>Offences</w:t>
      </w:r>
      <w:bookmarkEnd w:id="639"/>
      <w:bookmarkEnd w:id="640"/>
    </w:p>
    <w:p>
      <w:pPr>
        <w:pStyle w:val="Footnoteheading"/>
      </w:pPr>
      <w:r>
        <w:tab/>
        <w:t>[Heading inserted by No. 42 of 2004 s. 130.]</w:t>
      </w:r>
    </w:p>
    <w:p>
      <w:pPr>
        <w:pStyle w:val="Heading5"/>
      </w:pPr>
      <w:bookmarkStart w:id="641" w:name="_Toc390078505"/>
      <w:bookmarkStart w:id="642" w:name="_Toc390078863"/>
      <w:r>
        <w:rPr>
          <w:rStyle w:val="CharSectno"/>
        </w:rPr>
        <w:t>255</w:t>
      </w:r>
      <w:r>
        <w:t>.</w:t>
      </w:r>
      <w:r>
        <w:tab/>
        <w:t>Failing to comply with decision</w:t>
      </w:r>
      <w:bookmarkEnd w:id="641"/>
      <w:bookmarkEnd w:id="642"/>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r>
        <w:tab/>
        <w:t>[Section 255 inserted by No. 42 of 2004 s. 130.]</w:t>
      </w:r>
    </w:p>
    <w:p>
      <w:pPr>
        <w:pStyle w:val="Heading5"/>
      </w:pPr>
      <w:bookmarkStart w:id="643" w:name="_Toc390078506"/>
      <w:bookmarkStart w:id="644" w:name="_Toc390078864"/>
      <w:r>
        <w:rPr>
          <w:rStyle w:val="CharSectno"/>
        </w:rPr>
        <w:t>256</w:t>
      </w:r>
      <w:r>
        <w:t>.</w:t>
      </w:r>
      <w:r>
        <w:tab/>
        <w:t>Failing to comply with summons</w:t>
      </w:r>
      <w:bookmarkEnd w:id="643"/>
      <w:bookmarkEnd w:id="644"/>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r>
        <w:tab/>
        <w:t>[Section 256 inserted by No. 42 of 2004 s. 130.]</w:t>
      </w:r>
    </w:p>
    <w:p>
      <w:pPr>
        <w:pStyle w:val="Heading5"/>
      </w:pPr>
      <w:bookmarkStart w:id="645" w:name="_Toc390078507"/>
      <w:bookmarkStart w:id="646" w:name="_Toc390078865"/>
      <w:r>
        <w:rPr>
          <w:rStyle w:val="CharSectno"/>
        </w:rPr>
        <w:t>257</w:t>
      </w:r>
      <w:r>
        <w:t>.</w:t>
      </w:r>
      <w:r>
        <w:tab/>
        <w:t>Failing to give evidence as required</w:t>
      </w:r>
      <w:bookmarkEnd w:id="645"/>
      <w:bookmarkEnd w:id="646"/>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r>
        <w:tab/>
        <w:t>[Section 257 inserted by No. 42 of 2004 s. 130.]</w:t>
      </w:r>
    </w:p>
    <w:p>
      <w:pPr>
        <w:pStyle w:val="Heading5"/>
      </w:pPr>
      <w:bookmarkStart w:id="647" w:name="_Toc390078508"/>
      <w:bookmarkStart w:id="648" w:name="_Toc390078866"/>
      <w:r>
        <w:rPr>
          <w:rStyle w:val="CharSectno"/>
        </w:rPr>
        <w:t>258</w:t>
      </w:r>
      <w:r>
        <w:t>.</w:t>
      </w:r>
      <w:r>
        <w:tab/>
        <w:t>Giving false or misleading information</w:t>
      </w:r>
      <w:bookmarkEnd w:id="647"/>
      <w:bookmarkEnd w:id="648"/>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649" w:name="_Toc390078509"/>
      <w:bookmarkStart w:id="650" w:name="_Toc390078867"/>
      <w:r>
        <w:rPr>
          <w:rStyle w:val="CharSectno"/>
        </w:rPr>
        <w:t>259</w:t>
      </w:r>
      <w:r>
        <w:t>.</w:t>
      </w:r>
      <w:r>
        <w:tab/>
        <w:t>Misbehaviour and other conduct</w:t>
      </w:r>
      <w:bookmarkEnd w:id="649"/>
      <w:bookmarkEnd w:id="650"/>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w:t>
      </w:r>
    </w:p>
    <w:p>
      <w:pPr>
        <w:pStyle w:val="Heading5"/>
      </w:pPr>
      <w:bookmarkStart w:id="651" w:name="_Toc390078510"/>
      <w:bookmarkStart w:id="652" w:name="_Toc390078868"/>
      <w:r>
        <w:rPr>
          <w:rStyle w:val="CharSectno"/>
        </w:rPr>
        <w:t>260</w:t>
      </w:r>
      <w:r>
        <w:t>.</w:t>
      </w:r>
      <w:r>
        <w:tab/>
        <w:t>Contempt of Commissioner</w:t>
      </w:r>
      <w:bookmarkEnd w:id="651"/>
      <w:bookmarkEnd w:id="652"/>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r>
        <w:tab/>
        <w:t>[Section 260 inserted by No. 42 of 2004 s. 130.]</w:t>
      </w:r>
    </w:p>
    <w:p>
      <w:pPr>
        <w:pStyle w:val="Heading2"/>
      </w:pPr>
      <w:bookmarkStart w:id="653" w:name="_Toc390078511"/>
      <w:bookmarkStart w:id="654" w:name="_Toc390078869"/>
      <w:r>
        <w:rPr>
          <w:rStyle w:val="CharPartNo"/>
        </w:rPr>
        <w:t>Part XV</w:t>
      </w:r>
      <w:r>
        <w:rPr>
          <w:b w:val="0"/>
        </w:rPr>
        <w:t> </w:t>
      </w:r>
      <w:r>
        <w:t>—</w:t>
      </w:r>
      <w:r>
        <w:rPr>
          <w:b w:val="0"/>
        </w:rPr>
        <w:t> </w:t>
      </w:r>
      <w:r>
        <w:rPr>
          <w:rStyle w:val="CharPartText"/>
        </w:rPr>
        <w:t>Costs</w:t>
      </w:r>
      <w:bookmarkEnd w:id="653"/>
      <w:bookmarkEnd w:id="654"/>
    </w:p>
    <w:p>
      <w:pPr>
        <w:pStyle w:val="Footnoteheading"/>
      </w:pPr>
      <w:r>
        <w:tab/>
        <w:t>[Heading inserted by No. 42 of 2004 s. 130.]</w:t>
      </w:r>
    </w:p>
    <w:p>
      <w:pPr>
        <w:pStyle w:val="Heading3"/>
      </w:pPr>
      <w:bookmarkStart w:id="655" w:name="_Toc390078512"/>
      <w:bookmarkStart w:id="656" w:name="_Toc390078870"/>
      <w:r>
        <w:rPr>
          <w:rStyle w:val="CharDivNo"/>
        </w:rPr>
        <w:t>Division 1</w:t>
      </w:r>
      <w:r>
        <w:t> — </w:t>
      </w:r>
      <w:r>
        <w:rPr>
          <w:rStyle w:val="CharDivText"/>
        </w:rPr>
        <w:t>General</w:t>
      </w:r>
      <w:bookmarkEnd w:id="655"/>
      <w:bookmarkEnd w:id="656"/>
    </w:p>
    <w:p>
      <w:pPr>
        <w:pStyle w:val="Footnoteheading"/>
      </w:pPr>
      <w:r>
        <w:tab/>
        <w:t>[Heading inserted by No. 42 of 2004 s. 130.]</w:t>
      </w:r>
    </w:p>
    <w:p>
      <w:pPr>
        <w:pStyle w:val="Heading5"/>
      </w:pPr>
      <w:bookmarkStart w:id="657" w:name="_Toc390078513"/>
      <w:bookmarkStart w:id="658" w:name="_Toc390078871"/>
      <w:r>
        <w:rPr>
          <w:rStyle w:val="CharSectno"/>
        </w:rPr>
        <w:t>261</w:t>
      </w:r>
      <w:r>
        <w:t>.</w:t>
      </w:r>
      <w:r>
        <w:tab/>
        <w:t>Terms used in this Part</w:t>
      </w:r>
      <w:bookmarkEnd w:id="657"/>
      <w:bookmarkEnd w:id="658"/>
    </w:p>
    <w:p>
      <w:pPr>
        <w:pStyle w:val="Subsection"/>
      </w:pPr>
      <w:r>
        <w:tab/>
      </w:r>
      <w:r>
        <w:tab/>
        <w:t xml:space="preserve">In this Part — </w:t>
      </w:r>
    </w:p>
    <w:p>
      <w:pPr>
        <w:pStyle w:val="Defstart"/>
      </w:pPr>
      <w:r>
        <w:rPr>
          <w:b/>
        </w:rPr>
        <w:tab/>
        <w:t>“</w:t>
      </w:r>
      <w:r>
        <w:rPr>
          <w:rStyle w:val="CharDefText"/>
        </w:rPr>
        <w:t>agent</w:t>
      </w:r>
      <w:r>
        <w:rPr>
          <w:b/>
        </w:rPr>
        <w:t>”</w:t>
      </w:r>
      <w:r>
        <w:t xml:space="preserve"> means a person who acts as agent for a person in connection with a dispute under this Act;</w:t>
      </w:r>
    </w:p>
    <w:p>
      <w:pPr>
        <w:pStyle w:val="Defstart"/>
      </w:pPr>
      <w:r>
        <w:rPr>
          <w:b/>
        </w:rPr>
        <w:tab/>
        <w:t>“</w:t>
      </w:r>
      <w:r>
        <w:rPr>
          <w:rStyle w:val="CharDefText"/>
        </w:rPr>
        <w:t>agent service</w:t>
      </w:r>
      <w:r>
        <w:rPr>
          <w:b/>
        </w:rPr>
        <w:t>”</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t>“</w:t>
      </w:r>
      <w:r>
        <w:rPr>
          <w:rStyle w:val="CharDefText"/>
        </w:rPr>
        <w:t>costs</w:t>
      </w:r>
      <w:r>
        <w:rPr>
          <w:b/>
        </w:rPr>
        <w:t>”</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t>“</w:t>
      </w:r>
      <w:r>
        <w:rPr>
          <w:rStyle w:val="CharDefText"/>
        </w:rPr>
        <w:t>costs determination</w:t>
      </w:r>
      <w:r>
        <w:rPr>
          <w:b/>
        </w:rPr>
        <w:t>”</w:t>
      </w:r>
      <w:r>
        <w:t xml:space="preserve"> means a determination published under section 273;</w:t>
      </w:r>
    </w:p>
    <w:p>
      <w:pPr>
        <w:pStyle w:val="Defstart"/>
      </w:pPr>
      <w:r>
        <w:rPr>
          <w:b/>
        </w:rPr>
        <w:tab/>
        <w:t>“</w:t>
      </w:r>
      <w:r>
        <w:rPr>
          <w:rStyle w:val="CharDefText"/>
        </w:rPr>
        <w:t>costs of a proceeding</w:t>
      </w:r>
      <w:r>
        <w:rPr>
          <w:b/>
        </w:rPr>
        <w:t>”</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t>“</w:t>
      </w:r>
      <w:r>
        <w:rPr>
          <w:rStyle w:val="CharDefText"/>
        </w:rPr>
        <w:t>legal service</w:t>
      </w:r>
      <w:r>
        <w:rPr>
          <w:b/>
        </w:rPr>
        <w:t>”</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659" w:name="_Toc390078514"/>
      <w:bookmarkStart w:id="660" w:name="_Toc390078872"/>
      <w:r>
        <w:rPr>
          <w:rStyle w:val="CharSectno"/>
        </w:rPr>
        <w:t>262</w:t>
      </w:r>
      <w:r>
        <w:t>.</w:t>
      </w:r>
      <w:r>
        <w:tab/>
        <w:t>Costs to which this Part applies</w:t>
      </w:r>
      <w:bookmarkEnd w:id="659"/>
      <w:bookmarkEnd w:id="660"/>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661" w:name="_Toc390078515"/>
      <w:bookmarkStart w:id="662" w:name="_Toc390078873"/>
      <w:r>
        <w:rPr>
          <w:rStyle w:val="CharSectno"/>
        </w:rPr>
        <w:t>263</w:t>
      </w:r>
      <w:r>
        <w:t>.</w:t>
      </w:r>
      <w:r>
        <w:tab/>
        <w:t xml:space="preserve">This Part prevails over </w:t>
      </w:r>
      <w:r>
        <w:rPr>
          <w:i/>
        </w:rPr>
        <w:t>Legal Practice Act 2003</w:t>
      </w:r>
      <w:bookmarkEnd w:id="661"/>
      <w:bookmarkEnd w:id="662"/>
    </w:p>
    <w:p>
      <w:pPr>
        <w:pStyle w:val="Subsection"/>
      </w:pPr>
      <w:r>
        <w:tab/>
      </w:r>
      <w:r>
        <w:tab/>
        <w:t xml:space="preserve">This Part and any regulations under this Part prevail to the extent of any inconsistency with the </w:t>
      </w:r>
      <w:r>
        <w:rPr>
          <w:i/>
        </w:rPr>
        <w:t>Legal Practice Act 2003</w:t>
      </w:r>
      <w:r>
        <w:t>, and in particular Part 13 of that Act.</w:t>
      </w:r>
    </w:p>
    <w:p>
      <w:pPr>
        <w:pStyle w:val="Footnotesection"/>
      </w:pPr>
      <w:r>
        <w:tab/>
        <w:t>[Section 263 inserted by No. 42 of 2004 s. 130.]</w:t>
      </w:r>
    </w:p>
    <w:p>
      <w:pPr>
        <w:pStyle w:val="Heading3"/>
      </w:pPr>
      <w:bookmarkStart w:id="663" w:name="_Toc390078516"/>
      <w:bookmarkStart w:id="664" w:name="_Toc390078874"/>
      <w:r>
        <w:rPr>
          <w:rStyle w:val="CharDivNo"/>
        </w:rPr>
        <w:t>Division 2</w:t>
      </w:r>
      <w:r>
        <w:t> — </w:t>
      </w:r>
      <w:r>
        <w:rPr>
          <w:rStyle w:val="CharDivText"/>
        </w:rPr>
        <w:t>Costs of parties in proceedings and costs of proceedings</w:t>
      </w:r>
      <w:bookmarkEnd w:id="663"/>
      <w:bookmarkEnd w:id="664"/>
    </w:p>
    <w:p>
      <w:pPr>
        <w:pStyle w:val="Footnoteheading"/>
      </w:pPr>
      <w:r>
        <w:tab/>
        <w:t>[Heading inserted by No. 42 of 2004 s. 130.]</w:t>
      </w:r>
    </w:p>
    <w:p>
      <w:pPr>
        <w:pStyle w:val="Heading5"/>
      </w:pPr>
      <w:bookmarkStart w:id="665" w:name="_Toc390078517"/>
      <w:bookmarkStart w:id="666" w:name="_Toc390078875"/>
      <w:r>
        <w:rPr>
          <w:rStyle w:val="CharSectno"/>
        </w:rPr>
        <w:t>264</w:t>
      </w:r>
      <w:r>
        <w:t>.</w:t>
      </w:r>
      <w:r>
        <w:tab/>
        <w:t>Costs to be determined by dispute resolution authority</w:t>
      </w:r>
      <w:bookmarkEnd w:id="665"/>
      <w:bookmarkEnd w:id="666"/>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Part 13 Division 3 of the </w:t>
      </w:r>
      <w:r>
        <w:rPr>
          <w:i/>
        </w:rPr>
        <w:t>Legal Practice Act 2003</w:t>
      </w:r>
      <w:r>
        <w:t xml:space="preserve">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w:t>
      </w:r>
    </w:p>
    <w:p>
      <w:pPr>
        <w:pStyle w:val="Heading5"/>
      </w:pPr>
      <w:bookmarkStart w:id="667" w:name="_Toc390078518"/>
      <w:bookmarkStart w:id="668" w:name="_Toc390078876"/>
      <w:r>
        <w:rPr>
          <w:rStyle w:val="CharSectno"/>
        </w:rPr>
        <w:t>265</w:t>
      </w:r>
      <w:r>
        <w:t>.</w:t>
      </w:r>
      <w:r>
        <w:tab/>
        <w:t>Costs unreasonably incurred by representative</w:t>
      </w:r>
      <w:bookmarkEnd w:id="667"/>
      <w:bookmarkEnd w:id="668"/>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b/>
        </w:rPr>
        <w:t>“</w:t>
      </w:r>
      <w:r>
        <w:rPr>
          <w:rStyle w:val="CharDefText"/>
        </w:rPr>
        <w:t>representative</w:t>
      </w:r>
      <w:r>
        <w:rPr>
          <w:b/>
        </w:rPr>
        <w:t>”</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669" w:name="_Toc390078519"/>
      <w:bookmarkStart w:id="670" w:name="_Toc390078877"/>
      <w:r>
        <w:rPr>
          <w:rStyle w:val="CharSectno"/>
        </w:rPr>
        <w:t>266</w:t>
      </w:r>
      <w:r>
        <w:t>.</w:t>
      </w:r>
      <w:r>
        <w:tab/>
        <w:t>Agent’s costs</w:t>
      </w:r>
      <w:bookmarkEnd w:id="669"/>
      <w:bookmarkEnd w:id="670"/>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671" w:name="_Toc390078520"/>
      <w:bookmarkStart w:id="672" w:name="_Toc390078878"/>
      <w:r>
        <w:rPr>
          <w:rStyle w:val="CharSectno"/>
        </w:rPr>
        <w:t>267</w:t>
      </w:r>
      <w:r>
        <w:t>.</w:t>
      </w:r>
      <w:r>
        <w:tab/>
        <w:t>Appeal costs</w:t>
      </w:r>
      <w:bookmarkEnd w:id="671"/>
      <w:bookmarkEnd w:id="672"/>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r>
        <w:tab/>
        <w:t>[Section 267 inserted by No. 42 of 2004 s. 130.]</w:t>
      </w:r>
    </w:p>
    <w:p>
      <w:pPr>
        <w:pStyle w:val="Heading5"/>
      </w:pPr>
      <w:bookmarkStart w:id="673" w:name="_Toc390078521"/>
      <w:bookmarkStart w:id="674" w:name="_Toc390078879"/>
      <w:r>
        <w:rPr>
          <w:rStyle w:val="CharSectno"/>
        </w:rPr>
        <w:t>268</w:t>
      </w:r>
      <w:r>
        <w:t>.</w:t>
      </w:r>
      <w:r>
        <w:tab/>
        <w:t>Regulations for assessment of costs</w:t>
      </w:r>
      <w:bookmarkEnd w:id="673"/>
      <w:bookmarkEnd w:id="674"/>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Part 13 Division 3 of the </w:t>
      </w:r>
      <w:r>
        <w:rPr>
          <w:i/>
        </w:rPr>
        <w:t>Legal Practice Act 2003</w:t>
      </w:r>
      <w:r>
        <w:t>;</w:t>
      </w:r>
    </w:p>
    <w:p>
      <w:pPr>
        <w:pStyle w:val="Indenta"/>
        <w:spacing w:before="60"/>
      </w:pPr>
      <w:r>
        <w:tab/>
        <w:t>(b)</w:t>
      </w:r>
      <w:r>
        <w:tab/>
        <w:t xml:space="preserve">adopt, with or without modification, any of the provisions of Part 13 Division 3 of the </w:t>
      </w:r>
      <w:r>
        <w:rPr>
          <w:i/>
        </w:rPr>
        <w:t>Legal Practice Act 2003</w:t>
      </w:r>
      <w:r>
        <w:t>;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Practice Act 2003</w:t>
      </w:r>
      <w:r>
        <w:t>.</w:t>
      </w:r>
    </w:p>
    <w:p>
      <w:pPr>
        <w:pStyle w:val="Footnotesection"/>
        <w:spacing w:before="100"/>
        <w:ind w:left="890" w:hanging="890"/>
      </w:pPr>
      <w:r>
        <w:tab/>
        <w:t>[Section 268 inserted by No. 42 of 2004 s. 130.]</w:t>
      </w:r>
    </w:p>
    <w:p>
      <w:pPr>
        <w:pStyle w:val="Heading3"/>
        <w:spacing w:before="200"/>
      </w:pPr>
      <w:bookmarkStart w:id="675" w:name="_Toc390078522"/>
      <w:bookmarkStart w:id="676" w:name="_Toc390078880"/>
      <w:r>
        <w:rPr>
          <w:rStyle w:val="CharDivNo"/>
        </w:rPr>
        <w:t>Division 3</w:t>
      </w:r>
      <w:r>
        <w:t> — </w:t>
      </w:r>
      <w:r>
        <w:rPr>
          <w:rStyle w:val="CharDivText"/>
        </w:rPr>
        <w:t>Maximum costs</w:t>
      </w:r>
      <w:bookmarkEnd w:id="675"/>
      <w:bookmarkEnd w:id="676"/>
    </w:p>
    <w:p>
      <w:pPr>
        <w:pStyle w:val="Footnoteheading"/>
        <w:spacing w:before="100"/>
      </w:pPr>
      <w:r>
        <w:tab/>
        <w:t>[Heading inserted by No. 42 of 2004 s. 130.]</w:t>
      </w:r>
    </w:p>
    <w:p>
      <w:pPr>
        <w:pStyle w:val="Heading5"/>
        <w:spacing w:before="180"/>
      </w:pPr>
      <w:bookmarkStart w:id="677" w:name="_Toc390078523"/>
      <w:bookmarkStart w:id="678" w:name="_Toc390078881"/>
      <w:r>
        <w:rPr>
          <w:rStyle w:val="CharSectno"/>
        </w:rPr>
        <w:t>269</w:t>
      </w:r>
      <w:r>
        <w:t>.</w:t>
      </w:r>
      <w:r>
        <w:tab/>
        <w:t>Costs Committee</w:t>
      </w:r>
      <w:bookmarkEnd w:id="677"/>
      <w:bookmarkEnd w:id="678"/>
    </w:p>
    <w:p>
      <w:pPr>
        <w:pStyle w:val="Subsection"/>
        <w:spacing w:before="120"/>
      </w:pPr>
      <w:r>
        <w:tab/>
        <w:t>(1)</w:t>
      </w:r>
      <w:r>
        <w:tab/>
        <w:t xml:space="preserve">In this section — </w:t>
      </w:r>
    </w:p>
    <w:p>
      <w:pPr>
        <w:pStyle w:val="Defstart"/>
        <w:spacing w:before="120"/>
      </w:pPr>
      <w:r>
        <w:rPr>
          <w:b/>
        </w:rPr>
        <w:tab/>
        <w:t>“</w:t>
      </w:r>
      <w:r>
        <w:rPr>
          <w:rStyle w:val="CharDefText"/>
        </w:rPr>
        <w:t>Legal Costs Committee</w:t>
      </w:r>
      <w:r>
        <w:rPr>
          <w:b/>
        </w:rPr>
        <w:t>”</w:t>
      </w:r>
      <w:r>
        <w:t xml:space="preserve"> means the Legal Costs Committee established under the </w:t>
      </w:r>
      <w:r>
        <w:rPr>
          <w:i/>
        </w:rPr>
        <w:t>Legal Practice Act 2003</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spacing w:before="100"/>
        <w:ind w:left="890" w:hanging="890"/>
      </w:pPr>
      <w:r>
        <w:tab/>
        <w:t>[Section 269 inserted by No. 42 of 2004 s. 130.]</w:t>
      </w:r>
    </w:p>
    <w:p>
      <w:pPr>
        <w:pStyle w:val="Heading5"/>
      </w:pPr>
      <w:bookmarkStart w:id="679" w:name="_Toc390078524"/>
      <w:bookmarkStart w:id="680" w:name="_Toc390078882"/>
      <w:r>
        <w:rPr>
          <w:rStyle w:val="CharSectno"/>
        </w:rPr>
        <w:t>270</w:t>
      </w:r>
      <w:r>
        <w:t>.</w:t>
      </w:r>
      <w:r>
        <w:tab/>
        <w:t>Constitution and procedure of Costs Committee</w:t>
      </w:r>
      <w:bookmarkEnd w:id="679"/>
      <w:bookmarkEnd w:id="680"/>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r>
        <w:tab/>
        <w:t>[Section 270 inserted by No. 42 of 2004 s. 130.]</w:t>
      </w:r>
    </w:p>
    <w:p>
      <w:pPr>
        <w:pStyle w:val="Heading5"/>
      </w:pPr>
      <w:bookmarkStart w:id="681" w:name="_Toc390078525"/>
      <w:bookmarkStart w:id="682" w:name="_Toc390078883"/>
      <w:r>
        <w:rPr>
          <w:rStyle w:val="CharSectno"/>
        </w:rPr>
        <w:t>271</w:t>
      </w:r>
      <w:r>
        <w:t>.</w:t>
      </w:r>
      <w:r>
        <w:tab/>
        <w:t>Costs determination</w:t>
      </w:r>
      <w:bookmarkEnd w:id="681"/>
      <w:bookmarkEnd w:id="682"/>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legal costs determination under the </w:t>
      </w:r>
      <w:r>
        <w:rPr>
          <w:i/>
        </w:rPr>
        <w:t>Legal Practice Act 2003</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w:t>
      </w:r>
    </w:p>
    <w:p>
      <w:pPr>
        <w:pStyle w:val="Heading5"/>
      </w:pPr>
      <w:bookmarkStart w:id="683" w:name="_Toc390078526"/>
      <w:bookmarkStart w:id="684" w:name="_Toc390078884"/>
      <w:r>
        <w:rPr>
          <w:rStyle w:val="CharSectno"/>
        </w:rPr>
        <w:t>272</w:t>
      </w:r>
      <w:r>
        <w:t>.</w:t>
      </w:r>
      <w:r>
        <w:tab/>
        <w:t>Consultation</w:t>
      </w:r>
      <w:bookmarkEnd w:id="683"/>
      <w:bookmarkEnd w:id="684"/>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r>
        <w:tab/>
        <w:t>[Section 272 inserted by No. 42 of 2004 s. 130.]</w:t>
      </w:r>
    </w:p>
    <w:p>
      <w:pPr>
        <w:pStyle w:val="Heading5"/>
      </w:pPr>
      <w:bookmarkStart w:id="685" w:name="_Toc390078527"/>
      <w:bookmarkStart w:id="686" w:name="_Toc390078885"/>
      <w:r>
        <w:rPr>
          <w:rStyle w:val="CharSectno"/>
        </w:rPr>
        <w:t>273</w:t>
      </w:r>
      <w:r>
        <w:t>.</w:t>
      </w:r>
      <w:r>
        <w:tab/>
        <w:t>Approval and publication of determination</w:t>
      </w:r>
      <w:bookmarkEnd w:id="685"/>
      <w:bookmarkEnd w:id="686"/>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r>
        <w:tab/>
        <w:t>[Section 273 inserted by No. 42 of 2004 s. 130.]</w:t>
      </w:r>
    </w:p>
    <w:p>
      <w:pPr>
        <w:pStyle w:val="Heading5"/>
      </w:pPr>
      <w:bookmarkStart w:id="687" w:name="_Toc390078528"/>
      <w:bookmarkStart w:id="688" w:name="_Toc390078886"/>
      <w:r>
        <w:rPr>
          <w:rStyle w:val="CharSectno"/>
        </w:rPr>
        <w:t>274</w:t>
      </w:r>
      <w:r>
        <w:t>.</w:t>
      </w:r>
      <w:r>
        <w:tab/>
        <w:t>Effect of costs determination</w:t>
      </w:r>
      <w:bookmarkEnd w:id="687"/>
      <w:bookmarkEnd w:id="688"/>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r>
        <w:tab/>
        <w:t>[Section 274 inserted by No. 42 of 2004 s. 130.]</w:t>
      </w:r>
    </w:p>
    <w:p>
      <w:pPr>
        <w:pStyle w:val="Heading5"/>
      </w:pPr>
      <w:bookmarkStart w:id="689" w:name="_Toc390078529"/>
      <w:bookmarkStart w:id="690" w:name="_Toc390078887"/>
      <w:r>
        <w:rPr>
          <w:rStyle w:val="CharSectno"/>
        </w:rPr>
        <w:t>275</w:t>
      </w:r>
      <w:r>
        <w:t>.</w:t>
      </w:r>
      <w:r>
        <w:tab/>
        <w:t>Agreement as to costs</w:t>
      </w:r>
      <w:bookmarkEnd w:id="689"/>
      <w:bookmarkEnd w:id="690"/>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pPr>
      <w:r>
        <w:tab/>
        <w:t>(2)</w:t>
      </w:r>
      <w:r>
        <w:tab/>
        <w:t>An agreement made contrary to this section is void.</w:t>
      </w:r>
    </w:p>
    <w:p>
      <w:pPr>
        <w:pStyle w:val="Footnotesection"/>
      </w:pPr>
      <w:r>
        <w:tab/>
        <w:t>[Section 275 inserted by No. 42 of 2004 s. 130.]</w:t>
      </w:r>
    </w:p>
    <w:p>
      <w:pPr>
        <w:pStyle w:val="Heading5"/>
      </w:pPr>
      <w:bookmarkStart w:id="691" w:name="_Toc390078530"/>
      <w:bookmarkStart w:id="692" w:name="_Toc390078888"/>
      <w:r>
        <w:rPr>
          <w:rStyle w:val="CharSectno"/>
        </w:rPr>
        <w:t>276</w:t>
      </w:r>
      <w:r>
        <w:t>.</w:t>
      </w:r>
      <w:r>
        <w:tab/>
        <w:t>Division does not apply to Part IV proceedings</w:t>
      </w:r>
      <w:bookmarkEnd w:id="691"/>
      <w:bookmarkEnd w:id="692"/>
    </w:p>
    <w:p>
      <w:pPr>
        <w:pStyle w:val="Subsection"/>
      </w:pPr>
      <w:r>
        <w:tab/>
      </w:r>
      <w:r>
        <w:tab/>
        <w:t>Nothing in this Division affects the operation of section 87 in relation to an action for damages independently of this Act.</w:t>
      </w:r>
    </w:p>
    <w:p>
      <w:pPr>
        <w:pStyle w:val="Footnotesection"/>
      </w:pPr>
      <w:r>
        <w:tab/>
        <w:t>[Section 276 inserted by No. 42 of 2004 s. 130.]</w:t>
      </w:r>
    </w:p>
    <w:p>
      <w:pPr>
        <w:pStyle w:val="Heading2"/>
      </w:pPr>
      <w:bookmarkStart w:id="693" w:name="_Toc390078531"/>
      <w:bookmarkStart w:id="694" w:name="_Toc390078889"/>
      <w:r>
        <w:rPr>
          <w:rStyle w:val="CharPartNo"/>
        </w:rPr>
        <w:t>Part XVI</w:t>
      </w:r>
      <w:r>
        <w:rPr>
          <w:rStyle w:val="CharDivNo"/>
        </w:rPr>
        <w:t> </w:t>
      </w:r>
      <w:r>
        <w:t>—</w:t>
      </w:r>
      <w:r>
        <w:rPr>
          <w:rStyle w:val="CharDivText"/>
        </w:rPr>
        <w:t> </w:t>
      </w:r>
      <w:r>
        <w:rPr>
          <w:rStyle w:val="CharPartText"/>
        </w:rPr>
        <w:t>Registered agents</w:t>
      </w:r>
      <w:bookmarkEnd w:id="693"/>
      <w:bookmarkEnd w:id="694"/>
    </w:p>
    <w:p>
      <w:pPr>
        <w:pStyle w:val="Footnoteheading"/>
      </w:pPr>
      <w:r>
        <w:tab/>
        <w:t>[Heading inserted by No. 42 of 2004 s. 130.]</w:t>
      </w:r>
    </w:p>
    <w:p>
      <w:pPr>
        <w:pStyle w:val="Heading5"/>
      </w:pPr>
      <w:bookmarkStart w:id="695" w:name="_Toc390078532"/>
      <w:bookmarkStart w:id="696" w:name="_Toc390078890"/>
      <w:r>
        <w:rPr>
          <w:rStyle w:val="CharSectno"/>
        </w:rPr>
        <w:t>277</w:t>
      </w:r>
      <w:r>
        <w:t>.</w:t>
      </w:r>
      <w:r>
        <w:tab/>
        <w:t>Who may register as an agent</w:t>
      </w:r>
      <w:bookmarkEnd w:id="695"/>
      <w:bookmarkEnd w:id="696"/>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w:t>
      </w:r>
    </w:p>
    <w:p>
      <w:pPr>
        <w:pStyle w:val="Heading2"/>
      </w:pPr>
      <w:bookmarkStart w:id="697" w:name="_Toc390078533"/>
      <w:bookmarkStart w:id="698" w:name="_Toc390078891"/>
      <w:r>
        <w:rPr>
          <w:rStyle w:val="CharPartNo"/>
        </w:rPr>
        <w:t>Part XVII</w:t>
      </w:r>
      <w:r>
        <w:rPr>
          <w:b w:val="0"/>
        </w:rPr>
        <w:t> </w:t>
      </w:r>
      <w:r>
        <w:t>—</w:t>
      </w:r>
      <w:r>
        <w:rPr>
          <w:b w:val="0"/>
        </w:rPr>
        <w:t> </w:t>
      </w:r>
      <w:r>
        <w:rPr>
          <w:rStyle w:val="CharPartText"/>
        </w:rPr>
        <w:t>The Dispute Resolution Directorate</w:t>
      </w:r>
      <w:bookmarkEnd w:id="697"/>
      <w:bookmarkEnd w:id="698"/>
    </w:p>
    <w:p>
      <w:pPr>
        <w:pStyle w:val="Footnoteheading"/>
      </w:pPr>
      <w:r>
        <w:tab/>
        <w:t>[Heading inserted by No. 42 of 2004 s. 130.]</w:t>
      </w:r>
    </w:p>
    <w:p>
      <w:pPr>
        <w:pStyle w:val="Heading3"/>
      </w:pPr>
      <w:bookmarkStart w:id="699" w:name="_Toc390078534"/>
      <w:bookmarkStart w:id="700" w:name="_Toc390078892"/>
      <w:r>
        <w:rPr>
          <w:rStyle w:val="CharDivNo"/>
        </w:rPr>
        <w:t>Division 1</w:t>
      </w:r>
      <w:r>
        <w:t> — </w:t>
      </w:r>
      <w:r>
        <w:rPr>
          <w:rStyle w:val="CharDivText"/>
        </w:rPr>
        <w:t>Establishment and objectives</w:t>
      </w:r>
      <w:bookmarkEnd w:id="699"/>
      <w:bookmarkEnd w:id="700"/>
    </w:p>
    <w:p>
      <w:pPr>
        <w:pStyle w:val="Footnoteheading"/>
      </w:pPr>
      <w:r>
        <w:tab/>
        <w:t>[Heading inserted by No. 42 of 2004 s. 130.]</w:t>
      </w:r>
    </w:p>
    <w:p>
      <w:pPr>
        <w:pStyle w:val="Heading5"/>
        <w:spacing w:before="180"/>
      </w:pPr>
      <w:bookmarkStart w:id="701" w:name="_Toc390078535"/>
      <w:bookmarkStart w:id="702" w:name="_Toc390078893"/>
      <w:r>
        <w:rPr>
          <w:rStyle w:val="CharSectno"/>
        </w:rPr>
        <w:t>278</w:t>
      </w:r>
      <w:r>
        <w:t>.</w:t>
      </w:r>
      <w:r>
        <w:tab/>
        <w:t>DRD established</w:t>
      </w:r>
      <w:bookmarkEnd w:id="701"/>
      <w:bookmarkEnd w:id="702"/>
    </w:p>
    <w:p>
      <w:pPr>
        <w:pStyle w:val="Subsection"/>
        <w:spacing w:before="120"/>
      </w:pPr>
      <w:r>
        <w:tab/>
      </w:r>
      <w:r>
        <w:tab/>
        <w:t>A directorate called the Dispute Resolution Directorate is established.</w:t>
      </w:r>
    </w:p>
    <w:p>
      <w:pPr>
        <w:pStyle w:val="Footnotesection"/>
      </w:pPr>
      <w:r>
        <w:tab/>
        <w:t>[Section 278 inserted by No. 42 of 2004 s. 130.]</w:t>
      </w:r>
    </w:p>
    <w:p>
      <w:pPr>
        <w:pStyle w:val="Heading5"/>
        <w:spacing w:before="180"/>
      </w:pPr>
      <w:bookmarkStart w:id="703" w:name="_Toc390078536"/>
      <w:bookmarkStart w:id="704" w:name="_Toc390078894"/>
      <w:r>
        <w:rPr>
          <w:rStyle w:val="CharSectno"/>
        </w:rPr>
        <w:t>279</w:t>
      </w:r>
      <w:r>
        <w:t>.</w:t>
      </w:r>
      <w:r>
        <w:tab/>
        <w:t>Main objectives of the DRD</w:t>
      </w:r>
      <w:bookmarkEnd w:id="703"/>
      <w:bookmarkEnd w:id="704"/>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r>
        <w:tab/>
        <w:t>[Section 279 inserted by No. 42 of 2004 s. 130.]</w:t>
      </w:r>
    </w:p>
    <w:p>
      <w:pPr>
        <w:pStyle w:val="Heading5"/>
      </w:pPr>
      <w:bookmarkStart w:id="705" w:name="_Toc390078537"/>
      <w:bookmarkStart w:id="706" w:name="_Toc390078895"/>
      <w:r>
        <w:rPr>
          <w:rStyle w:val="CharSectno"/>
        </w:rPr>
        <w:t>280</w:t>
      </w:r>
      <w:r>
        <w:t>.</w:t>
      </w:r>
      <w:r>
        <w:tab/>
        <w:t>DRD’s constitution</w:t>
      </w:r>
      <w:bookmarkEnd w:id="705"/>
      <w:bookmarkEnd w:id="706"/>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r>
        <w:tab/>
        <w:t>[Section 280 inserted by No. 42 of 2004 s. 130.]</w:t>
      </w:r>
    </w:p>
    <w:p>
      <w:pPr>
        <w:pStyle w:val="Heading3"/>
      </w:pPr>
      <w:bookmarkStart w:id="707" w:name="_Toc390078538"/>
      <w:bookmarkStart w:id="708" w:name="_Toc390078896"/>
      <w:r>
        <w:rPr>
          <w:rStyle w:val="CharDivNo"/>
        </w:rPr>
        <w:t>Division 2</w:t>
      </w:r>
      <w:r>
        <w:t> — </w:t>
      </w:r>
      <w:r>
        <w:rPr>
          <w:rStyle w:val="CharDivText"/>
        </w:rPr>
        <w:t>Commissioner</w:t>
      </w:r>
      <w:bookmarkEnd w:id="707"/>
      <w:bookmarkEnd w:id="708"/>
    </w:p>
    <w:p>
      <w:pPr>
        <w:pStyle w:val="Footnoteheading"/>
      </w:pPr>
      <w:r>
        <w:tab/>
        <w:t>[Heading inserted by No. 42 of 2004 s. 130.]</w:t>
      </w:r>
    </w:p>
    <w:p>
      <w:pPr>
        <w:pStyle w:val="Heading5"/>
      </w:pPr>
      <w:bookmarkStart w:id="709" w:name="_Toc390078539"/>
      <w:bookmarkStart w:id="710" w:name="_Toc390078897"/>
      <w:r>
        <w:rPr>
          <w:rStyle w:val="CharSectno"/>
        </w:rPr>
        <w:t>281</w:t>
      </w:r>
      <w:r>
        <w:t>.</w:t>
      </w:r>
      <w:r>
        <w:tab/>
        <w:t>Appointment of Commissioner</w:t>
      </w:r>
      <w:bookmarkEnd w:id="709"/>
      <w:bookmarkEnd w:id="710"/>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r>
        <w:tab/>
        <w:t>[Section 281 inserted by No. 42 of 2004 s. 130.]</w:t>
      </w:r>
    </w:p>
    <w:p>
      <w:pPr>
        <w:pStyle w:val="Heading5"/>
      </w:pPr>
      <w:bookmarkStart w:id="711" w:name="_Toc390078540"/>
      <w:bookmarkStart w:id="712" w:name="_Toc390078898"/>
      <w:r>
        <w:rPr>
          <w:rStyle w:val="CharSectno"/>
        </w:rPr>
        <w:t>282</w:t>
      </w:r>
      <w:r>
        <w:t>.</w:t>
      </w:r>
      <w:r>
        <w:tab/>
        <w:t>Terms and conditions of service</w:t>
      </w:r>
      <w:bookmarkEnd w:id="711"/>
      <w:bookmarkEnd w:id="712"/>
    </w:p>
    <w:p>
      <w:pPr>
        <w:pStyle w:val="Subsection"/>
      </w:pPr>
      <w:r>
        <w:tab/>
      </w:r>
      <w:r>
        <w:tab/>
        <w:t>Schedule 8 has effect with respect to the tenure, remuneration and conditions of service of the Commissioner and other matters provided for in that Schedule.</w:t>
      </w:r>
    </w:p>
    <w:p>
      <w:pPr>
        <w:pStyle w:val="Footnotesection"/>
      </w:pPr>
      <w:r>
        <w:tab/>
        <w:t>[Section 282 inserted by No. 42 of 2004 s. 130.]</w:t>
      </w:r>
    </w:p>
    <w:p>
      <w:pPr>
        <w:pStyle w:val="Heading5"/>
      </w:pPr>
      <w:bookmarkStart w:id="713" w:name="_Toc390078541"/>
      <w:bookmarkStart w:id="714" w:name="_Toc390078899"/>
      <w:r>
        <w:rPr>
          <w:rStyle w:val="CharSectno"/>
        </w:rPr>
        <w:t>283</w:t>
      </w:r>
      <w:r>
        <w:t>.</w:t>
      </w:r>
      <w:r>
        <w:tab/>
        <w:t>Declaration of inability to act</w:t>
      </w:r>
      <w:bookmarkEnd w:id="713"/>
      <w:bookmarkEnd w:id="714"/>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r>
        <w:tab/>
        <w:t>[Section 283 inserted by No. 42 of 2004 s. 130.]</w:t>
      </w:r>
    </w:p>
    <w:p>
      <w:pPr>
        <w:pStyle w:val="Heading5"/>
      </w:pPr>
      <w:bookmarkStart w:id="715" w:name="_Toc390078542"/>
      <w:bookmarkStart w:id="716" w:name="_Toc390078900"/>
      <w:r>
        <w:rPr>
          <w:rStyle w:val="CharSectno"/>
        </w:rPr>
        <w:t>284</w:t>
      </w:r>
      <w:r>
        <w:t>.</w:t>
      </w:r>
      <w:r>
        <w:tab/>
        <w:t>Acting appointment</w:t>
      </w:r>
      <w:bookmarkEnd w:id="715"/>
      <w:bookmarkEnd w:id="716"/>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284 inserted by No. 42 of 2004 s. 130.]</w:t>
      </w:r>
    </w:p>
    <w:p>
      <w:pPr>
        <w:pStyle w:val="Heading5"/>
      </w:pPr>
      <w:bookmarkStart w:id="717" w:name="_Toc390078543"/>
      <w:bookmarkStart w:id="718" w:name="_Toc390078901"/>
      <w:r>
        <w:rPr>
          <w:rStyle w:val="CharSectno"/>
        </w:rPr>
        <w:t>285</w:t>
      </w:r>
      <w:r>
        <w:t>.</w:t>
      </w:r>
      <w:r>
        <w:tab/>
        <w:t>Functions of Commissioner</w:t>
      </w:r>
      <w:bookmarkEnd w:id="717"/>
      <w:bookmarkEnd w:id="718"/>
    </w:p>
    <w:p>
      <w:pPr>
        <w:pStyle w:val="Subsection"/>
      </w:pPr>
      <w:r>
        <w:tab/>
      </w:r>
      <w:r>
        <w:tab/>
        <w:t>The Commissioner has the functions conferred under this Act or any other written law.</w:t>
      </w:r>
    </w:p>
    <w:p>
      <w:pPr>
        <w:pStyle w:val="Footnotesection"/>
      </w:pPr>
      <w:r>
        <w:tab/>
        <w:t>[Section 285 inserted by No. 42 of 2004 s. 130.]</w:t>
      </w:r>
    </w:p>
    <w:p>
      <w:pPr>
        <w:pStyle w:val="Heading3"/>
      </w:pPr>
      <w:bookmarkStart w:id="719" w:name="_Toc390078544"/>
      <w:bookmarkStart w:id="720" w:name="_Toc390078902"/>
      <w:r>
        <w:rPr>
          <w:rStyle w:val="CharDivNo"/>
        </w:rPr>
        <w:t>Division 3</w:t>
      </w:r>
      <w:r>
        <w:t> — </w:t>
      </w:r>
      <w:r>
        <w:rPr>
          <w:rStyle w:val="CharDivText"/>
        </w:rPr>
        <w:t>Arbitrators</w:t>
      </w:r>
      <w:bookmarkEnd w:id="719"/>
      <w:bookmarkEnd w:id="720"/>
    </w:p>
    <w:p>
      <w:pPr>
        <w:pStyle w:val="Footnoteheading"/>
      </w:pPr>
      <w:r>
        <w:tab/>
        <w:t>[Heading inserted by No. 42 of 2004 s. 130.]</w:t>
      </w:r>
    </w:p>
    <w:p>
      <w:pPr>
        <w:pStyle w:val="Heading5"/>
      </w:pPr>
      <w:bookmarkStart w:id="721" w:name="_Toc390078545"/>
      <w:bookmarkStart w:id="722" w:name="_Toc390078903"/>
      <w:r>
        <w:rPr>
          <w:rStyle w:val="CharSectno"/>
        </w:rPr>
        <w:t>286</w:t>
      </w:r>
      <w:r>
        <w:t>.</w:t>
      </w:r>
      <w:r>
        <w:tab/>
        <w:t>Arbitrators</w:t>
      </w:r>
      <w:bookmarkEnd w:id="721"/>
      <w:bookmarkEnd w:id="722"/>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r>
        <w:tab/>
        <w:t>[Section 286 inserted by No. 42 of 2004 s. 130.]</w:t>
      </w:r>
    </w:p>
    <w:p>
      <w:pPr>
        <w:pStyle w:val="Heading5"/>
      </w:pPr>
      <w:bookmarkStart w:id="723" w:name="_Toc390078546"/>
      <w:bookmarkStart w:id="724" w:name="_Toc390078904"/>
      <w:r>
        <w:rPr>
          <w:rStyle w:val="CharSectno"/>
        </w:rPr>
        <w:t>287</w:t>
      </w:r>
      <w:r>
        <w:t>.</w:t>
      </w:r>
      <w:r>
        <w:tab/>
        <w:t>Control and direction of arbitrators</w:t>
      </w:r>
      <w:bookmarkEnd w:id="723"/>
      <w:bookmarkEnd w:id="724"/>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r>
        <w:tab/>
        <w:t>[Section 287 inserted by No. 42 of 2004 s. 130.]</w:t>
      </w:r>
    </w:p>
    <w:p>
      <w:pPr>
        <w:pStyle w:val="Heading3"/>
      </w:pPr>
      <w:bookmarkStart w:id="725" w:name="_Toc390078547"/>
      <w:bookmarkStart w:id="726" w:name="_Toc390078905"/>
      <w:r>
        <w:rPr>
          <w:rStyle w:val="CharDivNo"/>
        </w:rPr>
        <w:t>Division 4</w:t>
      </w:r>
      <w:r>
        <w:t> — </w:t>
      </w:r>
      <w:r>
        <w:rPr>
          <w:rStyle w:val="CharDivText"/>
        </w:rPr>
        <w:t>Director Dispute Resolution and staff</w:t>
      </w:r>
      <w:bookmarkEnd w:id="725"/>
      <w:bookmarkEnd w:id="726"/>
    </w:p>
    <w:p>
      <w:pPr>
        <w:pStyle w:val="Footnoteheading"/>
      </w:pPr>
      <w:r>
        <w:tab/>
        <w:t>[Heading inserted by No. 42 of 2004 s. 130.]</w:t>
      </w:r>
    </w:p>
    <w:p>
      <w:pPr>
        <w:pStyle w:val="Heading5"/>
      </w:pPr>
      <w:bookmarkStart w:id="727" w:name="_Toc390078548"/>
      <w:bookmarkStart w:id="728" w:name="_Toc390078906"/>
      <w:r>
        <w:rPr>
          <w:rStyle w:val="CharSectno"/>
        </w:rPr>
        <w:t>288</w:t>
      </w:r>
      <w:r>
        <w:t>.</w:t>
      </w:r>
      <w:r>
        <w:tab/>
        <w:t>Director Dispute Resolution</w:t>
      </w:r>
      <w:bookmarkEnd w:id="727"/>
      <w:bookmarkEnd w:id="728"/>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r>
        <w:tab/>
        <w:t>[Section 288 inserted by No. 42 of 2004 s. 130.]</w:t>
      </w:r>
    </w:p>
    <w:p>
      <w:pPr>
        <w:pStyle w:val="Heading5"/>
      </w:pPr>
      <w:bookmarkStart w:id="729" w:name="_Toc390078549"/>
      <w:bookmarkStart w:id="730" w:name="_Toc390078907"/>
      <w:r>
        <w:rPr>
          <w:rStyle w:val="CharSectno"/>
        </w:rPr>
        <w:t>289</w:t>
      </w:r>
      <w:r>
        <w:t>.</w:t>
      </w:r>
      <w:r>
        <w:tab/>
        <w:t>Functions and responsibilities of Director</w:t>
      </w:r>
      <w:bookmarkEnd w:id="729"/>
      <w:bookmarkEnd w:id="730"/>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r>
        <w:tab/>
        <w:t>[Section 289 inserted by No. 42 of 2004 s. 130.]</w:t>
      </w:r>
    </w:p>
    <w:p>
      <w:pPr>
        <w:pStyle w:val="Heading5"/>
      </w:pPr>
      <w:bookmarkStart w:id="731" w:name="_Toc390078550"/>
      <w:bookmarkStart w:id="732" w:name="_Toc390078908"/>
      <w:r>
        <w:rPr>
          <w:rStyle w:val="CharSectno"/>
        </w:rPr>
        <w:t>290</w:t>
      </w:r>
      <w:r>
        <w:t>.</w:t>
      </w:r>
      <w:r>
        <w:tab/>
        <w:t>Delegation by Director</w:t>
      </w:r>
      <w:bookmarkEnd w:id="731"/>
      <w:bookmarkEnd w:id="732"/>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290 inserted by No. 42 of 2004 s. 130.]</w:t>
      </w:r>
    </w:p>
    <w:p>
      <w:pPr>
        <w:pStyle w:val="Heading5"/>
      </w:pPr>
      <w:bookmarkStart w:id="733" w:name="_Toc390078551"/>
      <w:bookmarkStart w:id="734" w:name="_Toc390078909"/>
      <w:r>
        <w:rPr>
          <w:rStyle w:val="CharSectno"/>
        </w:rPr>
        <w:t>291</w:t>
      </w:r>
      <w:r>
        <w:t>.</w:t>
      </w:r>
      <w:r>
        <w:tab/>
        <w:t>Staff of DRD</w:t>
      </w:r>
      <w:bookmarkEnd w:id="733"/>
      <w:bookmarkEnd w:id="734"/>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r>
        <w:tab/>
        <w:t>[Section 291 inserted by No. 42 of 2004 s. 130.]</w:t>
      </w:r>
    </w:p>
    <w:p>
      <w:pPr>
        <w:pStyle w:val="Heading2"/>
      </w:pPr>
      <w:bookmarkStart w:id="735" w:name="_Toc390078552"/>
      <w:bookmarkStart w:id="736" w:name="_Toc390078910"/>
      <w:r>
        <w:rPr>
          <w:rStyle w:val="CharPartNo"/>
        </w:rPr>
        <w:t>Part XVIII</w:t>
      </w:r>
      <w:r>
        <w:rPr>
          <w:rStyle w:val="CharDivNo"/>
        </w:rPr>
        <w:t> </w:t>
      </w:r>
      <w:r>
        <w:t>—</w:t>
      </w:r>
      <w:r>
        <w:rPr>
          <w:rStyle w:val="CharDivText"/>
        </w:rPr>
        <w:t> </w:t>
      </w:r>
      <w:r>
        <w:rPr>
          <w:rStyle w:val="CharPartText"/>
        </w:rPr>
        <w:t>Regulations, rules and practice notes</w:t>
      </w:r>
      <w:bookmarkEnd w:id="735"/>
      <w:bookmarkEnd w:id="736"/>
    </w:p>
    <w:p>
      <w:pPr>
        <w:pStyle w:val="Footnoteheading"/>
      </w:pPr>
      <w:r>
        <w:tab/>
        <w:t>[Heading inserted by No. 42 of 2004 s. 130.]</w:t>
      </w:r>
    </w:p>
    <w:p>
      <w:pPr>
        <w:pStyle w:val="Heading5"/>
      </w:pPr>
      <w:bookmarkStart w:id="737" w:name="_Toc390078553"/>
      <w:bookmarkStart w:id="738" w:name="_Toc390078911"/>
      <w:r>
        <w:rPr>
          <w:rStyle w:val="CharSectno"/>
        </w:rPr>
        <w:t>292</w:t>
      </w:r>
      <w:r>
        <w:t>.</w:t>
      </w:r>
      <w:r>
        <w:tab/>
        <w:t>Regulations</w:t>
      </w:r>
      <w:bookmarkEnd w:id="737"/>
      <w:bookmarkEnd w:id="738"/>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persons providing treatment of a kind approved for the purposes of the definition of “approved treatment”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 17.]</w:t>
      </w:r>
    </w:p>
    <w:p>
      <w:pPr>
        <w:pStyle w:val="Heading5"/>
      </w:pPr>
      <w:bookmarkStart w:id="739" w:name="_Toc390078554"/>
      <w:bookmarkStart w:id="740" w:name="_Toc390078912"/>
      <w:r>
        <w:rPr>
          <w:rStyle w:val="CharSectno"/>
        </w:rPr>
        <w:t>293</w:t>
      </w:r>
      <w:r>
        <w:t>.</w:t>
      </w:r>
      <w:r>
        <w:tab/>
        <w:t>DRD Rules</w:t>
      </w:r>
      <w:bookmarkEnd w:id="739"/>
      <w:bookmarkEnd w:id="740"/>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r>
        <w:tab/>
        <w:t>[Section 293 inserted by No. 42 of 2004 s. 130.]</w:t>
      </w:r>
    </w:p>
    <w:p>
      <w:pPr>
        <w:pStyle w:val="Heading5"/>
      </w:pPr>
      <w:bookmarkStart w:id="741" w:name="_Toc390078555"/>
      <w:bookmarkStart w:id="742" w:name="_Toc390078913"/>
      <w:r>
        <w:rPr>
          <w:rStyle w:val="CharSectno"/>
        </w:rPr>
        <w:t>294</w:t>
      </w:r>
      <w:r>
        <w:t>.</w:t>
      </w:r>
      <w:r>
        <w:tab/>
        <w:t>Practice notes</w:t>
      </w:r>
      <w:bookmarkEnd w:id="741"/>
      <w:bookmarkEnd w:id="742"/>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743" w:name="_Toc390078556"/>
      <w:bookmarkStart w:id="744" w:name="_Toc390078914"/>
      <w:r>
        <w:rPr>
          <w:rStyle w:val="CharPartNo"/>
        </w:rPr>
        <w:t>Part XIX</w:t>
      </w:r>
      <w:r>
        <w:rPr>
          <w:rStyle w:val="CharDivNo"/>
        </w:rPr>
        <w:t> </w:t>
      </w:r>
      <w:r>
        <w:t>—</w:t>
      </w:r>
      <w:r>
        <w:rPr>
          <w:rStyle w:val="CharDivText"/>
        </w:rPr>
        <w:t> </w:t>
      </w:r>
      <w:r>
        <w:rPr>
          <w:rStyle w:val="CharPartText"/>
        </w:rPr>
        <w:t>Miscellaneous</w:t>
      </w:r>
      <w:bookmarkEnd w:id="743"/>
      <w:bookmarkEnd w:id="744"/>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745" w:name="_Toc390078557"/>
      <w:bookmarkStart w:id="746" w:name="_Toc390078915"/>
      <w:r>
        <w:rPr>
          <w:rStyle w:val="CharSectno"/>
        </w:rPr>
        <w:t>295</w:t>
      </w:r>
      <w:r>
        <w:rPr>
          <w:snapToGrid w:val="0"/>
        </w:rPr>
        <w:t>.</w:t>
      </w:r>
      <w:r>
        <w:rPr>
          <w:snapToGrid w:val="0"/>
        </w:rPr>
        <w:tab/>
        <w:t>Public Service</w:t>
      </w:r>
      <w:bookmarkEnd w:id="745"/>
      <w:bookmarkEnd w:id="746"/>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747" w:name="_Toc390078558"/>
      <w:bookmarkStart w:id="748" w:name="_Toc390078916"/>
      <w:r>
        <w:rPr>
          <w:rStyle w:val="CharSectno"/>
        </w:rPr>
        <w:t>296</w:t>
      </w:r>
      <w:r>
        <w:t>.</w:t>
      </w:r>
      <w:r>
        <w:tab/>
        <w:t>Delegation by chief executive officer</w:t>
      </w:r>
      <w:bookmarkEnd w:id="747"/>
      <w:bookmarkEnd w:id="748"/>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749" w:name="_Toc390078559"/>
      <w:bookmarkStart w:id="750" w:name="_Toc390078917"/>
      <w:r>
        <w:rPr>
          <w:rStyle w:val="CharSectno"/>
        </w:rPr>
        <w:t>297</w:t>
      </w:r>
      <w:r>
        <w:rPr>
          <w:snapToGrid w:val="0"/>
        </w:rPr>
        <w:t>.</w:t>
      </w:r>
      <w:r>
        <w:rPr>
          <w:snapToGrid w:val="0"/>
        </w:rPr>
        <w:tab/>
        <w:t>Agreements and receipts under this Act exempt from stamp duty</w:t>
      </w:r>
      <w:bookmarkEnd w:id="749"/>
      <w:bookmarkEnd w:id="750"/>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stamp duties chargeable under the </w:t>
      </w:r>
      <w:r>
        <w:rPr>
          <w:i/>
          <w:snapToGrid w:val="0"/>
        </w:rPr>
        <w:t>Stamp Act 1921</w:t>
      </w:r>
      <w:r>
        <w:rPr>
          <w:snapToGrid w:val="0"/>
        </w:rPr>
        <w:t>.</w:t>
      </w:r>
    </w:p>
    <w:p>
      <w:pPr>
        <w:pStyle w:val="Footnotesection"/>
      </w:pPr>
      <w:r>
        <w:tab/>
        <w:t>[Section 297, formerly section 178, renumbered as section 297 by No. 42 of 2004 s. 154(1).]</w:t>
      </w:r>
    </w:p>
    <w:p>
      <w:pPr>
        <w:pStyle w:val="Heading5"/>
        <w:spacing w:before="120"/>
        <w:rPr>
          <w:snapToGrid w:val="0"/>
        </w:rPr>
      </w:pPr>
      <w:bookmarkStart w:id="751" w:name="_Toc390078560"/>
      <w:bookmarkStart w:id="752" w:name="_Toc390078918"/>
      <w:r>
        <w:rPr>
          <w:rStyle w:val="CharSectno"/>
        </w:rPr>
        <w:t>298</w:t>
      </w:r>
      <w:r>
        <w:rPr>
          <w:snapToGrid w:val="0"/>
        </w:rPr>
        <w:t>.</w:t>
      </w:r>
      <w:r>
        <w:rPr>
          <w:snapToGrid w:val="0"/>
        </w:rPr>
        <w:tab/>
        <w:t>Order for detention of ship</w:t>
      </w:r>
      <w:bookmarkEnd w:id="751"/>
      <w:bookmarkEnd w:id="752"/>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753" w:name="_Toc390078561"/>
      <w:bookmarkStart w:id="754" w:name="_Toc390078919"/>
      <w:r>
        <w:rPr>
          <w:rStyle w:val="CharSectno"/>
        </w:rPr>
        <w:t>299</w:t>
      </w:r>
      <w:r>
        <w:rPr>
          <w:snapToGrid w:val="0"/>
        </w:rPr>
        <w:t>.</w:t>
      </w:r>
      <w:r>
        <w:rPr>
          <w:snapToGrid w:val="0"/>
        </w:rPr>
        <w:tab/>
        <w:t>Judicial notice</w:t>
      </w:r>
      <w:bookmarkEnd w:id="753"/>
      <w:bookmarkEnd w:id="754"/>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755" w:name="_Toc390078562"/>
      <w:bookmarkStart w:id="756" w:name="_Toc390078920"/>
      <w:r>
        <w:rPr>
          <w:rStyle w:val="CharSectno"/>
        </w:rPr>
        <w:t>300</w:t>
      </w:r>
      <w:r>
        <w:t>.</w:t>
      </w:r>
      <w:r>
        <w:tab/>
        <w:t>District Court to provide information to WorkCover WA</w:t>
      </w:r>
      <w:bookmarkEnd w:id="755"/>
      <w:bookmarkEnd w:id="756"/>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757" w:name="_Toc390078563"/>
      <w:bookmarkStart w:id="758" w:name="_Toc390078921"/>
      <w:r>
        <w:rPr>
          <w:rStyle w:val="CharSectno"/>
        </w:rPr>
        <w:t>301</w:t>
      </w:r>
      <w:r>
        <w:rPr>
          <w:snapToGrid w:val="0"/>
        </w:rPr>
        <w:t>.</w:t>
      </w:r>
      <w:r>
        <w:rPr>
          <w:snapToGrid w:val="0"/>
        </w:rPr>
        <w:tab/>
        <w:t>Prohibition of contracting out</w:t>
      </w:r>
      <w:bookmarkEnd w:id="757"/>
      <w:bookmarkEnd w:id="758"/>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759" w:name="_Toc390078564"/>
      <w:bookmarkStart w:id="760" w:name="_Toc390078922"/>
      <w:r>
        <w:rPr>
          <w:rStyle w:val="CharSectno"/>
        </w:rPr>
        <w:t>302</w:t>
      </w:r>
      <w:r>
        <w:rPr>
          <w:snapToGrid w:val="0"/>
        </w:rPr>
        <w:t>.</w:t>
      </w:r>
      <w:r>
        <w:rPr>
          <w:snapToGrid w:val="0"/>
        </w:rPr>
        <w:tab/>
        <w:t>Deductions towards compensation not lawful</w:t>
      </w:r>
      <w:bookmarkEnd w:id="759"/>
      <w:bookmarkEnd w:id="760"/>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761" w:name="_Toc390078565"/>
      <w:bookmarkStart w:id="762" w:name="_Toc390078923"/>
      <w:r>
        <w:rPr>
          <w:rStyle w:val="CharSectno"/>
        </w:rPr>
        <w:t>303</w:t>
      </w:r>
      <w:r>
        <w:rPr>
          <w:snapToGrid w:val="0"/>
        </w:rPr>
        <w:t>.</w:t>
      </w:r>
      <w:r>
        <w:rPr>
          <w:snapToGrid w:val="0"/>
        </w:rPr>
        <w:tab/>
        <w:t>Payments not assignable</w:t>
      </w:r>
      <w:bookmarkEnd w:id="761"/>
      <w:bookmarkEnd w:id="762"/>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763" w:name="_Toc390078566"/>
      <w:bookmarkStart w:id="764" w:name="_Toc390078924"/>
      <w:r>
        <w:rPr>
          <w:rStyle w:val="CharSectno"/>
        </w:rPr>
        <w:t>303A</w:t>
      </w:r>
      <w:r>
        <w:t>.</w:t>
      </w:r>
      <w:r>
        <w:tab/>
        <w:t>Making employment conditional on avoidance arrangement</w:t>
      </w:r>
      <w:bookmarkEnd w:id="763"/>
      <w:bookmarkEnd w:id="764"/>
    </w:p>
    <w:p>
      <w:pPr>
        <w:pStyle w:val="Subsection"/>
      </w:pPr>
      <w:r>
        <w:tab/>
        <w:t>(1)</w:t>
      </w:r>
      <w:r>
        <w:tab/>
        <w:t>If a person executes work for another person (</w:t>
      </w:r>
      <w:r>
        <w:rPr>
          <w:b/>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765" w:name="_Toc390078567"/>
      <w:bookmarkStart w:id="766" w:name="_Toc390078925"/>
      <w:r>
        <w:rPr>
          <w:rStyle w:val="CharSectno"/>
        </w:rPr>
        <w:t>304</w:t>
      </w:r>
      <w:r>
        <w:t>.</w:t>
      </w:r>
      <w:r>
        <w:tab/>
        <w:t>Protection from liability</w:t>
      </w:r>
      <w:bookmarkEnd w:id="765"/>
      <w:bookmarkEnd w:id="766"/>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767" w:name="_Toc390078568"/>
      <w:bookmarkStart w:id="768" w:name="_Toc390078926"/>
      <w:r>
        <w:rPr>
          <w:rStyle w:val="CharSectno"/>
        </w:rPr>
        <w:t>305</w:t>
      </w:r>
      <w:r>
        <w:t>.</w:t>
      </w:r>
      <w:r>
        <w:tab/>
        <w:t>Immunity</w:t>
      </w:r>
      <w:bookmarkEnd w:id="767"/>
      <w:bookmarkEnd w:id="768"/>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769" w:name="_Toc390078569"/>
      <w:bookmarkStart w:id="770" w:name="_Toc390078927"/>
      <w:r>
        <w:rPr>
          <w:rStyle w:val="CharSectno"/>
        </w:rPr>
        <w:t>306</w:t>
      </w:r>
      <w:r>
        <w:t>.</w:t>
      </w:r>
      <w:r>
        <w:tab/>
        <w:t>Protection for compliance with this Act</w:t>
      </w:r>
      <w:bookmarkEnd w:id="769"/>
      <w:bookmarkEnd w:id="770"/>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771" w:name="_Toc390078570"/>
      <w:bookmarkStart w:id="772" w:name="_Toc390078928"/>
      <w:r>
        <w:rPr>
          <w:rStyle w:val="CharSectno"/>
        </w:rPr>
        <w:t>307</w:t>
      </w:r>
      <w:r>
        <w:t>.</w:t>
      </w:r>
      <w:r>
        <w:tab/>
        <w:t>Proceedings for defamation not to lie</w:t>
      </w:r>
      <w:bookmarkEnd w:id="771"/>
      <w:bookmarkEnd w:id="772"/>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773" w:name="_Toc390078571"/>
      <w:bookmarkStart w:id="774" w:name="_Toc390078929"/>
      <w:r>
        <w:rPr>
          <w:rStyle w:val="CharSectno"/>
        </w:rPr>
        <w:t>308</w:t>
      </w:r>
      <w:r>
        <w:rPr>
          <w:snapToGrid w:val="0"/>
        </w:rPr>
        <w:t>.</w:t>
      </w:r>
      <w:r>
        <w:rPr>
          <w:snapToGrid w:val="0"/>
        </w:rPr>
        <w:tab/>
        <w:t>Fraud</w:t>
      </w:r>
      <w:bookmarkEnd w:id="773"/>
      <w:bookmarkEnd w:id="774"/>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775" w:name="_Toc390078572"/>
      <w:bookmarkStart w:id="776" w:name="_Toc390078930"/>
      <w:r>
        <w:rPr>
          <w:rStyle w:val="CharSectno"/>
        </w:rPr>
        <w:t>309</w:t>
      </w:r>
      <w:r>
        <w:t>.</w:t>
      </w:r>
      <w:r>
        <w:tab/>
        <w:t>Who can take proceedings for offences</w:t>
      </w:r>
      <w:bookmarkEnd w:id="775"/>
      <w:bookmarkEnd w:id="776"/>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777" w:name="_Toc390078573"/>
      <w:bookmarkStart w:id="778" w:name="_Toc390078931"/>
      <w:r>
        <w:rPr>
          <w:rStyle w:val="CharSectno"/>
        </w:rPr>
        <w:t>310</w:t>
      </w:r>
      <w:r>
        <w:t>.</w:t>
      </w:r>
      <w:r>
        <w:tab/>
        <w:t>Time limit for taking proceedings</w:t>
      </w:r>
      <w:bookmarkEnd w:id="777"/>
      <w:bookmarkEnd w:id="778"/>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779" w:name="_Toc390078574"/>
      <w:bookmarkStart w:id="780" w:name="_Toc390078932"/>
      <w:r>
        <w:rPr>
          <w:rStyle w:val="CharSectno"/>
        </w:rPr>
        <w:t>311</w:t>
      </w:r>
      <w:r>
        <w:rPr>
          <w:snapToGrid w:val="0"/>
        </w:rPr>
        <w:t>.</w:t>
      </w:r>
      <w:r>
        <w:rPr>
          <w:snapToGrid w:val="0"/>
        </w:rPr>
        <w:tab/>
        <w:t>General penalty</w:t>
      </w:r>
      <w:bookmarkEnd w:id="779"/>
      <w:bookmarkEnd w:id="780"/>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781" w:name="_Toc390078575"/>
      <w:bookmarkStart w:id="782" w:name="_Toc390078933"/>
      <w:r>
        <w:rPr>
          <w:rStyle w:val="CharSectno"/>
        </w:rPr>
        <w:t>312</w:t>
      </w:r>
      <w:r>
        <w:rPr>
          <w:snapToGrid w:val="0"/>
        </w:rPr>
        <w:t>.</w:t>
      </w:r>
      <w:r>
        <w:rPr>
          <w:snapToGrid w:val="0"/>
        </w:rPr>
        <w:tab/>
        <w:t>Fines</w:t>
      </w:r>
      <w:bookmarkEnd w:id="781"/>
      <w:bookmarkEnd w:id="782"/>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 17.] </w:t>
      </w:r>
    </w:p>
    <w:p>
      <w:pPr>
        <w:pStyle w:val="Heading5"/>
        <w:rPr>
          <w:snapToGrid w:val="0"/>
        </w:rPr>
      </w:pPr>
      <w:bookmarkStart w:id="783" w:name="_Toc390078576"/>
      <w:bookmarkStart w:id="784" w:name="_Toc390078934"/>
      <w:r>
        <w:rPr>
          <w:rStyle w:val="CharSectno"/>
        </w:rPr>
        <w:t>313</w:t>
      </w:r>
      <w:r>
        <w:rPr>
          <w:snapToGrid w:val="0"/>
        </w:rPr>
        <w:t>.</w:t>
      </w:r>
      <w:r>
        <w:rPr>
          <w:snapToGrid w:val="0"/>
        </w:rPr>
        <w:tab/>
        <w:t>Penalties not affected</w:t>
      </w:r>
      <w:bookmarkEnd w:id="783"/>
      <w:bookmarkEnd w:id="784"/>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785" w:name="_Toc390078577"/>
      <w:bookmarkStart w:id="786" w:name="_Toc390078935"/>
      <w:r>
        <w:rPr>
          <w:rStyle w:val="CharSectno"/>
        </w:rPr>
        <w:t>314</w:t>
      </w:r>
      <w:r>
        <w:t>.</w:t>
      </w:r>
      <w:r>
        <w:tab/>
        <w:t>WorkCover WA may specify alternative form of sending information</w:t>
      </w:r>
      <w:bookmarkEnd w:id="785"/>
      <w:bookmarkEnd w:id="786"/>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t>“</w:t>
      </w:r>
      <w:r>
        <w:rPr>
          <w:rStyle w:val="CharDefText"/>
        </w:rPr>
        <w:t>WorkCover WA</w:t>
      </w:r>
      <w:r>
        <w:rPr>
          <w:b/>
        </w:rPr>
        <w:t>”</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787" w:name="_Toc390078578"/>
      <w:bookmarkStart w:id="788" w:name="_Toc390078936"/>
      <w:r>
        <w:rPr>
          <w:rStyle w:val="CharSectno"/>
        </w:rPr>
        <w:t>315</w:t>
      </w:r>
      <w:r>
        <w:t>.</w:t>
      </w:r>
      <w:r>
        <w:tab/>
        <w:t>Publication of prescribed amount and average weekly earnings</w:t>
      </w:r>
      <w:bookmarkEnd w:id="787"/>
      <w:bookmarkEnd w:id="788"/>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pPr>
      <w:bookmarkStart w:id="789" w:name="_Toc390078579"/>
      <w:bookmarkStart w:id="790" w:name="_Toc390078937"/>
      <w:r>
        <w:rPr>
          <w:rStyle w:val="CharPartNo"/>
        </w:rPr>
        <w:t>Part XX</w:t>
      </w:r>
      <w:r>
        <w:rPr>
          <w:rStyle w:val="CharDivNo"/>
        </w:rPr>
        <w:t> </w:t>
      </w:r>
      <w:r>
        <w:t>—</w:t>
      </w:r>
      <w:r>
        <w:rPr>
          <w:rStyle w:val="CharDivText"/>
        </w:rPr>
        <w:t> </w:t>
      </w:r>
      <w:r>
        <w:rPr>
          <w:rStyle w:val="CharPartText"/>
        </w:rPr>
        <w:t>Repeal, savings, and transitional</w:t>
      </w:r>
      <w:bookmarkEnd w:id="789"/>
      <w:bookmarkEnd w:id="790"/>
      <w:r>
        <w:rPr>
          <w:rStyle w:val="CharPartText"/>
        </w:rPr>
        <w:t xml:space="preserve"> </w:t>
      </w:r>
    </w:p>
    <w:p>
      <w:pPr>
        <w:pStyle w:val="Footnoteheading"/>
      </w:pPr>
      <w:r>
        <w:tab/>
        <w:t>[Part XX heading, formerly Part XIII heading, renumbered by No. 42 of 2004 s. 154(3).]</w:t>
      </w:r>
    </w:p>
    <w:p>
      <w:pPr>
        <w:pStyle w:val="Heading5"/>
        <w:rPr>
          <w:snapToGrid w:val="0"/>
        </w:rPr>
      </w:pPr>
      <w:bookmarkStart w:id="791" w:name="_Toc390078580"/>
      <w:bookmarkStart w:id="792" w:name="_Toc390078938"/>
      <w:r>
        <w:rPr>
          <w:rStyle w:val="CharSectno"/>
        </w:rPr>
        <w:t>316</w:t>
      </w:r>
      <w:r>
        <w:rPr>
          <w:snapToGrid w:val="0"/>
        </w:rPr>
        <w:t>.</w:t>
      </w:r>
      <w:r>
        <w:rPr>
          <w:snapToGrid w:val="0"/>
        </w:rPr>
        <w:tab/>
        <w:t>Definitions</w:t>
      </w:r>
      <w:bookmarkEnd w:id="791"/>
      <w:bookmarkEnd w:id="792"/>
    </w:p>
    <w:p>
      <w:pPr>
        <w:pStyle w:val="Subsection"/>
        <w:rPr>
          <w:snapToGrid w:val="0"/>
        </w:rPr>
      </w:pPr>
      <w:r>
        <w:rPr>
          <w:snapToGrid w:val="0"/>
        </w:rPr>
        <w:tab/>
      </w:r>
      <w:r>
        <w:rPr>
          <w:snapToGrid w:val="0"/>
        </w:rPr>
        <w:tab/>
        <w:t>In this Part — </w:t>
      </w:r>
    </w:p>
    <w:p>
      <w:pPr>
        <w:pStyle w:val="Defstart"/>
      </w:pPr>
      <w:r>
        <w:rPr>
          <w:b/>
        </w:rPr>
        <w:tab/>
        <w:t>“</w:t>
      </w:r>
      <w:r>
        <w:rPr>
          <w:rStyle w:val="CharDefText"/>
        </w:rPr>
        <w:t>former Board</w:t>
      </w:r>
      <w:r>
        <w:rPr>
          <w:b/>
        </w:rPr>
        <w:t>”</w:t>
      </w:r>
      <w:r>
        <w:t xml:space="preserve"> means the Workers’ Compensation Board constituted under the repealed Act;</w:t>
      </w:r>
    </w:p>
    <w:p>
      <w:pPr>
        <w:pStyle w:val="Defstart"/>
      </w:pPr>
      <w:r>
        <w:rPr>
          <w:b/>
        </w:rPr>
        <w:tab/>
        <w:t>“</w:t>
      </w:r>
      <w:r>
        <w:rPr>
          <w:rStyle w:val="CharDefText"/>
        </w:rPr>
        <w:t>former Supplementary Board</w:t>
      </w:r>
      <w:r>
        <w:rPr>
          <w:b/>
        </w:rPr>
        <w:t>”</w:t>
      </w:r>
      <w:r>
        <w:t xml:space="preserve"> means the Workers’ Compensation Supplementary Board constituted under the repealed Act;</w:t>
      </w:r>
    </w:p>
    <w:p>
      <w:pPr>
        <w:pStyle w:val="Defstart"/>
      </w:pPr>
      <w:r>
        <w:rPr>
          <w:b/>
        </w:rPr>
        <w:tab/>
        <w:t>“</w:t>
      </w:r>
      <w:r>
        <w:rPr>
          <w:rStyle w:val="CharDefText"/>
        </w:rPr>
        <w:t>new Board</w:t>
      </w:r>
      <w:r>
        <w:rPr>
          <w:b/>
        </w:rPr>
        <w:t>”</w:t>
      </w:r>
      <w:r>
        <w:t xml:space="preserve"> means the Workers’ Compensation Board continued and constituted under this Act;</w:t>
      </w:r>
    </w:p>
    <w:p>
      <w:pPr>
        <w:pStyle w:val="Defstart"/>
      </w:pPr>
      <w:r>
        <w:rPr>
          <w:b/>
        </w:rPr>
        <w:tab/>
        <w:t>“</w:t>
      </w:r>
      <w:r>
        <w:rPr>
          <w:rStyle w:val="CharDefText"/>
        </w:rPr>
        <w:t>new Supplementary Board</w:t>
      </w:r>
      <w:r>
        <w:rPr>
          <w:b/>
        </w:rPr>
        <w:t>”</w:t>
      </w:r>
      <w:r>
        <w:t xml:space="preserve"> means the Workers’ Compensation Supplementary Board continued and constituted under this Act;</w:t>
      </w:r>
    </w:p>
    <w:p>
      <w:pPr>
        <w:pStyle w:val="Defstart"/>
      </w:pPr>
      <w:r>
        <w:rPr>
          <w:b/>
        </w:rPr>
        <w:tab/>
        <w:t>“</w:t>
      </w:r>
      <w:r>
        <w:rPr>
          <w:rStyle w:val="CharDefText"/>
        </w:rPr>
        <w:t>proclaimed date</w:t>
      </w:r>
      <w:r>
        <w:rPr>
          <w:b/>
        </w:rPr>
        <w:t>”</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793" w:name="_Toc390078581"/>
      <w:bookmarkStart w:id="794" w:name="_Toc390078939"/>
      <w:r>
        <w:rPr>
          <w:rStyle w:val="CharSectno"/>
        </w:rPr>
        <w:t>317</w:t>
      </w:r>
      <w:r>
        <w:t>.</w:t>
      </w:r>
      <w:r>
        <w:tab/>
        <w:t>Repeal</w:t>
      </w:r>
      <w:bookmarkEnd w:id="793"/>
      <w:bookmarkEnd w:id="794"/>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795" w:name="_Toc390078582"/>
      <w:bookmarkStart w:id="796" w:name="_Toc390078940"/>
      <w:r>
        <w:rPr>
          <w:rStyle w:val="CharSectno"/>
        </w:rPr>
        <w:t>318</w:t>
      </w:r>
      <w:r>
        <w:rPr>
          <w:snapToGrid w:val="0"/>
        </w:rPr>
        <w:t>.</w:t>
      </w:r>
      <w:r>
        <w:rPr>
          <w:snapToGrid w:val="0"/>
        </w:rPr>
        <w:tab/>
        <w:t>Operation of </w:t>
      </w:r>
      <w:r>
        <w:rPr>
          <w:i/>
          <w:snapToGrid w:val="0"/>
        </w:rPr>
        <w:t>Interpretation Act 1918</w:t>
      </w:r>
      <w:bookmarkEnd w:id="795"/>
      <w:bookmarkEnd w:id="79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9</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797" w:name="_Toc390078583"/>
      <w:bookmarkStart w:id="798" w:name="_Toc390078941"/>
      <w:r>
        <w:rPr>
          <w:rStyle w:val="CharSectno"/>
        </w:rPr>
        <w:t>319</w:t>
      </w:r>
      <w:r>
        <w:rPr>
          <w:snapToGrid w:val="0"/>
        </w:rPr>
        <w:t>.</w:t>
      </w:r>
      <w:r>
        <w:rPr>
          <w:snapToGrid w:val="0"/>
        </w:rPr>
        <w:tab/>
        <w:t>No renewal of liability or entitlement</w:t>
      </w:r>
      <w:bookmarkEnd w:id="797"/>
      <w:bookmarkEnd w:id="798"/>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799" w:name="_Toc390078584"/>
      <w:bookmarkStart w:id="800" w:name="_Toc390078942"/>
      <w:r>
        <w:rPr>
          <w:rStyle w:val="CharSectno"/>
        </w:rPr>
        <w:t>320</w:t>
      </w:r>
      <w:r>
        <w:rPr>
          <w:snapToGrid w:val="0"/>
        </w:rPr>
        <w:t>.</w:t>
      </w:r>
      <w:r>
        <w:rPr>
          <w:snapToGrid w:val="0"/>
        </w:rPr>
        <w:tab/>
        <w:t>Moneys paid under repealed Act taken into account</w:t>
      </w:r>
      <w:bookmarkEnd w:id="799"/>
      <w:bookmarkEnd w:id="800"/>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801" w:name="_Toc390078585"/>
      <w:bookmarkStart w:id="802" w:name="_Toc390078943"/>
      <w:r>
        <w:rPr>
          <w:rStyle w:val="CharSectno"/>
        </w:rPr>
        <w:t>321</w:t>
      </w:r>
      <w:r>
        <w:rPr>
          <w:snapToGrid w:val="0"/>
        </w:rPr>
        <w:t>.</w:t>
      </w:r>
      <w:r>
        <w:rPr>
          <w:snapToGrid w:val="0"/>
        </w:rPr>
        <w:tab/>
        <w:t>Compensation for injuries mentioned in Schedule 2</w:t>
      </w:r>
      <w:bookmarkEnd w:id="801"/>
      <w:bookmarkEnd w:id="802"/>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803" w:name="_Toc390078586"/>
      <w:bookmarkStart w:id="804" w:name="_Toc390078944"/>
      <w:r>
        <w:rPr>
          <w:rStyle w:val="CharSectno"/>
        </w:rPr>
        <w:t>322</w:t>
      </w:r>
      <w:r>
        <w:rPr>
          <w:snapToGrid w:val="0"/>
        </w:rPr>
        <w:t>.</w:t>
      </w:r>
      <w:r>
        <w:rPr>
          <w:snapToGrid w:val="0"/>
        </w:rPr>
        <w:tab/>
        <w:t>Child’s allowance</w:t>
      </w:r>
      <w:bookmarkEnd w:id="803"/>
      <w:bookmarkEnd w:id="804"/>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805" w:name="_Toc390078587"/>
      <w:bookmarkStart w:id="806" w:name="_Toc390078945"/>
      <w:r>
        <w:rPr>
          <w:rStyle w:val="CharSectno"/>
        </w:rPr>
        <w:t>323</w:t>
      </w:r>
      <w:r>
        <w:rPr>
          <w:snapToGrid w:val="0"/>
        </w:rPr>
        <w:t>.</w:t>
      </w:r>
      <w:r>
        <w:rPr>
          <w:snapToGrid w:val="0"/>
        </w:rPr>
        <w:tab/>
        <w:t>Continuation</w:t>
      </w:r>
      <w:bookmarkEnd w:id="805"/>
      <w:bookmarkEnd w:id="806"/>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10, 11</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 17.]</w:t>
      </w:r>
    </w:p>
    <w:p>
      <w:pPr>
        <w:pStyle w:val="Heading5"/>
        <w:rPr>
          <w:snapToGrid w:val="0"/>
        </w:rPr>
      </w:pPr>
      <w:bookmarkStart w:id="807" w:name="_Toc390078588"/>
      <w:bookmarkStart w:id="808" w:name="_Toc390078946"/>
      <w:r>
        <w:rPr>
          <w:rStyle w:val="CharSectno"/>
        </w:rPr>
        <w:t>324</w:t>
      </w:r>
      <w:r>
        <w:rPr>
          <w:snapToGrid w:val="0"/>
        </w:rPr>
        <w:t>.</w:t>
      </w:r>
      <w:r>
        <w:rPr>
          <w:snapToGrid w:val="0"/>
        </w:rPr>
        <w:tab/>
        <w:t>References to the Board, the Supplementary Board or officers</w:t>
      </w:r>
      <w:bookmarkEnd w:id="807"/>
      <w:bookmarkEnd w:id="808"/>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809" w:name="_Toc390078589"/>
      <w:bookmarkStart w:id="810" w:name="_Toc390078947"/>
      <w:r>
        <w:rPr>
          <w:rStyle w:val="CharSchNo"/>
        </w:rPr>
        <w:t>Schedule 1</w:t>
      </w:r>
      <w:r>
        <w:rPr>
          <w:rStyle w:val="CharSDivNo"/>
        </w:rPr>
        <w:t> </w:t>
      </w:r>
      <w:r>
        <w:t>—</w:t>
      </w:r>
      <w:r>
        <w:rPr>
          <w:rStyle w:val="CharSDivText"/>
        </w:rPr>
        <w:t> </w:t>
      </w:r>
      <w:r>
        <w:rPr>
          <w:rStyle w:val="CharSchText"/>
        </w:rPr>
        <w:t>Compensation entitlements</w:t>
      </w:r>
      <w:bookmarkEnd w:id="809"/>
      <w:bookmarkEnd w:id="810"/>
    </w:p>
    <w:p>
      <w:pPr>
        <w:pStyle w:val="yFootnoteheading"/>
      </w:pPr>
      <w:r>
        <w:tab/>
        <w:t>[Heading inserted by No. 42 of 2004 s. 141(1).]</w:t>
      </w:r>
    </w:p>
    <w:p>
      <w:pPr>
        <w:pStyle w:val="yHeading5"/>
        <w:outlineLvl w:val="0"/>
      </w:pPr>
      <w:bookmarkStart w:id="811" w:name="_Toc390078590"/>
      <w:bookmarkStart w:id="812" w:name="_Toc390078948"/>
      <w:r>
        <w:rPr>
          <w:rStyle w:val="CharSClsNo"/>
        </w:rPr>
        <w:t>1</w:t>
      </w:r>
      <w:r>
        <w:t>.</w:t>
      </w:r>
      <w:r>
        <w:rPr>
          <w:b w:val="0"/>
        </w:rPr>
        <w:tab/>
      </w:r>
      <w:r>
        <w:t>Death — dependants wholly dependent — notional residual entitlement</w:t>
      </w:r>
      <w:bookmarkEnd w:id="811"/>
      <w:bookmarkEnd w:id="812"/>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813" w:name="_Toc390078591"/>
      <w:bookmarkStart w:id="814" w:name="_Toc390078949"/>
      <w:r>
        <w:rPr>
          <w:rStyle w:val="CharSClsNo"/>
        </w:rPr>
        <w:t>1A</w:t>
      </w:r>
      <w:r>
        <w:t>.</w:t>
      </w:r>
      <w:r>
        <w:rPr>
          <w:b w:val="0"/>
        </w:rPr>
        <w:tab/>
      </w:r>
      <w:r>
        <w:t>Death — dependants wholly dependent — child’s allowance</w:t>
      </w:r>
      <w:bookmarkEnd w:id="813"/>
      <w:bookmarkEnd w:id="814"/>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815" w:name="_Toc390078592"/>
      <w:bookmarkStart w:id="816" w:name="_Toc390078950"/>
      <w:r>
        <w:rPr>
          <w:rStyle w:val="CharSClsNo"/>
        </w:rPr>
        <w:t>1B</w:t>
      </w:r>
      <w:r>
        <w:t>.</w:t>
      </w:r>
      <w:r>
        <w:rPr>
          <w:b w:val="0"/>
        </w:rPr>
        <w:tab/>
      </w:r>
      <w:r>
        <w:t>Death — dependants wholly dependent — notional residual entitlement or child’s allowance</w:t>
      </w:r>
      <w:bookmarkEnd w:id="815"/>
      <w:bookmarkEnd w:id="816"/>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pPr>
      <w:r>
        <w:tab/>
        <w:t>(b)</w:t>
      </w:r>
      <w:r>
        <w:tab/>
        <w:t>no spouse or de facto partner wholly dependent upon the worker’s earnings,</w:t>
      </w:r>
    </w:p>
    <w:p>
      <w:pPr>
        <w:pStyle w:val="ySubsection"/>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pPr>
      <w:r>
        <w:tab/>
        <w:t>(2)</w:t>
      </w:r>
      <w:r>
        <w:tab/>
        <w:t xml:space="preserve">Where death results from the injury and the worker dies leaving a dependant wholly dependent upon the worker’s earnings who — </w:t>
      </w:r>
    </w:p>
    <w:p>
      <w:pPr>
        <w:pStyle w:val="yIndenta"/>
      </w:pPr>
      <w:r>
        <w:tab/>
        <w:t>(a)</w:t>
      </w:r>
      <w:r>
        <w:tab/>
        <w:t>is not a dependant to whom subclause (1) applies; and</w:t>
      </w:r>
    </w:p>
    <w:p>
      <w:pPr>
        <w:pStyle w:val="yIndenta"/>
      </w:pPr>
      <w:r>
        <w:tab/>
        <w:t>(b)</w:t>
      </w:r>
      <w:r>
        <w:tab/>
        <w:t>apart from this clause, would be entitled to a child’s allowance under clause 1A,</w:t>
      </w:r>
    </w:p>
    <w:p>
      <w:pPr>
        <w:pStyle w:val="ySubsection"/>
      </w:pPr>
      <w:r>
        <w:tab/>
      </w:r>
      <w:r>
        <w:tab/>
        <w:t xml:space="preserve">the compensation entitlement of that dependant is whichever of the following an arbitrator determines as likely to be in the best interests of that dependant — </w:t>
      </w:r>
    </w:p>
    <w:p>
      <w:pPr>
        <w:pStyle w:val="yIndenta"/>
      </w:pPr>
      <w:r>
        <w:tab/>
        <w:t>(c)</w:t>
      </w:r>
      <w:r>
        <w:tab/>
        <w:t>a sum equal to 25% of the notional residual entitlement of the worker;</w:t>
      </w:r>
    </w:p>
    <w:p>
      <w:pPr>
        <w:pStyle w:val="yIndenta"/>
      </w:pPr>
      <w:r>
        <w:tab/>
        <w:t>(d)</w:t>
      </w:r>
      <w:r>
        <w:tab/>
        <w:t>a child’s allowance under clause 1A(a), (b) or (c) as the case may be.</w:t>
      </w:r>
    </w:p>
    <w:p>
      <w:pPr>
        <w:pStyle w:val="ySubsection"/>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817" w:name="_Toc390078593"/>
      <w:bookmarkStart w:id="818" w:name="_Toc390078951"/>
      <w:r>
        <w:rPr>
          <w:rStyle w:val="CharSClsNo"/>
        </w:rPr>
        <w:t>1C</w:t>
      </w:r>
      <w:r>
        <w:t>.</w:t>
      </w:r>
      <w:r>
        <w:rPr>
          <w:b w:val="0"/>
        </w:rPr>
        <w:tab/>
      </w:r>
      <w:r>
        <w:t>Determination of entitlement under clause 1B</w:t>
      </w:r>
      <w:bookmarkEnd w:id="817"/>
      <w:bookmarkEnd w:id="818"/>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819" w:name="_Toc390078594"/>
      <w:bookmarkStart w:id="820" w:name="_Toc390078952"/>
      <w:r>
        <w:rPr>
          <w:rStyle w:val="CharSClsNo"/>
        </w:rPr>
        <w:t>2</w:t>
      </w:r>
      <w:r>
        <w:rPr>
          <w:snapToGrid w:val="0"/>
        </w:rPr>
        <w:t>.</w:t>
      </w:r>
      <w:r>
        <w:rPr>
          <w:snapToGrid w:val="0"/>
        </w:rPr>
        <w:tab/>
        <w:t>Death — partial dependants who are not children</w:t>
      </w:r>
      <w:bookmarkEnd w:id="819"/>
      <w:bookmarkEnd w:id="82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821" w:name="_Toc390078595"/>
      <w:bookmarkStart w:id="822" w:name="_Toc390078953"/>
      <w:r>
        <w:rPr>
          <w:rStyle w:val="CharSClsNo"/>
        </w:rPr>
        <w:t>3</w:t>
      </w:r>
      <w:r>
        <w:rPr>
          <w:snapToGrid w:val="0"/>
        </w:rPr>
        <w:t>.</w:t>
      </w:r>
      <w:r>
        <w:rPr>
          <w:snapToGrid w:val="0"/>
        </w:rPr>
        <w:tab/>
        <w:t>Death — partial dependants who are children</w:t>
      </w:r>
      <w:bookmarkEnd w:id="821"/>
      <w:bookmarkEnd w:id="82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823" w:name="_Toc390078596"/>
      <w:bookmarkStart w:id="824" w:name="_Toc390078954"/>
      <w:r>
        <w:rPr>
          <w:rStyle w:val="CharSClsNo"/>
        </w:rPr>
        <w:t>4</w:t>
      </w:r>
      <w:r>
        <w:rPr>
          <w:snapToGrid w:val="0"/>
        </w:rPr>
        <w:t>.</w:t>
      </w:r>
      <w:r>
        <w:rPr>
          <w:snapToGrid w:val="0"/>
        </w:rPr>
        <w:tab/>
        <w:t>Death — no dependant</w:t>
      </w:r>
      <w:bookmarkEnd w:id="823"/>
      <w:bookmarkEnd w:id="82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825" w:name="_Toc390078597"/>
      <w:bookmarkStart w:id="826" w:name="_Toc390078955"/>
      <w:r>
        <w:rPr>
          <w:rStyle w:val="CharSClsNo"/>
        </w:rPr>
        <w:t>5</w:t>
      </w:r>
      <w:r>
        <w:rPr>
          <w:snapToGrid w:val="0"/>
        </w:rPr>
        <w:t>.</w:t>
      </w:r>
      <w:r>
        <w:rPr>
          <w:snapToGrid w:val="0"/>
        </w:rPr>
        <w:tab/>
        <w:t>Death — where not resulting from the injury but weekly payments had been made</w:t>
      </w:r>
      <w:bookmarkEnd w:id="825"/>
      <w:bookmarkEnd w:id="826"/>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Repealed by No. 34 of 1999 s. 53(b).]</w:t>
      </w:r>
    </w:p>
    <w:p>
      <w:pPr>
        <w:pStyle w:val="yHeading5"/>
        <w:outlineLvl w:val="0"/>
        <w:rPr>
          <w:snapToGrid w:val="0"/>
        </w:rPr>
      </w:pPr>
      <w:bookmarkStart w:id="827" w:name="_Toc390078598"/>
      <w:bookmarkStart w:id="828" w:name="_Toc390078956"/>
      <w:r>
        <w:rPr>
          <w:rStyle w:val="CharSClsNo"/>
        </w:rPr>
        <w:t>7</w:t>
      </w:r>
      <w:r>
        <w:rPr>
          <w:snapToGrid w:val="0"/>
        </w:rPr>
        <w:t>.</w:t>
      </w:r>
      <w:r>
        <w:rPr>
          <w:snapToGrid w:val="0"/>
        </w:rPr>
        <w:tab/>
        <w:t>Amount of compensation in case of total or partial incapacity</w:t>
      </w:r>
      <w:bookmarkEnd w:id="827"/>
      <w:bookmarkEnd w:id="828"/>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829" w:name="_Toc390078599"/>
      <w:bookmarkStart w:id="830" w:name="_Toc390078957"/>
      <w:r>
        <w:rPr>
          <w:rStyle w:val="CharSClsNo"/>
        </w:rPr>
        <w:t>8</w:t>
      </w:r>
      <w:r>
        <w:rPr>
          <w:snapToGrid w:val="0"/>
        </w:rPr>
        <w:t>.</w:t>
      </w:r>
      <w:r>
        <w:rPr>
          <w:snapToGrid w:val="0"/>
        </w:rPr>
        <w:tab/>
        <w:t>Deemed total incapacity</w:t>
      </w:r>
      <w:bookmarkEnd w:id="829"/>
      <w:bookmarkEnd w:id="830"/>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831" w:name="_Toc390078600"/>
      <w:bookmarkStart w:id="832" w:name="_Toc390078958"/>
      <w:r>
        <w:rPr>
          <w:rStyle w:val="CharSClsNo"/>
        </w:rPr>
        <w:t>9</w:t>
      </w:r>
      <w:r>
        <w:rPr>
          <w:snapToGrid w:val="0"/>
        </w:rPr>
        <w:t>.</w:t>
      </w:r>
      <w:r>
        <w:rPr>
          <w:snapToGrid w:val="0"/>
        </w:rPr>
        <w:tab/>
        <w:t>No incapacity — medical expenses</w:t>
      </w:r>
      <w:bookmarkEnd w:id="831"/>
      <w:bookmarkEnd w:id="832"/>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833" w:name="_Toc390078601"/>
      <w:bookmarkStart w:id="834" w:name="_Toc390078959"/>
      <w:r>
        <w:rPr>
          <w:rStyle w:val="CharSClsNo"/>
        </w:rPr>
        <w:t>10</w:t>
      </w:r>
      <w:r>
        <w:rPr>
          <w:snapToGrid w:val="0"/>
        </w:rPr>
        <w:t>.</w:t>
      </w:r>
      <w:r>
        <w:rPr>
          <w:snapToGrid w:val="0"/>
        </w:rPr>
        <w:tab/>
        <w:t>Absence from work for medical attendance</w:t>
      </w:r>
      <w:bookmarkEnd w:id="833"/>
      <w:bookmarkEnd w:id="834"/>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835" w:name="_Toc390078602"/>
      <w:bookmarkStart w:id="836" w:name="_Toc390078960"/>
      <w:r>
        <w:rPr>
          <w:rStyle w:val="CharSClsNo"/>
        </w:rPr>
        <w:t>11</w:t>
      </w:r>
      <w:r>
        <w:rPr>
          <w:snapToGrid w:val="0"/>
        </w:rPr>
        <w:t>.</w:t>
      </w:r>
      <w:r>
        <w:rPr>
          <w:snapToGrid w:val="0"/>
        </w:rPr>
        <w:tab/>
        <w:t>Weekly earnings</w:t>
      </w:r>
      <w:bookmarkEnd w:id="835"/>
      <w:bookmarkEnd w:id="836"/>
    </w:p>
    <w:p>
      <w:pPr>
        <w:pStyle w:val="ySubsection"/>
        <w:rPr>
          <w:snapToGrid w:val="0"/>
        </w:rPr>
      </w:pPr>
      <w:r>
        <w:rPr>
          <w:snapToGrid w:val="0"/>
        </w:rPr>
        <w:tab/>
        <w:t>(1)</w:t>
      </w:r>
      <w:r>
        <w:rPr>
          <w:snapToGrid w:val="0"/>
        </w:rPr>
        <w:tab/>
        <w:t xml:space="preserve">Subject to clauses 12 to 16, for the purposes of this Schedule </w:t>
      </w:r>
      <w:r>
        <w:rPr>
          <w:b/>
          <w:snapToGrid w:val="0"/>
        </w:rPr>
        <w:t>“</w:t>
      </w:r>
      <w:r>
        <w:rPr>
          <w:rStyle w:val="CharDefText"/>
        </w:rPr>
        <w:t>weekly earnings</w:t>
      </w:r>
      <w:r>
        <w:rPr>
          <w:b/>
          <w:snapToGrid w:val="0"/>
        </w:rPr>
        <w:t>”</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t>“</w:t>
      </w:r>
      <w:r>
        <w:rPr>
          <w:rStyle w:val="CharDefText"/>
        </w:rPr>
        <w:t>Amount 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t>“</w:t>
      </w:r>
      <w:r>
        <w:rPr>
          <w:rStyle w:val="CharDefText"/>
        </w:rPr>
        <w:t>Amount Aa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outlineLvl w:val="0"/>
      </w:pPr>
      <w:r>
        <w:rPr>
          <w:b/>
        </w:rPr>
        <w:tab/>
        <w:t>“</w:t>
      </w:r>
      <w:r>
        <w:rPr>
          <w:rStyle w:val="CharDefText"/>
        </w:rPr>
        <w:t>Amount B</w:t>
      </w:r>
      <w:r>
        <w:rPr>
          <w:b/>
        </w:rPr>
        <w:t>”</w:t>
      </w:r>
      <w:r>
        <w:t xml:space="preserve"> means — </w:t>
      </w:r>
    </w:p>
    <w:p>
      <w:pPr>
        <w:pStyle w:val="yDefpara"/>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Defpara"/>
      </w:pPr>
      <w:r>
        <w:tab/>
        <w:t>(b)</w:t>
      </w:r>
      <w:r>
        <w:tab/>
        <w:t>in the case of a director who is a worker for a company that is exempt under section 164, the average weekly earnings of the director determined under subclause (2b);</w:t>
      </w:r>
    </w:p>
    <w:p>
      <w:pPr>
        <w:pStyle w:val="yDefpara"/>
      </w:pPr>
      <w:r>
        <w:tab/>
      </w:r>
      <w:r>
        <w:tab/>
        <w:t>and</w:t>
      </w:r>
    </w:p>
    <w:p>
      <w:pPr>
        <w:pStyle w:val="yDefpara"/>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t>“</w:t>
      </w:r>
      <w:r>
        <w:rPr>
          <w:rStyle w:val="CharDefText"/>
        </w:rPr>
        <w:t>Amount C</w:t>
      </w:r>
      <w:r>
        <w:rPr>
          <w:b/>
        </w:rPr>
        <w:t>”</w:t>
      </w:r>
      <w:r>
        <w:t xml:space="preserve"> means, during a financial year —</w:t>
      </w:r>
    </w:p>
    <w:p>
      <w:pPr>
        <w:pStyle w:val="yDefpara"/>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Defpara"/>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sz w:val="20"/>
        </w:rPr>
      </w:pPr>
      <w:r>
        <w:rPr>
          <w:sz w:val="20"/>
        </w:rPr>
        <w:t>Note:</w:t>
      </w:r>
      <w:r>
        <w:rPr>
          <w:sz w:val="20"/>
        </w:rPr>
        <w:tab/>
        <w:t>During the financial year ending on 30 June 2000 Amount C is $852.52.</w:t>
      </w:r>
    </w:p>
    <w:p>
      <w:pPr>
        <w:pStyle w:val="yDefstart"/>
      </w:pPr>
      <w:r>
        <w:rPr>
          <w:b/>
        </w:rPr>
        <w:tab/>
        <w:t>“</w:t>
      </w:r>
      <w:r>
        <w:rPr>
          <w:rStyle w:val="CharDefText"/>
        </w:rPr>
        <w:t>Amount D</w:t>
      </w:r>
      <w:r>
        <w:rPr>
          <w:b/>
        </w:rPr>
        <w:t>”</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t>“</w:t>
      </w:r>
      <w:r>
        <w:rPr>
          <w:rStyle w:val="CharDefText"/>
        </w:rPr>
        <w:t>Amount E</w:t>
      </w:r>
      <w:r>
        <w:rPr>
          <w:b/>
        </w:rPr>
        <w:t>”</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t>“</w:t>
      </w:r>
      <w:r>
        <w:rPr>
          <w:rStyle w:val="CharDefText"/>
        </w:rPr>
        <w:t>bonus or allowance</w:t>
      </w:r>
      <w:r>
        <w:rPr>
          <w:b/>
        </w:rPr>
        <w:t>”</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t>“</w:t>
      </w:r>
      <w:r>
        <w:rPr>
          <w:rStyle w:val="CharDefText"/>
        </w:rPr>
        <w:t>earnings</w:t>
      </w:r>
      <w:r>
        <w:rPr>
          <w:b/>
        </w:rPr>
        <w:t>”</w:t>
      </w:r>
      <w:r>
        <w:t xml:space="preserve"> includes wages, salary and other remuneration;</w:t>
      </w:r>
    </w:p>
    <w:p>
      <w:pPr>
        <w:pStyle w:val="yDefstart"/>
      </w:pPr>
      <w:r>
        <w:rPr>
          <w:b/>
        </w:rPr>
        <w:tab/>
        <w:t>“</w:t>
      </w:r>
      <w:r>
        <w:rPr>
          <w:rStyle w:val="CharDefText"/>
        </w:rPr>
        <w:t>overtime</w:t>
      </w:r>
      <w:r>
        <w:rPr>
          <w:b/>
        </w:rPr>
        <w:t>”</w:t>
      </w:r>
      <w:r>
        <w:t xml:space="preserve"> means any payment for the hours in excess of the number of ordinary hours which constitute a week’s work.</w:t>
      </w:r>
    </w:p>
    <w:p>
      <w:pPr>
        <w:pStyle w:val="ySubsection"/>
      </w:pPr>
      <w:r>
        <w:tab/>
        <w:t>(2a)</w:t>
      </w:r>
      <w:r>
        <w:tab/>
        <w:t xml:space="preserve">For the purposes of paragraph (a)(ii)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the references in the definition of Amount A in subclause (2) to overtime and any bonus or allowances; and</w:t>
      </w:r>
    </w:p>
    <w:p>
      <w:pPr>
        <w:pStyle w:val="yIndenta"/>
        <w:rPr>
          <w:snapToGrid w:val="0"/>
        </w:rPr>
      </w:pPr>
      <w:r>
        <w:rPr>
          <w:snapToGrid w:val="0"/>
        </w:rPr>
        <w:tab/>
        <w:t>(b)</w:t>
      </w:r>
      <w:r>
        <w:rPr>
          <w:snapToGrid w:val="0"/>
        </w:rPr>
        <w:tab/>
        <w:t>the references in the definition of Amount Aa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Repealed by No. 34 of 1999 s. 32(13).]</w:t>
      </w:r>
    </w:p>
    <w:p>
      <w:pPr>
        <w:pStyle w:val="yHeading5"/>
        <w:outlineLvl w:val="0"/>
        <w:rPr>
          <w:snapToGrid w:val="0"/>
        </w:rPr>
      </w:pPr>
      <w:bookmarkStart w:id="837" w:name="_Toc390078603"/>
      <w:bookmarkStart w:id="838" w:name="_Toc390078961"/>
      <w:r>
        <w:rPr>
          <w:rStyle w:val="CharSClsNo"/>
        </w:rPr>
        <w:t>12</w:t>
      </w:r>
      <w:r>
        <w:rPr>
          <w:snapToGrid w:val="0"/>
        </w:rPr>
        <w:t>.</w:t>
      </w:r>
      <w:r>
        <w:rPr>
          <w:snapToGrid w:val="0"/>
        </w:rPr>
        <w:tab/>
        <w:t>Part</w:t>
      </w:r>
      <w:r>
        <w:rPr>
          <w:snapToGrid w:val="0"/>
        </w:rPr>
        <w:noBreakHyphen/>
        <w:t>time worker</w:t>
      </w:r>
      <w:bookmarkEnd w:id="837"/>
      <w:bookmarkEnd w:id="838"/>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839" w:name="_Toc390078604"/>
      <w:bookmarkStart w:id="840" w:name="_Toc390078962"/>
      <w:r>
        <w:rPr>
          <w:rStyle w:val="CharSClsNo"/>
        </w:rPr>
        <w:t>13</w:t>
      </w:r>
      <w:r>
        <w:rPr>
          <w:snapToGrid w:val="0"/>
        </w:rPr>
        <w:t>.</w:t>
      </w:r>
      <w:r>
        <w:rPr>
          <w:snapToGrid w:val="0"/>
        </w:rPr>
        <w:tab/>
        <w:t>Concurrent contracts</w:t>
      </w:r>
      <w:bookmarkEnd w:id="839"/>
      <w:bookmarkEnd w:id="840"/>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841" w:name="_Toc390078605"/>
      <w:bookmarkStart w:id="842" w:name="_Toc390078963"/>
      <w:r>
        <w:rPr>
          <w:rStyle w:val="CharSClsNo"/>
        </w:rPr>
        <w:t>14</w:t>
      </w:r>
      <w:r>
        <w:rPr>
          <w:snapToGrid w:val="0"/>
        </w:rPr>
        <w:t>.</w:t>
      </w:r>
      <w:r>
        <w:rPr>
          <w:snapToGrid w:val="0"/>
        </w:rPr>
        <w:tab/>
        <w:t>Casual or seasonal worker</w:t>
      </w:r>
      <w:bookmarkEnd w:id="841"/>
      <w:bookmarkEnd w:id="842"/>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b/>
          <w:snapToGrid w:val="0"/>
        </w:rPr>
        <w:t>“</w:t>
      </w:r>
      <w:r>
        <w:rPr>
          <w:rStyle w:val="CharDefText"/>
        </w:rPr>
        <w:t>weekly earnings</w:t>
      </w:r>
      <w:r>
        <w:rPr>
          <w:b/>
          <w:snapToGrid w:val="0"/>
        </w:rPr>
        <w:t>”</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843" w:name="_Toc390078606"/>
      <w:bookmarkStart w:id="844" w:name="_Toc390078964"/>
      <w:r>
        <w:rPr>
          <w:rStyle w:val="CharSClsNo"/>
        </w:rPr>
        <w:t>15</w:t>
      </w:r>
      <w:r>
        <w:rPr>
          <w:snapToGrid w:val="0"/>
        </w:rPr>
        <w:t>.</w:t>
      </w:r>
      <w:r>
        <w:rPr>
          <w:snapToGrid w:val="0"/>
        </w:rPr>
        <w:tab/>
        <w:t>Board and lodging</w:t>
      </w:r>
      <w:bookmarkEnd w:id="843"/>
      <w:bookmarkEnd w:id="844"/>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845" w:name="_Toc390078607"/>
      <w:bookmarkStart w:id="846" w:name="_Toc390078965"/>
      <w:r>
        <w:rPr>
          <w:rStyle w:val="CharSClsNo"/>
        </w:rPr>
        <w:t>16</w:t>
      </w:r>
      <w:r>
        <w:rPr>
          <w:snapToGrid w:val="0"/>
        </w:rPr>
        <w:t>.</w:t>
      </w:r>
      <w:r>
        <w:rPr>
          <w:snapToGrid w:val="0"/>
        </w:rPr>
        <w:tab/>
        <w:t>Variation of weekly payments</w:t>
      </w:r>
      <w:bookmarkEnd w:id="845"/>
      <w:bookmarkEnd w:id="846"/>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847" w:name="_Toc390078608"/>
      <w:bookmarkStart w:id="848" w:name="_Toc390078966"/>
      <w:r>
        <w:rPr>
          <w:rStyle w:val="CharSClsNo"/>
        </w:rPr>
        <w:t>17</w:t>
      </w:r>
      <w:r>
        <w:rPr>
          <w:snapToGrid w:val="0"/>
        </w:rPr>
        <w:t>.</w:t>
      </w:r>
      <w:r>
        <w:rPr>
          <w:snapToGrid w:val="0"/>
        </w:rPr>
        <w:tab/>
        <w:t>Payment of medical and other expenses</w:t>
      </w:r>
      <w:bookmarkEnd w:id="847"/>
      <w:bookmarkEnd w:id="848"/>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pPr>
      <w:r>
        <w:tab/>
        <w:t>(2)</w:t>
      </w:r>
      <w:r>
        <w:tab/>
        <w:t xml:space="preserve">funeral expenses, including all cemetery board charges, in the event of the death of the worker, but not exceeding —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849" w:name="_Toc390078609"/>
      <w:bookmarkStart w:id="850" w:name="_Toc390078967"/>
      <w:r>
        <w:rPr>
          <w:rStyle w:val="CharSClsNo"/>
        </w:rPr>
        <w:t>18</w:t>
      </w:r>
      <w:r>
        <w:rPr>
          <w:snapToGrid w:val="0"/>
        </w:rPr>
        <w:t>.</w:t>
      </w:r>
      <w:r>
        <w:rPr>
          <w:snapToGrid w:val="0"/>
        </w:rPr>
        <w:tab/>
        <w:t>Hospital charges</w:t>
      </w:r>
      <w:bookmarkEnd w:id="849"/>
      <w:bookmarkEnd w:id="850"/>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851" w:name="_Toc390078610"/>
      <w:bookmarkStart w:id="852" w:name="_Toc390078968"/>
      <w:r>
        <w:rPr>
          <w:rStyle w:val="CharSClsNo"/>
        </w:rPr>
        <w:t>18A</w:t>
      </w:r>
      <w:r>
        <w:rPr>
          <w:snapToGrid w:val="0"/>
        </w:rPr>
        <w:t>.</w:t>
      </w:r>
      <w:r>
        <w:rPr>
          <w:snapToGrid w:val="0"/>
        </w:rPr>
        <w:tab/>
        <w:t>Payment of additional expenses</w:t>
      </w:r>
      <w:bookmarkEnd w:id="851"/>
      <w:bookmarkEnd w:id="852"/>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b/>
        </w:rPr>
        <w:t>“</w:t>
      </w:r>
      <w:r>
        <w:rPr>
          <w:rStyle w:val="CharDefText"/>
        </w:rPr>
        <w:t>prescribed amount</w:t>
      </w:r>
      <w:r>
        <w:rPr>
          <w:b/>
        </w:rPr>
        <w: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853" w:name="_Toc390078611"/>
      <w:bookmarkStart w:id="854" w:name="_Toc390078969"/>
      <w:r>
        <w:rPr>
          <w:rStyle w:val="CharSClsNo"/>
        </w:rPr>
        <w:t>18B</w:t>
      </w:r>
      <w:r>
        <w:t>.</w:t>
      </w:r>
      <w:r>
        <w:rPr>
          <w:b w:val="0"/>
        </w:rPr>
        <w:tab/>
      </w:r>
      <w:r>
        <w:t>Final day for clause 18A(1b) application</w:t>
      </w:r>
      <w:bookmarkEnd w:id="853"/>
      <w:bookmarkEnd w:id="854"/>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855" w:name="_Toc390078612"/>
      <w:bookmarkStart w:id="856" w:name="_Toc390078970"/>
      <w:r>
        <w:rPr>
          <w:rStyle w:val="CharSClsNo"/>
        </w:rPr>
        <w:t>18C</w:t>
      </w:r>
      <w:r>
        <w:t>.</w:t>
      </w:r>
      <w:r>
        <w:rPr>
          <w:b w:val="0"/>
        </w:rPr>
        <w:tab/>
      </w:r>
      <w:r>
        <w:t>Dispute as to degree of permanent whole of person impairment</w:t>
      </w:r>
      <w:bookmarkEnd w:id="855"/>
      <w:bookmarkEnd w:id="856"/>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b/>
        </w:rPr>
        <w:t>“</w:t>
      </w:r>
      <w:r>
        <w:rPr>
          <w:rStyle w:val="CharDefText"/>
        </w:rPr>
        <w:t>degree of permanent whole of person impairment</w:t>
      </w:r>
      <w:r>
        <w:rPr>
          <w:b/>
        </w:rPr>
        <w: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“degree of permanent whole of person impairment” in subclause (3) — </w:t>
      </w:r>
    </w:p>
    <w:p>
      <w:pPr>
        <w:pStyle w:val="yDefstart"/>
      </w:pPr>
      <w:r>
        <w:tab/>
      </w:r>
      <w:r>
        <w:rPr>
          <w:b/>
        </w:rPr>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857" w:name="_Toc390078613"/>
      <w:bookmarkStart w:id="858" w:name="_Toc390078971"/>
      <w:r>
        <w:rPr>
          <w:rStyle w:val="CharSClsNo"/>
        </w:rPr>
        <w:t>18D</w:t>
      </w:r>
      <w:r>
        <w:t>.</w:t>
      </w:r>
      <w:r>
        <w:rPr>
          <w:b w:val="0"/>
        </w:rPr>
        <w:tab/>
      </w:r>
      <w:r>
        <w:t>Interim payment of additional expenses</w:t>
      </w:r>
      <w:bookmarkEnd w:id="857"/>
      <w:bookmarkEnd w:id="858"/>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859" w:name="_Toc390078614"/>
      <w:bookmarkStart w:id="860" w:name="_Toc390078972"/>
      <w:r>
        <w:rPr>
          <w:rStyle w:val="CharSClsNo"/>
        </w:rPr>
        <w:t>19</w:t>
      </w:r>
      <w:r>
        <w:rPr>
          <w:snapToGrid w:val="0"/>
        </w:rPr>
        <w:t>.</w:t>
      </w:r>
      <w:r>
        <w:rPr>
          <w:snapToGrid w:val="0"/>
        </w:rPr>
        <w:tab/>
        <w:t>Travelling</w:t>
      </w:r>
      <w:bookmarkEnd w:id="859"/>
      <w:bookmarkEnd w:id="860"/>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outlineLvl w:val="0"/>
      </w:pPr>
      <w:bookmarkStart w:id="861" w:name="_Toc390078615"/>
      <w:bookmarkStart w:id="862" w:name="_Toc390078973"/>
      <w:r>
        <w:rPr>
          <w:rStyle w:val="CharSchNo"/>
        </w:rPr>
        <w:t>Schedule 2</w:t>
      </w:r>
      <w:r>
        <w:t> — </w:t>
      </w:r>
      <w:r>
        <w:rPr>
          <w:rStyle w:val="CharSchText"/>
        </w:rPr>
        <w:t>Table of compensation payable</w:t>
      </w:r>
      <w:bookmarkEnd w:id="861"/>
      <w:bookmarkEnd w:id="862"/>
    </w:p>
    <w:p>
      <w:pPr>
        <w:pStyle w:val="yFootnoteheading"/>
      </w:pPr>
      <w:r>
        <w:tab/>
        <w:t>[Heading inserted by No. 42 of 2004 s. 142(1).]</w:t>
      </w:r>
    </w:p>
    <w:p>
      <w:pPr>
        <w:pStyle w:val="yHeading2"/>
        <w:outlineLvl w:val="0"/>
      </w:pPr>
      <w:bookmarkStart w:id="863" w:name="_Toc390078616"/>
      <w:bookmarkStart w:id="864" w:name="_Toc390078974"/>
      <w:r>
        <w:rPr>
          <w:rStyle w:val="CharSDivNo"/>
          <w:sz w:val="28"/>
        </w:rPr>
        <w:t>Part 1</w:t>
      </w:r>
      <w:bookmarkEnd w:id="863"/>
      <w:bookmarkEnd w:id="864"/>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pPr>
            <w:r>
              <w:t>28.</w:t>
            </w:r>
            <w:r>
              <w:tab/>
              <w:t>Loss of leg at or above knee ................................</w:t>
            </w:r>
          </w:p>
        </w:tc>
        <w:tc>
          <w:tcPr>
            <w:tcW w:w="1843" w:type="dxa"/>
          </w:tcPr>
          <w:p>
            <w:pPr>
              <w:pStyle w:val="yTable"/>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865" w:name="_Toc390078617"/>
      <w:bookmarkStart w:id="866" w:name="_Toc390078975"/>
      <w:r>
        <w:rPr>
          <w:rStyle w:val="CharSDivNo"/>
          <w:sz w:val="28"/>
        </w:rPr>
        <w:t>Part 2</w:t>
      </w:r>
      <w:bookmarkEnd w:id="865"/>
      <w:bookmarkEnd w:id="866"/>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outlineLvl w:val="0"/>
      </w:pPr>
      <w:bookmarkStart w:id="867" w:name="_Toc390078618"/>
      <w:bookmarkStart w:id="868" w:name="_Toc390078976"/>
      <w:r>
        <w:rPr>
          <w:rStyle w:val="CharSchNo"/>
        </w:rPr>
        <w:t>Schedule 3</w:t>
      </w:r>
      <w:r>
        <w:t> — </w:t>
      </w:r>
      <w:r>
        <w:rPr>
          <w:rStyle w:val="CharSchText"/>
        </w:rPr>
        <w:t>Specified industrial diseases</w:t>
      </w:r>
      <w:bookmarkEnd w:id="867"/>
      <w:bookmarkEnd w:id="868"/>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outlineLvl w:val="0"/>
      </w:pPr>
      <w:bookmarkStart w:id="869" w:name="_Toc390078619"/>
      <w:bookmarkStart w:id="870" w:name="_Toc390078977"/>
      <w:r>
        <w:rPr>
          <w:rStyle w:val="CharSchNo"/>
        </w:rPr>
        <w:t>Schedule 4</w:t>
      </w:r>
      <w:r>
        <w:t> — </w:t>
      </w:r>
      <w:r>
        <w:rPr>
          <w:rStyle w:val="CharSchText"/>
        </w:rPr>
        <w:t>Specified losses of functions</w:t>
      </w:r>
      <w:bookmarkEnd w:id="869"/>
      <w:bookmarkEnd w:id="870"/>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871" w:name="_Toc390078620"/>
      <w:bookmarkStart w:id="872" w:name="_Toc390078978"/>
      <w:r>
        <w:rPr>
          <w:rStyle w:val="CharSchNo"/>
        </w:rPr>
        <w:t>Schedule 5</w:t>
      </w:r>
      <w:r>
        <w:t> — </w:t>
      </w:r>
      <w:r>
        <w:rPr>
          <w:rStyle w:val="CharSchText"/>
        </w:rPr>
        <w:t>Exceptions to cessation of weekly payments by reason of age</w:t>
      </w:r>
      <w:bookmarkEnd w:id="871"/>
      <w:bookmarkEnd w:id="872"/>
    </w:p>
    <w:p>
      <w:pPr>
        <w:pStyle w:val="yShoulderClause"/>
        <w:rPr>
          <w:snapToGrid w:val="0"/>
        </w:rPr>
      </w:pPr>
      <w:r>
        <w:rPr>
          <w:snapToGrid w:val="0"/>
        </w:rPr>
        <w:t>[Section 56]</w:t>
      </w:r>
    </w:p>
    <w:p>
      <w:pPr>
        <w:pStyle w:val="yHeading5"/>
        <w:outlineLvl w:val="0"/>
        <w:rPr>
          <w:snapToGrid w:val="0"/>
        </w:rPr>
      </w:pPr>
      <w:bookmarkStart w:id="873" w:name="_Toc390078621"/>
      <w:bookmarkStart w:id="874" w:name="_Toc390078979"/>
      <w:r>
        <w:rPr>
          <w:rStyle w:val="CharSClsNo"/>
        </w:rPr>
        <w:t>1</w:t>
      </w:r>
      <w:r>
        <w:rPr>
          <w:snapToGrid w:val="0"/>
        </w:rPr>
        <w:t>.</w:t>
      </w:r>
      <w:r>
        <w:rPr>
          <w:snapToGrid w:val="0"/>
        </w:rPr>
        <w:tab/>
        <w:t>Definitions</w:t>
      </w:r>
      <w:bookmarkEnd w:id="873"/>
      <w:bookmarkEnd w:id="874"/>
    </w:p>
    <w:p>
      <w:pPr>
        <w:pStyle w:val="ySubsection"/>
        <w:rPr>
          <w:snapToGrid w:val="0"/>
        </w:rPr>
      </w:pPr>
      <w:r>
        <w:rPr>
          <w:snapToGrid w:val="0"/>
        </w:rPr>
        <w:tab/>
        <w:t>(1)</w:t>
      </w:r>
      <w:r>
        <w:rPr>
          <w:snapToGrid w:val="0"/>
        </w:rPr>
        <w:tab/>
        <w:t>In this Schedule — </w:t>
      </w:r>
    </w:p>
    <w:p>
      <w:pPr>
        <w:pStyle w:val="yDefstart"/>
      </w:pPr>
      <w:r>
        <w:tab/>
      </w:r>
      <w:r>
        <w:rPr>
          <w:b/>
        </w:rPr>
        <w:t>“</w:t>
      </w:r>
      <w:r>
        <w:rPr>
          <w:rStyle w:val="CharDefText"/>
        </w:rPr>
        <w:t>proclaimed date</w:t>
      </w:r>
      <w:r>
        <w:rPr>
          <w:b/>
        </w:rPr>
        <w:t>”</w:t>
      </w:r>
      <w:r>
        <w:t xml:space="preserve"> means the date on which this Schedule comes into operation;</w:t>
      </w:r>
    </w:p>
    <w:p>
      <w:pPr>
        <w:pStyle w:val="yDefstart"/>
      </w:pPr>
      <w:r>
        <w:tab/>
      </w:r>
      <w:r>
        <w:rPr>
          <w:b/>
        </w:rPr>
        <w:t>“</w:t>
      </w:r>
      <w:r>
        <w:rPr>
          <w:rStyle w:val="CharDefText"/>
        </w:rPr>
        <w:t>redemption amount</w:t>
      </w:r>
      <w:r>
        <w:rPr>
          <w:b/>
        </w:rPr>
        <w: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r>
      <w:r>
        <w:tab/>
        <w:t>whichever is the less;</w:t>
      </w:r>
    </w:p>
    <w:p>
      <w:pPr>
        <w:pStyle w:val="yDefstart"/>
      </w:pPr>
      <w:r>
        <w:rPr>
          <w:b/>
        </w:rPr>
        <w:tab/>
        <w:t>“</w:t>
      </w:r>
      <w:r>
        <w:rPr>
          <w:rStyle w:val="CharDefText"/>
        </w:rPr>
        <w:t>supplementary amount</w:t>
      </w:r>
      <w:r>
        <w:rPr>
          <w:b/>
        </w:rPr>
        <w: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875" w:name="_Toc390078622"/>
      <w:bookmarkStart w:id="876" w:name="_Toc390078980"/>
      <w:r>
        <w:rPr>
          <w:rStyle w:val="CharSClsNo"/>
        </w:rPr>
        <w:t>1A</w:t>
      </w:r>
      <w:r>
        <w:t>.</w:t>
      </w:r>
      <w:r>
        <w:tab/>
        <w:t>Successive lung diseases to be regarded as one</w:t>
      </w:r>
      <w:bookmarkEnd w:id="875"/>
      <w:bookmarkEnd w:id="876"/>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877" w:name="_Toc390078623"/>
      <w:bookmarkStart w:id="878" w:name="_Toc390078981"/>
      <w:r>
        <w:rPr>
          <w:rStyle w:val="CharSClsNo"/>
        </w:rPr>
        <w:t>2</w:t>
      </w:r>
      <w:r>
        <w:rPr>
          <w:snapToGrid w:val="0"/>
        </w:rPr>
        <w:t>.</w:t>
      </w:r>
      <w:r>
        <w:rPr>
          <w:snapToGrid w:val="0"/>
        </w:rPr>
        <w:tab/>
        <w:t>Incapacity for work resulting from injuries other than pneumoconiosis, mesothelioma and lung cancer</w:t>
      </w:r>
      <w:bookmarkEnd w:id="877"/>
      <w:bookmarkEnd w:id="878"/>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879" w:name="_Toc390078624"/>
      <w:bookmarkStart w:id="880" w:name="_Toc390078982"/>
      <w:r>
        <w:rPr>
          <w:rStyle w:val="CharSClsNo"/>
        </w:rPr>
        <w:t>3</w:t>
      </w:r>
      <w:r>
        <w:rPr>
          <w:snapToGrid w:val="0"/>
        </w:rPr>
        <w:t>.</w:t>
      </w:r>
      <w:r>
        <w:rPr>
          <w:snapToGrid w:val="0"/>
        </w:rPr>
        <w:tab/>
        <w:t>Incapacity for work resulting from injuries of pneumoconiosis, mesothelioma and lung cancer — weekly payments</w:t>
      </w:r>
      <w:bookmarkEnd w:id="879"/>
      <w:bookmarkEnd w:id="880"/>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b/>
          <w:snapToGrid w:val="0"/>
        </w:rPr>
        <w:t>“</w:t>
      </w:r>
      <w:r>
        <w:rPr>
          <w:rStyle w:val="CharDefText"/>
        </w:rPr>
        <w:t>weekly payments</w:t>
      </w:r>
      <w:r>
        <w:rPr>
          <w:b/>
          <w:snapToGrid w:val="0"/>
        </w:rPr>
        <w:t>”</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 xml:space="preserve">Workers’ Compensation and Assistance Amendment Act 1984 </w:t>
      </w:r>
      <w:r>
        <w:rPr>
          <w:snapToGrid w:val="0"/>
          <w:vertAlign w:val="superscript"/>
        </w:rPr>
        <w:t>1</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b/>
          <w:snapToGrid w:val="0"/>
        </w:rPr>
        <w:t>“</w:t>
      </w:r>
      <w:r>
        <w:rPr>
          <w:rStyle w:val="CharDefText"/>
        </w:rPr>
        <w:t>the relevant day</w:t>
      </w:r>
      <w:r>
        <w:rPr>
          <w:b/>
          <w:snapToGrid w:val="0"/>
        </w:rPr>
        <w:t>”</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881" w:name="_Toc390078625"/>
      <w:bookmarkStart w:id="882" w:name="_Toc390078983"/>
      <w:r>
        <w:rPr>
          <w:rStyle w:val="CharSClsNo"/>
        </w:rPr>
        <w:t>4</w:t>
      </w:r>
      <w:r>
        <w:rPr>
          <w:snapToGrid w:val="0"/>
        </w:rPr>
        <w:t>.</w:t>
      </w:r>
      <w:r>
        <w:rPr>
          <w:snapToGrid w:val="0"/>
        </w:rPr>
        <w:tab/>
        <w:t>Election to take redemption amount as lump sum or supplementary amount weekly</w:t>
      </w:r>
      <w:bookmarkEnd w:id="881"/>
      <w:bookmarkEnd w:id="882"/>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883" w:name="_Toc390078626"/>
      <w:bookmarkStart w:id="884" w:name="_Toc390078984"/>
      <w:r>
        <w:rPr>
          <w:rStyle w:val="CharSClsNo"/>
        </w:rPr>
        <w:t>5</w:t>
      </w:r>
      <w:r>
        <w:rPr>
          <w:snapToGrid w:val="0"/>
        </w:rPr>
        <w:t>.</w:t>
      </w:r>
      <w:r>
        <w:rPr>
          <w:snapToGrid w:val="0"/>
        </w:rPr>
        <w:tab/>
        <w:t>Requirements for election under clause 4</w:t>
      </w:r>
      <w:bookmarkEnd w:id="883"/>
      <w:bookmarkEnd w:id="884"/>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885" w:name="_Toc390078627"/>
      <w:bookmarkStart w:id="886" w:name="_Toc390078985"/>
      <w:r>
        <w:rPr>
          <w:rStyle w:val="CharSClsNo"/>
        </w:rPr>
        <w:t>6</w:t>
      </w:r>
      <w:r>
        <w:rPr>
          <w:snapToGrid w:val="0"/>
        </w:rPr>
        <w:t>.</w:t>
      </w:r>
      <w:r>
        <w:rPr>
          <w:snapToGrid w:val="0"/>
        </w:rPr>
        <w:tab/>
        <w:t>Effect of receiving the redemption amount as a lump sum</w:t>
      </w:r>
      <w:bookmarkEnd w:id="885"/>
      <w:bookmarkEnd w:id="886"/>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887" w:name="_Toc390078628"/>
      <w:bookmarkStart w:id="888" w:name="_Toc390078986"/>
      <w:r>
        <w:rPr>
          <w:rStyle w:val="CharSClsNo"/>
        </w:rPr>
        <w:t>7</w:t>
      </w:r>
      <w:r>
        <w:rPr>
          <w:snapToGrid w:val="0"/>
        </w:rPr>
        <w:t>.</w:t>
      </w:r>
      <w:r>
        <w:rPr>
          <w:snapToGrid w:val="0"/>
        </w:rPr>
        <w:tab/>
        <w:t>Effect of receiving supplementary amount</w:t>
      </w:r>
      <w:bookmarkEnd w:id="887"/>
      <w:bookmarkEnd w:id="888"/>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keepNext/>
        <w:keepLines/>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889" w:name="_Toc390078629"/>
      <w:bookmarkStart w:id="890" w:name="_Toc390078987"/>
      <w:r>
        <w:rPr>
          <w:rStyle w:val="CharSClsNo"/>
        </w:rPr>
        <w:t>8</w:t>
      </w:r>
      <w:r>
        <w:rPr>
          <w:snapToGrid w:val="0"/>
        </w:rPr>
        <w:t>.</w:t>
      </w:r>
      <w:r>
        <w:rPr>
          <w:snapToGrid w:val="0"/>
        </w:rPr>
        <w:tab/>
        <w:t>Payment of supplementary amount</w:t>
      </w:r>
      <w:bookmarkEnd w:id="889"/>
      <w:bookmarkEnd w:id="890"/>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891" w:name="_Toc390078630"/>
      <w:bookmarkStart w:id="892" w:name="_Toc39007898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891"/>
      <w:bookmarkEnd w:id="892"/>
      <w:r>
        <w:rPr>
          <w:snapToGrid w:val="0"/>
        </w:rPr>
        <w:t xml:space="preserve"> </w:t>
      </w:r>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outlineLvl w:val="0"/>
      </w:pPr>
      <w:bookmarkStart w:id="893" w:name="_Toc390078631"/>
      <w:bookmarkStart w:id="894" w:name="_Toc390078989"/>
      <w:r>
        <w:rPr>
          <w:rStyle w:val="CharSchNo"/>
        </w:rPr>
        <w:t>Schedule 6</w:t>
      </w:r>
      <w:r>
        <w:t> — </w:t>
      </w:r>
      <w:r>
        <w:rPr>
          <w:rStyle w:val="CharSchText"/>
        </w:rPr>
        <w:t>Adjacent areas</w:t>
      </w:r>
      <w:bookmarkEnd w:id="893"/>
      <w:bookmarkEnd w:id="894"/>
    </w:p>
    <w:p>
      <w:pPr>
        <w:pStyle w:val="yShoulderClause"/>
      </w:pPr>
      <w:r>
        <w:t>[s. 20]</w:t>
      </w:r>
    </w:p>
    <w:p>
      <w:pPr>
        <w:pStyle w:val="yFootnoteheading"/>
        <w:tabs>
          <w:tab w:val="left" w:pos="851"/>
        </w:tabs>
      </w:pPr>
      <w:r>
        <w:tab/>
        <w:t>[Heading inserted by No. 36 of 2004 s. 13.]</w:t>
      </w:r>
    </w:p>
    <w:p>
      <w:pPr>
        <w:pStyle w:val="yHeading5"/>
        <w:outlineLvl w:val="0"/>
      </w:pPr>
      <w:bookmarkStart w:id="895" w:name="_Toc390078632"/>
      <w:bookmarkStart w:id="896" w:name="_Toc390078990"/>
      <w:r>
        <w:rPr>
          <w:rStyle w:val="CharSClsNo"/>
        </w:rPr>
        <w:t>1</w:t>
      </w:r>
      <w:r>
        <w:t>.</w:t>
      </w:r>
      <w:r>
        <w:tab/>
        <w:t>Terms used in this Schedule</w:t>
      </w:r>
      <w:bookmarkEnd w:id="895"/>
      <w:bookmarkEnd w:id="896"/>
    </w:p>
    <w:p>
      <w:pPr>
        <w:pStyle w:val="ySubsection"/>
      </w:pPr>
      <w:r>
        <w:tab/>
      </w:r>
      <w:r>
        <w:tab/>
        <w:t xml:space="preserve">In this Schedule — </w:t>
      </w:r>
    </w:p>
    <w:p>
      <w:pPr>
        <w:pStyle w:val="yDefstart"/>
      </w:pPr>
      <w:r>
        <w:tab/>
      </w:r>
      <w:r>
        <w:rPr>
          <w:b/>
        </w:rPr>
        <w:t>“</w:t>
      </w:r>
      <w:r>
        <w:rPr>
          <w:rStyle w:val="CharDefText"/>
        </w:rPr>
        <w:t>continental shelf</w:t>
      </w:r>
      <w:r>
        <w:rPr>
          <w:b/>
        </w:rPr>
        <w:t>”</w:t>
      </w:r>
      <w:r>
        <w:t xml:space="preserve"> and </w:t>
      </w:r>
      <w:r>
        <w:rPr>
          <w:b/>
        </w:rPr>
        <w:t>“</w:t>
      </w:r>
      <w:r>
        <w:rPr>
          <w:rStyle w:val="CharDefText"/>
        </w:rPr>
        <w:t>territorial sea</w:t>
      </w:r>
      <w:r>
        <w:rPr>
          <w:b/>
        </w:rPr>
        <w:t xml:space="preserve">” </w:t>
      </w:r>
      <w:r>
        <w:t>have the same meanings as those terms have in the Seas and Submerged Lands Act;</w:t>
      </w:r>
    </w:p>
    <w:p>
      <w:pPr>
        <w:pStyle w:val="yDefstart"/>
      </w:pPr>
      <w:r>
        <w:tab/>
      </w:r>
      <w:r>
        <w:rPr>
          <w:b/>
        </w:rPr>
        <w:t>“</w:t>
      </w:r>
      <w:r>
        <w:rPr>
          <w:rStyle w:val="CharDefText"/>
        </w:rPr>
        <w:t>Petroleum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Seas and Submerged Lands Act</w:t>
      </w:r>
      <w:r>
        <w:rPr>
          <w:b/>
        </w:rPr>
        <w: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897" w:name="_Toc390078633"/>
      <w:bookmarkStart w:id="898" w:name="_Toc390078991"/>
      <w:r>
        <w:rPr>
          <w:rStyle w:val="CharSClsNo"/>
        </w:rPr>
        <w:t>2</w:t>
      </w:r>
      <w:r>
        <w:t>.</w:t>
      </w:r>
      <w:r>
        <w:tab/>
        <w:t>Adjacent areas</w:t>
      </w:r>
      <w:bookmarkEnd w:id="897"/>
      <w:bookmarkEnd w:id="898"/>
    </w:p>
    <w:p>
      <w:pPr>
        <w:pStyle w:val="ySubsection"/>
      </w:pPr>
      <w:r>
        <w:tab/>
        <w:t>(1)</w:t>
      </w:r>
      <w:r>
        <w:tab/>
        <w:t xml:space="preserve">The </w:t>
      </w:r>
      <w:r>
        <w:rPr>
          <w:b/>
        </w:rPr>
        <w:t>“</w:t>
      </w:r>
      <w:r>
        <w:rPr>
          <w:rStyle w:val="CharDefText"/>
        </w:rPr>
        <w:t>adjacent area</w:t>
      </w:r>
      <w:r>
        <w:rPr>
          <w:b/>
        </w:rPr>
        <w:t>”</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b/>
        </w:rPr>
        <w:t>“</w:t>
      </w:r>
      <w:r>
        <w:rPr>
          <w:rStyle w:val="CharDefText"/>
        </w:rPr>
        <w:t>adjacent area</w:t>
      </w:r>
      <w:r>
        <w:rPr>
          <w:b/>
        </w:rPr>
        <w:t>”</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b/>
        </w:rPr>
        <w:t>“</w:t>
      </w:r>
      <w:r>
        <w:rPr>
          <w:rStyle w:val="CharDefText"/>
        </w:rPr>
        <w:t>adjacent area</w:t>
      </w:r>
      <w:r>
        <w:rPr>
          <w:b/>
        </w:rPr>
        <w:t>”</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b/>
        </w:rPr>
        <w:t>“</w:t>
      </w:r>
      <w:r>
        <w:rPr>
          <w:rStyle w:val="CharDefText"/>
        </w:rPr>
        <w:t>adjacent area</w:t>
      </w:r>
      <w:r>
        <w:rPr>
          <w:b/>
        </w:rPr>
        <w:t>”</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outlineLvl w:val="0"/>
      </w:pPr>
      <w:bookmarkStart w:id="899" w:name="_Toc390078634"/>
      <w:bookmarkStart w:id="900" w:name="_Toc390078992"/>
      <w:r>
        <w:rPr>
          <w:rStyle w:val="CharSchNo"/>
        </w:rPr>
        <w:t>Schedule 7</w:t>
      </w:r>
      <w:r>
        <w:t> — </w:t>
      </w:r>
      <w:r>
        <w:rPr>
          <w:rStyle w:val="CharSchText"/>
        </w:rPr>
        <w:t>Noise induced hearing loss</w:t>
      </w:r>
      <w:bookmarkEnd w:id="899"/>
      <w:bookmarkEnd w:id="900"/>
    </w:p>
    <w:p>
      <w:pPr>
        <w:pStyle w:val="yShoulderClause"/>
        <w:rPr>
          <w:snapToGrid w:val="0"/>
        </w:rPr>
      </w:pPr>
      <w:r>
        <w:rPr>
          <w:snapToGrid w:val="0"/>
        </w:rPr>
        <w:t>[Section 24A]</w:t>
      </w:r>
    </w:p>
    <w:p>
      <w:pPr>
        <w:pStyle w:val="yFootnoteheading"/>
        <w:rPr>
          <w:snapToGrid w:val="0"/>
        </w:rPr>
      </w:pPr>
      <w:r>
        <w:tab/>
        <w:t>[Heading inserted by No. 36 of 1988 s. 12.]</w:t>
      </w:r>
    </w:p>
    <w:p>
      <w:pPr>
        <w:pStyle w:val="yHeading5"/>
        <w:outlineLvl w:val="0"/>
        <w:rPr>
          <w:snapToGrid w:val="0"/>
        </w:rPr>
      </w:pPr>
      <w:bookmarkStart w:id="901" w:name="_Toc390078635"/>
      <w:bookmarkStart w:id="902" w:name="_Toc390078993"/>
      <w:r>
        <w:rPr>
          <w:rStyle w:val="CharSClsNo"/>
        </w:rPr>
        <w:t>1</w:t>
      </w:r>
      <w:r>
        <w:rPr>
          <w:snapToGrid w:val="0"/>
        </w:rPr>
        <w:t>.</w:t>
      </w:r>
      <w:r>
        <w:rPr>
          <w:snapToGrid w:val="0"/>
        </w:rPr>
        <w:tab/>
        <w:t>Definitions</w:t>
      </w:r>
      <w:bookmarkEnd w:id="901"/>
      <w:bookmarkEnd w:id="902"/>
    </w:p>
    <w:p>
      <w:pPr>
        <w:pStyle w:val="ySubsection"/>
        <w:rPr>
          <w:snapToGrid w:val="0"/>
        </w:rPr>
      </w:pPr>
      <w:r>
        <w:rPr>
          <w:snapToGrid w:val="0"/>
        </w:rPr>
        <w:tab/>
      </w:r>
      <w:r>
        <w:rPr>
          <w:snapToGrid w:val="0"/>
        </w:rPr>
        <w:tab/>
        <w:t>In this Schedule — </w:t>
      </w:r>
    </w:p>
    <w:p>
      <w:pPr>
        <w:pStyle w:val="yDefstart"/>
      </w:pPr>
      <w:r>
        <w:rPr>
          <w:b/>
        </w:rPr>
        <w:tab/>
        <w:t>“</w:t>
      </w:r>
      <w:r>
        <w:rPr>
          <w:rStyle w:val="CharDefText"/>
        </w:rPr>
        <w:t>audiometric test</w:t>
      </w:r>
      <w:r>
        <w:rPr>
          <w:b/>
        </w:rPr>
        <w:t>”</w:t>
      </w:r>
      <w:r>
        <w:t xml:space="preserve"> means an audiometric test carried out in accordance with clause 4(1);</w:t>
      </w:r>
    </w:p>
    <w:p>
      <w:pPr>
        <w:pStyle w:val="yDefstart"/>
      </w:pPr>
      <w:r>
        <w:rPr>
          <w:b/>
        </w:rPr>
        <w:tab/>
        <w:t>“</w:t>
      </w:r>
      <w:r>
        <w:rPr>
          <w:rStyle w:val="CharDefText"/>
        </w:rPr>
        <w:t>prescribed workplace</w:t>
      </w:r>
      <w:r>
        <w:rPr>
          <w:b/>
        </w:rPr>
        <w:t>”</w:t>
      </w:r>
      <w:r>
        <w:t xml:space="preserve"> means a workplace prescribed under clause 10;</w:t>
      </w:r>
    </w:p>
    <w:p>
      <w:pPr>
        <w:pStyle w:val="yDefstart"/>
      </w:pPr>
      <w:r>
        <w:rPr>
          <w:b/>
        </w:rPr>
        <w:tab/>
        <w:t>“</w:t>
      </w:r>
      <w:r>
        <w:rPr>
          <w:rStyle w:val="CharDefText"/>
        </w:rPr>
        <w:t>proclaimed date</w:t>
      </w:r>
      <w:r>
        <w:rPr>
          <w:b/>
        </w:rPr>
        <w:t>”</w:t>
      </w:r>
      <w:r>
        <w:t xml:space="preserve"> means the date on which the </w:t>
      </w:r>
      <w:r>
        <w:rPr>
          <w:i/>
        </w:rPr>
        <w:t xml:space="preserve">Workers’ Compensation and Assistance Amendment Act 1988 </w:t>
      </w:r>
      <w:r>
        <w:rPr>
          <w:vertAlign w:val="superscript"/>
        </w:rPr>
        <w:t>1</w:t>
      </w:r>
      <w:r>
        <w:t xml:space="preserve"> comes into operation.</w:t>
      </w:r>
    </w:p>
    <w:p>
      <w:pPr>
        <w:pStyle w:val="yFootnotesection"/>
      </w:pPr>
      <w:r>
        <w:tab/>
        <w:t>[Clause 1 inserted by No. 36 of 1988 s. 12.]</w:t>
      </w:r>
    </w:p>
    <w:p>
      <w:pPr>
        <w:pStyle w:val="yHeading5"/>
        <w:outlineLvl w:val="0"/>
        <w:rPr>
          <w:snapToGrid w:val="0"/>
        </w:rPr>
      </w:pPr>
      <w:bookmarkStart w:id="903" w:name="_Toc390078636"/>
      <w:bookmarkStart w:id="904" w:name="_Toc390078994"/>
      <w:r>
        <w:rPr>
          <w:rStyle w:val="CharSClsNo"/>
        </w:rPr>
        <w:t>2</w:t>
      </w:r>
      <w:r>
        <w:rPr>
          <w:snapToGrid w:val="0"/>
        </w:rPr>
        <w:t>.</w:t>
      </w:r>
      <w:r>
        <w:rPr>
          <w:snapToGrid w:val="0"/>
        </w:rPr>
        <w:tab/>
        <w:t>Audiometric tests</w:t>
      </w:r>
      <w:bookmarkEnd w:id="903"/>
      <w:bookmarkEnd w:id="904"/>
    </w:p>
    <w:p>
      <w:pPr>
        <w:pStyle w:val="ySubsection"/>
        <w:rPr>
          <w:snapToGrid w:val="0"/>
        </w:rPr>
      </w:pPr>
      <w:r>
        <w:rPr>
          <w:snapToGrid w:val="0"/>
        </w:rPr>
        <w:tab/>
        <w:t>(1)</w:t>
      </w:r>
      <w:r>
        <w:rPr>
          <w:snapToGrid w:val="0"/>
        </w:rPr>
        <w:tab/>
        <w:t>A worker employed in a prescribed work 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905" w:name="_Toc390078637"/>
      <w:bookmarkStart w:id="906" w:name="_Toc390078995"/>
      <w:r>
        <w:rPr>
          <w:rStyle w:val="CharSClsNo"/>
        </w:rPr>
        <w:t>3</w:t>
      </w:r>
      <w:r>
        <w:rPr>
          <w:snapToGrid w:val="0"/>
        </w:rPr>
        <w:t>.</w:t>
      </w:r>
      <w:r>
        <w:rPr>
          <w:snapToGrid w:val="0"/>
        </w:rPr>
        <w:tab/>
        <w:t>Employer to arrange and pay for audiometric test</w:t>
      </w:r>
      <w:bookmarkEnd w:id="905"/>
      <w:bookmarkEnd w:id="906"/>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907" w:name="_Toc390078638"/>
      <w:bookmarkStart w:id="908" w:name="_Toc390078996"/>
      <w:r>
        <w:rPr>
          <w:rStyle w:val="CharSClsNo"/>
        </w:rPr>
        <w:t>4</w:t>
      </w:r>
      <w:r>
        <w:rPr>
          <w:snapToGrid w:val="0"/>
        </w:rPr>
        <w:t>.</w:t>
      </w:r>
      <w:r>
        <w:rPr>
          <w:snapToGrid w:val="0"/>
        </w:rPr>
        <w:tab/>
        <w:t>Carrying out of audiometric tests</w:t>
      </w:r>
      <w:bookmarkEnd w:id="907"/>
      <w:bookmarkEnd w:id="908"/>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909" w:name="_Toc390078639"/>
      <w:bookmarkStart w:id="910" w:name="_Toc390078997"/>
      <w:r>
        <w:rPr>
          <w:rStyle w:val="CharSClsNo"/>
        </w:rPr>
        <w:t>5</w:t>
      </w:r>
      <w:r>
        <w:rPr>
          <w:snapToGrid w:val="0"/>
        </w:rPr>
        <w:t>.</w:t>
      </w:r>
      <w:r>
        <w:rPr>
          <w:snapToGrid w:val="0"/>
        </w:rPr>
        <w:tab/>
        <w:t>Communication and storage of audiometric test results</w:t>
      </w:r>
      <w:bookmarkEnd w:id="909"/>
      <w:bookmarkEnd w:id="910"/>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911" w:name="_Toc390078640"/>
      <w:bookmarkStart w:id="912" w:name="_Toc390078998"/>
      <w:r>
        <w:rPr>
          <w:rStyle w:val="CharSClsNo"/>
        </w:rPr>
        <w:t>6</w:t>
      </w:r>
      <w:r>
        <w:t>.</w:t>
      </w:r>
      <w:r>
        <w:rPr>
          <w:b w:val="0"/>
        </w:rPr>
        <w:tab/>
      </w:r>
      <w:r>
        <w:t>Reference to medical assessment panel</w:t>
      </w:r>
      <w:bookmarkEnd w:id="911"/>
      <w:bookmarkEnd w:id="912"/>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913" w:name="_Toc390078641"/>
      <w:bookmarkStart w:id="914" w:name="_Toc390078999"/>
      <w:r>
        <w:rPr>
          <w:rStyle w:val="CharSClsNo"/>
        </w:rPr>
        <w:t>7</w:t>
      </w:r>
      <w:r>
        <w:rPr>
          <w:snapToGrid w:val="0"/>
        </w:rPr>
        <w:t>.</w:t>
      </w:r>
      <w:r>
        <w:rPr>
          <w:snapToGrid w:val="0"/>
        </w:rPr>
        <w:tab/>
        <w:t>Re</w:t>
      </w:r>
      <w:r>
        <w:rPr>
          <w:snapToGrid w:val="0"/>
        </w:rPr>
        <w:noBreakHyphen/>
        <w:t>test of person’s hearing</w:t>
      </w:r>
      <w:bookmarkEnd w:id="913"/>
      <w:bookmarkEnd w:id="914"/>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 17.]</w:t>
      </w:r>
    </w:p>
    <w:p>
      <w:pPr>
        <w:pStyle w:val="yHeading5"/>
        <w:outlineLvl w:val="0"/>
        <w:rPr>
          <w:snapToGrid w:val="0"/>
        </w:rPr>
      </w:pPr>
      <w:bookmarkStart w:id="915" w:name="_Toc390078642"/>
      <w:bookmarkStart w:id="916" w:name="_Toc390079000"/>
      <w:r>
        <w:rPr>
          <w:rStyle w:val="CharSClsNo"/>
        </w:rPr>
        <w:t>8</w:t>
      </w:r>
      <w:r>
        <w:rPr>
          <w:snapToGrid w:val="0"/>
        </w:rPr>
        <w:t>.</w:t>
      </w:r>
      <w:r>
        <w:rPr>
          <w:snapToGrid w:val="0"/>
        </w:rPr>
        <w:tab/>
        <w:t>Determination of hearing loss</w:t>
      </w:r>
      <w:bookmarkEnd w:id="915"/>
      <w:bookmarkEnd w:id="916"/>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917" w:name="_Toc390078643"/>
      <w:bookmarkStart w:id="918" w:name="_Toc390079001"/>
      <w:r>
        <w:rPr>
          <w:rStyle w:val="CharSClsNo"/>
        </w:rPr>
        <w:t>9</w:t>
      </w:r>
      <w:r>
        <w:rPr>
          <w:snapToGrid w:val="0"/>
        </w:rPr>
        <w:t>.</w:t>
      </w:r>
      <w:r>
        <w:rPr>
          <w:snapToGrid w:val="0"/>
        </w:rPr>
        <w:tab/>
        <w:t>Audiometric test not conclusive proof that hearing loss is noise induced</w:t>
      </w:r>
      <w:bookmarkEnd w:id="917"/>
      <w:bookmarkEnd w:id="918"/>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919" w:name="_Toc390078644"/>
      <w:bookmarkStart w:id="920" w:name="_Toc390079002"/>
      <w:r>
        <w:rPr>
          <w:rStyle w:val="CharSClsNo"/>
        </w:rPr>
        <w:t>10</w:t>
      </w:r>
      <w:r>
        <w:rPr>
          <w:snapToGrid w:val="0"/>
        </w:rPr>
        <w:t>.</w:t>
      </w:r>
      <w:r>
        <w:rPr>
          <w:snapToGrid w:val="0"/>
        </w:rPr>
        <w:tab/>
        <w:t>Prescribed workplaces</w:t>
      </w:r>
      <w:bookmarkEnd w:id="919"/>
      <w:bookmarkEnd w:id="920"/>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921" w:name="_Toc390078645"/>
      <w:bookmarkStart w:id="922" w:name="_Toc390079003"/>
      <w:r>
        <w:rPr>
          <w:rStyle w:val="CharSchNo"/>
        </w:rPr>
        <w:t>Schedule 8</w:t>
      </w:r>
      <w:r>
        <w:t> — </w:t>
      </w:r>
      <w:r>
        <w:rPr>
          <w:rStyle w:val="CharSchText"/>
        </w:rPr>
        <w:t>Terms and conditions of service of Commissioner</w:t>
      </w:r>
      <w:bookmarkEnd w:id="921"/>
      <w:bookmarkEnd w:id="922"/>
    </w:p>
    <w:p>
      <w:pPr>
        <w:pStyle w:val="yShoulderClause"/>
      </w:pPr>
      <w:r>
        <w:t>[s. 282]</w:t>
      </w:r>
    </w:p>
    <w:p>
      <w:pPr>
        <w:pStyle w:val="yFootnoteheading"/>
      </w:pPr>
      <w:r>
        <w:tab/>
        <w:t>[Heading inserted by No. 42 of 2004 s. 145.]</w:t>
      </w:r>
    </w:p>
    <w:p>
      <w:pPr>
        <w:pStyle w:val="yHeading5"/>
        <w:outlineLvl w:val="9"/>
      </w:pPr>
      <w:bookmarkStart w:id="923" w:name="_Toc390078646"/>
      <w:bookmarkStart w:id="924" w:name="_Toc390079004"/>
      <w:r>
        <w:rPr>
          <w:rStyle w:val="CharSClsNo"/>
        </w:rPr>
        <w:t>1</w:t>
      </w:r>
      <w:r>
        <w:t>.</w:t>
      </w:r>
      <w:r>
        <w:rPr>
          <w:b w:val="0"/>
        </w:rPr>
        <w:tab/>
      </w:r>
      <w:r>
        <w:t>Tenure of Commissioner’s office</w:t>
      </w:r>
      <w:bookmarkEnd w:id="923"/>
      <w:bookmarkEnd w:id="924"/>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925" w:name="_Toc390078647"/>
      <w:bookmarkStart w:id="926" w:name="_Toc390079005"/>
      <w:r>
        <w:rPr>
          <w:rStyle w:val="CharSClsNo"/>
        </w:rPr>
        <w:t>2</w:t>
      </w:r>
      <w:r>
        <w:t>.</w:t>
      </w:r>
      <w:r>
        <w:rPr>
          <w:b w:val="0"/>
        </w:rPr>
        <w:tab/>
      </w:r>
      <w:r>
        <w:t>Vacating office prematurely</w:t>
      </w:r>
      <w:bookmarkEnd w:id="925"/>
      <w:bookmarkEnd w:id="926"/>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927" w:name="_Toc390078648"/>
      <w:bookmarkStart w:id="928" w:name="_Toc390079006"/>
      <w:r>
        <w:rPr>
          <w:rStyle w:val="CharSClsNo"/>
        </w:rPr>
        <w:t>3</w:t>
      </w:r>
      <w:r>
        <w:t>.</w:t>
      </w:r>
      <w:r>
        <w:rPr>
          <w:b w:val="0"/>
        </w:rPr>
        <w:tab/>
      </w:r>
      <w:r>
        <w:t>Commissioner’s status as District Court Judge</w:t>
      </w:r>
      <w:bookmarkEnd w:id="927"/>
      <w:bookmarkEnd w:id="928"/>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929" w:name="_Toc390078649"/>
      <w:bookmarkStart w:id="930" w:name="_Toc390079007"/>
      <w:r>
        <w:rPr>
          <w:rStyle w:val="CharSClsNo"/>
        </w:rPr>
        <w:t>4</w:t>
      </w:r>
      <w:r>
        <w:t>.</w:t>
      </w:r>
      <w:r>
        <w:rPr>
          <w:b w:val="0"/>
        </w:rPr>
        <w:tab/>
      </w:r>
      <w:r>
        <w:t>Completion of matters</w:t>
      </w:r>
      <w:bookmarkEnd w:id="929"/>
      <w:bookmarkEnd w:id="930"/>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r>
        <w:tab/>
        <w:t>[Clause 4 inserted by No. 42 of 2004 s. 145.]</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931" w:name="_Toc390078650"/>
      <w:bookmarkStart w:id="932" w:name="_Toc390079008"/>
      <w:r>
        <w:t>Notes</w:t>
      </w:r>
      <w:bookmarkEnd w:id="931"/>
      <w:bookmarkEnd w:id="932"/>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933" w:name="_Toc390078651"/>
      <w:bookmarkStart w:id="934" w:name="_Toc390079009"/>
      <w:r>
        <w:rPr>
          <w:snapToGrid w:val="0"/>
        </w:rPr>
        <w:t>Compilation table</w:t>
      </w:r>
      <w:bookmarkEnd w:id="933"/>
      <w:bookmarkEnd w:id="934"/>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12</w:t>
            </w:r>
          </w:p>
        </w:tc>
        <w:tc>
          <w:tcPr>
            <w:tcW w:w="1134" w:type="dxa"/>
            <w:tcBorders>
              <w:top w:val="single" w:sz="8" w:space="0" w:color="auto"/>
            </w:tcBorders>
          </w:tcPr>
          <w:p>
            <w:pPr>
              <w:pStyle w:val="nTable"/>
              <w:spacing w:after="40"/>
              <w:rPr>
                <w:sz w:val="19"/>
              </w:rPr>
            </w:pPr>
            <w:r>
              <w:rPr>
                <w:sz w:val="19"/>
              </w:rPr>
              <w:t>86 of 1981</w:t>
            </w:r>
          </w:p>
        </w:tc>
        <w:tc>
          <w:tcPr>
            <w:tcW w:w="1134"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8"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34"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8"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34"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rPr>
                <w:sz w:val="19"/>
              </w:rPr>
            </w:pPr>
            <w:r>
              <w:rPr>
                <w:i/>
                <w:sz w:val="19"/>
              </w:rPr>
              <w:t>Workers’ Compensation and Assistance Amendment Act 1984</w:t>
            </w:r>
            <w:r>
              <w:rPr>
                <w:sz w:val="19"/>
                <w:vertAlign w:val="superscript"/>
              </w:rPr>
              <w:t> 13</w:t>
            </w:r>
          </w:p>
        </w:tc>
        <w:tc>
          <w:tcPr>
            <w:tcW w:w="1134" w:type="dxa"/>
          </w:tcPr>
          <w:p>
            <w:pPr>
              <w:pStyle w:val="nTable"/>
              <w:spacing w:after="40"/>
              <w:rPr>
                <w:sz w:val="19"/>
              </w:rPr>
            </w:pPr>
            <w:r>
              <w:rPr>
                <w:sz w:val="19"/>
              </w:rPr>
              <w:t>104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8" w:type="dxa"/>
          </w:tcPr>
          <w:p>
            <w:pPr>
              <w:pStyle w:val="nTable"/>
              <w:spacing w:after="40"/>
              <w:rPr>
                <w:sz w:val="19"/>
                <w:vertAlign w:val="superscript"/>
              </w:rPr>
            </w:pPr>
            <w:r>
              <w:rPr>
                <w:i/>
                <w:sz w:val="19"/>
              </w:rPr>
              <w:t>Workers’ Compensation and Assistance Amendment Act 1985</w:t>
            </w:r>
            <w:r>
              <w:rPr>
                <w:sz w:val="19"/>
                <w:vertAlign w:val="superscript"/>
              </w:rPr>
              <w:t> 14-17</w:t>
            </w:r>
          </w:p>
        </w:tc>
        <w:tc>
          <w:tcPr>
            <w:tcW w:w="1134" w:type="dxa"/>
          </w:tcPr>
          <w:p>
            <w:pPr>
              <w:pStyle w:val="nTable"/>
              <w:keepNext/>
              <w:keepLines/>
              <w:spacing w:after="40"/>
              <w:rPr>
                <w:sz w:val="19"/>
              </w:rPr>
            </w:pPr>
            <w:r>
              <w:rPr>
                <w:sz w:val="19"/>
              </w:rPr>
              <w:t>44 of 1985</w:t>
            </w:r>
          </w:p>
        </w:tc>
        <w:tc>
          <w:tcPr>
            <w:tcW w:w="1134"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r>
              <w:rPr>
                <w:sz w:val="19"/>
              </w:rP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 </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18</w:t>
            </w:r>
          </w:p>
        </w:tc>
        <w:tc>
          <w:tcPr>
            <w:tcW w:w="1134" w:type="dxa"/>
          </w:tcPr>
          <w:p>
            <w:pPr>
              <w:pStyle w:val="nTable"/>
              <w:spacing w:after="40"/>
              <w:rPr>
                <w:sz w:val="19"/>
              </w:rPr>
            </w:pPr>
            <w:r>
              <w:rPr>
                <w:sz w:val="19"/>
              </w:rPr>
              <w:t>33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34"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8"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8" w:type="dxa"/>
          </w:tcPr>
          <w:p>
            <w:pPr>
              <w:pStyle w:val="nTable"/>
              <w:spacing w:after="40"/>
              <w:rPr>
                <w:sz w:val="19"/>
              </w:rPr>
            </w:pPr>
            <w:r>
              <w:rPr>
                <w:i/>
                <w:sz w:val="19"/>
              </w:rPr>
              <w:t>Workers’ Compensation and Assistance Amendment Act 1987</w:t>
            </w:r>
            <w:r>
              <w:rPr>
                <w:sz w:val="19"/>
              </w:rPr>
              <w:t> </w:t>
            </w:r>
            <w:r>
              <w:rPr>
                <w:sz w:val="19"/>
                <w:vertAlign w:val="superscript"/>
              </w:rPr>
              <w:t>19</w:t>
            </w:r>
          </w:p>
        </w:tc>
        <w:tc>
          <w:tcPr>
            <w:tcW w:w="1134" w:type="dxa"/>
          </w:tcPr>
          <w:p>
            <w:pPr>
              <w:pStyle w:val="nTable"/>
              <w:spacing w:after="40"/>
              <w:rPr>
                <w:sz w:val="19"/>
              </w:rPr>
            </w:pPr>
            <w:r>
              <w:rPr>
                <w:sz w:val="19"/>
              </w:rPr>
              <w:t>21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sz w:val="19"/>
              </w:rPr>
              <w:fldChar w:fldCharType="begin"/>
            </w:r>
            <w:r>
              <w:rPr>
                <w:sz w:val="19"/>
              </w:rPr>
              <w:instrText>ADVANCE \D 4.25</w:instrText>
            </w:r>
            <w:r>
              <w:rPr>
                <w:sz w:val="19"/>
              </w:rPr>
              <w:fldChar w:fldCharType="end"/>
            </w: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34"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8" w:type="dxa"/>
          </w:tcPr>
          <w:p>
            <w:pPr>
              <w:pStyle w:val="nTable"/>
              <w:spacing w:after="40"/>
              <w:rPr>
                <w:sz w:val="19"/>
              </w:rPr>
            </w:pPr>
            <w:r>
              <w:rPr>
                <w:i/>
                <w:sz w:val="19"/>
              </w:rPr>
              <w:t>Workers’ Compensation and Assistance Amendment Act 1990</w:t>
            </w:r>
            <w:r>
              <w:rPr>
                <w:sz w:val="19"/>
              </w:rPr>
              <w:t> </w:t>
            </w:r>
            <w:r>
              <w:rPr>
                <w:sz w:val="19"/>
                <w:vertAlign w:val="superscript"/>
              </w:rPr>
              <w:t>20-23</w:t>
            </w:r>
          </w:p>
        </w:tc>
        <w:tc>
          <w:tcPr>
            <w:tcW w:w="1134" w:type="dxa"/>
          </w:tcPr>
          <w:p>
            <w:pPr>
              <w:pStyle w:val="nTable"/>
              <w:spacing w:after="40"/>
              <w:rPr>
                <w:sz w:val="19"/>
              </w:rPr>
            </w:pPr>
            <w:r>
              <w:rPr>
                <w:sz w:val="19"/>
              </w:rPr>
              <w:t>96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1030)</w:t>
            </w:r>
          </w:p>
        </w:tc>
      </w:tr>
      <w:tr>
        <w:trPr>
          <w:cantSplit/>
        </w:trPr>
        <w:tc>
          <w:tcPr>
            <w:tcW w:w="7088" w:type="dxa"/>
            <w:gridSpan w:val="4"/>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8"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34"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8"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Act other than s.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8"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8"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24-32</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8"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8"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Workers’ Compensation and Rehabilitation Amendment Act (No. 2) 1999</w:t>
            </w:r>
            <w:r>
              <w:rPr>
                <w:sz w:val="19"/>
              </w:rPr>
              <w:t> </w:t>
            </w:r>
            <w:r>
              <w:rPr>
                <w:sz w:val="19"/>
                <w:vertAlign w:val="superscript"/>
              </w:rPr>
              <w:t>33</w:t>
            </w:r>
          </w:p>
        </w:tc>
        <w:tc>
          <w:tcPr>
            <w:tcW w:w="1134" w:type="dxa"/>
          </w:tcPr>
          <w:p>
            <w:pPr>
              <w:pStyle w:val="nTable"/>
              <w:spacing w:after="40"/>
              <w:rPr>
                <w:sz w:val="19"/>
              </w:rPr>
            </w:pPr>
            <w:r>
              <w:rPr>
                <w:sz w:val="19"/>
              </w:rPr>
              <w:t>33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8" w:type="dxa"/>
          </w:tcPr>
          <w:p>
            <w:pPr>
              <w:pStyle w:val="nTable"/>
              <w:spacing w:after="40"/>
              <w:rPr>
                <w:sz w:val="19"/>
              </w:rPr>
            </w:pPr>
            <w:r>
              <w:rPr>
                <w:i/>
                <w:sz w:val="19"/>
              </w:rPr>
              <w:t>Workers’ Compensation and Rehabilitation Amendment Act 1999</w:t>
            </w:r>
            <w:r>
              <w:rPr>
                <w:sz w:val="19"/>
                <w:vertAlign w:val="superscript"/>
              </w:rPr>
              <w:t> 34-36</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8"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34"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8"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37</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 xml:space="preserve">Workers’ Compensation (Common Law Proceedings) Act 2004 </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rPr>
            </w:pPr>
            <w:r>
              <w:rPr>
                <w:i/>
                <w:sz w:val="19"/>
              </w:rPr>
              <w:t>Workers’ Compensation (Common Law Proceedings) Act 2004</w:t>
            </w:r>
            <w:r>
              <w:rPr>
                <w:sz w:val="19"/>
              </w:rPr>
              <w:t xml:space="preserve"> s. 8</w:t>
            </w:r>
            <w:r>
              <w:rPr>
                <w:sz w:val="19"/>
              </w:rPr>
              <w:noBreakHyphen/>
              <w:t xml:space="preserve">11 </w:t>
            </w:r>
            <w:r>
              <w:rPr>
                <w:sz w:val="19"/>
                <w:vertAlign w:val="superscript"/>
              </w:rPr>
              <w:t>8</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vertAlign w:val="superscript"/>
              </w:rPr>
            </w:pPr>
            <w:r>
              <w:rPr>
                <w:i/>
                <w:sz w:val="19"/>
              </w:rPr>
              <w:t>Workers’ Compensation and Rehabilitation Amendment (Cross Border) Act 2004</w:t>
            </w:r>
            <w:r>
              <w:rPr>
                <w:sz w:val="19"/>
                <w:vertAlign w:val="superscript"/>
              </w:rPr>
              <w:t> 38</w:t>
            </w:r>
          </w:p>
        </w:tc>
        <w:tc>
          <w:tcPr>
            <w:tcW w:w="1134" w:type="dxa"/>
          </w:tcPr>
          <w:p>
            <w:pPr>
              <w:pStyle w:val="nTable"/>
              <w:spacing w:after="40"/>
              <w:rPr>
                <w:sz w:val="19"/>
              </w:rPr>
            </w:pPr>
            <w:r>
              <w:rPr>
                <w:sz w:val="19"/>
              </w:rPr>
              <w:t>36 of 2004 (as amended by this Act s. 16, 17(5) and 19)</w:t>
            </w:r>
          </w:p>
        </w:tc>
        <w:tc>
          <w:tcPr>
            <w:tcW w:w="1134" w:type="dxa"/>
          </w:tcPr>
          <w:p>
            <w:pPr>
              <w:pStyle w:val="nTable"/>
              <w:spacing w:after="40"/>
              <w:rPr>
                <w:sz w:val="19"/>
              </w:rPr>
            </w:pPr>
            <w:r>
              <w:rPr>
                <w:sz w:val="19"/>
              </w:rPr>
              <w:t>28 Oct 2004</w:t>
            </w:r>
          </w:p>
        </w:tc>
        <w:tc>
          <w:tcPr>
            <w:tcW w:w="2552" w:type="dxa"/>
          </w:tcPr>
          <w:p>
            <w:pPr>
              <w:pStyle w:val="nTable"/>
              <w:spacing w:after="40"/>
              <w:rPr>
                <w:sz w:val="19"/>
              </w:rPr>
            </w:pPr>
            <w:r>
              <w:rPr>
                <w:sz w:val="19"/>
              </w:rPr>
              <w:t xml:space="preserve">Act other than Pt. 3: 22 Dec 2004 (see s. 2 and </w:t>
            </w:r>
            <w:r>
              <w:rPr>
                <w:i/>
                <w:sz w:val="19"/>
              </w:rPr>
              <w:t>Gazette</w:t>
            </w:r>
            <w:r>
              <w:rPr>
                <w:sz w:val="19"/>
              </w:rPr>
              <w:t xml:space="preserve"> 21 Dec 2004 p. 6143);</w:t>
            </w:r>
            <w:r>
              <w:rPr>
                <w:sz w:val="19"/>
              </w:rPr>
              <w:br/>
              <w:t xml:space="preserve">Pt. 3: 14 Nov 2005 (see s. 2(2) and </w:t>
            </w:r>
            <w:r>
              <w:rPr>
                <w:i/>
                <w:sz w:val="19"/>
              </w:rPr>
              <w:t>Gazette</w:t>
            </w:r>
            <w:r>
              <w:rPr>
                <w:sz w:val="19"/>
              </w:rPr>
              <w:t xml:space="preserve"> 1 Nov 2005 p. 4975)</w:t>
            </w:r>
          </w:p>
        </w:tc>
      </w:tr>
      <w:tr>
        <w:trPr>
          <w:cantSplit/>
        </w:trPr>
        <w:tc>
          <w:tcPr>
            <w:tcW w:w="2268" w:type="dxa"/>
          </w:tcPr>
          <w:p>
            <w:pPr>
              <w:pStyle w:val="nTable"/>
              <w:spacing w:after="40"/>
              <w:rPr>
                <w:i/>
                <w:sz w:val="19"/>
              </w:rPr>
            </w:pPr>
            <w:r>
              <w:rPr>
                <w:i/>
                <w:snapToGrid w:val="0"/>
                <w:sz w:val="19"/>
              </w:rPr>
              <w:t>Workers’ Compensation Reform Act 2004 </w:t>
            </w:r>
            <w:r>
              <w:rPr>
                <w:snapToGrid w:val="0"/>
                <w:sz w:val="19"/>
                <w:vertAlign w:val="superscript"/>
              </w:rPr>
              <w:t>39, 40</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3, 4(b), 5, 8(1) in so far as it deletes the definitions of “Commission”, “Committee”, “Executive Director”, and “the Chairman of the Commission”, s. 8(2) in so far as it inserts the definitions of “chief executive officer”, “the Chairman of WorkCover WA”, and “WorkCover WA”, </w:t>
            </w:r>
            <w:r>
              <w:rPr>
                <w:sz w:val="19"/>
              </w:rPr>
              <w:br/>
              <w:t>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s. 4(a) and (c), 6 and 7, 8(1) other than the definitions of “Commission”, “Committee”, “Executive Director”, and “the Chairman of the Commission”, s. 8(2) other than the definitions of “chief executive officer”, “the Chairman of WorkCover WA”, and “WorkCover WA”,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 (Sch. 1 cl. 28) </w:t>
            </w:r>
            <w:r>
              <w:rPr>
                <w:snapToGrid w:val="0"/>
                <w:sz w:val="19"/>
                <w:vertAlign w:val="superscript"/>
              </w:rPr>
              <w:t>41</w:t>
            </w:r>
          </w:p>
        </w:tc>
        <w:tc>
          <w:tcPr>
            <w:tcW w:w="1134" w:type="dxa"/>
          </w:tcPr>
          <w:p>
            <w:pPr>
              <w:pStyle w:val="nTable"/>
              <w:spacing w:after="40"/>
              <w:rPr>
                <w:sz w:val="19"/>
              </w:rPr>
            </w:pPr>
            <w:r>
              <w:rPr>
                <w:snapToGrid w:val="0"/>
                <w:sz w:val="19"/>
              </w:rPr>
              <w:t>45 of 2004</w:t>
            </w:r>
            <w:r>
              <w:rPr>
                <w:snapToGrid w:val="0"/>
                <w:sz w:val="19"/>
              </w:rPr>
              <w:br/>
              <w:t>(as amended by No. 16 of 2005 s. 31)</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rPr>
                <w:i/>
                <w:snapToGrid w:val="0"/>
                <w:sz w:val="19"/>
              </w:rPr>
            </w:pPr>
            <w:r>
              <w:rPr>
                <w:i/>
                <w:sz w:val="19"/>
              </w:rPr>
              <w:t xml:space="preserve">Courts Legislation Amendment and Repeal Act 2004 </w:t>
            </w:r>
            <w:r>
              <w:rPr>
                <w:sz w:val="19"/>
              </w:rPr>
              <w:t>Pt. 19</w:t>
            </w:r>
          </w:p>
        </w:tc>
        <w:tc>
          <w:tcPr>
            <w:tcW w:w="1134" w:type="dxa"/>
          </w:tcPr>
          <w:p>
            <w:pPr>
              <w:pStyle w:val="nTable"/>
              <w:spacing w:after="40"/>
              <w:rPr>
                <w:snapToGrid w:val="0"/>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rPr>
              <w:t>Criminal Procedure and Appeals (Consequential and Other Provisions) Act 2004</w:t>
            </w:r>
            <w:r>
              <w:rPr>
                <w:snapToGrid w:val="0"/>
                <w:sz w:val="19"/>
              </w:rPr>
              <w:t xml:space="preserve"> s. 78 and 80 (Sch. 2 cl. 156 and 157) </w:t>
            </w:r>
            <w:r>
              <w:rPr>
                <w:snapToGrid w:val="0"/>
                <w:sz w:val="19"/>
                <w:vertAlign w:val="superscript"/>
              </w:rPr>
              <w:t>42</w:t>
            </w:r>
          </w:p>
        </w:tc>
        <w:tc>
          <w:tcPr>
            <w:tcW w:w="1134" w:type="dxa"/>
          </w:tcPr>
          <w:p>
            <w:pPr>
              <w:pStyle w:val="nTable"/>
              <w:spacing w:after="40"/>
              <w:rPr>
                <w:sz w:val="19"/>
              </w:rPr>
            </w:pPr>
            <w:r>
              <w:rPr>
                <w:sz w:val="19"/>
              </w:rPr>
              <w:t>84 of 2004</w:t>
            </w:r>
            <w:ins w:id="935" w:author="svcMRProcess" w:date="2020-02-21T23:00:00Z">
              <w:r>
                <w:rPr>
                  <w:sz w:val="19"/>
                </w:rPr>
                <w:t xml:space="preserve"> </w:t>
              </w:r>
              <w:r>
                <w:rPr>
                  <w:snapToGrid w:val="0"/>
                  <w:sz w:val="19"/>
                </w:rPr>
                <w:t>(as amended by No. 2 of 2008 s. 78(10))</w:t>
              </w:r>
            </w:ins>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s. 78 and 80 (Sch. 2 cl. 156 and 157 — the amendment to s. 188B(3)): </w:t>
            </w: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8" w:type="dxa"/>
            <w:gridSpan w:val="4"/>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8" w:type="dxa"/>
          </w:tcPr>
          <w:p>
            <w:pPr>
              <w:pStyle w:val="nTable"/>
              <w:spacing w:after="40"/>
              <w:rPr>
                <w:snapToGrid w:val="0"/>
                <w:sz w:val="19"/>
                <w:vertAlign w:val="superscript"/>
              </w:rPr>
            </w:pPr>
            <w:r>
              <w:rPr>
                <w:i/>
                <w:snapToGrid w:val="0"/>
                <w:sz w:val="19"/>
              </w:rPr>
              <w:t xml:space="preserve">Workers’ Compensation Legislation Amendment Act 2005 </w:t>
            </w:r>
            <w:r>
              <w:rPr>
                <w:snapToGrid w:val="0"/>
                <w:sz w:val="19"/>
              </w:rPr>
              <w:t>Pt. 3, 4 and s. 32 </w:t>
            </w:r>
            <w:r>
              <w:rPr>
                <w:snapToGrid w:val="0"/>
                <w:sz w:val="19"/>
                <w:vertAlign w:val="superscript"/>
              </w:rPr>
              <w:t>4, 43</w:t>
            </w:r>
          </w:p>
        </w:tc>
        <w:tc>
          <w:tcPr>
            <w:tcW w:w="1134" w:type="dxa"/>
          </w:tcPr>
          <w:p>
            <w:pPr>
              <w:pStyle w:val="nTable"/>
              <w:spacing w:after="40"/>
              <w:rPr>
                <w:snapToGrid w:val="0"/>
                <w:sz w:val="19"/>
              </w:rPr>
            </w:pPr>
            <w:r>
              <w:rPr>
                <w:snapToGrid w:val="0"/>
                <w:sz w:val="19"/>
              </w:rPr>
              <w:t>16 of 2005</w:t>
            </w:r>
          </w:p>
        </w:tc>
        <w:tc>
          <w:tcPr>
            <w:tcW w:w="1134" w:type="dxa"/>
          </w:tcPr>
          <w:p>
            <w:pPr>
              <w:pStyle w:val="nTable"/>
              <w:spacing w:after="40"/>
              <w:rPr>
                <w:sz w:val="19"/>
              </w:rPr>
            </w:pPr>
            <w:r>
              <w:rPr>
                <w:sz w:val="19"/>
              </w:rPr>
              <w:t>27 Sep 2005</w:t>
            </w:r>
          </w:p>
        </w:tc>
        <w:tc>
          <w:tcPr>
            <w:tcW w:w="2552" w:type="dxa"/>
          </w:tcPr>
          <w:p>
            <w:pPr>
              <w:pStyle w:val="nTable"/>
              <w:spacing w:after="40"/>
              <w:rPr>
                <w:snapToGrid w:val="0"/>
                <w:sz w:val="19"/>
              </w:rPr>
            </w:pPr>
            <w:r>
              <w:rPr>
                <w:sz w:val="19"/>
              </w:rPr>
              <w:t>s. 30(1) and (2): 1 Jul 2005 (see s. 2(2));</w:t>
            </w:r>
            <w:r>
              <w:rPr>
                <w:sz w:val="19"/>
              </w:rPr>
              <w:br/>
              <w:t>s. 30(3): 27 Sep 2005 (see s. 2(1));</w:t>
            </w:r>
            <w:r>
              <w:rPr>
                <w:sz w:val="19"/>
              </w:rPr>
              <w:br/>
              <w:t>Pt. 3 and s. 32: 14 Nov 2005 (see s. 2(3))</w:t>
            </w:r>
          </w:p>
        </w:tc>
      </w:tr>
      <w:tr>
        <w:tc>
          <w:tcPr>
            <w:tcW w:w="2268"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Pt. 9</w:t>
            </w:r>
          </w:p>
        </w:tc>
        <w:tc>
          <w:tcPr>
            <w:tcW w:w="1134" w:type="dxa"/>
          </w:tcPr>
          <w:p>
            <w:pPr>
              <w:pStyle w:val="nTable"/>
              <w:spacing w:after="40"/>
              <w:rPr>
                <w:snapToGrid w:val="0"/>
                <w:sz w:val="19"/>
              </w:rPr>
            </w:pPr>
            <w:r>
              <w:rPr>
                <w:snapToGrid w:val="0"/>
                <w:sz w:val="19"/>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rPr>
            </w:pPr>
            <w:r>
              <w:rPr>
                <w:snapToGrid w:val="0"/>
                <w:sz w:val="19"/>
              </w:rPr>
              <w:t>15 Nov 2005 (see s. 2)</w:t>
            </w:r>
          </w:p>
        </w:tc>
      </w:tr>
      <w:tr>
        <w:tc>
          <w:tcPr>
            <w:tcW w:w="2268" w:type="dxa"/>
          </w:tcPr>
          <w:p>
            <w:pPr>
              <w:pStyle w:val="nTable"/>
              <w:spacing w:after="40"/>
              <w:rPr>
                <w:i/>
                <w:snapToGrid w:val="0"/>
                <w:sz w:val="19"/>
              </w:rPr>
            </w:pPr>
            <w:r>
              <w:rPr>
                <w:rFonts w:ascii="Times" w:hAnsi="Times"/>
                <w:i/>
                <w:sz w:val="19"/>
              </w:rPr>
              <w:t xml:space="preserve">Chiropractors Act 2005 </w:t>
            </w:r>
            <w:r>
              <w:rPr>
                <w:rFonts w:ascii="Times" w:hAnsi="Times"/>
                <w:sz w:val="19"/>
              </w:rPr>
              <w:t>s. 109</w:t>
            </w:r>
            <w:r>
              <w:rPr>
                <w:rFonts w:ascii="Times" w:hAnsi="Times"/>
                <w:sz w:val="19"/>
                <w:vertAlign w:val="superscript"/>
              </w:rPr>
              <w:t> 45</w:t>
            </w:r>
          </w:p>
        </w:tc>
        <w:tc>
          <w:tcPr>
            <w:tcW w:w="1134" w:type="dxa"/>
          </w:tcPr>
          <w:p>
            <w:pPr>
              <w:pStyle w:val="nTable"/>
              <w:spacing w:after="40"/>
              <w:rPr>
                <w:snapToGrid w:val="0"/>
                <w:sz w:val="19"/>
              </w:rPr>
            </w:pPr>
            <w:r>
              <w:rPr>
                <w:snapToGrid w:val="0"/>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rPr>
          <w:cantSplit/>
        </w:trPr>
        <w:tc>
          <w:tcPr>
            <w:tcW w:w="7088" w:type="dxa"/>
            <w:gridSpan w:val="4"/>
          </w:tcPr>
          <w:p>
            <w:pPr>
              <w:pStyle w:val="nTable"/>
              <w:spacing w:after="40"/>
              <w:rPr>
                <w:snapToGrid w:val="0"/>
                <w:sz w:val="19"/>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w:t>
            </w:r>
          </w:p>
        </w:tc>
      </w:tr>
      <w:tr>
        <w:tc>
          <w:tcPr>
            <w:tcW w:w="2268" w:type="dxa"/>
          </w:tcPr>
          <w:p>
            <w:pPr>
              <w:pStyle w:val="nTable"/>
              <w:spacing w:after="40"/>
              <w:rPr>
                <w:snapToGrid w:val="0"/>
                <w:sz w:val="19"/>
              </w:rPr>
            </w:pPr>
            <w:r>
              <w:rPr>
                <w:i/>
                <w:snapToGrid w:val="0"/>
                <w:sz w:val="19"/>
              </w:rPr>
              <w:t xml:space="preserve">Financial Legislation Amendment and Repeal Act 2006 </w:t>
            </w:r>
            <w:r>
              <w:rPr>
                <w:snapToGrid w:val="0"/>
                <w:sz w:val="19"/>
              </w:rPr>
              <w:t>s. 4 and 17</w:t>
            </w:r>
          </w:p>
        </w:tc>
        <w:tc>
          <w:tcPr>
            <w:tcW w:w="1134" w:type="dxa"/>
          </w:tcPr>
          <w:p>
            <w:pPr>
              <w:pStyle w:val="nTable"/>
              <w:spacing w:after="40"/>
              <w:rPr>
                <w:snapToGrid w:val="0"/>
                <w:sz w:val="19"/>
              </w:rPr>
            </w:pPr>
            <w:r>
              <w:rPr>
                <w:snapToGrid w:val="0"/>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r>
        <w:trPr>
          <w:ins w:id="936" w:author="svcMRProcess" w:date="2020-02-21T23:00:00Z"/>
        </w:trPr>
        <w:tc>
          <w:tcPr>
            <w:tcW w:w="2268" w:type="dxa"/>
            <w:tcBorders>
              <w:bottom w:val="single" w:sz="4" w:space="0" w:color="auto"/>
            </w:tcBorders>
          </w:tcPr>
          <w:p>
            <w:pPr>
              <w:pStyle w:val="nTable"/>
              <w:spacing w:after="40"/>
              <w:rPr>
                <w:ins w:id="937" w:author="svcMRProcess" w:date="2020-02-21T23:00:00Z"/>
                <w:i/>
                <w:snapToGrid w:val="0"/>
                <w:sz w:val="19"/>
              </w:rPr>
            </w:pPr>
            <w:ins w:id="938" w:author="svcMRProcess" w:date="2020-02-21T23:00:00Z">
              <w:r>
                <w:rPr>
                  <w:i/>
                  <w:snapToGrid w:val="0"/>
                </w:rPr>
                <w:t>Criminal Law and Evidence Amendment Act 2008</w:t>
              </w:r>
              <w:r>
                <w:rPr>
                  <w:iCs/>
                  <w:snapToGrid w:val="0"/>
                </w:rPr>
                <w:t xml:space="preserve"> s. 73</w:t>
              </w:r>
            </w:ins>
          </w:p>
        </w:tc>
        <w:tc>
          <w:tcPr>
            <w:tcW w:w="1134" w:type="dxa"/>
            <w:tcBorders>
              <w:bottom w:val="single" w:sz="4" w:space="0" w:color="auto"/>
            </w:tcBorders>
          </w:tcPr>
          <w:p>
            <w:pPr>
              <w:pStyle w:val="nTable"/>
              <w:spacing w:after="40"/>
              <w:rPr>
                <w:ins w:id="939" w:author="svcMRProcess" w:date="2020-02-21T23:00:00Z"/>
                <w:snapToGrid w:val="0"/>
                <w:sz w:val="19"/>
              </w:rPr>
            </w:pPr>
            <w:ins w:id="940" w:author="svcMRProcess" w:date="2020-02-21T23:00:00Z">
              <w:r>
                <w:rPr>
                  <w:sz w:val="19"/>
                </w:rPr>
                <w:t>2 of 2008</w:t>
              </w:r>
            </w:ins>
          </w:p>
        </w:tc>
        <w:tc>
          <w:tcPr>
            <w:tcW w:w="1134" w:type="dxa"/>
            <w:tcBorders>
              <w:bottom w:val="single" w:sz="4" w:space="0" w:color="auto"/>
            </w:tcBorders>
          </w:tcPr>
          <w:p>
            <w:pPr>
              <w:pStyle w:val="nTable"/>
              <w:spacing w:after="40"/>
              <w:rPr>
                <w:ins w:id="941" w:author="svcMRProcess" w:date="2020-02-21T23:00:00Z"/>
                <w:sz w:val="19"/>
              </w:rPr>
            </w:pPr>
            <w:ins w:id="942" w:author="svcMRProcess" w:date="2020-02-21T23:00:00Z">
              <w:r>
                <w:rPr>
                  <w:sz w:val="19"/>
                </w:rPr>
                <w:t>12 Mar 2008</w:t>
              </w:r>
            </w:ins>
          </w:p>
        </w:tc>
        <w:tc>
          <w:tcPr>
            <w:tcW w:w="2552" w:type="dxa"/>
            <w:tcBorders>
              <w:bottom w:val="single" w:sz="4" w:space="0" w:color="auto"/>
            </w:tcBorders>
          </w:tcPr>
          <w:p>
            <w:pPr>
              <w:pStyle w:val="nTable"/>
              <w:spacing w:after="40"/>
              <w:rPr>
                <w:ins w:id="943" w:author="svcMRProcess" w:date="2020-02-21T23:00:00Z"/>
                <w:snapToGrid w:val="0"/>
                <w:sz w:val="19"/>
              </w:rPr>
            </w:pPr>
            <w:ins w:id="944" w:author="svcMRProcess" w:date="2020-02-21T23:00:00Z">
              <w:r>
                <w:rPr>
                  <w:snapToGrid w:val="0"/>
                  <w:sz w:val="19"/>
                </w:rPr>
                <w:t xml:space="preserve">27 Apr 2008 (see s. 2 and </w:t>
              </w:r>
              <w:r>
                <w:rPr>
                  <w:i/>
                  <w:iCs/>
                  <w:snapToGrid w:val="0"/>
                  <w:sz w:val="19"/>
                </w:rPr>
                <w:t>Gazette</w:t>
              </w:r>
              <w:r>
                <w:rPr>
                  <w:snapToGrid w:val="0"/>
                  <w:sz w:val="19"/>
                </w:rPr>
                <w:t xml:space="preserve"> 24 Apr 2008 p. 1559)</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945" w:name="_Toc390078652"/>
      <w:bookmarkStart w:id="946" w:name="_Toc390079010"/>
      <w:r>
        <w:t>Provisions that have not come into operation</w:t>
      </w:r>
      <w:bookmarkEnd w:id="945"/>
      <w:bookmarkEnd w:id="9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44</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11</w:t>
            </w:r>
          </w:p>
        </w:tc>
        <w:tc>
          <w:tcPr>
            <w:tcW w:w="1134" w:type="dxa"/>
          </w:tcPr>
          <w:p>
            <w:pPr>
              <w:pStyle w:val="nTable"/>
              <w:keepNext/>
              <w:spacing w:after="40"/>
              <w:rPr>
                <w:sz w:val="19"/>
              </w:rPr>
            </w:pPr>
            <w:r>
              <w:rPr>
                <w:sz w:val="19"/>
              </w:rPr>
              <w:t>43 of 2000</w:t>
            </w:r>
            <w:r>
              <w:rPr>
                <w:sz w:val="19"/>
              </w:rPr>
              <w:br/>
              <w:t>(as amended by No. 42 of 2004 s. 174)</w:t>
            </w:r>
          </w:p>
        </w:tc>
        <w:tc>
          <w:tcPr>
            <w:tcW w:w="1134"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del w:id="947" w:author="svcMRProcess" w:date="2020-02-21T23:00:00Z"/>
        </w:trPr>
        <w:tc>
          <w:tcPr>
            <w:tcW w:w="2268" w:type="dxa"/>
          </w:tcPr>
          <w:p>
            <w:pPr>
              <w:pStyle w:val="nTable"/>
              <w:spacing w:after="40"/>
              <w:ind w:right="113"/>
              <w:rPr>
                <w:del w:id="948" w:author="svcMRProcess" w:date="2020-02-21T23:00:00Z"/>
                <w:i/>
                <w:snapToGrid w:val="0"/>
                <w:sz w:val="19"/>
                <w:vertAlign w:val="superscript"/>
              </w:rPr>
            </w:pPr>
            <w:del w:id="949" w:author="svcMRProcess" w:date="2020-02-21T23:00:00Z">
              <w:r>
                <w:rPr>
                  <w:i/>
                  <w:snapToGrid w:val="0"/>
                </w:rPr>
                <w:delText>Criminal Law and Evidence Amendment Act 2008</w:delText>
              </w:r>
              <w:r>
                <w:rPr>
                  <w:iCs/>
                  <w:snapToGrid w:val="0"/>
                </w:rPr>
                <w:delText xml:space="preserve"> s. 73 and 78(10) </w:delText>
              </w:r>
              <w:r>
                <w:rPr>
                  <w:iCs/>
                  <w:snapToGrid w:val="0"/>
                  <w:vertAlign w:val="superscript"/>
                </w:rPr>
                <w:delText>46</w:delText>
              </w:r>
            </w:del>
          </w:p>
        </w:tc>
        <w:tc>
          <w:tcPr>
            <w:tcW w:w="1134" w:type="dxa"/>
          </w:tcPr>
          <w:p>
            <w:pPr>
              <w:pStyle w:val="nTable"/>
              <w:keepNext/>
              <w:spacing w:after="40"/>
              <w:rPr>
                <w:del w:id="950" w:author="svcMRProcess" w:date="2020-02-21T23:00:00Z"/>
                <w:sz w:val="19"/>
              </w:rPr>
            </w:pPr>
            <w:del w:id="951" w:author="svcMRProcess" w:date="2020-02-21T23:00:00Z">
              <w:r>
                <w:rPr>
                  <w:sz w:val="19"/>
                </w:rPr>
                <w:delText>2 of 2008</w:delText>
              </w:r>
            </w:del>
          </w:p>
        </w:tc>
        <w:tc>
          <w:tcPr>
            <w:tcW w:w="1134" w:type="dxa"/>
          </w:tcPr>
          <w:p>
            <w:pPr>
              <w:pStyle w:val="nTable"/>
              <w:keepNext/>
              <w:spacing w:after="40"/>
              <w:rPr>
                <w:del w:id="952" w:author="svcMRProcess" w:date="2020-02-21T23:00:00Z"/>
                <w:sz w:val="19"/>
              </w:rPr>
            </w:pPr>
            <w:del w:id="953" w:author="svcMRProcess" w:date="2020-02-21T23:00:00Z">
              <w:r>
                <w:rPr>
                  <w:sz w:val="19"/>
                </w:rPr>
                <w:delText>12 Mar 2008</w:delText>
              </w:r>
            </w:del>
          </w:p>
        </w:tc>
        <w:tc>
          <w:tcPr>
            <w:tcW w:w="2551" w:type="dxa"/>
          </w:tcPr>
          <w:p>
            <w:pPr>
              <w:pStyle w:val="nTable"/>
              <w:keepNext/>
              <w:spacing w:after="40"/>
              <w:rPr>
                <w:del w:id="954" w:author="svcMRProcess" w:date="2020-02-21T23:00:00Z"/>
                <w:sz w:val="19"/>
              </w:rPr>
            </w:pPr>
            <w:del w:id="955" w:author="svcMRProcess" w:date="2020-02-21T23:00:00Z">
              <w:r>
                <w:rPr>
                  <w:snapToGrid w:val="0"/>
                  <w:sz w:val="19"/>
                </w:rPr>
                <w:delText>To be proclaimed (see s. 2)</w:delText>
              </w:r>
            </w:del>
          </w:p>
        </w:tc>
      </w:tr>
      <w:tr>
        <w:trPr>
          <w:cantSplit/>
        </w:trPr>
        <w:tc>
          <w:tcPr>
            <w:tcW w:w="2268" w:type="dxa"/>
            <w:tcBorders>
              <w:bottom w:val="single" w:sz="4" w:space="0" w:color="auto"/>
            </w:tcBorders>
          </w:tcPr>
          <w:p>
            <w:pPr>
              <w:pStyle w:val="nTable"/>
              <w:spacing w:after="40"/>
              <w:ind w:right="113"/>
              <w:rPr>
                <w:i/>
                <w:snapToGrid w:val="0"/>
              </w:rPr>
            </w:pPr>
            <w:r>
              <w:rPr>
                <w:i/>
                <w:sz w:val="19"/>
              </w:rPr>
              <w:t>Duties Legislation Amendment Act 2008</w:t>
            </w:r>
            <w:r>
              <w:rPr>
                <w:iCs/>
                <w:sz w:val="19"/>
              </w:rPr>
              <w:t xml:space="preserve"> s. 52 </w:t>
            </w:r>
            <w:del w:id="956" w:author="svcMRProcess" w:date="2020-02-21T23:00:00Z">
              <w:r>
                <w:rPr>
                  <w:iCs/>
                  <w:sz w:val="19"/>
                  <w:vertAlign w:val="superscript"/>
                </w:rPr>
                <w:delText>47</w:delText>
              </w:r>
            </w:del>
            <w:ins w:id="957" w:author="svcMRProcess" w:date="2020-02-21T23:00:00Z">
              <w:r>
                <w:rPr>
                  <w:iCs/>
                  <w:sz w:val="19"/>
                  <w:vertAlign w:val="superscript"/>
                </w:rPr>
                <w:t>46</w:t>
              </w:r>
            </w:ins>
          </w:p>
        </w:tc>
        <w:tc>
          <w:tcPr>
            <w:tcW w:w="1134" w:type="dxa"/>
            <w:tcBorders>
              <w:bottom w:val="single" w:sz="4" w:space="0" w:color="auto"/>
            </w:tcBorders>
          </w:tcPr>
          <w:p>
            <w:pPr>
              <w:pStyle w:val="nTable"/>
              <w:keepNext/>
              <w:spacing w:after="40"/>
              <w:rPr>
                <w:sz w:val="19"/>
              </w:rPr>
            </w:pPr>
            <w:r>
              <w:rPr>
                <w:sz w:val="19"/>
              </w:rPr>
              <w:t>12 of 2008</w:t>
            </w:r>
          </w:p>
        </w:tc>
        <w:tc>
          <w:tcPr>
            <w:tcW w:w="1134" w:type="dxa"/>
            <w:tcBorders>
              <w:bottom w:val="single" w:sz="4" w:space="0" w:color="auto"/>
            </w:tcBorders>
          </w:tcPr>
          <w:p>
            <w:pPr>
              <w:pStyle w:val="nTable"/>
              <w:keepNext/>
              <w:spacing w:after="40"/>
              <w:rPr>
                <w:sz w:val="19"/>
              </w:rPr>
            </w:pPr>
            <w:r>
              <w:rPr>
                <w:sz w:val="19"/>
              </w:rPr>
              <w:t>14 Apr 2008</w:t>
            </w:r>
          </w:p>
        </w:tc>
        <w:tc>
          <w:tcPr>
            <w:tcW w:w="2551" w:type="dxa"/>
            <w:tcBorders>
              <w:bottom w:val="single" w:sz="4" w:space="0" w:color="auto"/>
            </w:tcBorders>
          </w:tcPr>
          <w:p>
            <w:pPr>
              <w:pStyle w:val="nTable"/>
              <w:keepNext/>
              <w:spacing w:after="40"/>
              <w:rPr>
                <w:snapToGrid w:val="0"/>
                <w:sz w:val="19"/>
              </w:rPr>
            </w:pPr>
            <w:r>
              <w:rPr>
                <w:sz w:val="19"/>
              </w:rPr>
              <w:t>1 Jul 2008 (see s. 2(d))</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44.)</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44). </w:t>
      </w:r>
    </w:p>
    <w:p>
      <w:pPr>
        <w:pStyle w:val="nSubsection"/>
        <w:rPr>
          <w:snapToGrid w:val="0"/>
        </w:rPr>
      </w:pPr>
      <w:r>
        <w:rPr>
          <w:vertAlign w:val="superscript"/>
        </w:rPr>
        <w:t>4</w:t>
      </w:r>
      <w:r>
        <w:tab/>
      </w:r>
      <w:r>
        <w:rPr>
          <w:snapToGrid w:val="0"/>
        </w:rPr>
        <w:t xml:space="preserve">The </w:t>
      </w:r>
      <w:r>
        <w:rPr>
          <w:i/>
          <w:snapToGrid w:val="0"/>
        </w:rPr>
        <w:t>Workers’ Compensation Legislation Amendment Act 2005</w:t>
      </w:r>
      <w:r>
        <w:rPr>
          <w:snapToGrid w:val="0"/>
        </w:rPr>
        <w:t xml:space="preserve"> s. 9(2) reads as follows:</w:t>
      </w:r>
    </w:p>
    <w:p>
      <w:pPr>
        <w:pStyle w:val="MiscOpen"/>
        <w:rPr>
          <w:snapToGrid w:val="0"/>
        </w:rPr>
      </w:pPr>
      <w:r>
        <w:rPr>
          <w:snapToGrid w:val="0"/>
        </w:rPr>
        <w:t>“</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See </w:t>
      </w:r>
      <w:r>
        <w:rPr>
          <w:i/>
          <w:snapToGrid w:val="0"/>
        </w:rPr>
        <w:t>Workplace Relations Act 1996</w:t>
      </w:r>
      <w:r>
        <w:rPr>
          <w:snapToGrid w:val="0"/>
        </w:rPr>
        <w:t xml:space="preserve"> of the Commonwealth.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rPr>
          <w:snapToGrid w:val="0"/>
        </w:rPr>
      </w:pPr>
      <w:r>
        <w:rPr>
          <w:snapToGrid w:val="0"/>
          <w:vertAlign w:val="superscript"/>
        </w:rPr>
        <w:t>9</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MiscOpen"/>
      </w:pPr>
      <w:r>
        <w:t>“</w:t>
      </w: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snapToGrid w:val="0"/>
        </w:rPr>
      </w:pPr>
      <w:r>
        <w:t>”.</w:t>
      </w:r>
    </w:p>
    <w:p>
      <w:pPr>
        <w:pStyle w:val="nSubsection"/>
        <w:rPr>
          <w:snapToGrid w:val="0"/>
        </w:rPr>
      </w:pPr>
      <w:r>
        <w:rPr>
          <w:snapToGrid w:val="0"/>
          <w:vertAlign w:val="superscript"/>
        </w:rPr>
        <w:t>12</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4(2) reads as follows: </w:t>
      </w:r>
    </w:p>
    <w:p>
      <w:pPr>
        <w:pStyle w:val="MiscOpen"/>
        <w:rPr>
          <w:snapToGrid w:val="0"/>
        </w:rPr>
      </w:pPr>
      <w:r>
        <w:rPr>
          <w:snapToGrid w:val="0"/>
        </w:rPr>
        <w:t>“</w:t>
      </w:r>
    </w:p>
    <w:p>
      <w:pPr>
        <w:pStyle w:val="nzSubsection"/>
        <w:keepLines/>
        <w:spacing w:before="0"/>
        <w:rPr>
          <w:snapToGrid w:val="0"/>
        </w:rPr>
      </w:pPr>
      <w:r>
        <w:rPr>
          <w:snapToGrid w:val="0"/>
        </w:rPr>
        <w:tab/>
        <w:t>(2)</w:t>
      </w:r>
      <w:r>
        <w:rPr>
          <w:snapToGrid w:val="0"/>
        </w:rPr>
        <w:tab/>
        <w:t>Nothing in this section in any way affects or limits the operation of the principal Act in relation to a disability to or the death of a person if that 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t>
      </w:r>
    </w:p>
    <w:p>
      <w:pPr>
        <w:pStyle w:val="nSubsection"/>
        <w:keepNext/>
        <w:spacing w:before="120"/>
        <w:rPr>
          <w:snapToGrid w:val="0"/>
        </w:rPr>
      </w:pPr>
      <w:r>
        <w:rPr>
          <w:snapToGrid w:val="0"/>
          <w:vertAlign w:val="superscript"/>
        </w:rPr>
        <w:t>15</w:t>
      </w:r>
      <w:r>
        <w:rPr>
          <w:snapToGrid w:val="0"/>
        </w:rPr>
        <w:tab/>
        <w:t xml:space="preserve">The </w:t>
      </w:r>
      <w:r>
        <w:rPr>
          <w:i/>
          <w:snapToGrid w:val="0"/>
        </w:rPr>
        <w:t>Workers’ Compensation and Assistance Amendment Act 1985</w:t>
      </w:r>
      <w:r>
        <w:rPr>
          <w:snapToGrid w:val="0"/>
        </w:rPr>
        <w:t xml:space="preserve"> s. 23(2)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snapToGrid w:val="0"/>
        </w:rPr>
      </w:pPr>
      <w:r>
        <w:rPr>
          <w:snapToGrid w:val="0"/>
        </w:rPr>
        <w:t>”.</w:t>
      </w:r>
    </w:p>
    <w:p>
      <w:pPr>
        <w:pStyle w:val="nSubsection"/>
        <w:spacing w:before="120"/>
        <w:rPr>
          <w:snapToGrid w:val="0"/>
        </w:rPr>
      </w:pPr>
      <w:r>
        <w:rPr>
          <w:snapToGrid w:val="0"/>
          <w:vertAlign w:val="superscript"/>
        </w:rPr>
        <w:t>17</w:t>
      </w:r>
      <w:r>
        <w:rPr>
          <w:snapToGrid w:val="0"/>
        </w:rPr>
        <w:tab/>
        <w:t xml:space="preserve">The </w:t>
      </w:r>
      <w:r>
        <w:rPr>
          <w:i/>
          <w:snapToGrid w:val="0"/>
        </w:rPr>
        <w:t>Workers’ Compensation and Assistance Amendment Act 1988</w:t>
      </w:r>
      <w:r>
        <w:rPr>
          <w:snapToGrid w:val="0"/>
        </w:rPr>
        <w:t xml:space="preserve"> repealed s. 10</w:t>
      </w:r>
      <w:r>
        <w:rPr>
          <w:snapToGrid w:val="0"/>
        </w:rPr>
        <w:noBreakHyphen/>
        <w:t xml:space="preserve">12, 19, 44 and 45 of the </w:t>
      </w:r>
      <w:r>
        <w:rPr>
          <w:i/>
          <w:snapToGrid w:val="0"/>
        </w:rPr>
        <w:t>Workers’ Compensation and Assistance Amendment Act 1985</w:t>
      </w:r>
      <w:r>
        <w:rPr>
          <w:snapToGrid w:val="0"/>
        </w:rPr>
        <w:t xml:space="preserve"> and the </w:t>
      </w:r>
      <w:r>
        <w:rPr>
          <w:i/>
          <w:snapToGrid w:val="0"/>
        </w:rPr>
        <w:t>Workers’ Compensation and Assistance Amendment Act 1990</w:t>
      </w:r>
      <w:r>
        <w:rPr>
          <w:snapToGrid w:val="0"/>
        </w:rPr>
        <w:t xml:space="preserve"> s. 30(2) repealed s. 30(2) of the 1985 Act.</w:t>
      </w:r>
    </w:p>
    <w:p>
      <w:pPr>
        <w:pStyle w:val="nSubsection"/>
        <w:rPr>
          <w:snapToGrid w:val="0"/>
        </w:rPr>
      </w:pPr>
      <w:r>
        <w:rPr>
          <w:snapToGrid w:val="0"/>
          <w:vertAlign w:val="superscript"/>
        </w:rPr>
        <w:t>18</w:t>
      </w:r>
      <w:r>
        <w:rPr>
          <w:snapToGrid w:val="0"/>
        </w:rPr>
        <w:tab/>
        <w:t xml:space="preserve">The </w:t>
      </w:r>
      <w:r>
        <w:rPr>
          <w:i/>
          <w:snapToGrid w:val="0"/>
        </w:rPr>
        <w:t>Workers’ Compensation and Assistance Amendment Act 1986</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1990</w:t>
      </w:r>
      <w:r>
        <w:rPr>
          <w:snapToGrid w:val="0"/>
        </w:rPr>
        <w:t xml:space="preserve"> s. 30(2)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specification by the Committee of a category under section 151(c) of the principal Act as in force before the commencement of this section is of no further effect, and section 30(2) of the </w:t>
      </w:r>
      <w:r>
        <w:rPr>
          <w:i/>
          <w:snapToGrid w:val="0"/>
        </w:rPr>
        <w:t>Workers’ Compensation and Assistance Amendment Act 1985</w:t>
      </w:r>
      <w:r>
        <w:rPr>
          <w:snapToGrid w:val="0"/>
        </w:rPr>
        <w:t xml:space="preserve"> is repealed.</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50 reads as follows: </w:t>
      </w:r>
    </w:p>
    <w:p>
      <w:pPr>
        <w:pStyle w:val="MiscOpen"/>
        <w:rPr>
          <w:snapToGrid w:val="0"/>
        </w:rPr>
      </w:pPr>
      <w:r>
        <w:rPr>
          <w:snapToGrid w:val="0"/>
        </w:rPr>
        <w:t>“</w:t>
      </w: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51 reads as follows: </w:t>
      </w:r>
    </w:p>
    <w:p>
      <w:pPr>
        <w:pStyle w:val="MiscOpen"/>
        <w:rPr>
          <w:snapToGrid w:val="0"/>
          <w:highlight w:val="cyan"/>
        </w:rPr>
      </w:pPr>
      <w:r>
        <w:rPr>
          <w:snapToGrid w:val="0"/>
        </w:rPr>
        <w:t>“</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snapToGrid w:val="0"/>
        </w:rPr>
      </w:pPr>
      <w:r>
        <w:rPr>
          <w:snapToGrid w:val="0"/>
        </w:rPr>
        <w:t>“</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pStyle w:val="MiscOpen"/>
        <w:rPr>
          <w:snapToGrid w:val="0"/>
        </w:rPr>
      </w:pPr>
      <w:r>
        <w:rPr>
          <w:snapToGrid w:val="0"/>
        </w:rPr>
        <w:t>“</w:t>
      </w: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t xml:space="preserve">“affected person” </w:t>
      </w:r>
      <w:r>
        <w:t>means a person having a notifiable cause;</w:t>
      </w:r>
    </w:p>
    <w:p>
      <w:pPr>
        <w:pStyle w:val="nzDefstart"/>
      </w:pPr>
      <w:r>
        <w:rPr>
          <w:b/>
        </w:rPr>
        <w:tab/>
        <w:t xml:space="preserve">“improved statutory benefits”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t xml:space="preserve">“notifiable cause”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t xml:space="preserve">“significant damages”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Next w:val="0"/>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keepNext/>
        <w:keepLines/>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keepNext/>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Lines w:val="0"/>
        <w:rPr>
          <w:snapToGrid w:val="0"/>
        </w:rPr>
      </w:pPr>
      <w:r>
        <w:rPr>
          <w:snapToGrid w:val="0"/>
        </w:rPr>
        <w:t>12.</w:t>
      </w:r>
      <w:r>
        <w:rPr>
          <w:snapToGrid w:val="0"/>
        </w:rPr>
        <w:tab/>
        <w:t xml:space="preserve">Offer to settle </w:t>
      </w:r>
    </w:p>
    <w:p>
      <w:pPr>
        <w:pStyle w:val="nzSubsection"/>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snapToGrid w:val="0"/>
        </w:rPr>
      </w:pPr>
      <w:r>
        <w:rPr>
          <w:snapToGrid w:val="0"/>
        </w:rPr>
        <w:t>“</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snapToGrid w:val="0"/>
          <w:highlight w:val="cyan"/>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snapToGrid w:val="0"/>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keepLines w:val="0"/>
        <w:rPr>
          <w:snapToGrid w:val="0"/>
        </w:rPr>
      </w:pPr>
      <w:r>
        <w:rPr>
          <w:snapToGrid w:val="0"/>
        </w:rPr>
        <w:t>”.</w:t>
      </w: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pStyle w:val="MiscOpen"/>
        <w:spacing w:before="60"/>
        <w:rPr>
          <w:snapToGrid w:val="0"/>
        </w:rPr>
      </w:pPr>
      <w:r>
        <w:rPr>
          <w:snapToGrid w:val="0"/>
        </w:rPr>
        <w:t>“</w:t>
      </w: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t xml:space="preserve">“Board” </w:t>
      </w:r>
      <w:r>
        <w:t>has the meaning given to that expression by the principal Act as in force immediately before the commencement of section 24;</w:t>
      </w:r>
    </w:p>
    <w:p>
      <w:pPr>
        <w:pStyle w:val="nzDefstart"/>
      </w:pPr>
      <w:r>
        <w:rPr>
          <w:b/>
        </w:rPr>
        <w:tab/>
        <w:t xml:space="preserve">“Director” </w:t>
      </w:r>
      <w:r>
        <w:t>has the meaning given to that expression by the principal Act as amended by section 21.</w:t>
      </w:r>
    </w:p>
    <w:p>
      <w:pPr>
        <w:pStyle w:val="MiscClose"/>
        <w:rPr>
          <w:snapToGrid w:val="0"/>
        </w:rPr>
      </w:pPr>
      <w:r>
        <w:rPr>
          <w:snapToGrid w:val="0"/>
        </w:rPr>
        <w:t>”.</w:t>
      </w:r>
    </w:p>
    <w:p>
      <w:pPr>
        <w:pStyle w:val="nSubsection"/>
        <w:keepNext/>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Sch. 1 cl. 30 amended section 73(1), (4) and (6), however those amendments were made redundant by the amendments effected by clause 16 of that Schedule.</w:t>
      </w:r>
    </w:p>
    <w:p>
      <w:pPr>
        <w:pStyle w:val="nSubsection"/>
        <w:rPr>
          <w:snapToGrid w:val="0"/>
        </w:rPr>
      </w:pPr>
      <w:r>
        <w:rPr>
          <w:snapToGrid w:val="0"/>
          <w:vertAlign w:val="superscript"/>
        </w:rPr>
        <w:t>32</w:t>
      </w:r>
      <w:r>
        <w:rPr>
          <w:snapToGrid w:val="0"/>
        </w:rPr>
        <w:tab/>
        <w:t xml:space="preserve">The </w:t>
      </w:r>
      <w:r>
        <w:rPr>
          <w:i/>
          <w:snapToGrid w:val="0"/>
        </w:rPr>
        <w:t>Workers’ Compensation and Rehabilitation Amendment Act 1993</w:t>
      </w:r>
      <w:r>
        <w:rPr>
          <w:snapToGrid w:val="0"/>
        </w:rPr>
        <w:t xml:space="preserve"> Sch. 1 cl. 30 amended Schedule 7 clauses 6(1)(a), 6(2)(a) and 8(3), however those amendments were made redundant by the amendments effected by clause 27 of the first</w:t>
      </w:r>
      <w:r>
        <w:rPr>
          <w:snapToGrid w:val="0"/>
        </w:rPr>
        <w:noBreakHyphen/>
        <w:t>mentioned Schedule.</w:t>
      </w:r>
    </w:p>
    <w:p>
      <w:pPr>
        <w:pStyle w:val="nSubsection"/>
      </w:pPr>
      <w:r>
        <w:rPr>
          <w:snapToGrid w:val="0"/>
          <w:vertAlign w:val="superscript"/>
        </w:rPr>
        <w:t>33</w:t>
      </w:r>
      <w:r>
        <w:rPr>
          <w:snapToGrid w:val="0"/>
        </w:rPr>
        <w:tab/>
      </w:r>
      <w:r>
        <w:t xml:space="preserve">The </w:t>
      </w:r>
      <w:r>
        <w:rPr>
          <w:i/>
        </w:rPr>
        <w:t>Workers’ Compensation and Rehabilitation Amendment Act (No. 2) 1999</w:t>
      </w:r>
      <w:r>
        <w:t xml:space="preserve"> s. 7(3) reads as follows:</w:t>
      </w:r>
    </w:p>
    <w:p>
      <w:pPr>
        <w:pStyle w:val="MiscOpen"/>
        <w:spacing w:before="60"/>
      </w:pPr>
      <w:r>
        <w:t>“</w:t>
      </w:r>
    </w:p>
    <w:p>
      <w:pPr>
        <w:pStyle w:val="nzSubsection"/>
        <w:spacing w:before="0"/>
      </w:pPr>
      <w:r>
        <w:tab/>
        <w:t>(3)</w:t>
      </w:r>
      <w:r>
        <w:tab/>
        <w:t xml:space="preserve">For the purposes of section 84E(1)(aa) of the </w:t>
      </w:r>
      <w:r>
        <w:rPr>
          <w:i/>
        </w:rPr>
        <w:t>Workers’ Compensation and Rehabilitation Act 1981</w:t>
      </w:r>
      <w:r>
        <w:t xml:space="preserve"> as inserted by subsection (2), the making of an order under section 67(2) or (3) of that Act as in force before the commencement of this Act is to be regarded as constituting the recording of a memorandum of agreement under section 76 of that Act.</w:t>
      </w:r>
    </w:p>
    <w:p>
      <w:pPr>
        <w:pStyle w:val="MiscClose"/>
        <w:rPr>
          <w:snapToGrid w:val="0"/>
        </w:rPr>
      </w:pPr>
      <w:r>
        <w:t>”.</w:t>
      </w:r>
    </w:p>
    <w:p>
      <w:pPr>
        <w:pStyle w:val="nSubsection"/>
      </w:pPr>
      <w:r>
        <w:rPr>
          <w:snapToGrid w:val="0"/>
          <w:vertAlign w:val="superscript"/>
        </w:rPr>
        <w:t>34</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MiscOpen"/>
      </w:pPr>
      <w:r>
        <w:t>“</w:t>
      </w:r>
    </w:p>
    <w:p>
      <w:pPr>
        <w:pStyle w:val="nzSubsection"/>
        <w:spacing w:before="0"/>
      </w:pPr>
      <w:r>
        <w:tab/>
        <w:t>(6)</w:t>
      </w:r>
      <w:r>
        <w:tab/>
        <w:t xml:space="preserve">In subsections (7) and (8) — </w:t>
      </w:r>
    </w:p>
    <w:p>
      <w:pPr>
        <w:pStyle w:val="nzDefstart"/>
      </w:pPr>
      <w:r>
        <w:tab/>
      </w:r>
      <w:r>
        <w:rPr>
          <w:b/>
        </w:rPr>
        <w:t>“amended provisions”</w:t>
      </w:r>
      <w:r>
        <w:t xml:space="preserve"> means Part IV Division 2 of the principal Act as amended by this section;</w:t>
      </w:r>
    </w:p>
    <w:p>
      <w:pPr>
        <w:pStyle w:val="nzDefstart"/>
        <w:keepNext/>
      </w:pPr>
      <w:r>
        <w:tab/>
      </w:r>
      <w:r>
        <w:rPr>
          <w:b/>
        </w:rPr>
        <w:t>“assent day”</w:t>
      </w:r>
      <w:r>
        <w:t xml:space="preserve"> means the day on which this Act receives the Royal Assent;</w:t>
      </w:r>
    </w:p>
    <w:p>
      <w:pPr>
        <w:pStyle w:val="nzDefstart"/>
      </w:pPr>
      <w:r>
        <w:tab/>
      </w:r>
      <w:r>
        <w:rPr>
          <w:b/>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pPr>
      <w:r>
        <w:tab/>
        <w:t>(b)</w:t>
      </w:r>
      <w:r>
        <w:tab/>
        <w:t>were ordered by a dispute resolution body to commence before the assent day,</w:t>
      </w:r>
    </w:p>
    <w:p>
      <w:pPr>
        <w:pStyle w:val="nzSubsection"/>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MiscClose"/>
      </w:pPr>
      <w:r>
        <w:t>”.</w:t>
      </w:r>
    </w:p>
    <w:p>
      <w:pPr>
        <w:pStyle w:val="nSubsection"/>
        <w:keepNext/>
      </w:pPr>
      <w:r>
        <w:rPr>
          <w:snapToGrid w:val="0"/>
          <w:vertAlign w:val="superscript"/>
        </w:rPr>
        <w:t>35</w:t>
      </w:r>
      <w:r>
        <w:rPr>
          <w:snapToGrid w:val="0"/>
        </w:rPr>
        <w:tab/>
      </w:r>
      <w:r>
        <w:t xml:space="preserve">The </w:t>
      </w:r>
      <w:r>
        <w:rPr>
          <w:i/>
        </w:rPr>
        <w:t>Workers’ Compensation and Rehabilitation Amendment Act 1999</w:t>
      </w:r>
      <w:r>
        <w:t xml:space="preserve"> s. 46(2), (3) and (4) read as follows:</w:t>
      </w:r>
    </w:p>
    <w:p>
      <w:pPr>
        <w:pStyle w:val="MiscOpen"/>
      </w:pPr>
      <w:r>
        <w:t>“</w:t>
      </w:r>
    </w:p>
    <w:p>
      <w:pPr>
        <w:pStyle w:val="nzSubsection"/>
        <w:keepNext/>
        <w:spacing w:before="0"/>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pPr>
      <w:r>
        <w:tab/>
        <w:t>(3)</w:t>
      </w:r>
      <w:r>
        <w:tab/>
        <w:t>If —</w:t>
      </w:r>
    </w:p>
    <w:p>
      <w:pPr>
        <w:pStyle w:val="nzIndenta"/>
      </w:pPr>
      <w:r>
        <w:tab/>
        <w:t>(a)</w:t>
      </w:r>
      <w:r>
        <w:tab/>
        <w:t>a requirement made under the former section 103 by a person referred to in subsection (2)(a); or</w:t>
      </w:r>
    </w:p>
    <w:p>
      <w:pPr>
        <w:pStyle w:val="nzIndenta"/>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t>“former section”</w:t>
      </w:r>
      <w:r>
        <w:t xml:space="preserve"> means a section of the principal Act as in force before its repeal by this Act.</w:t>
      </w:r>
    </w:p>
    <w:p>
      <w:pPr>
        <w:pStyle w:val="MiscClose"/>
        <w:rPr>
          <w:snapToGrid w:val="0"/>
        </w:rPr>
      </w:pPr>
      <w:r>
        <w:t>”.</w:t>
      </w:r>
    </w:p>
    <w:p>
      <w:pPr>
        <w:pStyle w:val="nSubsection"/>
        <w:keepNext/>
      </w:pPr>
      <w:r>
        <w:rPr>
          <w:vertAlign w:val="superscript"/>
        </w:rPr>
        <w:t>36</w:t>
      </w:r>
      <w:r>
        <w:tab/>
        <w:t xml:space="preserve">The </w:t>
      </w:r>
      <w:r>
        <w:rPr>
          <w:i/>
        </w:rPr>
        <w:t>Workers’ Compensation and Rehabilitation Amendment Act 1999</w:t>
      </w:r>
      <w:r>
        <w:t xml:space="preserve"> s. 56(2) reads as follows:</w:t>
      </w:r>
    </w:p>
    <w:p>
      <w:pPr>
        <w:pStyle w:val="MiscOpen"/>
      </w:pPr>
      <w:r>
        <w:t>“</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snapToGrid w:val="0"/>
          <w:vertAlign w:val="superscript"/>
        </w:rPr>
      </w:pPr>
      <w:r>
        <w:t>”.</w:t>
      </w:r>
    </w:p>
    <w:p>
      <w:pPr>
        <w:pStyle w:val="nSubsection"/>
        <w:keepNext/>
      </w:pPr>
      <w:r>
        <w:rPr>
          <w:vertAlign w:val="superscript"/>
        </w:rPr>
        <w:t>37</w:t>
      </w:r>
      <w:r>
        <w:tab/>
        <w:t xml:space="preserve">The </w:t>
      </w:r>
      <w:r>
        <w:rPr>
          <w:i/>
        </w:rPr>
        <w:t>Racing and Gambling Legislation Amendment and Repeal Act 2003</w:t>
      </w:r>
      <w:r>
        <w:t xml:space="preserve"> s. 19 reads as follows:</w:t>
      </w:r>
    </w:p>
    <w:p>
      <w:pPr>
        <w:pStyle w:val="MiscOpen"/>
      </w:pPr>
      <w:r>
        <w:t>“</w:t>
      </w: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38</w:t>
      </w:r>
      <w:r>
        <w:tab/>
        <w:t xml:space="preserve">The </w:t>
      </w:r>
      <w:r>
        <w:rPr>
          <w:i/>
        </w:rPr>
        <w:t>Workers’ Compensation and Rehabilitation Amendment (Cross Border) Act 2004</w:t>
      </w:r>
      <w:r>
        <w:t xml:space="preserve"> Pt. 2 Div. 2 (as amended by this Act s. 16, 17(5) and 19) reads as follows:</w:t>
      </w:r>
    </w:p>
    <w:p>
      <w:pPr>
        <w:pStyle w:val="MiscOpen"/>
        <w:rPr>
          <w:highlight w:val="cyan"/>
        </w:rPr>
      </w:pPr>
      <w:r>
        <w:t>“</w:t>
      </w: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pPr>
      <w:r>
        <w:tab/>
        <w:t>(1)</w:t>
      </w:r>
      <w:r>
        <w:tab/>
        <w:t>In this section —</w:t>
      </w:r>
    </w:p>
    <w:p>
      <w:pPr>
        <w:pStyle w:val="nzDefstart"/>
      </w:pPr>
      <w:r>
        <w:rPr>
          <w:b/>
        </w:rPr>
        <w:tab/>
        <w:t>“amendments”</w:t>
      </w:r>
      <w:r>
        <w:t xml:space="preserve"> means amendments made to the principal Act by this Act;</w:t>
      </w:r>
    </w:p>
    <w:p>
      <w:pPr>
        <w:pStyle w:val="nzDefstart"/>
      </w:pPr>
      <w:r>
        <w:tab/>
      </w:r>
      <w:r>
        <w:rPr>
          <w:b/>
        </w:rPr>
        <w:t>“commencement day”</w:t>
      </w:r>
      <w:r>
        <w:t xml:space="preserve"> means the day on which this Part comes into operation;</w:t>
      </w:r>
    </w:p>
    <w:p>
      <w:pPr>
        <w:pStyle w:val="nzDefstart"/>
      </w:pPr>
      <w:r>
        <w:tab/>
      </w:r>
      <w:r>
        <w:rPr>
          <w:b/>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pPr>
      <w:r>
        <w:tab/>
        <w:t>(2)</w:t>
      </w:r>
      <w:r>
        <w:tab/>
        <w:t>The amendments do not apply in respect of an injury that occurred before the commencement day, and the principal Act applies in respect of such an injury as if the amendments had not been made.</w:t>
      </w:r>
    </w:p>
    <w:p>
      <w:pPr>
        <w:pStyle w:val="nzSubsection"/>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MiscClose"/>
      </w:pPr>
      <w:r>
        <w:t>”.</w:t>
      </w:r>
    </w:p>
    <w:p>
      <w:pPr>
        <w:pStyle w:val="nSubsection"/>
        <w:rPr>
          <w:i/>
        </w:rPr>
      </w:pPr>
      <w:r>
        <w:rPr>
          <w:vertAlign w:val="superscript"/>
        </w:rPr>
        <w:t>39</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MiscOpen"/>
      </w:pPr>
      <w:r>
        <w:t>“</w:t>
      </w: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t>“commencement day”</w:t>
      </w:r>
      <w:r>
        <w:t xml:space="preserve"> means the day on which section 130 of this Act comes into operation;</w:t>
      </w:r>
    </w:p>
    <w:p>
      <w:pPr>
        <w:pStyle w:val="nzDefstart"/>
        <w:spacing w:before="100"/>
      </w:pPr>
      <w:r>
        <w:rPr>
          <w:b/>
        </w:rPr>
        <w:tab/>
        <w:t>“Director Dispute Resolution”</w:t>
      </w:r>
      <w:r>
        <w:t xml:space="preserve"> has the meaning given to “Director” in the amended Act;</w:t>
      </w:r>
    </w:p>
    <w:p>
      <w:pPr>
        <w:pStyle w:val="nzDefstart"/>
        <w:spacing w:before="100"/>
      </w:pPr>
      <w:r>
        <w:tab/>
      </w:r>
      <w:r>
        <w:rPr>
          <w:b/>
        </w:rPr>
        <w:t>“Director of Conciliation and Review”</w:t>
      </w:r>
      <w:r>
        <w:t xml:space="preserve"> has the meaning given to “Director” in the principal Act;</w:t>
      </w:r>
    </w:p>
    <w:p>
      <w:pPr>
        <w:pStyle w:val="nzDefstart"/>
        <w:keepNext/>
        <w:keepLines/>
        <w:spacing w:before="100"/>
      </w:pPr>
      <w:r>
        <w:rPr>
          <w:b/>
        </w:rPr>
        <w:tab/>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pPr>
      <w:r>
        <w:tab/>
        <w:t>(1)</w:t>
      </w:r>
      <w:r>
        <w:tab/>
        <w:t xml:space="preserve">In this section — </w:t>
      </w:r>
    </w:p>
    <w:p>
      <w:pPr>
        <w:pStyle w:val="nzDefstart"/>
      </w:pPr>
      <w:r>
        <w:rPr>
          <w:b/>
        </w:rPr>
        <w:tab/>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t>“WorkCover WA”</w:t>
      </w:r>
      <w:r>
        <w:t xml:space="preserve"> has the meaning given to that term by the </w:t>
      </w:r>
      <w:r>
        <w:rPr>
          <w:i/>
        </w:rPr>
        <w:t>Workers’ Compensation and Injury Management Act 1981</w:t>
      </w:r>
      <w:r>
        <w:t>;</w:t>
      </w:r>
    </w:p>
    <w:p>
      <w:pPr>
        <w:pStyle w:val="nzDefstart"/>
      </w:pPr>
      <w:r>
        <w:rPr>
          <w:b/>
        </w:rPr>
        <w:tab/>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t>“Part VIII amendments”</w:t>
      </w:r>
      <w:r>
        <w:t xml:space="preserve"> means the amendments that sections 104 to 117 and 150 to 153 make to Part VIII of the </w:t>
      </w:r>
      <w:r>
        <w:rPr>
          <w:i/>
        </w:rPr>
        <w:t>Workers’ Compensation and Rehabilitation Act 1981</w:t>
      </w:r>
      <w:r>
        <w:t>.</w:t>
      </w:r>
    </w:p>
    <w:p>
      <w:pPr>
        <w:pStyle w:val="MiscClose"/>
      </w:pPr>
      <w:r>
        <w:t>”.</w:t>
      </w:r>
    </w:p>
    <w:p>
      <w:pPr>
        <w:pStyle w:val="nSubsection"/>
      </w:pPr>
      <w:r>
        <w:rPr>
          <w:vertAlign w:val="superscript"/>
        </w:rPr>
        <w:t>40</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41</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42</w:t>
      </w:r>
      <w:r>
        <w:tab/>
        <w:t xml:space="preserve">The </w:t>
      </w:r>
      <w:r>
        <w:rPr>
          <w:i/>
          <w:snapToGrid w:val="0"/>
        </w:rPr>
        <w:t xml:space="preserve">Criminal Procedure and Appeals (Consequential and Other Provisions) Act 2004 </w:t>
      </w:r>
      <w:r>
        <w:rPr>
          <w:snapToGrid w:val="0"/>
        </w:rPr>
        <w:t xml:space="preserve">Sch. 2 cl. 157 </w:t>
      </w:r>
      <w:r>
        <w:t>(the amendment to s. </w:t>
      </w:r>
      <w:del w:id="958" w:author="svcMRProcess" w:date="2020-02-21T23:00:00Z">
        <w:r>
          <w:delText xml:space="preserve">175H(2)(c)), which was proclaimed to commence on 1 July 2005 (see </w:delText>
        </w:r>
        <w:r>
          <w:rPr>
            <w:i/>
          </w:rPr>
          <w:delText>Gazette</w:delText>
        </w:r>
        <w:r>
          <w:delText xml:space="preserve"> 31 Dec 2004 p. 7129), is not included because the section in the </w:delText>
        </w:r>
        <w:r>
          <w:rPr>
            <w:i/>
          </w:rPr>
          <w:delText>Workers’ Compensation and Injury Management Act 1981</w:delText>
        </w:r>
        <w:r>
          <w:delText xml:space="preserve"> that it purports to amend was not in operation on 1 July 2005.</w:delText>
        </w:r>
      </w:del>
      <w:ins w:id="959" w:author="svcMRProcess" w:date="2020-02-21T23:00:00Z">
        <w:r>
          <w:t xml:space="preserve">175H(2)(c)) was deleted by the </w:t>
        </w:r>
        <w:r>
          <w:rPr>
            <w:i/>
            <w:iCs/>
          </w:rPr>
          <w:t xml:space="preserve">Criminal Law and Evidence Amendment Act 2008 </w:t>
        </w:r>
        <w:r>
          <w:t>s. 78(10).</w:t>
        </w:r>
      </w:ins>
    </w:p>
    <w:p>
      <w:pPr>
        <w:pStyle w:val="nSubsection"/>
      </w:pPr>
      <w:r>
        <w:rPr>
          <w:vertAlign w:val="superscript"/>
        </w:rPr>
        <w:t>43</w:t>
      </w:r>
      <w:r>
        <w:tab/>
        <w:t xml:space="preserve">The </w:t>
      </w:r>
      <w:r>
        <w:rPr>
          <w:i/>
        </w:rPr>
        <w:t xml:space="preserve">Workers’ Compensation Legislation Amendment Act 2005 </w:t>
      </w:r>
      <w:r>
        <w:t>s. 30(3) reads as follows:</w:t>
      </w:r>
    </w:p>
    <w:p>
      <w:pPr>
        <w:pStyle w:val="MiscOpen"/>
      </w:pPr>
      <w:r>
        <w:t>“</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pPr>
      <w:r>
        <w:t>”.</w:t>
      </w:r>
    </w:p>
    <w:p>
      <w:pPr>
        <w:pStyle w:val="nSubsection"/>
        <w:keepNext/>
        <w:spacing w:before="120"/>
        <w:rPr>
          <w:snapToGrid w:val="0"/>
        </w:rPr>
      </w:pPr>
      <w:r>
        <w:rPr>
          <w:snapToGrid w:val="0"/>
          <w:vertAlign w:val="superscript"/>
        </w:rPr>
        <w:t>44</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MiscOpen"/>
      </w:pPr>
      <w:r>
        <w:t>“</w:t>
      </w: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93"/>
                <w:tab w:val="left" w:pos="1418"/>
              </w:tabs>
              <w:ind w:left="1418" w:right="567" w:hanging="1134"/>
            </w:pPr>
            <w:r>
              <w:tab/>
            </w:r>
            <w:r>
              <w:rPr>
                <w:b/>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MiscClose"/>
      </w:pPr>
      <w:r>
        <w:t>”.</w:t>
      </w:r>
    </w:p>
    <w:p>
      <w:pPr>
        <w:pStyle w:val="nSubsection"/>
        <w:rPr>
          <w:iCs/>
          <w:snapToGrid w:val="0"/>
        </w:rPr>
      </w:pPr>
      <w:r>
        <w:rPr>
          <w:vertAlign w:val="superscript"/>
        </w:rPr>
        <w:t>45</w:t>
      </w:r>
      <w:r>
        <w:rPr>
          <w:snapToGrid w:val="0"/>
        </w:rPr>
        <w:tab/>
        <w:t xml:space="preserve">The amendment in the </w:t>
      </w:r>
      <w:r>
        <w:rPr>
          <w:i/>
          <w:iCs/>
          <w:snapToGrid w:val="0"/>
        </w:rPr>
        <w:t>Chiropractors Act 2005</w:t>
      </w:r>
      <w:r>
        <w:rPr>
          <w:snapToGrid w:val="0"/>
        </w:rPr>
        <w:t xml:space="preserve"> s. 109 relating to s. 176(1b)(d) is not included because the section it sought to amend had been replaced by the </w:t>
      </w:r>
      <w:r>
        <w:rPr>
          <w:i/>
          <w:snapToGrid w:val="0"/>
        </w:rPr>
        <w:t>Workers’ Compensation Reform Act 2004</w:t>
      </w:r>
      <w:r>
        <w:rPr>
          <w:iCs/>
          <w:snapToGrid w:val="0"/>
        </w:rPr>
        <w:t xml:space="preserve"> s. 130 before the amendment purported to come into operation.</w:t>
      </w:r>
    </w:p>
    <w:p>
      <w:pPr>
        <w:pStyle w:val="nSubsection"/>
        <w:keepLines/>
        <w:rPr>
          <w:del w:id="960" w:author="svcMRProcess" w:date="2020-02-21T23:00:00Z"/>
          <w:snapToGrid w:val="0"/>
        </w:rPr>
      </w:pPr>
      <w:del w:id="961" w:author="svcMRProcess" w:date="2020-02-21T23:00:00Z">
        <w:r>
          <w:rPr>
            <w:snapToGrid w:val="0"/>
            <w:vertAlign w:val="superscript"/>
          </w:rPr>
          <w:delText>46</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s.73 and 78(10) </w:delText>
        </w:r>
        <w:r>
          <w:rPr>
            <w:snapToGrid w:val="0"/>
          </w:rPr>
          <w:delText>had not come into operation.  They read as follows:</w:delText>
        </w:r>
      </w:del>
    </w:p>
    <w:p>
      <w:pPr>
        <w:pStyle w:val="MiscOpen"/>
        <w:rPr>
          <w:del w:id="962" w:author="svcMRProcess" w:date="2020-02-21T23:00:00Z"/>
        </w:rPr>
      </w:pPr>
      <w:del w:id="963" w:author="svcMRProcess" w:date="2020-02-21T23:00:00Z">
        <w:r>
          <w:delText>“</w:delText>
        </w:r>
      </w:del>
    </w:p>
    <w:p>
      <w:pPr>
        <w:pStyle w:val="nzHeading5"/>
        <w:rPr>
          <w:del w:id="964" w:author="svcMRProcess" w:date="2020-02-21T23:00:00Z"/>
        </w:rPr>
      </w:pPr>
      <w:del w:id="965" w:author="svcMRProcess" w:date="2020-02-21T23:00:00Z">
        <w:r>
          <w:rPr>
            <w:rStyle w:val="CharSectno"/>
          </w:rPr>
          <w:delText>73</w:delText>
        </w:r>
        <w:r>
          <w:delText>.</w:delText>
        </w:r>
        <w:r>
          <w:tab/>
        </w:r>
        <w:r>
          <w:rPr>
            <w:i/>
          </w:rPr>
          <w:delText xml:space="preserve">Workers’ Compensation and Injury Management Act 1981 </w:delText>
        </w:r>
        <w:r>
          <w:delText>amended</w:delText>
        </w:r>
      </w:del>
    </w:p>
    <w:p>
      <w:pPr>
        <w:pStyle w:val="nzSubsection"/>
        <w:rPr>
          <w:del w:id="966" w:author="svcMRProcess" w:date="2020-02-21T23:00:00Z"/>
        </w:rPr>
      </w:pPr>
      <w:del w:id="967" w:author="svcMRProcess" w:date="2020-02-21T23:00:00Z">
        <w:r>
          <w:tab/>
          <w:delText>(1)</w:delText>
        </w:r>
        <w:r>
          <w:tab/>
          <w:delText xml:space="preserve">The amendments in this section are to the </w:delText>
        </w:r>
        <w:r>
          <w:rPr>
            <w:i/>
          </w:rPr>
          <w:delText>Workers’ Compensation and Injury Management Act 1981</w:delText>
        </w:r>
        <w:r>
          <w:delText>.</w:delText>
        </w:r>
      </w:del>
    </w:p>
    <w:p>
      <w:pPr>
        <w:pStyle w:val="nzSubsection"/>
        <w:rPr>
          <w:del w:id="968" w:author="svcMRProcess" w:date="2020-02-21T23:00:00Z"/>
        </w:rPr>
      </w:pPr>
      <w:del w:id="969" w:author="svcMRProcess" w:date="2020-02-21T23:00:00Z">
        <w:r>
          <w:tab/>
          <w:delText>(2)</w:delText>
        </w:r>
        <w:r>
          <w:tab/>
          <w:delText xml:space="preserve">Section 175H(2)(c) is amended by deleting “have a complaint of the alleged offence heard and determined by” and inserting instead — </w:delText>
        </w:r>
      </w:del>
    </w:p>
    <w:p>
      <w:pPr>
        <w:pStyle w:val="nzSubsection"/>
        <w:rPr>
          <w:del w:id="970" w:author="svcMRProcess" w:date="2020-02-21T23:00:00Z"/>
        </w:rPr>
      </w:pPr>
      <w:del w:id="971" w:author="svcMRProcess" w:date="2020-02-21T23:00:00Z">
        <w:r>
          <w:tab/>
        </w:r>
        <w:r>
          <w:tab/>
          <w:delText>“    be prosecuted for the alleged offence in    ”.</w:delText>
        </w:r>
      </w:del>
    </w:p>
    <w:p>
      <w:pPr>
        <w:pStyle w:val="MiscClose"/>
        <w:rPr>
          <w:del w:id="972" w:author="svcMRProcess" w:date="2020-02-21T23:00:00Z"/>
        </w:rPr>
      </w:pPr>
      <w:del w:id="973" w:author="svcMRProcess" w:date="2020-02-21T23:00:00Z">
        <w:r>
          <w:delText>”.</w:delText>
        </w:r>
      </w:del>
    </w:p>
    <w:p>
      <w:pPr>
        <w:pStyle w:val="nzHeading5"/>
        <w:rPr>
          <w:del w:id="974" w:author="svcMRProcess" w:date="2020-02-21T23:00:00Z"/>
        </w:rPr>
      </w:pPr>
      <w:del w:id="975" w:author="svcMRProcess" w:date="2020-02-21T23:00:00Z">
        <w:r>
          <w:rPr>
            <w:rStyle w:val="CharSectno"/>
          </w:rPr>
          <w:delText>78</w:delText>
        </w:r>
        <w:r>
          <w:delText>.</w:delText>
        </w:r>
        <w:r>
          <w:tab/>
        </w:r>
        <w:r>
          <w:rPr>
            <w:i/>
            <w:iCs/>
          </w:rPr>
          <w:delText xml:space="preserve">Criminal Procedure and Appeals (Consequential and Other Provisions) Act 2004 </w:delText>
        </w:r>
        <w:r>
          <w:delText>amended</w:delText>
        </w:r>
      </w:del>
    </w:p>
    <w:p>
      <w:pPr>
        <w:pStyle w:val="nzSubsection"/>
        <w:rPr>
          <w:del w:id="976" w:author="svcMRProcess" w:date="2020-02-21T23:00:00Z"/>
        </w:rPr>
      </w:pPr>
      <w:del w:id="977" w:author="svcMRProcess" w:date="2020-02-21T23:00:00Z">
        <w:r>
          <w:tab/>
          <w:delText>(1)</w:delText>
        </w:r>
        <w:r>
          <w:tab/>
          <w:delText xml:space="preserve">The amendments in this section are to the </w:delText>
        </w:r>
        <w:r>
          <w:rPr>
            <w:i/>
            <w:iCs/>
          </w:rPr>
          <w:delText>Criminal Procedure and Appeals (Consequential and Other Provisions) Act 2004</w:delText>
        </w:r>
        <w:r>
          <w:delText>.</w:delText>
        </w:r>
      </w:del>
    </w:p>
    <w:p>
      <w:pPr>
        <w:pStyle w:val="nzSubsection"/>
        <w:rPr>
          <w:del w:id="978" w:author="svcMRProcess" w:date="2020-02-21T23:00:00Z"/>
        </w:rPr>
      </w:pPr>
      <w:del w:id="979" w:author="svcMRProcess" w:date="2020-02-21T23:00:00Z">
        <w:r>
          <w:tab/>
          <w:delText>(10)</w:delText>
        </w:r>
        <w:r>
          <w:tab/>
          <w:delText>Schedule 2 clause 157 is amended by deleting the row relating to “s. 175H(2)(c)”.</w:delText>
        </w:r>
      </w:del>
    </w:p>
    <w:p>
      <w:pPr>
        <w:pStyle w:val="MiscClose"/>
        <w:rPr>
          <w:del w:id="980" w:author="svcMRProcess" w:date="2020-02-21T23:00:00Z"/>
        </w:rPr>
      </w:pPr>
      <w:del w:id="981" w:author="svcMRProcess" w:date="2020-02-21T23:00:00Z">
        <w:r>
          <w:delText>”.</w:delText>
        </w:r>
      </w:del>
    </w:p>
    <w:p>
      <w:pPr>
        <w:pStyle w:val="nSubsection"/>
        <w:keepLines/>
        <w:rPr>
          <w:snapToGrid w:val="0"/>
        </w:rPr>
      </w:pPr>
      <w:del w:id="982" w:author="svcMRProcess" w:date="2020-02-21T23:00:00Z">
        <w:r>
          <w:rPr>
            <w:snapToGrid w:val="0"/>
            <w:vertAlign w:val="superscript"/>
          </w:rPr>
          <w:delText>47</w:delText>
        </w:r>
      </w:del>
      <w:ins w:id="983" w:author="svcMRProcess" w:date="2020-02-21T23:00:00Z">
        <w:r>
          <w:rPr>
            <w:snapToGrid w:val="0"/>
            <w:vertAlign w:val="superscript"/>
          </w:rPr>
          <w:t>46</w:t>
        </w:r>
      </w:ins>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42, </w:t>
      </w:r>
      <w:r>
        <w:rPr>
          <w:snapToGrid w:val="0"/>
        </w:rPr>
        <w:t>had not come into operation.  It reads as follows:</w:t>
      </w:r>
    </w:p>
    <w:p>
      <w:pPr>
        <w:pStyle w:val="MiscOpen"/>
      </w:pPr>
      <w:r>
        <w:t>“</w:t>
      </w:r>
    </w:p>
    <w:p>
      <w:pPr>
        <w:pStyle w:val="nzHeading5"/>
        <w:rPr>
          <w:snapToGrid w:val="0"/>
        </w:rPr>
      </w:pPr>
      <w:r>
        <w:rPr>
          <w:rStyle w:val="CharSectno"/>
        </w:rPr>
        <w:t>52</w:t>
      </w:r>
      <w:r>
        <w:rPr>
          <w:snapToGrid w:val="0"/>
        </w:rPr>
        <w:t>.</w:t>
      </w:r>
      <w:r>
        <w:rPr>
          <w:snapToGrid w:val="0"/>
        </w:rPr>
        <w:tab/>
        <w:t>Various Acts amended</w:t>
      </w:r>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42 reads as follows:</w:t>
      </w:r>
    </w:p>
    <w:p>
      <w:pPr>
        <w:pStyle w:val="MiscOpen"/>
      </w:pPr>
      <w:r>
        <w:t>“</w:t>
      </w:r>
    </w:p>
    <w:p>
      <w:pPr>
        <w:pStyle w:val="nzHeading2"/>
      </w:pPr>
      <w:r>
        <w:rPr>
          <w:rStyle w:val="CharSchNo"/>
        </w:rPr>
        <w:t>Schedule 1</w:t>
      </w:r>
      <w:r>
        <w:rPr>
          <w:rStyle w:val="CharSDivNo"/>
        </w:rPr>
        <w:t> </w:t>
      </w:r>
      <w:r>
        <w:t>—</w:t>
      </w:r>
      <w:bookmarkStart w:id="984" w:name="AutoSch"/>
      <w:bookmarkEnd w:id="984"/>
      <w:r>
        <w:rPr>
          <w:rStyle w:val="CharSDivText"/>
        </w:rPr>
        <w:t> </w:t>
      </w:r>
      <w:r>
        <w:rPr>
          <w:rStyle w:val="CharSchText"/>
        </w:rPr>
        <w:t>Amendments to various Acts</w:t>
      </w:r>
    </w:p>
    <w:p>
      <w:pPr>
        <w:pStyle w:val="nzMiscellaneousBody"/>
        <w:jc w:val="right"/>
      </w:pPr>
      <w:r>
        <w:t>[s. 52]</w:t>
      </w:r>
    </w:p>
    <w:p>
      <w:pPr>
        <w:pStyle w:val="nzHeading5"/>
      </w:pPr>
      <w:r>
        <w:rPr>
          <w:rStyle w:val="CharSClsNo"/>
        </w:rPr>
        <w:t>42</w:t>
      </w:r>
      <w:r>
        <w:t>.</w:t>
      </w:r>
      <w:r>
        <w:tab/>
      </w:r>
      <w:r>
        <w:rPr>
          <w:i/>
        </w:rPr>
        <w:t>Workers’ Compensation and Injury Management Act 1981</w:t>
      </w:r>
    </w:p>
    <w:p>
      <w:pPr>
        <w:pStyle w:val="nzSubsection"/>
      </w:pPr>
      <w:r>
        <w:tab/>
      </w:r>
      <w:r>
        <w:tab/>
        <w:t xml:space="preserve">Section 297 is amended by deleting “stamp duties chargeable under the </w:t>
      </w:r>
      <w:r>
        <w:rPr>
          <w:i/>
          <w:iCs/>
        </w:rPr>
        <w:t>Stamp Act 1921</w:t>
      </w:r>
      <w:r>
        <w:t xml:space="preserve">.” and inserting instead — </w:t>
      </w:r>
    </w:p>
    <w:p>
      <w:pPr>
        <w:pStyle w:val="nzSubsection"/>
      </w:pPr>
      <w:r>
        <w:tab/>
      </w:r>
      <w:r>
        <w:tab/>
        <w:t xml:space="preserve">“    </w:t>
      </w:r>
      <w:r>
        <w:rPr>
          <w:sz w:val="24"/>
        </w:rPr>
        <w:t xml:space="preserve">duty chargeable under the </w:t>
      </w:r>
      <w:r>
        <w:rPr>
          <w:i/>
          <w:iCs/>
          <w:sz w:val="24"/>
        </w:rPr>
        <w:t>Duties Act 2008</w:t>
      </w:r>
      <w:r>
        <w:rPr>
          <w:sz w:val="24"/>
        </w:rPr>
        <w:t>.</w:t>
      </w:r>
      <w:r>
        <w:t xml:space="preserve">    ”.</w:t>
      </w:r>
    </w:p>
    <w:p>
      <w:pPr>
        <w:pStyle w:val="MiscClose"/>
      </w:pPr>
      <w:r>
        <w:t>”.</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10213"/>
    <w:docVar w:name="WAFER_20140609110213" w:val="RemoveTocBookmarks,RemoveUnusedBookmarks,RemoveLanguageTags,UsedStyles,ResetPageSize"/>
    <w:docVar w:name="WAFER_20140609110213_GUID" w:val="45596287-30a7-456a-b0c3-9a3605ff8f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113616</Words>
  <Characters>541953</Characters>
  <Application>Microsoft Office Word</Application>
  <DocSecurity>0</DocSecurity>
  <Lines>13896</Lines>
  <Paragraphs>6490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07-e0-02 - 07-f0-03</dc:title>
  <dc:subject/>
  <dc:creator/>
  <cp:keywords/>
  <dc:description/>
  <cp:lastModifiedBy>svcMRProcess</cp:lastModifiedBy>
  <cp:revision>2</cp:revision>
  <cp:lastPrinted>2007-07-31T04:29:00Z</cp:lastPrinted>
  <dcterms:created xsi:type="dcterms:W3CDTF">2020-02-21T15:00:00Z</dcterms:created>
  <dcterms:modified xsi:type="dcterms:W3CDTF">2020-02-21T15:01:00Z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915</vt:i4>
  </property>
  <property fmtid="{D5CDD505-2E9C-101B-9397-08002B2CF9AE}" pid="6" name="ReprintNo">
    <vt:lpwstr>7</vt:lpwstr>
  </property>
  <property fmtid="{D5CDD505-2E9C-101B-9397-08002B2CF9AE}" pid="7" name="FromSuffix">
    <vt:lpwstr>07-e0-02</vt:lpwstr>
  </property>
  <property fmtid="{D5CDD505-2E9C-101B-9397-08002B2CF9AE}" pid="8" name="FromAsAtDate">
    <vt:lpwstr>14 Apr 2008</vt:lpwstr>
  </property>
  <property fmtid="{D5CDD505-2E9C-101B-9397-08002B2CF9AE}" pid="9" name="ToSuffix">
    <vt:lpwstr>07-f0-03</vt:lpwstr>
  </property>
  <property fmtid="{D5CDD505-2E9C-101B-9397-08002B2CF9AE}" pid="10" name="ToAsAtDate">
    <vt:lpwstr>27 Apr 2008</vt:lpwstr>
  </property>
</Properties>
</file>