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Limited Partnerships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Limited Partnerships Act 1909 </w:t>
      </w:r>
    </w:p>
    <w:p>
      <w:pPr>
        <w:pStyle w:val="LongTitle"/>
        <w:rPr>
          <w:snapToGrid w:val="0"/>
        </w:rPr>
      </w:pPr>
      <w:r>
        <w:rPr>
          <w:snapToGrid w:val="0"/>
        </w:rPr>
        <w:t>A</w:t>
      </w:r>
      <w:bookmarkStart w:id="0" w:name="_GoBack"/>
      <w:bookmarkEnd w:id="0"/>
      <w:r>
        <w:rPr>
          <w:snapToGrid w:val="0"/>
        </w:rPr>
        <w:t xml:space="preserve">n Act to establish limited partnerships. </w:t>
      </w:r>
    </w:p>
    <w:p>
      <w:pPr>
        <w:pStyle w:val="Heading5"/>
        <w:rPr>
          <w:snapToGrid w:val="0"/>
        </w:rPr>
      </w:pPr>
      <w:bookmarkStart w:id="1" w:name="_Toc421593016"/>
      <w:bookmarkStart w:id="2" w:name="_Toc39468985"/>
      <w:bookmarkStart w:id="3" w:name="_Toc104709413"/>
      <w:bookmarkStart w:id="4" w:name="_Toc202173650"/>
      <w:bookmarkStart w:id="5" w:name="_Toc196124436"/>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pPr>
        <w:pStyle w:val="Heading5"/>
        <w:rPr>
          <w:snapToGrid w:val="0"/>
        </w:rPr>
      </w:pPr>
      <w:bookmarkStart w:id="6" w:name="_Toc421593017"/>
      <w:bookmarkStart w:id="7" w:name="_Toc39468986"/>
      <w:bookmarkStart w:id="8" w:name="_Toc104709414"/>
      <w:bookmarkStart w:id="9" w:name="_Toc202173651"/>
      <w:bookmarkStart w:id="10" w:name="_Toc196124437"/>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force on 1 May 1909.</w:t>
      </w:r>
    </w:p>
    <w:p>
      <w:pPr>
        <w:pStyle w:val="Heading5"/>
        <w:rPr>
          <w:snapToGrid w:val="0"/>
        </w:rPr>
      </w:pPr>
      <w:bookmarkStart w:id="11" w:name="_Toc421593018"/>
      <w:bookmarkStart w:id="12" w:name="_Toc39468987"/>
      <w:bookmarkStart w:id="13" w:name="_Toc104709415"/>
      <w:bookmarkStart w:id="14" w:name="_Toc202173652"/>
      <w:bookmarkStart w:id="15" w:name="_Toc196124438"/>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pPr>
        <w:pStyle w:val="Defstart"/>
      </w:pPr>
      <w:r>
        <w:rPr>
          <w:b/>
        </w:rPr>
        <w:tab/>
      </w:r>
      <w:del w:id="16" w:author="svcMRProcess" w:date="2015-11-01T20:45:00Z">
        <w:r>
          <w:rPr>
            <w:b/>
          </w:rPr>
          <w:delText>“</w:delText>
        </w:r>
      </w:del>
      <w:r>
        <w:rPr>
          <w:rStyle w:val="CharDefText"/>
        </w:rPr>
        <w:t>Firm</w:t>
      </w:r>
      <w:del w:id="17" w:author="svcMRProcess" w:date="2015-11-01T20:45:00Z">
        <w:r>
          <w:rPr>
            <w:b/>
          </w:rPr>
          <w:delText>”</w:delText>
        </w:r>
        <w:r>
          <w:delText xml:space="preserve">, </w:delText>
        </w:r>
        <w:r>
          <w:rPr>
            <w:b/>
          </w:rPr>
          <w:delText>“</w:delText>
        </w:r>
      </w:del>
      <w:ins w:id="18" w:author="svcMRProcess" w:date="2015-11-01T20:45:00Z">
        <w:r>
          <w:t xml:space="preserve">, </w:t>
        </w:r>
      </w:ins>
      <w:r>
        <w:rPr>
          <w:rStyle w:val="CharDefText"/>
        </w:rPr>
        <w:t>firm name</w:t>
      </w:r>
      <w:del w:id="19" w:author="svcMRProcess" w:date="2015-11-01T20:45:00Z">
        <w:r>
          <w:rPr>
            <w:b/>
          </w:rPr>
          <w:delText>”</w:delText>
        </w:r>
        <w:r>
          <w:delText>,</w:delText>
        </w:r>
      </w:del>
      <w:ins w:id="20" w:author="svcMRProcess" w:date="2015-11-01T20:45:00Z">
        <w:r>
          <w:t>,</w:t>
        </w:r>
      </w:ins>
      <w:r>
        <w:t xml:space="preserve"> and </w:t>
      </w:r>
      <w:del w:id="21" w:author="svcMRProcess" w:date="2015-11-01T20:45:00Z">
        <w:r>
          <w:rPr>
            <w:b/>
          </w:rPr>
          <w:delText>“</w:delText>
        </w:r>
      </w:del>
      <w:r>
        <w:rPr>
          <w:rStyle w:val="CharDefText"/>
        </w:rPr>
        <w:t>business</w:t>
      </w:r>
      <w:del w:id="22" w:author="svcMRProcess" w:date="2015-11-01T20:45:00Z">
        <w:r>
          <w:rPr>
            <w:b/>
          </w:rPr>
          <w:delText>”</w:delText>
        </w:r>
      </w:del>
      <w:r>
        <w:t xml:space="preserve"> have the same meanings as in </w:t>
      </w:r>
      <w:r>
        <w:rPr>
          <w:i/>
        </w:rPr>
        <w:t>The Partnership Act 1895</w:t>
      </w:r>
      <w:r>
        <w:t>.</w:t>
      </w:r>
    </w:p>
    <w:p>
      <w:pPr>
        <w:pStyle w:val="Defstart"/>
      </w:pPr>
      <w:r>
        <w:rPr>
          <w:b/>
        </w:rPr>
        <w:tab/>
      </w:r>
      <w:del w:id="23" w:author="svcMRProcess" w:date="2015-11-01T20:45:00Z">
        <w:r>
          <w:rPr>
            <w:b/>
          </w:rPr>
          <w:delText>“</w:delText>
        </w:r>
      </w:del>
      <w:r>
        <w:rPr>
          <w:rStyle w:val="CharDefText"/>
        </w:rPr>
        <w:t>General partner</w:t>
      </w:r>
      <w:del w:id="24" w:author="svcMRProcess" w:date="2015-11-01T20:45:00Z">
        <w:r>
          <w:rPr>
            <w:b/>
          </w:rPr>
          <w:delText>”</w:delText>
        </w:r>
      </w:del>
      <w:r>
        <w:t xml:space="preserve"> shall mean any partner who is not a limited partner as defined by this Act.</w:t>
      </w:r>
    </w:p>
    <w:p>
      <w:pPr>
        <w:pStyle w:val="Heading5"/>
        <w:rPr>
          <w:snapToGrid w:val="0"/>
        </w:rPr>
      </w:pPr>
      <w:bookmarkStart w:id="25" w:name="_Toc421593019"/>
      <w:bookmarkStart w:id="26" w:name="_Toc39468988"/>
      <w:bookmarkStart w:id="27" w:name="_Toc104709416"/>
      <w:bookmarkStart w:id="28" w:name="_Toc202173653"/>
      <w:bookmarkStart w:id="29" w:name="_Toc196124439"/>
      <w:r>
        <w:rPr>
          <w:rStyle w:val="CharSectno"/>
        </w:rPr>
        <w:t>4</w:t>
      </w:r>
      <w:r>
        <w:rPr>
          <w:snapToGrid w:val="0"/>
        </w:rPr>
        <w:t>.</w:t>
      </w:r>
      <w:r>
        <w:rPr>
          <w:snapToGrid w:val="0"/>
        </w:rPr>
        <w:tab/>
        <w:t>Definition and constitution of limited partnership</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pPr>
        <w:pStyle w:val="Subsection"/>
        <w:rPr>
          <w:snapToGrid w:val="0"/>
        </w:rPr>
      </w:pPr>
      <w:r>
        <w:rPr>
          <w:snapToGrid w:val="0"/>
        </w:rPr>
        <w:tab/>
        <w:t>(4)</w:t>
      </w:r>
      <w:r>
        <w:rPr>
          <w:snapToGrid w:val="0"/>
        </w:rPr>
        <w:tab/>
        <w:t>A body corporate may be a limited partner.</w:t>
      </w:r>
    </w:p>
    <w:p>
      <w:pPr>
        <w:pStyle w:val="Heading5"/>
        <w:rPr>
          <w:snapToGrid w:val="0"/>
        </w:rPr>
      </w:pPr>
      <w:bookmarkStart w:id="30" w:name="_Toc421593020"/>
      <w:bookmarkStart w:id="31" w:name="_Toc39468989"/>
      <w:bookmarkStart w:id="32" w:name="_Toc104709417"/>
      <w:bookmarkStart w:id="33" w:name="_Toc202173654"/>
      <w:bookmarkStart w:id="34" w:name="_Toc196124440"/>
      <w:r>
        <w:rPr>
          <w:rStyle w:val="CharSectno"/>
        </w:rPr>
        <w:t>5</w:t>
      </w:r>
      <w:r>
        <w:rPr>
          <w:snapToGrid w:val="0"/>
        </w:rPr>
        <w:t>.</w:t>
      </w:r>
      <w:r>
        <w:rPr>
          <w:snapToGrid w:val="0"/>
        </w:rPr>
        <w:tab/>
        <w:t>Registration of limited partnership required</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pPr>
        <w:pStyle w:val="Heading5"/>
        <w:rPr>
          <w:snapToGrid w:val="0"/>
        </w:rPr>
      </w:pPr>
      <w:bookmarkStart w:id="35" w:name="_Toc421593021"/>
      <w:bookmarkStart w:id="36" w:name="_Toc39468990"/>
      <w:bookmarkStart w:id="37" w:name="_Toc104709418"/>
      <w:bookmarkStart w:id="38" w:name="_Toc202173655"/>
      <w:bookmarkStart w:id="39" w:name="_Toc196124441"/>
      <w:r>
        <w:rPr>
          <w:rStyle w:val="CharSectno"/>
        </w:rPr>
        <w:t>6</w:t>
      </w:r>
      <w:r>
        <w:rPr>
          <w:snapToGrid w:val="0"/>
        </w:rPr>
        <w:t>.</w:t>
      </w:r>
      <w:r>
        <w:rPr>
          <w:snapToGrid w:val="0"/>
        </w:rPr>
        <w:tab/>
        <w:t>Modifications of general law in the case of limited partnerships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pPr>
        <w:pStyle w:val="Subsection"/>
        <w:rPr>
          <w:snapToGrid w:val="0"/>
        </w:rPr>
      </w:pPr>
      <w:r>
        <w:rPr>
          <w:snapToGrid w:val="0"/>
        </w:rPr>
        <w:tab/>
      </w:r>
      <w:r>
        <w:rPr>
          <w:snapToGrid w:val="0"/>
        </w:rPr>
        <w:tab/>
        <w:t>Provided that the limited partner may, by himself or his agent, at any time inspect the books of the firm and examine into the state and prospects of the partnership business, and may advise with the partners thereon.</w:t>
      </w:r>
    </w:p>
    <w:p>
      <w:pPr>
        <w:pStyle w:val="Subsection"/>
        <w:rPr>
          <w:snapToGrid w:val="0"/>
        </w:rPr>
      </w:pPr>
      <w:r>
        <w:rPr>
          <w:snapToGrid w:val="0"/>
        </w:rPr>
        <w:tab/>
      </w:r>
      <w:r>
        <w:rPr>
          <w:snapToGrid w:val="0"/>
        </w:rPr>
        <w:tab/>
        <w:t>If a limited partner takes part in the management of the partnership business, he shall be liable for all debts and obligations of the firm incurred while he so takes part in the management as though he were a general partner.</w:t>
      </w:r>
    </w:p>
    <w:p>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pPr>
        <w:pStyle w:val="Indenta"/>
      </w:pPr>
      <w:r>
        <w:tab/>
        <w:t>(a)</w:t>
      </w:r>
      <w:r>
        <w:tab/>
        <w:t>a reference to a company is to be read as a reference to a limited partnership;</w:t>
      </w:r>
    </w:p>
    <w:p>
      <w:pPr>
        <w:pStyle w:val="Indenta"/>
      </w:pPr>
      <w:r>
        <w:tab/>
        <w:t>(b)</w:t>
      </w:r>
      <w:r>
        <w:tab/>
        <w:t>a reference to the directors of a company is to be read as a reference to the general partners of a limited partnership;</w:t>
      </w:r>
    </w:p>
    <w:p>
      <w:pPr>
        <w:pStyle w:val="Indenta"/>
      </w:pPr>
      <w:r>
        <w:tab/>
        <w:t>(c)</w:t>
      </w:r>
      <w:r>
        <w:tab/>
        <w:t>a reference to ASIC is to be read as a reference to the Registrar;</w:t>
      </w:r>
    </w:p>
    <w:p>
      <w:pPr>
        <w:pStyle w:val="Indenta"/>
      </w:pPr>
      <w:r>
        <w:tab/>
        <w:t>(d)</w:t>
      </w:r>
      <w:r>
        <w:tab/>
        <w:t>a reference to the Court is to be read as a reference to the Supreme Court.</w:t>
      </w:r>
    </w:p>
    <w:p>
      <w:pPr>
        <w:pStyle w:val="Subsection"/>
        <w:keepNext/>
        <w:rPr>
          <w:snapToGrid w:val="0"/>
        </w:rPr>
      </w:pPr>
      <w:r>
        <w:rPr>
          <w:snapToGrid w:val="0"/>
        </w:rPr>
        <w:tab/>
        <w:t>(5)</w:t>
      </w:r>
      <w:r>
        <w:rPr>
          <w:snapToGrid w:val="0"/>
        </w:rPr>
        <w:tab/>
        <w:t>Subject to any agreement expressed or implied between the partners — </w:t>
      </w:r>
    </w:p>
    <w:p>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pPr>
        <w:pStyle w:val="Indenta"/>
        <w:rPr>
          <w:snapToGrid w:val="0"/>
        </w:rPr>
      </w:pPr>
      <w:r>
        <w:rPr>
          <w:snapToGrid w:val="0"/>
        </w:rPr>
        <w:tab/>
        <w:t>(d)</w:t>
      </w:r>
      <w:r>
        <w:rPr>
          <w:snapToGrid w:val="0"/>
        </w:rPr>
        <w:tab/>
        <w:t>a person may be introduced as a partner without the consent of the existing limited partners;</w:t>
      </w:r>
    </w:p>
    <w:p>
      <w:pPr>
        <w:pStyle w:val="Indenta"/>
        <w:rPr>
          <w:snapToGrid w:val="0"/>
        </w:rPr>
      </w:pPr>
      <w:r>
        <w:rPr>
          <w:snapToGrid w:val="0"/>
        </w:rPr>
        <w:tab/>
        <w:t>(e)</w:t>
      </w:r>
      <w:r>
        <w:rPr>
          <w:snapToGrid w:val="0"/>
        </w:rPr>
        <w:tab/>
        <w:t>a limited partner shall not be entitled to dissolve the partnership by notice.</w:t>
      </w:r>
    </w:p>
    <w:p>
      <w:pPr>
        <w:pStyle w:val="Footnotesection"/>
      </w:pPr>
      <w:r>
        <w:tab/>
        <w:t xml:space="preserve">[Section 6 amended by No. 10 of 1982 s. 28; No. 20 of 2003 s. 33(2).] </w:t>
      </w:r>
    </w:p>
    <w:p>
      <w:pPr>
        <w:pStyle w:val="Heading5"/>
        <w:rPr>
          <w:snapToGrid w:val="0"/>
        </w:rPr>
      </w:pPr>
      <w:bookmarkStart w:id="40" w:name="_Toc421593022"/>
      <w:bookmarkStart w:id="41" w:name="_Toc39468991"/>
      <w:bookmarkStart w:id="42" w:name="_Toc104709419"/>
      <w:bookmarkStart w:id="43" w:name="_Toc202173656"/>
      <w:bookmarkStart w:id="44" w:name="_Toc196124442"/>
      <w:r>
        <w:rPr>
          <w:rStyle w:val="CharSectno"/>
        </w:rPr>
        <w:t>7</w:t>
      </w:r>
      <w:r>
        <w:rPr>
          <w:snapToGrid w:val="0"/>
        </w:rPr>
        <w:t>.</w:t>
      </w:r>
      <w:r>
        <w:rPr>
          <w:snapToGrid w:val="0"/>
        </w:rPr>
        <w:tab/>
        <w:t>Law as to private partnerships to apply where not excluded by this Act</w:t>
      </w:r>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pPr>
        <w:pStyle w:val="Heading5"/>
        <w:rPr>
          <w:snapToGrid w:val="0"/>
        </w:rPr>
      </w:pPr>
      <w:bookmarkStart w:id="45" w:name="_Toc421593023"/>
      <w:bookmarkStart w:id="46" w:name="_Toc39468992"/>
      <w:bookmarkStart w:id="47" w:name="_Toc104709420"/>
      <w:bookmarkStart w:id="48" w:name="_Toc202173657"/>
      <w:bookmarkStart w:id="49" w:name="_Toc196124443"/>
      <w:r>
        <w:rPr>
          <w:rStyle w:val="CharSectno"/>
        </w:rPr>
        <w:t>8</w:t>
      </w:r>
      <w:r>
        <w:rPr>
          <w:snapToGrid w:val="0"/>
        </w:rPr>
        <w:t>.</w:t>
      </w:r>
      <w:r>
        <w:rPr>
          <w:snapToGrid w:val="0"/>
        </w:rPr>
        <w:tab/>
        <w:t>Manner and particulars of registration</w:t>
      </w:r>
      <w:bookmarkEnd w:id="45"/>
      <w:bookmarkEnd w:id="46"/>
      <w:bookmarkEnd w:id="47"/>
      <w:bookmarkEnd w:id="48"/>
      <w:bookmarkEnd w:id="49"/>
      <w:r>
        <w:rPr>
          <w:snapToGrid w:val="0"/>
        </w:rPr>
        <w:t xml:space="preserve"> </w:t>
      </w:r>
    </w:p>
    <w:p>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full name of each of the partners;</w:t>
      </w:r>
    </w:p>
    <w:p>
      <w:pPr>
        <w:pStyle w:val="Indenta"/>
        <w:rPr>
          <w:snapToGrid w:val="0"/>
        </w:rPr>
      </w:pPr>
      <w:r>
        <w:rPr>
          <w:snapToGrid w:val="0"/>
        </w:rPr>
        <w:tab/>
        <w:t>(e)</w:t>
      </w:r>
      <w:r>
        <w:rPr>
          <w:snapToGrid w:val="0"/>
        </w:rPr>
        <w:tab/>
        <w:t>the term, if any, for which the partnership is entered into, and the date of its commencement;</w:t>
      </w:r>
    </w:p>
    <w:p>
      <w:pPr>
        <w:pStyle w:val="Indenta"/>
        <w:rPr>
          <w:snapToGrid w:val="0"/>
        </w:rPr>
      </w:pPr>
      <w:r>
        <w:rPr>
          <w:snapToGrid w:val="0"/>
        </w:rPr>
        <w:tab/>
        <w:t>(f)</w:t>
      </w:r>
      <w:r>
        <w:rPr>
          <w:snapToGrid w:val="0"/>
        </w:rPr>
        <w:tab/>
        <w:t>a statement that the partnership is limited, and the description of every limited partner as such;</w:t>
      </w:r>
    </w:p>
    <w:p>
      <w:pPr>
        <w:pStyle w:val="Indenta"/>
        <w:rPr>
          <w:snapToGrid w:val="0"/>
        </w:rPr>
      </w:pPr>
      <w:r>
        <w:rPr>
          <w:snapToGrid w:val="0"/>
        </w:rPr>
        <w:tab/>
        <w:t>(g)</w:t>
      </w:r>
      <w:r>
        <w:rPr>
          <w:snapToGrid w:val="0"/>
        </w:rPr>
        <w:tab/>
        <w:t>the sum contributed by each limited partner, and whether paid in cash or how otherwise.</w:t>
      </w:r>
    </w:p>
    <w:p>
      <w:pPr>
        <w:pStyle w:val="Heading5"/>
        <w:rPr>
          <w:snapToGrid w:val="0"/>
        </w:rPr>
      </w:pPr>
      <w:bookmarkStart w:id="50" w:name="_Toc421593024"/>
      <w:bookmarkStart w:id="51" w:name="_Toc39468993"/>
      <w:bookmarkStart w:id="52" w:name="_Toc104709421"/>
      <w:bookmarkStart w:id="53" w:name="_Toc202173658"/>
      <w:bookmarkStart w:id="54" w:name="_Toc196124444"/>
      <w:r>
        <w:rPr>
          <w:rStyle w:val="CharSectno"/>
        </w:rPr>
        <w:t>9</w:t>
      </w:r>
      <w:r>
        <w:rPr>
          <w:snapToGrid w:val="0"/>
        </w:rPr>
        <w:t>.</w:t>
      </w:r>
      <w:r>
        <w:rPr>
          <w:snapToGrid w:val="0"/>
        </w:rPr>
        <w:tab/>
        <w:t>Registration of changes in partnerships</w:t>
      </w:r>
      <w:bookmarkEnd w:id="50"/>
      <w:bookmarkEnd w:id="51"/>
      <w:bookmarkEnd w:id="52"/>
      <w:bookmarkEnd w:id="53"/>
      <w:bookmarkEnd w:id="54"/>
      <w:r>
        <w:rPr>
          <w:snapToGrid w:val="0"/>
        </w:rPr>
        <w:t xml:space="preserve"> </w:t>
      </w:r>
    </w:p>
    <w:p>
      <w:pPr>
        <w:pStyle w:val="Subsection"/>
        <w:keepNext/>
        <w:rPr>
          <w:snapToGrid w:val="0"/>
        </w:rPr>
      </w:pPr>
      <w:r>
        <w:rPr>
          <w:snapToGrid w:val="0"/>
        </w:rPr>
        <w:tab/>
        <w:t>(1)</w:t>
      </w:r>
      <w:r>
        <w:rPr>
          <w:snapToGrid w:val="0"/>
        </w:rPr>
        <w:tab/>
        <w:t>If, during the continuance of a limited partnership, any change is made or occurs in — </w:t>
      </w:r>
    </w:p>
    <w:p>
      <w:pPr>
        <w:pStyle w:val="Indenta"/>
        <w:rPr>
          <w:snapToGrid w:val="0"/>
        </w:rPr>
      </w:pPr>
      <w:r>
        <w:rPr>
          <w:snapToGrid w:val="0"/>
        </w:rPr>
        <w:tab/>
        <w:t>(a)</w:t>
      </w:r>
      <w:r>
        <w:rPr>
          <w:snapToGrid w:val="0"/>
        </w:rPr>
        <w:tab/>
        <w:t>the firm name;</w:t>
      </w:r>
    </w:p>
    <w:p>
      <w:pPr>
        <w:pStyle w:val="Indenta"/>
        <w:rPr>
          <w:snapToGrid w:val="0"/>
        </w:rPr>
      </w:pPr>
      <w:r>
        <w:rPr>
          <w:snapToGrid w:val="0"/>
        </w:rPr>
        <w:tab/>
        <w:t>(b)</w:t>
      </w:r>
      <w:r>
        <w:rPr>
          <w:snapToGrid w:val="0"/>
        </w:rPr>
        <w:tab/>
        <w:t>the general nature of the business;</w:t>
      </w:r>
    </w:p>
    <w:p>
      <w:pPr>
        <w:pStyle w:val="Indenta"/>
        <w:rPr>
          <w:snapToGrid w:val="0"/>
        </w:rPr>
      </w:pPr>
      <w:r>
        <w:rPr>
          <w:snapToGrid w:val="0"/>
        </w:rPr>
        <w:tab/>
        <w:t>(c)</w:t>
      </w:r>
      <w:r>
        <w:rPr>
          <w:snapToGrid w:val="0"/>
        </w:rPr>
        <w:tab/>
        <w:t>the principal place of business;</w:t>
      </w:r>
    </w:p>
    <w:p>
      <w:pPr>
        <w:pStyle w:val="Indenta"/>
        <w:rPr>
          <w:snapToGrid w:val="0"/>
        </w:rPr>
      </w:pPr>
      <w:r>
        <w:rPr>
          <w:snapToGrid w:val="0"/>
        </w:rPr>
        <w:tab/>
        <w:t>(d)</w:t>
      </w:r>
      <w:r>
        <w:rPr>
          <w:snapToGrid w:val="0"/>
        </w:rPr>
        <w:tab/>
        <w:t>the partners or the name of any partner;</w:t>
      </w:r>
    </w:p>
    <w:p>
      <w:pPr>
        <w:pStyle w:val="Indenta"/>
        <w:rPr>
          <w:snapToGrid w:val="0"/>
        </w:rPr>
      </w:pPr>
      <w:r>
        <w:rPr>
          <w:snapToGrid w:val="0"/>
        </w:rPr>
        <w:tab/>
        <w:t>(e)</w:t>
      </w:r>
      <w:r>
        <w:rPr>
          <w:snapToGrid w:val="0"/>
        </w:rPr>
        <w:tab/>
        <w:t>the term or character of the partnership;</w:t>
      </w:r>
    </w:p>
    <w:p>
      <w:pPr>
        <w:pStyle w:val="Indenta"/>
        <w:rPr>
          <w:snapToGrid w:val="0"/>
        </w:rPr>
      </w:pPr>
      <w:r>
        <w:rPr>
          <w:snapToGrid w:val="0"/>
        </w:rPr>
        <w:tab/>
        <w:t>(f)</w:t>
      </w:r>
      <w:r>
        <w:rPr>
          <w:snapToGrid w:val="0"/>
        </w:rPr>
        <w:tab/>
        <w:t>the sum contributed by any limited partner;</w:t>
      </w:r>
    </w:p>
    <w:p>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pPr>
        <w:pStyle w:val="Footnotesection"/>
      </w:pPr>
      <w:r>
        <w:tab/>
        <w:t xml:space="preserve">[Section 9 amended by No. 113 of 1965 s. 8.] </w:t>
      </w:r>
    </w:p>
    <w:p>
      <w:pPr>
        <w:pStyle w:val="Heading5"/>
        <w:rPr>
          <w:snapToGrid w:val="0"/>
        </w:rPr>
      </w:pPr>
      <w:bookmarkStart w:id="55" w:name="_Toc421593025"/>
      <w:bookmarkStart w:id="56" w:name="_Toc39468994"/>
      <w:bookmarkStart w:id="57" w:name="_Toc104709422"/>
      <w:bookmarkStart w:id="58" w:name="_Toc202173659"/>
      <w:bookmarkStart w:id="59" w:name="_Toc196124445"/>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pPr>
        <w:pStyle w:val="Heading5"/>
        <w:rPr>
          <w:del w:id="60" w:author="svcMRProcess" w:date="2015-11-01T20:45:00Z"/>
          <w:snapToGrid w:val="0"/>
        </w:rPr>
      </w:pPr>
      <w:ins w:id="61" w:author="svcMRProcess" w:date="2015-11-01T20:45:00Z">
        <w:r>
          <w:t>[</w:t>
        </w:r>
      </w:ins>
      <w:bookmarkStart w:id="62" w:name="_Toc421593026"/>
      <w:bookmarkStart w:id="63" w:name="_Toc39468995"/>
      <w:bookmarkStart w:id="64" w:name="_Toc104709423"/>
      <w:bookmarkStart w:id="65" w:name="_Toc196124446"/>
      <w:r>
        <w:rPr>
          <w:bCs/>
        </w:rPr>
        <w:t>11.</w:t>
      </w:r>
      <w:r>
        <w:rPr>
          <w:bCs/>
        </w:rPr>
        <w:tab/>
      </w:r>
      <w:del w:id="66" w:author="svcMRProcess" w:date="2015-11-01T20:45:00Z">
        <w:r>
          <w:rPr>
            <w:i/>
            <w:snapToGrid w:val="0"/>
          </w:rPr>
          <w:delText>Ad valorem</w:delText>
        </w:r>
        <w:r>
          <w:rPr>
            <w:snapToGrid w:val="0"/>
          </w:rPr>
          <w:delText xml:space="preserve"> stamp duty on contributions by limited partners</w:delText>
        </w:r>
        <w:bookmarkEnd w:id="62"/>
        <w:bookmarkEnd w:id="63"/>
        <w:bookmarkEnd w:id="64"/>
        <w:bookmarkEnd w:id="65"/>
        <w:r>
          <w:rPr>
            <w:snapToGrid w:val="0"/>
          </w:rPr>
          <w:delText xml:space="preserve"> </w:delText>
        </w:r>
      </w:del>
    </w:p>
    <w:p>
      <w:pPr>
        <w:pStyle w:val="Subsection"/>
        <w:rPr>
          <w:del w:id="67" w:author="svcMRProcess" w:date="2015-11-01T20:45:00Z"/>
          <w:snapToGrid w:val="0"/>
        </w:rPr>
      </w:pPr>
      <w:del w:id="68" w:author="svcMRProcess" w:date="2015-11-01T20:45:00Z">
        <w:r>
          <w:rPr>
            <w:snapToGrid w:val="0"/>
          </w:rPr>
          <w:tab/>
        </w:r>
        <w:r>
          <w:rPr>
            <w:snapToGrid w:val="0"/>
          </w:rPr>
          <w:tab/>
          <w:delText xml:space="preserve">The statement of the amount contributed by a limited partner, and a statement of any increase in that amount, sent to the Registrar for registration under this Act, shall be charged with </w:delText>
        </w:r>
        <w:r>
          <w:rPr>
            <w:i/>
            <w:snapToGrid w:val="0"/>
          </w:rPr>
          <w:delText>ad valorem</w:delText>
        </w:r>
        <w:r>
          <w:rPr>
            <w:snapToGrid w:val="0"/>
          </w:rPr>
          <w:delText xml:space="preserve"> stamp duty of 50 cents for every $200, and any fraction of $200 over any multiple of $200, of the amount so contributed, or of the increase of that amount, as the case may be; and in default of payment of stamp duty thereon as herein required, the duty, with interest thereon at the rate of 5% per annum from the date of delivery of such statement, shall be a joint and several debt to the Crown, recoverable from the partners, or any of them, in the said statements named, or, in the case of an increase, from all or any of the said partners whose discontinuance in the firm shall not, before the date of delivery of such statement of increase, have been duly notified to the Registrar.</w:delText>
        </w:r>
      </w:del>
    </w:p>
    <w:p>
      <w:pPr>
        <w:pStyle w:val="Ednotesection"/>
      </w:pPr>
      <w:del w:id="69" w:author="svcMRProcess" w:date="2015-11-01T20:45:00Z">
        <w:r>
          <w:tab/>
          <w:delText>[Section 11 amended</w:delText>
        </w:r>
      </w:del>
      <w:ins w:id="70" w:author="svcMRProcess" w:date="2015-11-01T20:45:00Z">
        <w:r>
          <w:t>Deleted</w:t>
        </w:r>
      </w:ins>
      <w:r>
        <w:t xml:space="preserve"> by No.</w:t>
      </w:r>
      <w:del w:id="71" w:author="svcMRProcess" w:date="2015-11-01T20:45:00Z">
        <w:r>
          <w:delText xml:space="preserve"> 113</w:delText>
        </w:r>
      </w:del>
      <w:ins w:id="72" w:author="svcMRProcess" w:date="2015-11-01T20:45:00Z">
        <w:r>
          <w:t> 12</w:t>
        </w:r>
      </w:ins>
      <w:r>
        <w:t xml:space="preserve"> of </w:t>
      </w:r>
      <w:del w:id="73" w:author="svcMRProcess" w:date="2015-11-01T20:45:00Z">
        <w:r>
          <w:delText>1965</w:delText>
        </w:r>
      </w:del>
      <w:ins w:id="74" w:author="svcMRProcess" w:date="2015-11-01T20:45:00Z">
        <w:r>
          <w:t>2008</w:t>
        </w:r>
      </w:ins>
      <w:r>
        <w:t xml:space="preserve"> s. </w:t>
      </w:r>
      <w:del w:id="75" w:author="svcMRProcess" w:date="2015-11-01T20:45:00Z">
        <w:r>
          <w:delText xml:space="preserve">8.] </w:delText>
        </w:r>
      </w:del>
      <w:ins w:id="76" w:author="svcMRProcess" w:date="2015-11-01T20:45:00Z">
        <w:r>
          <w:t>52.]</w:t>
        </w:r>
      </w:ins>
    </w:p>
    <w:p>
      <w:pPr>
        <w:pStyle w:val="Heading5"/>
        <w:rPr>
          <w:snapToGrid w:val="0"/>
        </w:rPr>
      </w:pPr>
      <w:bookmarkStart w:id="77" w:name="_Toc421593027"/>
      <w:bookmarkStart w:id="78" w:name="_Toc39468996"/>
      <w:bookmarkStart w:id="79" w:name="_Toc104709424"/>
      <w:bookmarkStart w:id="80" w:name="_Toc202173660"/>
      <w:bookmarkStart w:id="81" w:name="_Toc196124447"/>
      <w:r>
        <w:rPr>
          <w:rStyle w:val="CharSectno"/>
        </w:rPr>
        <w:t>12</w:t>
      </w:r>
      <w:r>
        <w:rPr>
          <w:snapToGrid w:val="0"/>
        </w:rPr>
        <w:t>.</w:t>
      </w:r>
      <w:r>
        <w:rPr>
          <w:snapToGrid w:val="0"/>
        </w:rPr>
        <w:tab/>
      </w:r>
      <w:bookmarkEnd w:id="77"/>
      <w:bookmarkEnd w:id="78"/>
      <w:bookmarkEnd w:id="79"/>
      <w:r>
        <w:rPr>
          <w:snapToGrid w:val="0"/>
        </w:rPr>
        <w:t>False statement for registration purposes is a crime</w:t>
      </w:r>
      <w:bookmarkEnd w:id="80"/>
      <w:bookmarkEnd w:id="81"/>
      <w:r>
        <w:rPr>
          <w:snapToGrid w:val="0"/>
        </w:rPr>
        <w:t xml:space="preserve"> </w:t>
      </w:r>
    </w:p>
    <w:p>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pPr>
        <w:pStyle w:val="Footnotesection"/>
      </w:pPr>
      <w:r>
        <w:tab/>
        <w:t xml:space="preserve">[Section 12 amended by No. 51 of 1992 s. 16(1); No. 70 of 2004 s. 82.] </w:t>
      </w:r>
    </w:p>
    <w:p>
      <w:pPr>
        <w:pStyle w:val="Heading5"/>
        <w:rPr>
          <w:snapToGrid w:val="0"/>
        </w:rPr>
      </w:pPr>
      <w:bookmarkStart w:id="82" w:name="_Toc421593028"/>
      <w:bookmarkStart w:id="83" w:name="_Toc39468997"/>
      <w:bookmarkStart w:id="84" w:name="_Toc104709425"/>
      <w:bookmarkStart w:id="85" w:name="_Toc202173661"/>
      <w:bookmarkStart w:id="86" w:name="_Toc196124448"/>
      <w:r>
        <w:rPr>
          <w:rStyle w:val="CharSectno"/>
        </w:rPr>
        <w:t>13</w:t>
      </w:r>
      <w:r>
        <w:rPr>
          <w:snapToGrid w:val="0"/>
        </w:rPr>
        <w:t>.</w:t>
      </w:r>
      <w:r>
        <w:rPr>
          <w:snapToGrid w:val="0"/>
        </w:rPr>
        <w:tab/>
        <w:t>Registrar to file statement and issue certificate of registration</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pPr>
        <w:pStyle w:val="Heading5"/>
        <w:rPr>
          <w:snapToGrid w:val="0"/>
        </w:rPr>
      </w:pPr>
      <w:bookmarkStart w:id="87" w:name="_Toc421593029"/>
      <w:bookmarkStart w:id="88" w:name="_Toc39468998"/>
      <w:bookmarkStart w:id="89" w:name="_Toc104709426"/>
      <w:bookmarkStart w:id="90" w:name="_Toc202173662"/>
      <w:bookmarkStart w:id="91" w:name="_Toc196124449"/>
      <w:r>
        <w:rPr>
          <w:rStyle w:val="CharSectno"/>
        </w:rPr>
        <w:t>14</w:t>
      </w:r>
      <w:r>
        <w:rPr>
          <w:snapToGrid w:val="0"/>
        </w:rPr>
        <w:t>.</w:t>
      </w:r>
      <w:r>
        <w:rPr>
          <w:snapToGrid w:val="0"/>
        </w:rPr>
        <w:tab/>
        <w:t>Register and index to be kept</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pPr>
        <w:pStyle w:val="Heading5"/>
      </w:pPr>
      <w:bookmarkStart w:id="92" w:name="_Toc138750827"/>
      <w:bookmarkStart w:id="93" w:name="_Toc139166568"/>
      <w:bookmarkStart w:id="94" w:name="_Toc139266288"/>
      <w:bookmarkStart w:id="95" w:name="_Toc202173663"/>
      <w:bookmarkStart w:id="96" w:name="_Toc196124450"/>
      <w:bookmarkStart w:id="97" w:name="_Toc421593031"/>
      <w:bookmarkStart w:id="98" w:name="_Toc39469000"/>
      <w:bookmarkStart w:id="99" w:name="_Toc104709428"/>
      <w:r>
        <w:rPr>
          <w:rStyle w:val="CharSectno"/>
        </w:rPr>
        <w:t>15</w:t>
      </w:r>
      <w:r>
        <w:t>.</w:t>
      </w:r>
      <w:r>
        <w:tab/>
        <w:t>Registrar of limited partnerships</w:t>
      </w:r>
      <w:bookmarkEnd w:id="92"/>
      <w:bookmarkEnd w:id="93"/>
      <w:bookmarkEnd w:id="94"/>
      <w:bookmarkEnd w:id="95"/>
      <w:bookmarkEnd w:id="96"/>
    </w:p>
    <w:p>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pPr>
        <w:pStyle w:val="Subsection"/>
      </w:pPr>
      <w:r>
        <w:tab/>
        <w:t>(2)</w:t>
      </w:r>
      <w:r>
        <w:tab/>
        <w:t xml:space="preserve">The Registrar may be referred to by a title specified by the Minister by notice published in the </w:t>
      </w:r>
      <w:r>
        <w:rPr>
          <w:i/>
        </w:rPr>
        <w:t>Gazette</w:t>
      </w:r>
      <w:r>
        <w:t>.</w:t>
      </w:r>
    </w:p>
    <w:p>
      <w:pPr>
        <w:pStyle w:val="Subsection"/>
      </w:pPr>
      <w:r>
        <w:tab/>
        <w:t>(3)</w:t>
      </w:r>
      <w:r>
        <w:tab/>
        <w:t xml:space="preserve">Sections 19, 20, 21, 22, 23, 23A, 24 and 25 of the </w:t>
      </w:r>
      <w:r>
        <w:rPr>
          <w:i/>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pPr>
        <w:pStyle w:val="Subsection"/>
      </w:pPr>
      <w:r>
        <w:tab/>
        <w:t>(4)</w:t>
      </w:r>
      <w:r>
        <w:tab/>
        <w:t xml:space="preserve">In this section — </w:t>
      </w:r>
    </w:p>
    <w:p>
      <w:pPr>
        <w:pStyle w:val="Defstart"/>
      </w:pPr>
      <w:r>
        <w:rPr>
          <w:b/>
        </w:rPr>
        <w:tab/>
      </w:r>
      <w:del w:id="100" w:author="svcMRProcess" w:date="2015-11-01T20:45:00Z">
        <w:r>
          <w:rPr>
            <w:b/>
          </w:rPr>
          <w:delText>“</w:delText>
        </w:r>
      </w:del>
      <w:r>
        <w:rPr>
          <w:rStyle w:val="CharDefText"/>
        </w:rPr>
        <w:t>executive officer</w:t>
      </w:r>
      <w:del w:id="101" w:author="svcMRProcess" w:date="2015-11-01T20:45:00Z">
        <w:r>
          <w:rPr>
            <w:b/>
          </w:rPr>
          <w:delText>”</w:delText>
        </w:r>
      </w:del>
      <w:r>
        <w:t xml:space="preserve"> has the meaning given by section 3(1) of the </w:t>
      </w:r>
      <w:r>
        <w:rPr>
          <w:i/>
        </w:rPr>
        <w:t>Public Sector Management Act 1994</w:t>
      </w:r>
      <w:r>
        <w:t>.</w:t>
      </w:r>
    </w:p>
    <w:p>
      <w:pPr>
        <w:pStyle w:val="Footnotesection"/>
      </w:pPr>
      <w:r>
        <w:tab/>
        <w:t>[Section 15 inserted by No. 28 of 2006 s. 105.]</w:t>
      </w:r>
    </w:p>
    <w:p>
      <w:pPr>
        <w:pStyle w:val="Heading5"/>
        <w:rPr>
          <w:snapToGrid w:val="0"/>
        </w:rPr>
      </w:pPr>
      <w:bookmarkStart w:id="102" w:name="_Toc202173664"/>
      <w:bookmarkStart w:id="103" w:name="_Toc196124451"/>
      <w:r>
        <w:rPr>
          <w:rStyle w:val="CharSectno"/>
        </w:rPr>
        <w:t>16</w:t>
      </w:r>
      <w:r>
        <w:rPr>
          <w:snapToGrid w:val="0"/>
        </w:rPr>
        <w:t>.</w:t>
      </w:r>
      <w:r>
        <w:rPr>
          <w:snapToGrid w:val="0"/>
        </w:rPr>
        <w:tab/>
        <w:t>Inspection of statements registered</w:t>
      </w:r>
      <w:bookmarkEnd w:id="97"/>
      <w:bookmarkEnd w:id="98"/>
      <w:bookmarkEnd w:id="99"/>
      <w:bookmarkEnd w:id="102"/>
      <w:bookmarkEnd w:id="103"/>
      <w:r>
        <w:rPr>
          <w:snapToGrid w:val="0"/>
        </w:rPr>
        <w:t xml:space="preserve"> </w:t>
      </w:r>
    </w:p>
    <w:p>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pPr>
        <w:pStyle w:val="Footnotesection"/>
      </w:pPr>
      <w:r>
        <w:tab/>
        <w:t xml:space="preserve">[Section 16 amended by No. 113 of 1965 s. 8; No. 50 of 1983 s. 2.] </w:t>
      </w:r>
    </w:p>
    <w:p>
      <w:pPr>
        <w:pStyle w:val="Heading5"/>
        <w:rPr>
          <w:snapToGrid w:val="0"/>
        </w:rPr>
      </w:pPr>
      <w:bookmarkStart w:id="104" w:name="_Toc421593032"/>
      <w:bookmarkStart w:id="105" w:name="_Toc39469001"/>
      <w:bookmarkStart w:id="106" w:name="_Toc104709429"/>
      <w:bookmarkStart w:id="107" w:name="_Toc202173665"/>
      <w:bookmarkStart w:id="108" w:name="_Toc196124452"/>
      <w:r>
        <w:rPr>
          <w:rStyle w:val="CharSectno"/>
        </w:rPr>
        <w:t>17</w:t>
      </w:r>
      <w:r>
        <w:rPr>
          <w:snapToGrid w:val="0"/>
        </w:rPr>
        <w:t>.</w:t>
      </w:r>
      <w:r>
        <w:rPr>
          <w:snapToGrid w:val="0"/>
        </w:rPr>
        <w:tab/>
        <w:t>Power to make rules</w:t>
      </w:r>
      <w:bookmarkEnd w:id="104"/>
      <w:bookmarkEnd w:id="105"/>
      <w:bookmarkEnd w:id="106"/>
      <w:bookmarkEnd w:id="107"/>
      <w:bookmarkEnd w:id="108"/>
      <w:r>
        <w:rPr>
          <w:snapToGrid w:val="0"/>
        </w:rPr>
        <w:t xml:space="preserve"> </w:t>
      </w:r>
    </w:p>
    <w:p>
      <w:pPr>
        <w:pStyle w:val="Subsection"/>
        <w:keepNext/>
        <w:rPr>
          <w:snapToGrid w:val="0"/>
        </w:rPr>
      </w:pPr>
      <w:r>
        <w:rPr>
          <w:snapToGrid w:val="0"/>
        </w:rPr>
        <w:tab/>
      </w:r>
      <w:r>
        <w:rPr>
          <w:snapToGrid w:val="0"/>
        </w:rPr>
        <w:tab/>
        <w:t>The Governor may make rules concerning any of the following matters — </w:t>
      </w:r>
    </w:p>
    <w:p>
      <w:pPr>
        <w:pStyle w:val="Indenta"/>
        <w:rPr>
          <w:snapToGrid w:val="0"/>
        </w:rPr>
      </w:pPr>
      <w:r>
        <w:rPr>
          <w:snapToGrid w:val="0"/>
        </w:rPr>
        <w:tab/>
        <w:t>(a)</w:t>
      </w:r>
      <w:r>
        <w:rPr>
          <w:snapToGrid w:val="0"/>
        </w:rPr>
        <w:tab/>
        <w:t>the fees to be paid to the Registrar under this Act;</w:t>
      </w:r>
    </w:p>
    <w:p>
      <w:pPr>
        <w:pStyle w:val="Indenta"/>
        <w:rPr>
          <w:snapToGrid w:val="0"/>
        </w:rPr>
      </w:pPr>
      <w:r>
        <w:rPr>
          <w:snapToGrid w:val="0"/>
        </w:rPr>
        <w:tab/>
        <w:t>(b)</w:t>
      </w:r>
      <w:r>
        <w:rPr>
          <w:snapToGrid w:val="0"/>
        </w:rPr>
        <w:tab/>
        <w:t>the duties or additional duties to be performed by the Registrar for the purposes of this Act;</w:t>
      </w:r>
    </w:p>
    <w:p>
      <w:pPr>
        <w:pStyle w:val="Indenta"/>
        <w:rPr>
          <w:snapToGrid w:val="0"/>
        </w:rPr>
      </w:pPr>
      <w:r>
        <w:rPr>
          <w:snapToGrid w:val="0"/>
        </w:rPr>
        <w:tab/>
        <w:t>(c)</w:t>
      </w:r>
      <w:r>
        <w:rPr>
          <w:snapToGrid w:val="0"/>
        </w:rPr>
        <w:tab/>
        <w:t>the forms to be used for the purposes of this Act;</w:t>
      </w:r>
    </w:p>
    <w:p>
      <w:pPr>
        <w:pStyle w:val="Indenta"/>
        <w:rPr>
          <w:snapToGrid w:val="0"/>
        </w:rPr>
      </w:pPr>
      <w:r>
        <w:rPr>
          <w:snapToGrid w:val="0"/>
        </w:rPr>
        <w:tab/>
        <w:t>(d)</w:t>
      </w:r>
      <w:r>
        <w:rPr>
          <w:snapToGrid w:val="0"/>
        </w:rPr>
        <w:tab/>
        <w:t>generally the conduct and regulation of registration under the Act and any matters incidental thereto.</w:t>
      </w:r>
    </w:p>
    <w:p>
      <w:pPr>
        <w:pStyle w:val="Footnotesection"/>
      </w:pPr>
      <w:r>
        <w:tab/>
        <w:t xml:space="preserve">[Section 17 amended by No. 113 of 1965 s. 8; No. 50 of 1983 s.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09" w:name="_Toc90867593"/>
      <w:bookmarkStart w:id="110" w:name="_Toc104709430"/>
      <w:bookmarkStart w:id="111" w:name="_Toc139355686"/>
      <w:bookmarkStart w:id="112" w:name="_Toc139448176"/>
      <w:bookmarkStart w:id="113" w:name="_Toc139448286"/>
      <w:bookmarkStart w:id="114" w:name="_Toc139448382"/>
      <w:bookmarkStart w:id="115" w:name="_Toc139448475"/>
      <w:bookmarkStart w:id="116" w:name="_Toc196018522"/>
      <w:bookmarkStart w:id="117" w:name="_Toc196018715"/>
      <w:bookmarkStart w:id="118" w:name="_Toc196124367"/>
      <w:bookmarkStart w:id="119" w:name="_Toc196124453"/>
      <w:bookmarkStart w:id="120" w:name="_Toc202173666"/>
      <w:r>
        <w:t>Notes</w:t>
      </w:r>
      <w:bookmarkEnd w:id="109"/>
      <w:bookmarkEnd w:id="110"/>
      <w:bookmarkEnd w:id="111"/>
      <w:bookmarkEnd w:id="112"/>
      <w:bookmarkEnd w:id="113"/>
      <w:bookmarkEnd w:id="114"/>
      <w:bookmarkEnd w:id="115"/>
      <w:bookmarkEnd w:id="116"/>
      <w:bookmarkEnd w:id="117"/>
      <w:bookmarkEnd w:id="118"/>
      <w:bookmarkEnd w:id="119"/>
      <w:bookmarkEnd w:id="120"/>
    </w:p>
    <w:p>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del w:id="121" w:author="svcMRProcess" w:date="2015-11-01T20:45: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22" w:name="_Toc104709431"/>
      <w:bookmarkStart w:id="123" w:name="_Toc202173667"/>
      <w:bookmarkStart w:id="124" w:name="_Toc196124454"/>
      <w:r>
        <w:rPr>
          <w:snapToGrid w:val="0"/>
        </w:rPr>
        <w:t>Compilation table</w:t>
      </w:r>
      <w:bookmarkEnd w:id="122"/>
      <w:bookmarkEnd w:id="123"/>
      <w:bookmarkEnd w:id="124"/>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Limited Partnerships Act 1909</w:t>
            </w:r>
          </w:p>
        </w:tc>
        <w:tc>
          <w:tcPr>
            <w:tcW w:w="1134" w:type="dxa"/>
          </w:tcPr>
          <w:p>
            <w:pPr>
              <w:pStyle w:val="nTable"/>
              <w:spacing w:after="40"/>
              <w:rPr>
                <w:sz w:val="19"/>
              </w:rPr>
            </w:pPr>
            <w:r>
              <w:rPr>
                <w:sz w:val="19"/>
              </w:rPr>
              <w:t>17 of 1909</w:t>
            </w:r>
          </w:p>
        </w:tc>
        <w:tc>
          <w:tcPr>
            <w:tcW w:w="1134" w:type="dxa"/>
          </w:tcPr>
          <w:p>
            <w:pPr>
              <w:pStyle w:val="nTable"/>
              <w:spacing w:after="40"/>
              <w:rPr>
                <w:sz w:val="19"/>
              </w:rPr>
            </w:pPr>
            <w:r>
              <w:rPr>
                <w:sz w:val="19"/>
              </w:rPr>
              <w:t>6 Feb 1909</w:t>
            </w:r>
          </w:p>
        </w:tc>
        <w:tc>
          <w:tcPr>
            <w:tcW w:w="2551" w:type="dxa"/>
          </w:tcPr>
          <w:p>
            <w:pPr>
              <w:pStyle w:val="nTable"/>
              <w:spacing w:after="40"/>
              <w:rPr>
                <w:sz w:val="19"/>
              </w:rPr>
            </w:pPr>
            <w:r>
              <w:rPr>
                <w:sz w:val="19"/>
              </w:rPr>
              <w:t>1 May 1909 (see s. 2)</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s. 4-9: 14 Feb 1966 (see s. 2(2));</w:t>
            </w:r>
            <w:r>
              <w:rPr>
                <w:sz w:val="19"/>
              </w:rPr>
              <w:br/>
              <w:t>balance: 21 Dec 1965 (see s. 2(1))</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c>
          <w:tcPr>
            <w:tcW w:w="2268" w:type="dxa"/>
          </w:tcPr>
          <w:p>
            <w:pPr>
              <w:pStyle w:val="nTable"/>
              <w:spacing w:after="40"/>
              <w:rPr>
                <w:sz w:val="19"/>
              </w:rPr>
            </w:pPr>
            <w:r>
              <w:rPr>
                <w:i/>
                <w:sz w:val="19"/>
              </w:rPr>
              <w:t>Limited Partnerships Amendment Act 1983</w:t>
            </w:r>
          </w:p>
        </w:tc>
        <w:tc>
          <w:tcPr>
            <w:tcW w:w="1134" w:type="dxa"/>
          </w:tcPr>
          <w:p>
            <w:pPr>
              <w:pStyle w:val="nTable"/>
              <w:spacing w:after="40"/>
              <w:rPr>
                <w:sz w:val="19"/>
              </w:rPr>
            </w:pPr>
            <w:r>
              <w:rPr>
                <w:sz w:val="19"/>
              </w:rPr>
              <w:t>50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tc>
          <w:tcPr>
            <w:tcW w:w="2268" w:type="dxa"/>
          </w:tcPr>
          <w:p>
            <w:pPr>
              <w:pStyle w:val="nTable"/>
              <w:spacing w:after="40"/>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c>
          <w:tcPr>
            <w:tcW w:w="2268" w:type="dxa"/>
          </w:tcPr>
          <w:p>
            <w:pPr>
              <w:pStyle w:val="nTable"/>
              <w:spacing w:after="40"/>
              <w:rPr>
                <w:sz w:val="19"/>
              </w:rPr>
            </w:pPr>
            <w:r>
              <w:rPr>
                <w:i/>
                <w:sz w:val="19"/>
              </w:rPr>
              <w:t>Statutes (Repeals and Minor Amendments) Act (No. 2) 1998</w:t>
            </w:r>
            <w:r>
              <w:rPr>
                <w:sz w:val="19"/>
              </w:rPr>
              <w:t xml:space="preserve"> s. 43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c>
          <w:tcPr>
            <w:tcW w:w="2268" w:type="dxa"/>
          </w:tcPr>
          <w:p>
            <w:pPr>
              <w:pStyle w:val="nTable"/>
              <w:spacing w:after="40"/>
              <w:rPr>
                <w:sz w:val="19"/>
              </w:rPr>
            </w:pPr>
            <w:r>
              <w:rPr>
                <w:i/>
                <w:sz w:val="19"/>
              </w:rPr>
              <w:t>Corporations (Consequential Amendments) Act (No. 2) 2003</w:t>
            </w:r>
            <w:r>
              <w:rPr>
                <w:sz w:val="19"/>
              </w:rPr>
              <w:t xml:space="preserve"> Pt. 13</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7087" w:type="dxa"/>
            <w:gridSpan w:val="4"/>
          </w:tcPr>
          <w:p>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tc>
          <w:tcPr>
            <w:tcW w:w="2268" w:type="dxa"/>
          </w:tcPr>
          <w:p>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bl>
    <w:p>
      <w:pPr>
        <w:pStyle w:val="nSubsection"/>
        <w:tabs>
          <w:tab w:val="clear" w:pos="454"/>
          <w:tab w:val="left" w:pos="567"/>
        </w:tabs>
        <w:spacing w:before="120"/>
        <w:ind w:left="567" w:hanging="567"/>
        <w:rPr>
          <w:del w:id="125" w:author="svcMRProcess" w:date="2015-11-01T20:45:00Z"/>
          <w:snapToGrid w:val="0"/>
        </w:rPr>
      </w:pPr>
      <w:del w:id="126" w:author="svcMRProcess" w:date="2015-11-01T20:4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7" w:author="svcMRProcess" w:date="2015-11-01T20:45:00Z"/>
        </w:rPr>
      </w:pPr>
      <w:bookmarkStart w:id="128" w:name="_Toc7405065"/>
      <w:bookmarkStart w:id="129" w:name="_Toc181500909"/>
      <w:bookmarkStart w:id="130" w:name="_Toc193100050"/>
      <w:bookmarkStart w:id="131" w:name="_Toc196124455"/>
      <w:del w:id="132" w:author="svcMRProcess" w:date="2015-11-01T20:45:00Z">
        <w:r>
          <w:delText>Provisions that have not come into operation</w:delText>
        </w:r>
        <w:bookmarkEnd w:id="128"/>
        <w:bookmarkEnd w:id="129"/>
        <w:bookmarkEnd w:id="130"/>
        <w:bookmarkEnd w:id="131"/>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33" w:author="svcMRProcess" w:date="2015-11-01T20:45:00Z"/>
        </w:trPr>
        <w:tc>
          <w:tcPr>
            <w:tcW w:w="2268" w:type="dxa"/>
            <w:tcBorders>
              <w:top w:val="single" w:sz="8" w:space="0" w:color="auto"/>
              <w:bottom w:val="single" w:sz="8" w:space="0" w:color="auto"/>
            </w:tcBorders>
          </w:tcPr>
          <w:p>
            <w:pPr>
              <w:pStyle w:val="nTable"/>
              <w:spacing w:after="40"/>
              <w:rPr>
                <w:del w:id="134" w:author="svcMRProcess" w:date="2015-11-01T20:45:00Z"/>
                <w:b/>
                <w:sz w:val="19"/>
              </w:rPr>
            </w:pPr>
            <w:del w:id="135" w:author="svcMRProcess" w:date="2015-11-01T20:45:00Z">
              <w:r>
                <w:rPr>
                  <w:b/>
                  <w:sz w:val="19"/>
                </w:rPr>
                <w:delText>Short title</w:delText>
              </w:r>
            </w:del>
          </w:p>
        </w:tc>
        <w:tc>
          <w:tcPr>
            <w:tcW w:w="1134" w:type="dxa"/>
            <w:tcBorders>
              <w:top w:val="single" w:sz="8" w:space="0" w:color="auto"/>
              <w:bottom w:val="single" w:sz="8" w:space="0" w:color="auto"/>
            </w:tcBorders>
          </w:tcPr>
          <w:p>
            <w:pPr>
              <w:pStyle w:val="nTable"/>
              <w:spacing w:after="40"/>
              <w:rPr>
                <w:del w:id="136" w:author="svcMRProcess" w:date="2015-11-01T20:45:00Z"/>
                <w:b/>
                <w:sz w:val="19"/>
              </w:rPr>
            </w:pPr>
            <w:del w:id="137" w:author="svcMRProcess" w:date="2015-11-01T20:45:00Z">
              <w:r>
                <w:rPr>
                  <w:b/>
                  <w:sz w:val="19"/>
                </w:rPr>
                <w:delText>Number and year</w:delText>
              </w:r>
            </w:del>
          </w:p>
        </w:tc>
        <w:tc>
          <w:tcPr>
            <w:tcW w:w="1134" w:type="dxa"/>
            <w:tcBorders>
              <w:top w:val="single" w:sz="8" w:space="0" w:color="auto"/>
              <w:bottom w:val="single" w:sz="8" w:space="0" w:color="auto"/>
            </w:tcBorders>
          </w:tcPr>
          <w:p>
            <w:pPr>
              <w:pStyle w:val="nTable"/>
              <w:spacing w:after="40"/>
              <w:rPr>
                <w:del w:id="138" w:author="svcMRProcess" w:date="2015-11-01T20:45:00Z"/>
                <w:b/>
                <w:sz w:val="19"/>
              </w:rPr>
            </w:pPr>
            <w:del w:id="139" w:author="svcMRProcess" w:date="2015-11-01T20:45:00Z">
              <w:r>
                <w:rPr>
                  <w:b/>
                  <w:sz w:val="19"/>
                </w:rPr>
                <w:delText>Assent</w:delText>
              </w:r>
            </w:del>
          </w:p>
        </w:tc>
        <w:tc>
          <w:tcPr>
            <w:tcW w:w="2552" w:type="dxa"/>
            <w:tcBorders>
              <w:top w:val="single" w:sz="8" w:space="0" w:color="auto"/>
              <w:bottom w:val="single" w:sz="8" w:space="0" w:color="auto"/>
            </w:tcBorders>
          </w:tcPr>
          <w:p>
            <w:pPr>
              <w:pStyle w:val="nTable"/>
              <w:spacing w:after="40"/>
              <w:rPr>
                <w:del w:id="140" w:author="svcMRProcess" w:date="2015-11-01T20:45:00Z"/>
                <w:b/>
                <w:sz w:val="19"/>
              </w:rPr>
            </w:pPr>
            <w:del w:id="141" w:author="svcMRProcess" w:date="2015-11-01T20:45:00Z">
              <w:r>
                <w:rPr>
                  <w:b/>
                  <w:sz w:val="19"/>
                </w:rPr>
                <w:delText>Commencement</w:delText>
              </w:r>
            </w:del>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del w:id="142" w:author="svcMRProcess" w:date="2015-11-01T20:45:00Z">
              <w:r>
                <w:rPr>
                  <w:iCs/>
                  <w:sz w:val="19"/>
                  <w:vertAlign w:val="superscript"/>
                </w:rPr>
                <w:delText>3</w:delText>
              </w:r>
            </w:del>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pPr>
      <w:r>
        <w:rPr>
          <w:vertAlign w:val="superscript"/>
        </w:rPr>
        <w:t>2</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del w:id="143" w:author="svcMRProcess" w:date="2015-11-01T20:45:00Z">
        <w:r>
          <w:rPr>
            <w:b/>
          </w:rPr>
          <w:delText>“</w:delText>
        </w:r>
      </w:del>
      <w:r>
        <w:rPr>
          <w:rStyle w:val="CharDefText"/>
        </w:rPr>
        <w:t>commencement</w:t>
      </w:r>
      <w:del w:id="144" w:author="svcMRProcess" w:date="2015-11-01T20:45:00Z">
        <w:r>
          <w:rPr>
            <w:b/>
          </w:rPr>
          <w:delText>”</w:delText>
        </w:r>
      </w:del>
      <w:r>
        <w:t xml:space="preserve"> means the time at which this Division comes into operation;</w:t>
      </w:r>
    </w:p>
    <w:p>
      <w:pPr>
        <w:pStyle w:val="nzDefstart"/>
      </w:pPr>
      <w:r>
        <w:tab/>
      </w:r>
      <w:del w:id="145" w:author="svcMRProcess" w:date="2015-11-01T20:45:00Z">
        <w:r>
          <w:rPr>
            <w:b/>
          </w:rPr>
          <w:delText>“</w:delText>
        </w:r>
      </w:del>
      <w:r>
        <w:rPr>
          <w:rStyle w:val="CharDefText"/>
        </w:rPr>
        <w:t>Commissioner for Fair Trading</w:t>
      </w:r>
      <w:del w:id="146" w:author="svcMRProcess" w:date="2015-11-01T20:45:00Z">
        <w:r>
          <w:rPr>
            <w:b/>
          </w:rPr>
          <w:delText>”</w:delText>
        </w:r>
      </w:del>
      <w:r>
        <w:t xml:space="preserve"> means the Commissioner for Fair Trading referred to in section 15 of the </w:t>
      </w:r>
      <w:r>
        <w:rPr>
          <w:i/>
        </w:rPr>
        <w:t>Consumer Affairs Act 1971</w:t>
      </w:r>
      <w:r>
        <w:t xml:space="preserve"> as in force before commencement;</w:t>
      </w:r>
    </w:p>
    <w:p>
      <w:pPr>
        <w:pStyle w:val="nzDefstart"/>
      </w:pPr>
      <w:r>
        <w:rPr>
          <w:b/>
        </w:rPr>
        <w:tab/>
      </w:r>
      <w:del w:id="147" w:author="svcMRProcess" w:date="2015-11-01T20:45:00Z">
        <w:r>
          <w:rPr>
            <w:b/>
          </w:rPr>
          <w:delText>“</w:delText>
        </w:r>
      </w:del>
      <w:r>
        <w:rPr>
          <w:rStyle w:val="CharDefText"/>
        </w:rPr>
        <w:t>Prices Commissioner</w:t>
      </w:r>
      <w:del w:id="148" w:author="svcMRProcess" w:date="2015-11-01T20:45:00Z">
        <w:r>
          <w:rPr>
            <w:b/>
          </w:rPr>
          <w:delText>”</w:delText>
        </w:r>
      </w:del>
      <w:r>
        <w:t xml:space="preserve"> means the Prices Commissioner referred to in section 5(1) of the </w:t>
      </w:r>
      <w:r>
        <w:rPr>
          <w:i/>
        </w:rPr>
        <w:t>Petroleum Products Pricing Act 1983</w:t>
      </w:r>
      <w:r>
        <w:t xml:space="preserve"> as in force before commencement.</w:t>
      </w:r>
    </w:p>
    <w:p>
      <w:pPr>
        <w:pStyle w:val="MiscClose"/>
        <w:rPr>
          <w:del w:id="149" w:author="svcMRProcess" w:date="2015-11-01T20:45:00Z"/>
        </w:rPr>
      </w:pPr>
      <w:del w:id="150" w:author="svcMRProcess" w:date="2015-11-01T20:45:00Z">
        <w:r>
          <w:delText>”.</w:delText>
        </w:r>
      </w:del>
    </w:p>
    <w:p>
      <w:pPr>
        <w:pStyle w:val="nSubsection"/>
        <w:keepLines/>
        <w:rPr>
          <w:del w:id="151" w:author="svcMRProcess" w:date="2015-11-01T20:45:00Z"/>
          <w:snapToGrid w:val="0"/>
        </w:rPr>
      </w:pPr>
      <w:del w:id="152" w:author="svcMRProcess" w:date="2015-11-01T20:45:00Z">
        <w:r>
          <w:rPr>
            <w:snapToGrid w:val="0"/>
            <w:vertAlign w:val="superscript"/>
          </w:rPr>
          <w:delText>3</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Duties Legislation Amendment Act 2008 </w:delText>
        </w:r>
        <w:r>
          <w:rPr>
            <w:iCs/>
            <w:snapToGrid w:val="0"/>
          </w:rPr>
          <w:delText>s. 52, which gives effect to Sch. 1 cl. 20, </w:delText>
        </w:r>
        <w:r>
          <w:rPr>
            <w:snapToGrid w:val="0"/>
          </w:rPr>
          <w:delText>had not come into operation.  It reads as follows:</w:delText>
        </w:r>
      </w:del>
    </w:p>
    <w:p>
      <w:pPr>
        <w:pStyle w:val="MiscOpen"/>
        <w:rPr>
          <w:del w:id="153" w:author="svcMRProcess" w:date="2015-11-01T20:45:00Z"/>
        </w:rPr>
      </w:pPr>
      <w:del w:id="154" w:author="svcMRProcess" w:date="2015-11-01T20:45:00Z">
        <w:r>
          <w:delText>“</w:delText>
        </w:r>
      </w:del>
    </w:p>
    <w:p>
      <w:pPr>
        <w:pStyle w:val="nzHeading5"/>
        <w:rPr>
          <w:del w:id="155" w:author="svcMRProcess" w:date="2015-11-01T20:45:00Z"/>
          <w:snapToGrid w:val="0"/>
        </w:rPr>
      </w:pPr>
      <w:bookmarkStart w:id="156" w:name="_Toc195421061"/>
      <w:del w:id="157" w:author="svcMRProcess" w:date="2015-11-01T20:45:00Z">
        <w:r>
          <w:rPr>
            <w:rStyle w:val="CharSectno"/>
          </w:rPr>
          <w:delText>52</w:delText>
        </w:r>
        <w:r>
          <w:rPr>
            <w:snapToGrid w:val="0"/>
          </w:rPr>
          <w:delText>.</w:delText>
        </w:r>
        <w:r>
          <w:rPr>
            <w:snapToGrid w:val="0"/>
          </w:rPr>
          <w:tab/>
          <w:delText>Various Acts amended</w:delText>
        </w:r>
        <w:bookmarkEnd w:id="156"/>
      </w:del>
    </w:p>
    <w:p>
      <w:pPr>
        <w:pStyle w:val="nzSubsection"/>
        <w:rPr>
          <w:del w:id="158" w:author="svcMRProcess" w:date="2015-11-01T20:45:00Z"/>
        </w:rPr>
      </w:pPr>
      <w:del w:id="159" w:author="svcMRProcess" w:date="2015-11-01T20:45:00Z">
        <w:r>
          <w:tab/>
        </w:r>
        <w:r>
          <w:tab/>
          <w:delText>Schedule 1 sets out how various Acts listed in that Schedule are to be amended.</w:delText>
        </w:r>
      </w:del>
    </w:p>
    <w:p>
      <w:pPr>
        <w:pStyle w:val="MiscClose"/>
        <w:rPr>
          <w:del w:id="160" w:author="svcMRProcess" w:date="2015-11-01T20:45:00Z"/>
        </w:rPr>
      </w:pPr>
      <w:del w:id="161" w:author="svcMRProcess" w:date="2015-11-01T20:45:00Z">
        <w:r>
          <w:delText>”.</w:delText>
        </w:r>
      </w:del>
    </w:p>
    <w:p>
      <w:pPr>
        <w:pStyle w:val="nSubsection"/>
        <w:keepLines/>
        <w:rPr>
          <w:del w:id="162" w:author="svcMRProcess" w:date="2015-11-01T20:45:00Z"/>
          <w:snapToGrid w:val="0"/>
        </w:rPr>
      </w:pPr>
      <w:del w:id="163" w:author="svcMRProcess" w:date="2015-11-01T20:45:00Z">
        <w:r>
          <w:rPr>
            <w:snapToGrid w:val="0"/>
          </w:rPr>
          <w:tab/>
          <w:delText>Schedule 1 cl. 20 reads as follows:</w:delText>
        </w:r>
      </w:del>
    </w:p>
    <w:p>
      <w:pPr>
        <w:pStyle w:val="MiscOpen"/>
        <w:rPr>
          <w:del w:id="164" w:author="svcMRProcess" w:date="2015-11-01T20:45:00Z"/>
        </w:rPr>
      </w:pPr>
      <w:del w:id="165" w:author="svcMRProcess" w:date="2015-11-01T20:45:00Z">
        <w:r>
          <w:delText>“</w:delText>
        </w:r>
      </w:del>
    </w:p>
    <w:p>
      <w:pPr>
        <w:pStyle w:val="nzHeading2"/>
        <w:rPr>
          <w:del w:id="166" w:author="svcMRProcess" w:date="2015-11-01T20:45:00Z"/>
        </w:rPr>
      </w:pPr>
      <w:bookmarkStart w:id="167" w:name="_Toc183919940"/>
      <w:bookmarkStart w:id="168" w:name="_Toc183921922"/>
      <w:bookmarkStart w:id="169" w:name="_Toc183943149"/>
      <w:bookmarkStart w:id="170" w:name="_Toc195421062"/>
      <w:del w:id="171" w:author="svcMRProcess" w:date="2015-11-01T20:45: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67"/>
        <w:bookmarkEnd w:id="168"/>
        <w:bookmarkEnd w:id="169"/>
        <w:bookmarkEnd w:id="170"/>
      </w:del>
    </w:p>
    <w:p>
      <w:pPr>
        <w:pStyle w:val="nzMiscellaneousBody"/>
        <w:jc w:val="right"/>
        <w:rPr>
          <w:del w:id="172" w:author="svcMRProcess" w:date="2015-11-01T20:45:00Z"/>
        </w:rPr>
      </w:pPr>
      <w:del w:id="173" w:author="svcMRProcess" w:date="2015-11-01T20:45:00Z">
        <w:r>
          <w:delText>[s. 52]</w:delText>
        </w:r>
      </w:del>
    </w:p>
    <w:p>
      <w:pPr>
        <w:pStyle w:val="nzHeading5"/>
        <w:rPr>
          <w:del w:id="174" w:author="svcMRProcess" w:date="2015-11-01T20:45:00Z"/>
        </w:rPr>
      </w:pPr>
      <w:bookmarkStart w:id="175" w:name="_Toc195421082"/>
      <w:del w:id="176" w:author="svcMRProcess" w:date="2015-11-01T20:45:00Z">
        <w:r>
          <w:rPr>
            <w:rStyle w:val="CharSClsNo"/>
          </w:rPr>
          <w:delText>20</w:delText>
        </w:r>
        <w:r>
          <w:delText>.</w:delText>
        </w:r>
        <w:r>
          <w:tab/>
        </w:r>
        <w:r>
          <w:rPr>
            <w:i/>
          </w:rPr>
          <w:delText>Limited Partnerships Act 1909</w:delText>
        </w:r>
        <w:bookmarkEnd w:id="175"/>
      </w:del>
    </w:p>
    <w:p>
      <w:pPr>
        <w:pStyle w:val="nzSubsection"/>
        <w:rPr>
          <w:del w:id="177" w:author="svcMRProcess" w:date="2015-11-01T20:45:00Z"/>
        </w:rPr>
      </w:pPr>
      <w:del w:id="178" w:author="svcMRProcess" w:date="2015-11-01T20:45:00Z">
        <w:r>
          <w:tab/>
        </w:r>
        <w:r>
          <w:tab/>
          <w:delText>Section 11 is repealed.</w:delText>
        </w:r>
      </w:del>
    </w:p>
    <w:p>
      <w:pPr>
        <w:pStyle w:val="MiscClose"/>
      </w:pPr>
      <w:r>
        <w:t>”.</w:t>
      </w:r>
    </w:p>
    <w:p>
      <w:bookmarkStart w:id="179" w:name="AutoSch"/>
      <w:bookmarkEnd w:id="179"/>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bookmarkStart w:id="180" w:name="UpToHere"/>
      <w:bookmarkEnd w:id="180"/>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Limited Partnerships Act 1909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Limited Partnerships Act 1909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Limited Partnerships Act 1909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Limited Partnerships Act 1909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48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AAF5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327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186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2E34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F6C0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8A6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EE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EB0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CD8B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328FD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3C6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3461</Words>
  <Characters>16373</Characters>
  <Application>Microsoft Office Word</Application>
  <DocSecurity>0</DocSecurity>
  <Lines>454</Lines>
  <Paragraphs>247</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
  <LinksUpToDate>false</LinksUpToDate>
  <CharactersWithSpaces>19587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03-d0-01 - 03-e0-04</dc:title>
  <dc:subject/>
  <dc:creator/>
  <cp:keywords/>
  <dc:description/>
  <cp:lastModifiedBy>svcMRProcess</cp:lastModifiedBy>
  <cp:revision>2</cp:revision>
  <cp:lastPrinted>2003-06-09T03:01:00Z</cp:lastPrinted>
  <dcterms:created xsi:type="dcterms:W3CDTF">2015-11-01T12:45:00Z</dcterms:created>
  <dcterms:modified xsi:type="dcterms:W3CDTF">2015-11-01T12:45:00Z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458</vt:i4>
  </property>
  <property fmtid="{D5CDD505-2E9C-101B-9397-08002B2CF9AE}" pid="6" name="FromSuffix">
    <vt:lpwstr>03-d0-01</vt:lpwstr>
  </property>
  <property fmtid="{D5CDD505-2E9C-101B-9397-08002B2CF9AE}" pid="7" name="FromAsAtDate">
    <vt:lpwstr>14 Apr 2008</vt:lpwstr>
  </property>
  <property fmtid="{D5CDD505-2E9C-101B-9397-08002B2CF9AE}" pid="8" name="ToSuffix">
    <vt:lpwstr>03-e0-04</vt:lpwstr>
  </property>
  <property fmtid="{D5CDD505-2E9C-101B-9397-08002B2CF9AE}" pid="9" name="ToAsAtDate">
    <vt:lpwstr>01 Jul 2008</vt:lpwstr>
  </property>
</Properties>
</file>