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Parks and Reserves Act 1895</w:t>
      </w:r>
    </w:p>
    <w:p>
      <w:pPr>
        <w:pStyle w:val="LongTitle"/>
        <w:rPr>
          <w:snapToGrid w:val="0"/>
        </w:rPr>
      </w:pPr>
      <w:r>
        <w:rPr>
          <w:snapToGrid w:val="0"/>
        </w:rPr>
        <w:t>A</w:t>
      </w:r>
      <w:bookmarkStart w:id="0" w:name="_GoBack"/>
      <w:bookmarkEnd w:id="0"/>
      <w:r>
        <w:rPr>
          <w:snapToGrid w:val="0"/>
        </w:rPr>
        <w:t>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1" w:name="_Toc13119855"/>
      <w:bookmarkStart w:id="2" w:name="_Toc202180836"/>
      <w:bookmarkStart w:id="3" w:name="_Toc196194253"/>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4" w:name="_Toc13119856"/>
      <w:bookmarkStart w:id="5" w:name="_Toc202180837"/>
      <w:bookmarkStart w:id="6" w:name="_Toc196194254"/>
      <w:r>
        <w:rPr>
          <w:rStyle w:val="CharSectno"/>
        </w:rPr>
        <w:t>2</w:t>
      </w:r>
      <w:r>
        <w:rPr>
          <w:snapToGrid w:val="0"/>
        </w:rPr>
        <w:t>.</w:t>
      </w:r>
      <w:r>
        <w:rPr>
          <w:snapToGrid w:val="0"/>
        </w:rPr>
        <w:tab/>
      </w:r>
      <w:bookmarkEnd w:id="4"/>
      <w:r>
        <w:rPr>
          <w:snapToGrid w:val="0"/>
        </w:rPr>
        <w:t>Terms used in this Act</w:t>
      </w:r>
      <w:bookmarkEnd w:id="5"/>
      <w:bookmarkEnd w:id="6"/>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r>
      <w:del w:id="7" w:author="svcMRProcess" w:date="2015-11-04T22:33:00Z">
        <w:r>
          <w:rPr>
            <w:b/>
          </w:rPr>
          <w:delText>“</w:delText>
        </w:r>
      </w:del>
      <w:r>
        <w:rPr>
          <w:rStyle w:val="CharDefText"/>
        </w:rPr>
        <w:t>authorised person</w:t>
      </w:r>
      <w:del w:id="8" w:author="svcMRProcess" w:date="2015-11-04T22:33:00Z">
        <w:r>
          <w:rPr>
            <w:b/>
          </w:rPr>
          <w:delText>”</w:delText>
        </w:r>
      </w:del>
      <w:r>
        <w:t xml:space="preserve"> in relation to any land placed under the control of a Board, or any by</w:t>
      </w:r>
      <w:r>
        <w:noBreakHyphen/>
        <w:t>laws made by a Board, means —</w:t>
      </w:r>
    </w:p>
    <w:p>
      <w:pPr>
        <w:pStyle w:val="Defpara"/>
      </w:pPr>
      <w:r>
        <w:tab/>
        <w:t>(a)</w:t>
      </w:r>
      <w:r>
        <w:tab/>
        <w:t>any member of the Police Force;</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r>
      <w:del w:id="9" w:author="svcMRProcess" w:date="2015-11-04T22:33:00Z">
        <w:r>
          <w:rPr>
            <w:b/>
          </w:rPr>
          <w:delText>“</w:delText>
        </w:r>
      </w:del>
      <w:r>
        <w:rPr>
          <w:rStyle w:val="CharDefText"/>
        </w:rPr>
        <w:t>Board</w:t>
      </w:r>
      <w:del w:id="10" w:author="svcMRProcess" w:date="2015-11-04T22:33:00Z">
        <w:r>
          <w:rPr>
            <w:b/>
          </w:rPr>
          <w:delText>”</w:delText>
        </w:r>
      </w:del>
      <w:r>
        <w:t xml:space="preserve"> shall mean a Board appointed under this Act;</w:t>
      </w:r>
    </w:p>
    <w:p>
      <w:pPr>
        <w:pStyle w:val="Defstart"/>
      </w:pPr>
      <w:r>
        <w:rPr>
          <w:b/>
        </w:rPr>
        <w:tab/>
      </w:r>
      <w:del w:id="11" w:author="svcMRProcess" w:date="2015-11-04T22:33:00Z">
        <w:r>
          <w:rPr>
            <w:b/>
          </w:rPr>
          <w:delText>“</w:delText>
        </w:r>
      </w:del>
      <w:r>
        <w:rPr>
          <w:rStyle w:val="CharDefText"/>
        </w:rPr>
        <w:t>function</w:t>
      </w:r>
      <w:del w:id="12" w:author="svcMRProcess" w:date="2015-11-04T22:33:00Z">
        <w:r>
          <w:rPr>
            <w:b/>
          </w:rPr>
          <w:delText>”</w:delText>
        </w:r>
      </w:del>
      <w:r>
        <w:t xml:space="preserve"> includes power, right, benefit and obligation;</w:t>
      </w:r>
    </w:p>
    <w:p>
      <w:pPr>
        <w:pStyle w:val="Defstart"/>
      </w:pPr>
      <w:r>
        <w:rPr>
          <w:b/>
        </w:rPr>
        <w:tab/>
      </w:r>
      <w:del w:id="13" w:author="svcMRProcess" w:date="2015-11-04T22:33:00Z">
        <w:r>
          <w:rPr>
            <w:b/>
          </w:rPr>
          <w:delText>“</w:delText>
        </w:r>
      </w:del>
      <w:r>
        <w:rPr>
          <w:rStyle w:val="CharDefText"/>
        </w:rPr>
        <w:t>owner</w:t>
      </w:r>
      <w:del w:id="14" w:author="svcMRProcess" w:date="2015-11-04T22:33:00Z">
        <w:r>
          <w:rPr>
            <w:b/>
          </w:rPr>
          <w:delText>”</w:delText>
        </w:r>
      </w:del>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r>
      <w:del w:id="15" w:author="svcMRProcess" w:date="2015-11-04T22:33:00Z">
        <w:r>
          <w:rPr>
            <w:b/>
          </w:rPr>
          <w:delText>“</w:delText>
        </w:r>
      </w:del>
      <w:r>
        <w:rPr>
          <w:rStyle w:val="CharDefText"/>
        </w:rPr>
        <w:t>the Treasurer</w:t>
      </w:r>
      <w:del w:id="16" w:author="svcMRProcess" w:date="2015-11-04T22:33:00Z">
        <w:r>
          <w:rPr>
            <w:b/>
          </w:rPr>
          <w:delText>”</w:delText>
        </w:r>
      </w:del>
      <w:r>
        <w:t xml:space="preserve"> shall mean the Treasurer of Western Australia;</w:t>
      </w:r>
    </w:p>
    <w:p>
      <w:pPr>
        <w:pStyle w:val="Defstart"/>
      </w:pPr>
      <w:r>
        <w:rPr>
          <w:b/>
        </w:rPr>
        <w:tab/>
      </w:r>
      <w:del w:id="17" w:author="svcMRProcess" w:date="2015-11-04T22:33:00Z">
        <w:r>
          <w:rPr>
            <w:b/>
          </w:rPr>
          <w:delText>“</w:delText>
        </w:r>
      </w:del>
      <w:r>
        <w:rPr>
          <w:rStyle w:val="CharDefText"/>
        </w:rPr>
        <w:t>vehicle</w:t>
      </w:r>
      <w:del w:id="18" w:author="svcMRProcess" w:date="2015-11-04T22:33:00Z">
        <w:r>
          <w:rPr>
            <w:b/>
          </w:rPr>
          <w:delText>”</w:delText>
        </w:r>
      </w:del>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19" w:name="_Toc13119857"/>
      <w:bookmarkStart w:id="20" w:name="_Toc202180838"/>
      <w:bookmarkStart w:id="21" w:name="_Toc196194255"/>
      <w:r>
        <w:rPr>
          <w:rStyle w:val="CharSectno"/>
        </w:rPr>
        <w:t>2A</w:t>
      </w:r>
      <w:r>
        <w:rPr>
          <w:snapToGrid w:val="0"/>
        </w:rPr>
        <w:t>.</w:t>
      </w:r>
      <w:r>
        <w:rPr>
          <w:snapToGrid w:val="0"/>
        </w:rPr>
        <w:tab/>
        <w:t>Application</w:t>
      </w:r>
      <w:bookmarkEnd w:id="19"/>
      <w:bookmarkEnd w:id="20"/>
      <w:bookmarkEnd w:id="21"/>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22" w:name="_Toc13119858"/>
      <w:bookmarkStart w:id="23" w:name="_Toc202180839"/>
      <w:bookmarkStart w:id="24" w:name="_Toc196194256"/>
      <w:r>
        <w:rPr>
          <w:rStyle w:val="CharSectno"/>
        </w:rPr>
        <w:t>3</w:t>
      </w:r>
      <w:r>
        <w:rPr>
          <w:snapToGrid w:val="0"/>
        </w:rPr>
        <w:t>.</w:t>
      </w:r>
      <w:r>
        <w:rPr>
          <w:snapToGrid w:val="0"/>
        </w:rPr>
        <w:tab/>
        <w:t xml:space="preserve">Governor to appoint Boards to control and manage </w:t>
      </w:r>
      <w:bookmarkEnd w:id="22"/>
      <w:r>
        <w:rPr>
          <w:snapToGrid w:val="0"/>
        </w:rPr>
        <w:t>certain land</w:t>
      </w:r>
      <w:bookmarkEnd w:id="23"/>
      <w:bookmarkEnd w:id="24"/>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Subject to section 5(3), (4), (4a) and (5), 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8.]</w:t>
      </w:r>
    </w:p>
    <w:p>
      <w:pPr>
        <w:pStyle w:val="Heading5"/>
        <w:rPr>
          <w:snapToGrid w:val="0"/>
        </w:rPr>
      </w:pPr>
      <w:bookmarkStart w:id="25" w:name="_Toc13119859"/>
      <w:bookmarkStart w:id="26" w:name="_Toc202180840"/>
      <w:bookmarkStart w:id="27" w:name="_Toc196194257"/>
      <w:r>
        <w:rPr>
          <w:rStyle w:val="CharSectno"/>
        </w:rPr>
        <w:t>4</w:t>
      </w:r>
      <w:r>
        <w:rPr>
          <w:snapToGrid w:val="0"/>
        </w:rPr>
        <w:t>.</w:t>
      </w:r>
      <w:r>
        <w:rPr>
          <w:snapToGrid w:val="0"/>
        </w:rPr>
        <w:tab/>
        <w:t>Duty of a Board</w:t>
      </w:r>
      <w:bookmarkEnd w:id="25"/>
      <w:bookmarkEnd w:id="26"/>
      <w:bookmarkEnd w:id="27"/>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28" w:name="_Toc13119860"/>
      <w:r>
        <w:tab/>
        <w:t>[Section 4 amended by No. 76 of 2003 s. 9.]</w:t>
      </w:r>
    </w:p>
    <w:p>
      <w:pPr>
        <w:pStyle w:val="Heading5"/>
        <w:rPr>
          <w:snapToGrid w:val="0"/>
        </w:rPr>
      </w:pPr>
      <w:bookmarkStart w:id="29" w:name="_Toc202180841"/>
      <w:bookmarkStart w:id="30" w:name="_Toc196194258"/>
      <w:r>
        <w:rPr>
          <w:rStyle w:val="CharSectno"/>
        </w:rPr>
        <w:t>5</w:t>
      </w:r>
      <w:r>
        <w:rPr>
          <w:snapToGrid w:val="0"/>
        </w:rPr>
        <w:t>.</w:t>
      </w:r>
      <w:r>
        <w:rPr>
          <w:snapToGrid w:val="0"/>
        </w:rPr>
        <w:tab/>
        <w:t>Certain powers included in the general powers</w:t>
      </w:r>
      <w:bookmarkEnd w:id="28"/>
      <w:bookmarkEnd w:id="29"/>
      <w:bookmarkEnd w:id="30"/>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pPr>
        <w:pStyle w:val="Indenta"/>
        <w:spacing w:before="60"/>
        <w:rPr>
          <w:snapToGrid w:val="0"/>
        </w:rPr>
      </w:pPr>
      <w:r>
        <w:rPr>
          <w:snapToGrid w:val="0"/>
        </w:rPr>
        <w:tab/>
        <w:t>(b)</w:t>
      </w:r>
      <w:r>
        <w:rPr>
          <w:snapToGrid w:val="0"/>
        </w:rPr>
        <w:tab/>
        <w:t>construct dams and reservoirs for the retention and formation of sheets of water thereon;</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pPr>
        <w:pStyle w:val="Indenta"/>
        <w:spacing w:before="60"/>
        <w:rPr>
          <w:snapToGrid w:val="0"/>
        </w:rPr>
      </w:pPr>
      <w:r>
        <w:rPr>
          <w:snapToGrid w:val="0"/>
        </w:rPr>
        <w:tab/>
        <w:t>(d)</w:t>
      </w:r>
      <w:r>
        <w:rPr>
          <w:snapToGrid w:val="0"/>
        </w:rPr>
        <w:tab/>
        <w:t>establish and maintain zoological gardens therein;</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2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31" w:name="_Toc13119861"/>
      <w:bookmarkStart w:id="32" w:name="_Toc202180842"/>
      <w:bookmarkStart w:id="33" w:name="_Toc196194259"/>
      <w:r>
        <w:rPr>
          <w:rStyle w:val="CharSectno"/>
        </w:rPr>
        <w:t>6</w:t>
      </w:r>
      <w:r>
        <w:rPr>
          <w:snapToGrid w:val="0"/>
        </w:rPr>
        <w:t>.</w:t>
      </w:r>
      <w:r>
        <w:rPr>
          <w:snapToGrid w:val="0"/>
        </w:rPr>
        <w:tab/>
        <w:t>A Board may delegate powers to committee</w:t>
      </w:r>
      <w:bookmarkEnd w:id="31"/>
      <w:bookmarkEnd w:id="32"/>
      <w:bookmarkEnd w:id="33"/>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34" w:name="_Toc13119862"/>
      <w:bookmarkStart w:id="35" w:name="_Toc202180843"/>
      <w:bookmarkStart w:id="36" w:name="_Toc196194260"/>
      <w:r>
        <w:rPr>
          <w:rStyle w:val="CharSectno"/>
        </w:rPr>
        <w:t>7</w:t>
      </w:r>
      <w:r>
        <w:rPr>
          <w:snapToGrid w:val="0"/>
        </w:rPr>
        <w:t>.</w:t>
      </w:r>
      <w:r>
        <w:rPr>
          <w:snapToGrid w:val="0"/>
        </w:rPr>
        <w:tab/>
        <w:t>A Board may appoint officers and servants</w:t>
      </w:r>
      <w:bookmarkEnd w:id="34"/>
      <w:bookmarkEnd w:id="35"/>
      <w:bookmarkEnd w:id="36"/>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37" w:name="_Toc13119863"/>
      <w:bookmarkStart w:id="38" w:name="_Toc202180844"/>
      <w:bookmarkStart w:id="39" w:name="_Toc196194261"/>
      <w:r>
        <w:rPr>
          <w:rStyle w:val="CharSectno"/>
        </w:rPr>
        <w:t>7A</w:t>
      </w:r>
      <w:r>
        <w:rPr>
          <w:snapToGrid w:val="0"/>
        </w:rPr>
        <w:t>.</w:t>
      </w:r>
      <w:r>
        <w:rPr>
          <w:snapToGrid w:val="0"/>
        </w:rPr>
        <w:tab/>
        <w:t>Powers of authorised persons</w:t>
      </w:r>
      <w:bookmarkEnd w:id="37"/>
      <w:bookmarkEnd w:id="38"/>
      <w:bookmarkEnd w:id="39"/>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by No. 50 of 1978 s. 5; amended by No. 6 of 2002 s. 96; No. 76 of 2003 s. 11.]</w:t>
      </w:r>
    </w:p>
    <w:p>
      <w:pPr>
        <w:pStyle w:val="Heading5"/>
        <w:rPr>
          <w:snapToGrid w:val="0"/>
        </w:rPr>
      </w:pPr>
      <w:bookmarkStart w:id="40" w:name="_Toc13119864"/>
      <w:bookmarkStart w:id="41" w:name="_Toc202180845"/>
      <w:bookmarkStart w:id="42" w:name="_Toc196194262"/>
      <w:r>
        <w:rPr>
          <w:rStyle w:val="CharSectno"/>
        </w:rPr>
        <w:t>7B</w:t>
      </w:r>
      <w:r>
        <w:rPr>
          <w:snapToGrid w:val="0"/>
        </w:rPr>
        <w:t>.</w:t>
      </w:r>
      <w:r>
        <w:rPr>
          <w:snapToGrid w:val="0"/>
        </w:rPr>
        <w:tab/>
        <w:t>Certificate of authority</w:t>
      </w:r>
      <w:bookmarkEnd w:id="40"/>
      <w:bookmarkEnd w:id="41"/>
      <w:bookmarkEnd w:id="42"/>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43" w:name="_Toc13119865"/>
      <w:bookmarkStart w:id="44" w:name="_Toc202180846"/>
      <w:bookmarkStart w:id="45" w:name="_Toc196194263"/>
      <w:r>
        <w:rPr>
          <w:rStyle w:val="CharSectno"/>
        </w:rPr>
        <w:t>7C</w:t>
      </w:r>
      <w:r>
        <w:rPr>
          <w:snapToGrid w:val="0"/>
        </w:rPr>
        <w:t>.</w:t>
      </w:r>
      <w:r>
        <w:rPr>
          <w:snapToGrid w:val="0"/>
        </w:rPr>
        <w:tab/>
        <w:t>Speed measuring equipment</w:t>
      </w:r>
      <w:bookmarkEnd w:id="43"/>
      <w:bookmarkEnd w:id="44"/>
      <w:bookmarkEnd w:id="45"/>
    </w:p>
    <w:p>
      <w:pPr>
        <w:pStyle w:val="Subsection"/>
        <w:spacing w:before="200"/>
        <w:rPr>
          <w:snapToGrid w:val="0"/>
        </w:rPr>
      </w:pPr>
      <w:r>
        <w:rPr>
          <w:snapToGrid w:val="0"/>
        </w:rPr>
        <w:tab/>
        <w:t>(1)</w:t>
      </w:r>
      <w:r>
        <w:rPr>
          <w:snapToGrid w:val="0"/>
        </w:rPr>
        <w:tab/>
        <w:t xml:space="preserve">In this section </w:t>
      </w:r>
      <w:del w:id="46" w:author="svcMRProcess" w:date="2015-11-04T22:33:00Z">
        <w:r>
          <w:rPr>
            <w:b/>
            <w:snapToGrid w:val="0"/>
          </w:rPr>
          <w:delText>“</w:delText>
        </w:r>
      </w:del>
      <w:r>
        <w:rPr>
          <w:rStyle w:val="CharDefText"/>
        </w:rPr>
        <w:t>speed measuring equipment</w:t>
      </w:r>
      <w:del w:id="47" w:author="svcMRProcess" w:date="2015-11-04T22:33:00Z">
        <w:r>
          <w:rPr>
            <w:b/>
            <w:snapToGrid w:val="0"/>
          </w:rPr>
          <w:delText>”</w:delText>
        </w:r>
      </w:del>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48" w:name="_Toc13119866"/>
      <w:bookmarkStart w:id="49" w:name="_Toc202180847"/>
      <w:bookmarkStart w:id="50" w:name="_Toc196194264"/>
      <w:r>
        <w:rPr>
          <w:rStyle w:val="CharSectno"/>
        </w:rPr>
        <w:t>8</w:t>
      </w:r>
      <w:r>
        <w:rPr>
          <w:snapToGrid w:val="0"/>
        </w:rPr>
        <w:t>.</w:t>
      </w:r>
      <w:r>
        <w:rPr>
          <w:snapToGrid w:val="0"/>
        </w:rPr>
        <w:tab/>
        <w:t>A Board may make by</w:t>
      </w:r>
      <w:r>
        <w:rPr>
          <w:snapToGrid w:val="0"/>
        </w:rPr>
        <w:noBreakHyphen/>
        <w:t>laws</w:t>
      </w:r>
      <w:bookmarkEnd w:id="48"/>
      <w:bookmarkEnd w:id="49"/>
      <w:bookmarkEnd w:id="50"/>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pPr>
        <w:pStyle w:val="MiscellaneousBody"/>
        <w:spacing w:before="120"/>
        <w:ind w:left="1276" w:hanging="1276"/>
        <w:rPr>
          <w:snapToGrid w:val="0"/>
        </w:rPr>
      </w:pPr>
      <w:r>
        <w:tab/>
      </w:r>
      <w:r>
        <w:rPr>
          <w:snapToGrid w:val="0"/>
        </w:rPr>
        <w:t>keeping accounts of the receipts and expenditure of the Board;</w:t>
      </w:r>
    </w:p>
    <w:p>
      <w:pPr>
        <w:pStyle w:val="MiscellaneousBody"/>
        <w:spacing w:before="120"/>
        <w:ind w:left="1276" w:hanging="1276"/>
        <w:rPr>
          <w:snapToGrid w:val="0"/>
        </w:rPr>
      </w:pPr>
      <w:r>
        <w:tab/>
      </w:r>
      <w:r>
        <w:rPr>
          <w:snapToGrid w:val="0"/>
        </w:rPr>
        <w:t>the management and conservation of the land, including zoological gardens;</w:t>
      </w:r>
    </w:p>
    <w:p>
      <w:pPr>
        <w:pStyle w:val="MiscellaneousBody"/>
        <w:ind w:left="1276" w:hanging="1276"/>
        <w:rPr>
          <w:snapToGrid w:val="0"/>
        </w:rPr>
      </w:pPr>
      <w:r>
        <w:tab/>
      </w:r>
      <w:r>
        <w:rPr>
          <w:snapToGrid w:val="0"/>
        </w:rPr>
        <w:t>the appointment and guidance of keepers or servants employed therein;</w:t>
      </w:r>
    </w:p>
    <w:p>
      <w:pPr>
        <w:pStyle w:val="MiscellaneousBody"/>
        <w:ind w:left="1276" w:hanging="1276"/>
        <w:rPr>
          <w:snapToGrid w:val="0"/>
        </w:rPr>
      </w:pPr>
      <w:r>
        <w:tab/>
      </w:r>
      <w:r>
        <w:rPr>
          <w:snapToGrid w:val="0"/>
        </w:rPr>
        <w:t>prescribing the time at which any such land shall be opened and closed;</w:t>
      </w:r>
    </w:p>
    <w:p>
      <w:pPr>
        <w:pStyle w:val="MiscellaneousBody"/>
        <w:ind w:left="1276" w:hanging="1276"/>
        <w:rPr>
          <w:snapToGrid w:val="0"/>
        </w:rPr>
      </w:pPr>
      <w:r>
        <w:tab/>
      </w:r>
      <w:r>
        <w:rPr>
          <w:snapToGrid w:val="0"/>
        </w:rPr>
        <w:t>the conduct of persons frequenting any such land;</w:t>
      </w:r>
    </w:p>
    <w:p>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pPr>
        <w:pStyle w:val="MiscellaneousBody"/>
        <w:ind w:left="1276" w:hanging="1276"/>
        <w:rPr>
          <w:snapToGrid w:val="0"/>
        </w:rPr>
      </w:pPr>
      <w:r>
        <w:tab/>
      </w:r>
      <w:r>
        <w:rPr>
          <w:snapToGrid w:val="0"/>
        </w:rPr>
        <w:t>regulating traffic and the use of vehicles upon roads, and the use of footpaths, and in particular —</w:t>
      </w:r>
    </w:p>
    <w:p>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pPr>
        <w:pStyle w:val="Defpara"/>
      </w:pPr>
      <w:r>
        <w:tab/>
        <w:t>(c)</w:t>
      </w:r>
      <w:r>
        <w:tab/>
        <w:t>prescribing the places where vehicles of any class or description may or may not be parked on the land;</w:t>
      </w:r>
    </w:p>
    <w:p>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pPr>
        <w:pStyle w:val="MiscellaneousBody"/>
        <w:ind w:left="1276" w:hanging="1276"/>
        <w:rPr>
          <w:snapToGrid w:val="0"/>
        </w:rPr>
      </w:pPr>
      <w:r>
        <w:rPr>
          <w:snapToGrid w:val="0"/>
        </w:rPr>
        <w:tab/>
        <w:t>preventing or regulating shooting over</w:t>
      </w:r>
      <w:r>
        <w:t xml:space="preserve"> or on the land;</w:t>
      </w:r>
    </w:p>
    <w:p>
      <w:pPr>
        <w:pStyle w:val="MiscellaneousBody"/>
        <w:ind w:left="1276" w:hanging="1276"/>
        <w:rPr>
          <w:snapToGrid w:val="0"/>
        </w:rPr>
      </w:pPr>
      <w:r>
        <w:rPr>
          <w:snapToGrid w:val="0"/>
        </w:rPr>
        <w:tab/>
        <w:t>preventing or regulating matches, or training for racing with horses, dogs, or otherwise upon the land;</w:t>
      </w:r>
    </w:p>
    <w:p>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pPr>
        <w:pStyle w:val="MiscellaneousBody"/>
        <w:ind w:left="1276" w:hanging="1276"/>
        <w:rPr>
          <w:snapToGrid w:val="0"/>
        </w:rPr>
      </w:pPr>
      <w:r>
        <w:rPr>
          <w:snapToGrid w:val="0"/>
        </w:rPr>
        <w:tab/>
        <w:t>prohibiting the impersonation of authorised persons;</w:t>
      </w:r>
    </w:p>
    <w:p>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pPr>
        <w:pStyle w:val="Defpara"/>
      </w:pPr>
      <w:r>
        <w:tab/>
        <w:t>(a)</w:t>
      </w:r>
      <w:r>
        <w:tab/>
        <w:t>the identity of the alleged offender is not known; and</w:t>
      </w:r>
    </w:p>
    <w:p>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MiscellaneousBody"/>
        <w:ind w:left="1276" w:hanging="1276"/>
        <w:rPr>
          <w:snapToGrid w:val="0"/>
        </w:rPr>
      </w:pPr>
      <w:r>
        <w:rPr>
          <w:snapToGrid w:val="0"/>
        </w:rPr>
        <w:tab/>
        <w:t>the owner shall be deemed to have been the driver or person in charge of the vehicle at the time of the alleged offence;</w:t>
      </w:r>
    </w:p>
    <w:p>
      <w:pPr>
        <w:pStyle w:val="MiscellaneousBody"/>
        <w:ind w:left="1276" w:hanging="1276"/>
        <w:rPr>
          <w:snapToGrid w:val="0"/>
        </w:rPr>
      </w:pPr>
      <w:r>
        <w:rPr>
          <w:snapToGrid w:val="0"/>
        </w:rPr>
        <w:tab/>
        <w:t>prohibiting any person other than the owner, driver or person in charge of a vehicle from removing any notice attached to, or left in or on, the vehicle pursuant to section 14;</w:t>
      </w:r>
    </w:p>
    <w:p>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pPr>
        <w:pStyle w:val="MiscellaneousBody"/>
        <w:ind w:left="1276" w:hanging="1276"/>
        <w:rPr>
          <w:snapToGrid w:val="0"/>
        </w:rPr>
      </w:pPr>
      <w:r>
        <w:rPr>
          <w:snapToGrid w:val="0"/>
        </w:rPr>
        <w:tab/>
        <w:t>prohibiting damage or injury to and destruction of trees, shrubs, plants and flowers</w:t>
      </w:r>
      <w:r>
        <w:t xml:space="preserve"> on the land;</w:t>
      </w:r>
    </w:p>
    <w:p>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pPr>
      <w:r>
        <w:tab/>
        <w:t>[Section 8 amended by No. 60 of 1947 s. 3; No. 17 of 1955 s. 4; No. 40 of 1963 s. 2; No. 4 of 1972 s. 3; No. 50 of 1978 s. 6; No. 8 of 1985 s. 3; No. 78 of 1995 s. 98; No. 76 of 2003 s. 12.]</w:t>
      </w:r>
    </w:p>
    <w:p>
      <w:pPr>
        <w:pStyle w:val="Heading5"/>
        <w:rPr>
          <w:snapToGrid w:val="0"/>
        </w:rPr>
      </w:pPr>
      <w:bookmarkStart w:id="51" w:name="_Toc13119867"/>
      <w:bookmarkStart w:id="52" w:name="_Toc202180848"/>
      <w:bookmarkStart w:id="53" w:name="_Toc196194265"/>
      <w:r>
        <w:rPr>
          <w:rStyle w:val="CharSectno"/>
        </w:rPr>
        <w:t>9</w:t>
      </w:r>
      <w:r>
        <w:rPr>
          <w:snapToGrid w:val="0"/>
        </w:rPr>
        <w:t>.</w:t>
      </w:r>
      <w:r>
        <w:rPr>
          <w:snapToGrid w:val="0"/>
        </w:rPr>
        <w:tab/>
        <w:t>By</w:t>
      </w:r>
      <w:r>
        <w:rPr>
          <w:snapToGrid w:val="0"/>
        </w:rPr>
        <w:noBreakHyphen/>
        <w:t>laws to be gazetted and tabled</w:t>
      </w:r>
      <w:bookmarkEnd w:id="51"/>
      <w:bookmarkEnd w:id="52"/>
      <w:bookmarkEnd w:id="53"/>
    </w:p>
    <w:p>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pPr>
      <w:r>
        <w:tab/>
        <w:t>[Section 9 amended by No. 77 of 1982 s. 17; No. 76 of 2003 s. 13.]</w:t>
      </w:r>
    </w:p>
    <w:p>
      <w:pPr>
        <w:pStyle w:val="Ednotesection"/>
        <w:ind w:left="0" w:firstLine="0"/>
      </w:pPr>
      <w:bookmarkStart w:id="54" w:name="_Toc13119869"/>
      <w:r>
        <w:t>[</w:t>
      </w:r>
      <w:r>
        <w:rPr>
          <w:b/>
        </w:rPr>
        <w:t>10.</w:t>
      </w:r>
      <w:r>
        <w:tab/>
        <w:t>Repealed by No. 76 of 2003 s. 14.]</w:t>
      </w:r>
    </w:p>
    <w:p>
      <w:pPr>
        <w:pStyle w:val="Heading5"/>
        <w:rPr>
          <w:snapToGrid w:val="0"/>
        </w:rPr>
      </w:pPr>
      <w:bookmarkStart w:id="55" w:name="_Toc202180849"/>
      <w:bookmarkStart w:id="56" w:name="_Toc196194266"/>
      <w:r>
        <w:rPr>
          <w:rStyle w:val="CharSectno"/>
        </w:rPr>
        <w:t>11</w:t>
      </w:r>
      <w:r>
        <w:rPr>
          <w:snapToGrid w:val="0"/>
        </w:rPr>
        <w:t>.</w:t>
      </w:r>
      <w:r>
        <w:rPr>
          <w:snapToGrid w:val="0"/>
        </w:rPr>
        <w:tab/>
        <w:t>Boards to act by majorities, and member presiding to have casting vote</w:t>
      </w:r>
      <w:bookmarkEnd w:id="54"/>
      <w:bookmarkEnd w:id="55"/>
      <w:bookmarkEnd w:id="56"/>
    </w:p>
    <w:p>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rPr>
          <w:snapToGrid w:val="0"/>
        </w:rPr>
      </w:pPr>
      <w:bookmarkStart w:id="57" w:name="_Toc13119870"/>
      <w:bookmarkStart w:id="58" w:name="_Toc202180850"/>
      <w:bookmarkStart w:id="59" w:name="_Toc196194267"/>
      <w:r>
        <w:rPr>
          <w:rStyle w:val="CharSectno"/>
        </w:rPr>
        <w:t>12</w:t>
      </w:r>
      <w:r>
        <w:rPr>
          <w:snapToGrid w:val="0"/>
        </w:rPr>
        <w:t>.</w:t>
      </w:r>
      <w:r>
        <w:rPr>
          <w:snapToGrid w:val="0"/>
        </w:rPr>
        <w:tab/>
        <w:t xml:space="preserve">Application of </w:t>
      </w:r>
      <w:bookmarkEnd w:id="57"/>
      <w:r>
        <w:rPr>
          <w:i/>
        </w:rPr>
        <w:t>Financial Management Act 2006</w:t>
      </w:r>
      <w:r>
        <w:t xml:space="preserve"> and </w:t>
      </w:r>
      <w:r>
        <w:rPr>
          <w:i/>
        </w:rPr>
        <w:t>Auditor General Act 2006</w:t>
      </w:r>
      <w:bookmarkEnd w:id="58"/>
      <w:bookmarkEnd w:id="5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pPr>
      <w:r>
        <w:tab/>
        <w:t>[Section 12 inserted by No. 98 of 1985 s. 3; amended by No. 74 of 2003 s. 90; No. 77 of 2006 s. 17.]</w:t>
      </w:r>
    </w:p>
    <w:p>
      <w:pPr>
        <w:pStyle w:val="Heading5"/>
        <w:rPr>
          <w:snapToGrid w:val="0"/>
        </w:rPr>
      </w:pPr>
      <w:bookmarkStart w:id="60" w:name="_Toc13119871"/>
      <w:bookmarkStart w:id="61" w:name="_Toc202180851"/>
      <w:bookmarkStart w:id="62" w:name="_Toc196194268"/>
      <w:r>
        <w:rPr>
          <w:rStyle w:val="CharSectno"/>
        </w:rPr>
        <w:t>12A</w:t>
      </w:r>
      <w:r>
        <w:rPr>
          <w:snapToGrid w:val="0"/>
        </w:rPr>
        <w:t>.</w:t>
      </w:r>
      <w:r>
        <w:rPr>
          <w:snapToGrid w:val="0"/>
        </w:rPr>
        <w:tab/>
        <w:t>Liability of parents</w:t>
      </w:r>
      <w:bookmarkEnd w:id="60"/>
      <w:bookmarkEnd w:id="61"/>
      <w:bookmarkEnd w:id="62"/>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del w:id="63" w:author="svcMRProcess" w:date="2015-11-04T22:33:00Z">
        <w:r>
          <w:rPr>
            <w:b/>
          </w:rPr>
          <w:delText>“</w:delText>
        </w:r>
      </w:del>
      <w:r>
        <w:rPr>
          <w:rStyle w:val="CharDefText"/>
        </w:rPr>
        <w:t>child</w:t>
      </w:r>
      <w:del w:id="64" w:author="svcMRProcess" w:date="2015-11-04T22:33:00Z">
        <w:r>
          <w:rPr>
            <w:b/>
          </w:rPr>
          <w:delText>”</w:delText>
        </w:r>
      </w:del>
      <w:r>
        <w:t xml:space="preserve"> means a person who has not attained the age of 18 years;</w:t>
      </w:r>
    </w:p>
    <w:p>
      <w:pPr>
        <w:pStyle w:val="Defstart"/>
      </w:pPr>
      <w:bookmarkStart w:id="65" w:name="endcomma"/>
      <w:bookmarkEnd w:id="65"/>
      <w:r>
        <w:rPr>
          <w:b/>
        </w:rPr>
        <w:tab/>
      </w:r>
      <w:del w:id="66" w:author="svcMRProcess" w:date="2015-11-04T22:33:00Z">
        <w:r>
          <w:rPr>
            <w:b/>
          </w:rPr>
          <w:delText>“</w:delText>
        </w:r>
      </w:del>
      <w:r>
        <w:rPr>
          <w:rStyle w:val="CharDefText"/>
        </w:rPr>
        <w:t>parent</w:t>
      </w:r>
      <w:del w:id="67" w:author="svcMRProcess" w:date="2015-11-04T22:33:00Z">
        <w:r>
          <w:rPr>
            <w:b/>
          </w:rPr>
          <w:delText>”</w:delText>
        </w:r>
      </w:del>
      <w:r>
        <w:t xml:space="preserve"> has the meaning given to that term in section 3 of the </w:t>
      </w:r>
      <w:r>
        <w:rPr>
          <w:i/>
        </w:rPr>
        <w:t>Children and Community Services Act 2004</w:t>
      </w:r>
      <w:r>
        <w:t>.</w:t>
      </w:r>
    </w:p>
    <w:p>
      <w:pPr>
        <w:pStyle w:val="Ednotesubsection"/>
      </w:pPr>
      <w:r>
        <w:tab/>
        <w:t>[(3)</w:t>
      </w:r>
      <w:r>
        <w:tab/>
        <w:t>repealed]</w:t>
      </w:r>
    </w:p>
    <w:p>
      <w:pPr>
        <w:pStyle w:val="Footnotesection"/>
      </w:pPr>
      <w:r>
        <w:tab/>
        <w:t xml:space="preserve">[Section 12A inserted by No. 50 of 1978 s. 7; amended by No. 76 of 2003 s. 15; </w:t>
      </w:r>
      <w:r>
        <w:rPr>
          <w:spacing w:val="-6"/>
        </w:rPr>
        <w:t>No. 34 of 2004 s. </w:t>
      </w:r>
      <w:r>
        <w:t>251.]</w:t>
      </w:r>
    </w:p>
    <w:p>
      <w:pPr>
        <w:pStyle w:val="Heading5"/>
        <w:rPr>
          <w:snapToGrid w:val="0"/>
        </w:rPr>
      </w:pPr>
      <w:bookmarkStart w:id="68" w:name="_Toc13119872"/>
      <w:bookmarkStart w:id="69" w:name="_Toc202180852"/>
      <w:bookmarkStart w:id="70" w:name="_Toc196194269"/>
      <w:r>
        <w:rPr>
          <w:rStyle w:val="CharSectno"/>
        </w:rPr>
        <w:t>12B</w:t>
      </w:r>
      <w:r>
        <w:rPr>
          <w:snapToGrid w:val="0"/>
        </w:rPr>
        <w:t>.</w:t>
      </w:r>
      <w:r>
        <w:rPr>
          <w:snapToGrid w:val="0"/>
        </w:rPr>
        <w:tab/>
        <w:t>Provisions as to ownership and control of animals</w:t>
      </w:r>
      <w:bookmarkEnd w:id="68"/>
      <w:bookmarkEnd w:id="69"/>
      <w:bookmarkEnd w:id="70"/>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71" w:name="_Toc202180853"/>
      <w:bookmarkStart w:id="72" w:name="_Toc196194270"/>
      <w:bookmarkStart w:id="73" w:name="_Toc13119874"/>
      <w:r>
        <w:rPr>
          <w:rStyle w:val="CharSectno"/>
        </w:rPr>
        <w:t>13</w:t>
      </w:r>
      <w:r>
        <w:rPr>
          <w:snapToGrid w:val="0"/>
        </w:rPr>
        <w:t>.</w:t>
      </w:r>
      <w:r>
        <w:rPr>
          <w:snapToGrid w:val="0"/>
        </w:rPr>
        <w:tab/>
        <w:t>Protection from liability</w:t>
      </w:r>
      <w:bookmarkEnd w:id="71"/>
      <w:bookmarkEnd w:id="72"/>
    </w:p>
    <w:p>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74" w:name="_Toc202180854"/>
      <w:bookmarkStart w:id="75" w:name="_Toc196194271"/>
      <w:r>
        <w:rPr>
          <w:rStyle w:val="CharSectno"/>
        </w:rPr>
        <w:t>14</w:t>
      </w:r>
      <w:r>
        <w:rPr>
          <w:snapToGrid w:val="0"/>
        </w:rPr>
        <w:t>.</w:t>
      </w:r>
      <w:r>
        <w:rPr>
          <w:snapToGrid w:val="0"/>
        </w:rPr>
        <w:tab/>
        <w:t>Proceedings by way of notice</w:t>
      </w:r>
      <w:bookmarkEnd w:id="73"/>
      <w:bookmarkEnd w:id="74"/>
      <w:bookmarkEnd w:id="75"/>
    </w:p>
    <w:p>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76" w:name="_Toc202180855"/>
      <w:bookmarkStart w:id="77" w:name="_Toc196194272"/>
      <w:r>
        <w:rPr>
          <w:rStyle w:val="CharSectno"/>
        </w:rPr>
        <w:t>15</w:t>
      </w:r>
      <w:r>
        <w:t>.</w:t>
      </w:r>
      <w:r>
        <w:tab/>
        <w:t>Arrangements for staff before dissolution of Boards that are bodies corporate</w:t>
      </w:r>
      <w:bookmarkEnd w:id="76"/>
      <w:bookmarkEnd w:id="77"/>
    </w:p>
    <w:p>
      <w:pPr>
        <w:pStyle w:val="Subsection"/>
      </w:pPr>
      <w:r>
        <w:tab/>
        <w:t>(1)</w:t>
      </w:r>
      <w:r>
        <w:tab/>
        <w:t>In this section —</w:t>
      </w:r>
    </w:p>
    <w:p>
      <w:pPr>
        <w:pStyle w:val="Defstart"/>
      </w:pPr>
      <w:r>
        <w:rPr>
          <w:b/>
        </w:rPr>
        <w:tab/>
      </w:r>
      <w:del w:id="78" w:author="svcMRProcess" w:date="2015-11-04T22:33:00Z">
        <w:r>
          <w:rPr>
            <w:b/>
          </w:rPr>
          <w:delText>“</w:delText>
        </w:r>
      </w:del>
      <w:r>
        <w:rPr>
          <w:rStyle w:val="CharDefText"/>
        </w:rPr>
        <w:t>staff member</w:t>
      </w:r>
      <w:del w:id="79" w:author="svcMRProcess" w:date="2015-11-04T22:33:00Z">
        <w:r>
          <w:rPr>
            <w:b/>
          </w:rPr>
          <w:delText>”</w:delText>
        </w:r>
        <w:r>
          <w:delText>,</w:delText>
        </w:r>
      </w:del>
      <w:ins w:id="80" w:author="svcMRProcess" w:date="2015-11-04T22:33:00Z">
        <w:r>
          <w:t>,</w:t>
        </w:r>
      </w:ins>
      <w:r>
        <w:t xml:space="preserve"> in relation to a particular Board, means a person appointed under section 7(1) by that Board.</w:t>
      </w:r>
    </w:p>
    <w:p>
      <w:pPr>
        <w:pStyle w:val="Subsection"/>
        <w:rPr>
          <w:spacing w:val="-4"/>
        </w:rPr>
      </w:pPr>
      <w:r>
        <w:rPr>
          <w:spacing w:val="-4"/>
        </w:rPr>
        <w:tab/>
        <w:t>(2)</w:t>
      </w:r>
      <w:r>
        <w:rPr>
          <w:spacing w:val="-4"/>
        </w:rPr>
        <w:tab/>
        <w:t>A Board cannot be dissolved under section 3(7) unless —</w:t>
      </w:r>
    </w:p>
    <w:p>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pPr>
      <w:r>
        <w:tab/>
        <w:t>(a)</w:t>
      </w:r>
      <w:r>
        <w:tab/>
        <w:t>a change in employment arranged under subsection (2)(a); or</w:t>
      </w:r>
    </w:p>
    <w:p>
      <w:pPr>
        <w:pStyle w:val="Indenta"/>
      </w:pPr>
      <w:r>
        <w:tab/>
        <w:t>(b)</w:t>
      </w:r>
      <w:r>
        <w:tab/>
        <w:t>the dissolution of the Board.</w:t>
      </w:r>
    </w:p>
    <w:p>
      <w:pPr>
        <w:pStyle w:val="Footnotesection"/>
      </w:pPr>
      <w:r>
        <w:tab/>
        <w:t>[Section 15 inserted by No. 76 of 2003 s. 16.]</w:t>
      </w:r>
    </w:p>
    <w:p>
      <w:pPr>
        <w:pStyle w:val="Heading5"/>
      </w:pPr>
      <w:bookmarkStart w:id="81" w:name="_Toc202180856"/>
      <w:bookmarkStart w:id="82" w:name="_Toc196194273"/>
      <w:r>
        <w:rPr>
          <w:rStyle w:val="CharSectno"/>
        </w:rPr>
        <w:t>16</w:t>
      </w:r>
      <w:r>
        <w:t>.</w:t>
      </w:r>
      <w:r>
        <w:tab/>
        <w:t>Regulations as to matters consequent on dissolution of Boards that are bodies corporate</w:t>
      </w:r>
      <w:bookmarkEnd w:id="81"/>
      <w:bookmarkEnd w:id="82"/>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spacing w:before="100"/>
      </w:pPr>
      <w:r>
        <w:tab/>
        <w:t>(a)</w:t>
      </w:r>
      <w:r>
        <w:tab/>
        <w:t>the disposition of, or dealing with, the property of a Board, on the Board’s dissolution;</w:t>
      </w:r>
    </w:p>
    <w:p>
      <w:pPr>
        <w:pStyle w:val="Indenta"/>
        <w:spacing w:before="100"/>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r>
      <w:del w:id="83" w:author="svcMRProcess" w:date="2015-11-04T22:33:00Z">
        <w:r>
          <w:rPr>
            <w:b/>
          </w:rPr>
          <w:delText>“</w:delText>
        </w:r>
      </w:del>
      <w:r>
        <w:rPr>
          <w:rStyle w:val="CharDefText"/>
        </w:rPr>
        <w:t>dissolution</w:t>
      </w:r>
      <w:del w:id="84" w:author="svcMRProcess" w:date="2015-11-04T22:33:00Z">
        <w:r>
          <w:rPr>
            <w:b/>
          </w:rPr>
          <w:delText>”</w:delText>
        </w:r>
      </w:del>
      <w:r>
        <w:t xml:space="preserve"> means dissolution under section 3(7);</w:t>
      </w:r>
    </w:p>
    <w:p>
      <w:pPr>
        <w:pStyle w:val="Defstart"/>
        <w:spacing w:before="100"/>
      </w:pPr>
      <w:r>
        <w:rPr>
          <w:b/>
        </w:rPr>
        <w:tab/>
      </w:r>
      <w:del w:id="85" w:author="svcMRProcess" w:date="2015-11-04T22:33:00Z">
        <w:r>
          <w:rPr>
            <w:b/>
          </w:rPr>
          <w:delText>“</w:delText>
        </w:r>
      </w:del>
      <w:r>
        <w:rPr>
          <w:rStyle w:val="CharDefText"/>
        </w:rPr>
        <w:t>liabilities</w:t>
      </w:r>
      <w:del w:id="86" w:author="svcMRProcess" w:date="2015-11-04T22:33:00Z">
        <w:r>
          <w:rPr>
            <w:b/>
          </w:rPr>
          <w:delText>”</w:delText>
        </w:r>
      </w:del>
      <w:r>
        <w:t xml:space="preserve"> includes duties and obligations;</w:t>
      </w:r>
    </w:p>
    <w:p>
      <w:pPr>
        <w:pStyle w:val="Defstart"/>
        <w:spacing w:before="100"/>
      </w:pPr>
      <w:r>
        <w:rPr>
          <w:b/>
        </w:rPr>
        <w:tab/>
      </w:r>
      <w:del w:id="87" w:author="svcMRProcess" w:date="2015-11-04T22:33:00Z">
        <w:r>
          <w:rPr>
            <w:b/>
          </w:rPr>
          <w:delText>“</w:delText>
        </w:r>
      </w:del>
      <w:r>
        <w:rPr>
          <w:rStyle w:val="CharDefText"/>
        </w:rPr>
        <w:t>rights</w:t>
      </w:r>
      <w:del w:id="88" w:author="svcMRProcess" w:date="2015-11-04T22:33:00Z">
        <w:r>
          <w:rPr>
            <w:b/>
          </w:rPr>
          <w:delText>”</w:delText>
        </w:r>
      </w:del>
      <w:r>
        <w:t xml:space="preserve"> includes powers, privileges and immunities.</w:t>
      </w:r>
    </w:p>
    <w:p>
      <w:pPr>
        <w:pStyle w:val="Footnotesection"/>
      </w:pPr>
      <w:r>
        <w:tab/>
        <w:t>[Section 16 inserted by No. 76 of 2003 s. 16.]</w:t>
      </w:r>
    </w:p>
    <w:p>
      <w:pPr>
        <w:pStyle w:val="Heading5"/>
      </w:pPr>
      <w:bookmarkStart w:id="89" w:name="_Toc202180857"/>
      <w:bookmarkStart w:id="90" w:name="_Toc196194274"/>
      <w:r>
        <w:rPr>
          <w:rStyle w:val="CharSectno"/>
        </w:rPr>
        <w:t>17</w:t>
      </w:r>
      <w:r>
        <w:t>.</w:t>
      </w:r>
      <w:r>
        <w:tab/>
        <w:t>Exemption from State taxation in relation to dissolution of Boards that are bodies corporate</w:t>
      </w:r>
      <w:bookmarkEnd w:id="89"/>
      <w:bookmarkEnd w:id="90"/>
    </w:p>
    <w:p>
      <w:pPr>
        <w:pStyle w:val="Subsection"/>
        <w:keepNext/>
        <w:keepLines/>
      </w:pPr>
      <w:r>
        <w:tab/>
        <w:t>(1)</w:t>
      </w:r>
      <w:r>
        <w:tab/>
        <w:t>In this section —</w:t>
      </w:r>
    </w:p>
    <w:p>
      <w:pPr>
        <w:pStyle w:val="Defstart"/>
      </w:pPr>
      <w:r>
        <w:rPr>
          <w:b/>
        </w:rPr>
        <w:tab/>
      </w:r>
      <w:del w:id="91" w:author="svcMRProcess" w:date="2015-11-04T22:33:00Z">
        <w:r>
          <w:rPr>
            <w:b/>
          </w:rPr>
          <w:delText>“</w:delText>
        </w:r>
      </w:del>
      <w:r>
        <w:rPr>
          <w:rStyle w:val="CharDefText"/>
        </w:rPr>
        <w:t>State tax</w:t>
      </w:r>
      <w:del w:id="92" w:author="svcMRProcess" w:date="2015-11-04T22:33:00Z">
        <w:r>
          <w:rPr>
            <w:b/>
          </w:rPr>
          <w:delText>”</w:delText>
        </w:r>
      </w:del>
      <w:r>
        <w:t xml:space="preserve"> includes </w:t>
      </w:r>
      <w:del w:id="93" w:author="svcMRProcess" w:date="2015-11-04T22:33:00Z">
        <w:r>
          <w:delText xml:space="preserve">stamp </w:delText>
        </w:r>
      </w:del>
      <w:r>
        <w:t xml:space="preserve">duty chargeable under the </w:t>
      </w:r>
      <w:del w:id="94" w:author="svcMRProcess" w:date="2015-11-04T22:33:00Z">
        <w:r>
          <w:rPr>
            <w:i/>
          </w:rPr>
          <w:delText>Stamp</w:delText>
        </w:r>
      </w:del>
      <w:ins w:id="95" w:author="svcMRProcess" w:date="2015-11-04T22:33:00Z">
        <w:r>
          <w:rPr>
            <w:i/>
            <w:iCs/>
          </w:rPr>
          <w:t>Duties</w:t>
        </w:r>
      </w:ins>
      <w:r>
        <w:rPr>
          <w:i/>
          <w:iCs/>
        </w:rPr>
        <w:t xml:space="preserve"> Act </w:t>
      </w:r>
      <w:del w:id="96" w:author="svcMRProcess" w:date="2015-11-04T22:33:00Z">
        <w:r>
          <w:rPr>
            <w:i/>
          </w:rPr>
          <w:delText>1921</w:delText>
        </w:r>
      </w:del>
      <w:ins w:id="97" w:author="svcMRProcess" w:date="2015-11-04T22:33:00Z">
        <w:r>
          <w:rPr>
            <w:i/>
            <w:iCs/>
          </w:rPr>
          <w:t>2008</w:t>
        </w:r>
      </w:ins>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w:t>
      </w:r>
      <w:del w:id="98" w:author="svcMRProcess" w:date="2015-11-04T22:33:00Z">
        <w:r>
          <w:delText>16</w:delText>
        </w:r>
      </w:del>
      <w:ins w:id="99" w:author="svcMRProcess" w:date="2015-11-04T22:33:00Z">
        <w:r>
          <w:t>16; amended by No. 12 of 2008 s. 52</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0" w:name="_Toc118776456"/>
      <w:bookmarkStart w:id="101" w:name="_Toc119139362"/>
      <w:bookmarkStart w:id="102" w:name="_Toc121814788"/>
      <w:bookmarkStart w:id="103" w:name="_Toc121903343"/>
      <w:bookmarkStart w:id="104" w:name="_Toc122141923"/>
      <w:bookmarkStart w:id="105" w:name="_Toc122227165"/>
      <w:bookmarkStart w:id="106" w:name="_Toc124218852"/>
      <w:bookmarkStart w:id="107" w:name="_Toc125882399"/>
      <w:bookmarkStart w:id="108" w:name="_Toc128475661"/>
      <w:bookmarkStart w:id="109" w:name="_Toc129076108"/>
      <w:bookmarkStart w:id="110" w:name="_Toc157928001"/>
      <w:bookmarkStart w:id="111" w:name="_Toc196194275"/>
      <w:bookmarkStart w:id="112" w:name="_Toc202180858"/>
      <w:r>
        <w:rPr>
          <w:rStyle w:val="CharSchNo"/>
        </w:rPr>
        <w:t>Schedule</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yShoulderClause"/>
        <w:rPr>
          <w:snapToGrid w:val="0"/>
        </w:rPr>
      </w:pPr>
      <w:r>
        <w:rPr>
          <w:snapToGrid w:val="0"/>
        </w:rPr>
        <w:t>[S. 7B]</w:t>
      </w:r>
    </w:p>
    <w:p>
      <w:pPr>
        <w:pStyle w:val="yMiscellaneousHeading"/>
        <w:outlineLvl w:val="1"/>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outlineLvl w:val="1"/>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113" w:name="_Toc86554423"/>
      <w:bookmarkStart w:id="114" w:name="_Toc89238996"/>
      <w:bookmarkStart w:id="115" w:name="_Toc89512946"/>
      <w:bookmarkStart w:id="116" w:name="_Toc118536521"/>
      <w:bookmarkStart w:id="117" w:name="_Toc118776457"/>
      <w:bookmarkStart w:id="118" w:name="_Toc119139363"/>
      <w:bookmarkStart w:id="119" w:name="_Toc121814789"/>
      <w:bookmarkStart w:id="120" w:name="_Toc121903344"/>
      <w:bookmarkStart w:id="121" w:name="_Toc122141924"/>
      <w:bookmarkStart w:id="122" w:name="_Toc122227166"/>
      <w:bookmarkStart w:id="123" w:name="_Toc124218853"/>
      <w:bookmarkStart w:id="124" w:name="_Toc125882400"/>
      <w:bookmarkStart w:id="125" w:name="_Toc128475662"/>
      <w:bookmarkStart w:id="126" w:name="_Toc129076109"/>
      <w:bookmarkStart w:id="127" w:name="_Toc157928002"/>
      <w:bookmarkStart w:id="128" w:name="_Toc196194276"/>
      <w:bookmarkStart w:id="129" w:name="_Toc202180859"/>
      <w:r>
        <w:t>Notes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w:t>
      </w:r>
      <w:del w:id="130" w:author="svcMRProcess" w:date="2015-11-04T22:3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31" w:name="_Toc202180860"/>
      <w:bookmarkStart w:id="132" w:name="_Toc196194277"/>
      <w:r>
        <w:rPr>
          <w:snapToGrid w:val="0"/>
        </w:rPr>
        <w:t>Compilation table</w:t>
      </w:r>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The Parks and Reserves Act 1895 </w:t>
            </w:r>
            <w:r>
              <w:rPr>
                <w:sz w:val="19"/>
                <w:vertAlign w:val="superscript"/>
              </w:rPr>
              <w:t>4</w:t>
            </w:r>
          </w:p>
        </w:tc>
        <w:tc>
          <w:tcPr>
            <w:tcW w:w="1134" w:type="dxa"/>
            <w:tcBorders>
              <w:top w:val="single" w:sz="8" w:space="0" w:color="auto"/>
            </w:tcBorders>
          </w:tcPr>
          <w:p>
            <w:pPr>
              <w:pStyle w:val="nTable"/>
              <w:spacing w:after="40"/>
              <w:rPr>
                <w:sz w:val="19"/>
              </w:rPr>
            </w:pPr>
            <w:r>
              <w:rPr>
                <w:sz w:val="19"/>
              </w:rPr>
              <w:t>30 of 1895</w:t>
            </w:r>
          </w:p>
        </w:tc>
        <w:tc>
          <w:tcPr>
            <w:tcW w:w="1134" w:type="dxa"/>
            <w:tcBorders>
              <w:top w:val="single" w:sz="8" w:space="0" w:color="auto"/>
            </w:tcBorders>
          </w:tcPr>
          <w:p>
            <w:pPr>
              <w:pStyle w:val="nTable"/>
              <w:spacing w:after="40"/>
              <w:rPr>
                <w:sz w:val="19"/>
              </w:rPr>
            </w:pPr>
            <w:r>
              <w:rPr>
                <w:sz w:val="19"/>
              </w:rPr>
              <w:t>12 Oct 1895</w:t>
            </w:r>
          </w:p>
        </w:tc>
        <w:tc>
          <w:tcPr>
            <w:tcW w:w="2551" w:type="dxa"/>
            <w:tcBorders>
              <w:top w:val="single" w:sz="8" w:space="0" w:color="auto"/>
            </w:tcBorders>
          </w:tcPr>
          <w:p>
            <w:pPr>
              <w:pStyle w:val="nTable"/>
              <w:spacing w:after="40"/>
              <w:rPr>
                <w:sz w:val="19"/>
              </w:rPr>
            </w:pPr>
            <w:r>
              <w:rPr>
                <w:sz w:val="19"/>
              </w:rPr>
              <w:t>12 Oct 1895</w:t>
            </w:r>
          </w:p>
        </w:tc>
      </w:tr>
      <w:tr>
        <w:trPr>
          <w:cantSplit/>
        </w:trPr>
        <w:tc>
          <w:tcPr>
            <w:tcW w:w="2268" w:type="dxa"/>
          </w:tcPr>
          <w:p>
            <w:pPr>
              <w:pStyle w:val="nTable"/>
              <w:spacing w:after="40"/>
              <w:rPr>
                <w:i/>
                <w:sz w:val="19"/>
              </w:rPr>
            </w:pPr>
            <w:r>
              <w:rPr>
                <w:i/>
                <w:sz w:val="19"/>
              </w:rPr>
              <w:t>The Parks and Reserves Act Amendment Act 1947</w:t>
            </w:r>
          </w:p>
        </w:tc>
        <w:tc>
          <w:tcPr>
            <w:tcW w:w="1134" w:type="dxa"/>
          </w:tcPr>
          <w:p>
            <w:pPr>
              <w:pStyle w:val="nTable"/>
              <w:spacing w:after="40"/>
              <w:rPr>
                <w:sz w:val="19"/>
              </w:rPr>
            </w:pPr>
            <w:r>
              <w:rPr>
                <w:sz w:val="19"/>
              </w:rPr>
              <w:t>60 of 1947</w:t>
            </w:r>
          </w:p>
        </w:tc>
        <w:tc>
          <w:tcPr>
            <w:tcW w:w="1134" w:type="dxa"/>
          </w:tcPr>
          <w:p>
            <w:pPr>
              <w:pStyle w:val="nTable"/>
              <w:spacing w:after="40"/>
              <w:rPr>
                <w:sz w:val="19"/>
              </w:rPr>
            </w:pPr>
            <w:r>
              <w:rPr>
                <w:sz w:val="19"/>
              </w:rPr>
              <w:t>10 Jan 1948</w:t>
            </w:r>
          </w:p>
        </w:tc>
        <w:tc>
          <w:tcPr>
            <w:tcW w:w="2551" w:type="dxa"/>
          </w:tcPr>
          <w:p>
            <w:pPr>
              <w:pStyle w:val="nTable"/>
              <w:spacing w:after="40"/>
              <w:rPr>
                <w:sz w:val="19"/>
              </w:rPr>
            </w:pPr>
            <w:r>
              <w:rPr>
                <w:sz w:val="19"/>
              </w:rPr>
              <w:t>10 Jan 1948</w:t>
            </w:r>
          </w:p>
        </w:tc>
      </w:tr>
      <w:tr>
        <w:trPr>
          <w:cantSplit/>
        </w:trPr>
        <w:tc>
          <w:tcPr>
            <w:tcW w:w="2268" w:type="dxa"/>
          </w:tcPr>
          <w:p>
            <w:pPr>
              <w:pStyle w:val="nTable"/>
              <w:spacing w:after="40"/>
              <w:rPr>
                <w:sz w:val="19"/>
              </w:rPr>
            </w:pPr>
            <w:r>
              <w:rPr>
                <w:i/>
                <w:sz w:val="19"/>
              </w:rPr>
              <w:t>Parks and Reserves Act Amendment Act 1954</w:t>
            </w:r>
          </w:p>
        </w:tc>
        <w:tc>
          <w:tcPr>
            <w:tcW w:w="1134" w:type="dxa"/>
          </w:tcPr>
          <w:p>
            <w:pPr>
              <w:pStyle w:val="nTable"/>
              <w:spacing w:after="40"/>
              <w:rPr>
                <w:sz w:val="19"/>
              </w:rPr>
            </w:pPr>
            <w:r>
              <w:rPr>
                <w:sz w:val="19"/>
              </w:rPr>
              <w:t>59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30 Dec 1954</w:t>
            </w:r>
          </w:p>
        </w:tc>
      </w:tr>
      <w:tr>
        <w:trPr>
          <w:cantSplit/>
        </w:trPr>
        <w:tc>
          <w:tcPr>
            <w:tcW w:w="2268" w:type="dxa"/>
          </w:tcPr>
          <w:p>
            <w:pPr>
              <w:pStyle w:val="nTable"/>
              <w:spacing w:after="40"/>
              <w:rPr>
                <w:sz w:val="19"/>
              </w:rPr>
            </w:pPr>
            <w:r>
              <w:rPr>
                <w:i/>
                <w:sz w:val="19"/>
              </w:rPr>
              <w:t>Parks and Reserves Act Amendment Act 1955</w:t>
            </w:r>
          </w:p>
        </w:tc>
        <w:tc>
          <w:tcPr>
            <w:tcW w:w="1134" w:type="dxa"/>
          </w:tcPr>
          <w:p>
            <w:pPr>
              <w:pStyle w:val="nTable"/>
              <w:spacing w:after="40"/>
              <w:rPr>
                <w:sz w:val="19"/>
              </w:rPr>
            </w:pPr>
            <w:r>
              <w:rPr>
                <w:sz w:val="19"/>
              </w:rPr>
              <w:t>17 of 1955</w:t>
            </w:r>
          </w:p>
        </w:tc>
        <w:tc>
          <w:tcPr>
            <w:tcW w:w="1134" w:type="dxa"/>
          </w:tcPr>
          <w:p>
            <w:pPr>
              <w:pStyle w:val="nTable"/>
              <w:spacing w:after="40"/>
              <w:rPr>
                <w:sz w:val="19"/>
              </w:rPr>
            </w:pPr>
            <w:r>
              <w:rPr>
                <w:sz w:val="19"/>
              </w:rPr>
              <w:t>1 Nov 1955</w:t>
            </w:r>
          </w:p>
        </w:tc>
        <w:tc>
          <w:tcPr>
            <w:tcW w:w="2551" w:type="dxa"/>
          </w:tcPr>
          <w:p>
            <w:pPr>
              <w:pStyle w:val="nTable"/>
              <w:spacing w:after="40"/>
              <w:rPr>
                <w:sz w:val="19"/>
              </w:rPr>
            </w:pPr>
            <w:r>
              <w:rPr>
                <w:sz w:val="19"/>
              </w:rPr>
              <w:t>1 Nov 1955</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Parks and Reserves Act Amendment Act 1963</w:t>
            </w:r>
          </w:p>
        </w:tc>
        <w:tc>
          <w:tcPr>
            <w:tcW w:w="1134" w:type="dxa"/>
          </w:tcPr>
          <w:p>
            <w:pPr>
              <w:pStyle w:val="nTable"/>
              <w:spacing w:after="40"/>
              <w:rPr>
                <w:sz w:val="19"/>
              </w:rPr>
            </w:pPr>
            <w:r>
              <w:rPr>
                <w:sz w:val="19"/>
              </w:rPr>
              <w:t>40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rPr>
                <w:sz w:val="19"/>
              </w:rPr>
            </w:pPr>
            <w:r>
              <w:rPr>
                <w:i/>
                <w:sz w:val="19"/>
              </w:rPr>
              <w:t>Parks and Reserves Act Amendment Act 1972</w:t>
            </w:r>
          </w:p>
        </w:tc>
        <w:tc>
          <w:tcPr>
            <w:tcW w:w="1134" w:type="dxa"/>
          </w:tcPr>
          <w:p>
            <w:pPr>
              <w:pStyle w:val="nTable"/>
              <w:spacing w:after="40"/>
              <w:rPr>
                <w:sz w:val="19"/>
              </w:rPr>
            </w:pPr>
            <w:r>
              <w:rPr>
                <w:sz w:val="19"/>
              </w:rPr>
              <w:t>4 of 1972</w:t>
            </w:r>
          </w:p>
        </w:tc>
        <w:tc>
          <w:tcPr>
            <w:tcW w:w="1134" w:type="dxa"/>
          </w:tcPr>
          <w:p>
            <w:pPr>
              <w:pStyle w:val="nTable"/>
              <w:spacing w:after="40"/>
              <w:rPr>
                <w:sz w:val="19"/>
              </w:rPr>
            </w:pPr>
            <w:r>
              <w:rPr>
                <w:sz w:val="19"/>
              </w:rPr>
              <w:t>8 May 1972</w:t>
            </w:r>
          </w:p>
        </w:tc>
        <w:tc>
          <w:tcPr>
            <w:tcW w:w="2551" w:type="dxa"/>
          </w:tcPr>
          <w:p>
            <w:pPr>
              <w:pStyle w:val="nTable"/>
              <w:spacing w:after="40"/>
              <w:rPr>
                <w:sz w:val="19"/>
              </w:rPr>
            </w:pPr>
            <w:r>
              <w:rPr>
                <w:sz w:val="19"/>
              </w:rPr>
              <w:t>8 May 1972</w:t>
            </w:r>
          </w:p>
        </w:tc>
      </w:tr>
      <w:tr>
        <w:trPr>
          <w:cantSplit/>
        </w:trPr>
        <w:tc>
          <w:tcPr>
            <w:tcW w:w="2268" w:type="dxa"/>
          </w:tcPr>
          <w:p>
            <w:pPr>
              <w:pStyle w:val="nTable"/>
              <w:spacing w:after="40"/>
              <w:rPr>
                <w:sz w:val="19"/>
              </w:rPr>
            </w:pPr>
            <w:r>
              <w:rPr>
                <w:i/>
                <w:sz w:val="19"/>
              </w:rPr>
              <w:t>Parks and Reserves Act Amendment Act 1978</w:t>
            </w:r>
          </w:p>
        </w:tc>
        <w:tc>
          <w:tcPr>
            <w:tcW w:w="1134" w:type="dxa"/>
          </w:tcPr>
          <w:p>
            <w:pPr>
              <w:pStyle w:val="nTable"/>
              <w:spacing w:after="40"/>
              <w:rPr>
                <w:sz w:val="19"/>
              </w:rPr>
            </w:pPr>
            <w:r>
              <w:rPr>
                <w:sz w:val="19"/>
              </w:rPr>
              <w:t>50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trPr>
          <w:cantSplit/>
        </w:trPr>
        <w:tc>
          <w:tcPr>
            <w:tcW w:w="2268" w:type="dxa"/>
          </w:tcPr>
          <w:p>
            <w:pPr>
              <w:pStyle w:val="nTable"/>
              <w:spacing w:after="40"/>
              <w:rPr>
                <w:sz w:val="19"/>
              </w:rPr>
            </w:pPr>
            <w:r>
              <w:rPr>
                <w:i/>
                <w:sz w:val="19"/>
              </w:rPr>
              <w:t>Acts Amendment (Reserves) Act 1982</w:t>
            </w:r>
            <w:r>
              <w:rPr>
                <w:sz w:val="19"/>
              </w:rPr>
              <w:t xml:space="preserve"> Pt. III (s. 15-17)</w:t>
            </w:r>
          </w:p>
        </w:tc>
        <w:tc>
          <w:tcPr>
            <w:tcW w:w="1134" w:type="dxa"/>
          </w:tcPr>
          <w:p>
            <w:pPr>
              <w:pStyle w:val="nTable"/>
              <w:spacing w:after="40"/>
              <w:rPr>
                <w:sz w:val="19"/>
              </w:rPr>
            </w:pPr>
            <w:r>
              <w:rPr>
                <w:sz w:val="19"/>
              </w:rPr>
              <w:t>77 of 1982</w:t>
            </w:r>
          </w:p>
        </w:tc>
        <w:tc>
          <w:tcPr>
            <w:tcW w:w="1134" w:type="dxa"/>
          </w:tcPr>
          <w:p>
            <w:pPr>
              <w:pStyle w:val="nTable"/>
              <w:spacing w:after="40"/>
              <w:rPr>
                <w:sz w:val="19"/>
              </w:rPr>
            </w:pPr>
            <w:r>
              <w:rPr>
                <w:sz w:val="19"/>
              </w:rPr>
              <w:t>8 Nov 1982</w:t>
            </w:r>
          </w:p>
        </w:tc>
        <w:tc>
          <w:tcPr>
            <w:tcW w:w="2551" w:type="dxa"/>
          </w:tcPr>
          <w:p>
            <w:pPr>
              <w:pStyle w:val="nTable"/>
              <w:spacing w:after="40"/>
              <w:rPr>
                <w:sz w:val="19"/>
              </w:rPr>
            </w:pPr>
            <w:r>
              <w:rPr>
                <w:sz w:val="19"/>
              </w:rPr>
              <w:t>Act other than s. 16: 8 Nov 1982 (see s. 2(1));</w:t>
            </w:r>
            <w:r>
              <w:rPr>
                <w:sz w:val="19"/>
              </w:rPr>
              <w:br/>
              <w:t>s. 16: 6 Dec 1982 (see s. 2(2))</w:t>
            </w:r>
          </w:p>
        </w:tc>
      </w:tr>
      <w:tr>
        <w:trPr>
          <w:cantSplit/>
        </w:trPr>
        <w:tc>
          <w:tcPr>
            <w:tcW w:w="2268" w:type="dxa"/>
          </w:tcPr>
          <w:p>
            <w:pPr>
              <w:pStyle w:val="nTable"/>
              <w:spacing w:after="40"/>
              <w:rPr>
                <w:i/>
                <w:sz w:val="19"/>
              </w:rPr>
            </w:pPr>
            <w:r>
              <w:rPr>
                <w:i/>
                <w:sz w:val="19"/>
              </w:rPr>
              <w:t>Parks and Reserves Amendment Act 1983</w:t>
            </w:r>
            <w:r>
              <w:rPr>
                <w:sz w:val="19"/>
                <w:vertAlign w:val="superscript"/>
              </w:rPr>
              <w:t> 5</w:t>
            </w:r>
          </w:p>
        </w:tc>
        <w:tc>
          <w:tcPr>
            <w:tcW w:w="1134" w:type="dxa"/>
          </w:tcPr>
          <w:p>
            <w:pPr>
              <w:pStyle w:val="nTable"/>
              <w:spacing w:after="40"/>
              <w:rPr>
                <w:sz w:val="19"/>
              </w:rPr>
            </w:pPr>
            <w:r>
              <w:rPr>
                <w:sz w:val="19"/>
              </w:rPr>
              <w:t>22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20 Dec 1983 (see s. 2)</w:t>
            </w:r>
          </w:p>
        </w:tc>
      </w:tr>
      <w:tr>
        <w:trPr>
          <w:cantSplit/>
        </w:trPr>
        <w:tc>
          <w:tcPr>
            <w:tcW w:w="2268" w:type="dxa"/>
          </w:tcPr>
          <w:p>
            <w:pPr>
              <w:pStyle w:val="nTable"/>
              <w:spacing w:after="40"/>
              <w:rPr>
                <w:i/>
                <w:sz w:val="19"/>
              </w:rPr>
            </w:pPr>
            <w:r>
              <w:rPr>
                <w:i/>
                <w:sz w:val="19"/>
              </w:rPr>
              <w:t>Parks and Reserves Amendment Act 1985</w:t>
            </w:r>
          </w:p>
        </w:tc>
        <w:tc>
          <w:tcPr>
            <w:tcW w:w="1134" w:type="dxa"/>
          </w:tcPr>
          <w:p>
            <w:pPr>
              <w:pStyle w:val="nTable"/>
              <w:spacing w:after="40"/>
              <w:rPr>
                <w:sz w:val="19"/>
              </w:rPr>
            </w:pPr>
            <w:r>
              <w:rPr>
                <w:sz w:val="19"/>
              </w:rPr>
              <w:t>8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22 Apr 1985</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keepNext/>
              <w:keepLines/>
              <w:spacing w:after="40"/>
              <w:rPr>
                <w:sz w:val="19"/>
              </w:rPr>
            </w:pPr>
            <w:r>
              <w:rPr>
                <w:i/>
                <w:sz w:val="19"/>
              </w:rPr>
              <w:t>Parks and Reserves Amendment Act 1990</w:t>
            </w:r>
          </w:p>
        </w:tc>
        <w:tc>
          <w:tcPr>
            <w:tcW w:w="1134" w:type="dxa"/>
          </w:tcPr>
          <w:p>
            <w:pPr>
              <w:pStyle w:val="nTable"/>
              <w:keepNext/>
              <w:keepLines/>
              <w:spacing w:after="40"/>
              <w:rPr>
                <w:sz w:val="19"/>
              </w:rPr>
            </w:pPr>
            <w:r>
              <w:rPr>
                <w:sz w:val="19"/>
              </w:rPr>
              <w:t>1 of 1990</w:t>
            </w:r>
          </w:p>
        </w:tc>
        <w:tc>
          <w:tcPr>
            <w:tcW w:w="1134" w:type="dxa"/>
          </w:tcPr>
          <w:p>
            <w:pPr>
              <w:pStyle w:val="nTable"/>
              <w:spacing w:after="40"/>
              <w:rPr>
                <w:sz w:val="19"/>
              </w:rPr>
            </w:pPr>
            <w:r>
              <w:rPr>
                <w:sz w:val="19"/>
              </w:rPr>
              <w:t>14 Jun 1990</w:t>
            </w:r>
          </w:p>
        </w:tc>
        <w:tc>
          <w:tcPr>
            <w:tcW w:w="2551" w:type="dxa"/>
          </w:tcPr>
          <w:p>
            <w:pPr>
              <w:pStyle w:val="nTable"/>
              <w:spacing w:after="40"/>
              <w:rPr>
                <w:sz w:val="19"/>
              </w:rPr>
            </w:pPr>
            <w:r>
              <w:rPr>
                <w:sz w:val="19"/>
              </w:rPr>
              <w:t>14 Jun 1990 (see s. 2)</w:t>
            </w:r>
          </w:p>
        </w:tc>
      </w:tr>
      <w:tr>
        <w:trPr>
          <w:cantSplit/>
        </w:trPr>
        <w:tc>
          <w:tcPr>
            <w:tcW w:w="2268" w:type="dxa"/>
          </w:tcPr>
          <w:p>
            <w:pPr>
              <w:pStyle w:val="nTable"/>
              <w:spacing w:after="4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Land, Parks and Reserves Amendment Act 1995</w:t>
            </w:r>
            <w:r>
              <w:rPr>
                <w:sz w:val="19"/>
              </w:rPr>
              <w:t xml:space="preserve"> Pt. 3</w:t>
            </w:r>
          </w:p>
        </w:tc>
        <w:tc>
          <w:tcPr>
            <w:tcW w:w="1134" w:type="dxa"/>
          </w:tcPr>
          <w:p>
            <w:pPr>
              <w:pStyle w:val="nTable"/>
              <w:spacing w:after="40"/>
              <w:rPr>
                <w:sz w:val="19"/>
              </w:rPr>
            </w:pPr>
            <w:r>
              <w:rPr>
                <w:sz w:val="19"/>
              </w:rPr>
              <w:t>5 of 1995</w:t>
            </w:r>
          </w:p>
        </w:tc>
        <w:tc>
          <w:tcPr>
            <w:tcW w:w="1134" w:type="dxa"/>
          </w:tcPr>
          <w:p>
            <w:pPr>
              <w:pStyle w:val="nTable"/>
              <w:spacing w:after="40"/>
              <w:rPr>
                <w:sz w:val="19"/>
              </w:rPr>
            </w:pPr>
            <w:r>
              <w:rPr>
                <w:sz w:val="19"/>
              </w:rPr>
              <w:t>24 May 1995</w:t>
            </w:r>
          </w:p>
        </w:tc>
        <w:tc>
          <w:tcPr>
            <w:tcW w:w="2551" w:type="dxa"/>
          </w:tcPr>
          <w:p>
            <w:pPr>
              <w:pStyle w:val="nTable"/>
              <w:spacing w:after="40"/>
              <w:rPr>
                <w:sz w:val="19"/>
              </w:rPr>
            </w:pPr>
            <w:r>
              <w:rPr>
                <w:sz w:val="19"/>
              </w:rPr>
              <w:t xml:space="preserve">5 Aug 1995 (see s. 2 and </w:t>
            </w:r>
            <w:r>
              <w:rPr>
                <w:i/>
                <w:sz w:val="19"/>
              </w:rPr>
              <w:t>Gazette</w:t>
            </w:r>
            <w:r>
              <w:rPr>
                <w:sz w:val="19"/>
              </w:rPr>
              <w:t xml:space="preserve"> 4 Aug 1995 p. 3309)</w:t>
            </w:r>
          </w:p>
        </w:tc>
      </w:tr>
      <w:tr>
        <w:trPr>
          <w:cantSplit/>
        </w:trPr>
        <w:tc>
          <w:tcPr>
            <w:tcW w:w="2268" w:type="dxa"/>
          </w:tcPr>
          <w:p>
            <w:pPr>
              <w:pStyle w:val="nTable"/>
              <w:spacing w:after="40"/>
              <w:rPr>
                <w:sz w:val="19"/>
              </w:rPr>
            </w:pPr>
            <w:r>
              <w:rPr>
                <w:i/>
                <w:sz w:val="19"/>
              </w:rPr>
              <w:t>Sentencing (Consequential Provisions) Act 1995</w:t>
            </w:r>
            <w:r>
              <w:rPr>
                <w:sz w:val="19"/>
              </w:rPr>
              <w:t xml:space="preserve"> Pt. 59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Acts Amendment (Land Administration) Act 1997</w:t>
            </w:r>
            <w:r>
              <w:rPr>
                <w:sz w:val="19"/>
              </w:rPr>
              <w:t xml:space="preserve"> Pt. 48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Botanic Gardens and Parks Authority Act 1998</w:t>
            </w:r>
            <w:r>
              <w:rPr>
                <w:sz w:val="19"/>
              </w:rPr>
              <w:t xml:space="preserve"> 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z w:val="19"/>
              </w:rPr>
            </w:pPr>
            <w:r>
              <w:rPr>
                <w:i/>
                <w:sz w:val="19"/>
              </w:rPr>
              <w:t>Acts Amendment (Reserves and Reserve Boards) Act 2003</w:t>
            </w:r>
            <w:r>
              <w:rPr>
                <w:sz w:val="19"/>
              </w:rPr>
              <w:t xml:space="preserve"> Pt. 3</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133" w:author="svcMRProcess" w:date="2015-11-04T22:33:00Z"/>
          <w:snapToGrid w:val="0"/>
        </w:rPr>
      </w:pPr>
      <w:del w:id="134" w:author="svcMRProcess" w:date="2015-11-04T22: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5" w:author="svcMRProcess" w:date="2015-11-04T22:33:00Z"/>
        </w:rPr>
      </w:pPr>
      <w:bookmarkStart w:id="136" w:name="_Toc7405065"/>
      <w:bookmarkStart w:id="137" w:name="_Toc181500909"/>
      <w:bookmarkStart w:id="138" w:name="_Toc193100050"/>
      <w:bookmarkStart w:id="139" w:name="_Toc196194278"/>
      <w:del w:id="140" w:author="svcMRProcess" w:date="2015-11-04T22:33:00Z">
        <w:r>
          <w:delText>Provisions that have not come into operation</w:delText>
        </w:r>
        <w:bookmarkEnd w:id="136"/>
        <w:bookmarkEnd w:id="137"/>
        <w:bookmarkEnd w:id="138"/>
        <w:bookmarkEnd w:id="13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41" w:author="svcMRProcess" w:date="2015-11-04T22:33:00Z"/>
        </w:trPr>
        <w:tc>
          <w:tcPr>
            <w:tcW w:w="2268" w:type="dxa"/>
            <w:tcBorders>
              <w:top w:val="single" w:sz="8" w:space="0" w:color="auto"/>
              <w:bottom w:val="single" w:sz="8" w:space="0" w:color="auto"/>
            </w:tcBorders>
          </w:tcPr>
          <w:p>
            <w:pPr>
              <w:pStyle w:val="nTable"/>
              <w:spacing w:after="40"/>
              <w:rPr>
                <w:del w:id="142" w:author="svcMRProcess" w:date="2015-11-04T22:33:00Z"/>
                <w:b/>
                <w:sz w:val="19"/>
              </w:rPr>
            </w:pPr>
            <w:del w:id="143" w:author="svcMRProcess" w:date="2015-11-04T22:33:00Z">
              <w:r>
                <w:rPr>
                  <w:b/>
                  <w:sz w:val="19"/>
                </w:rPr>
                <w:delText>Short title</w:delText>
              </w:r>
            </w:del>
          </w:p>
        </w:tc>
        <w:tc>
          <w:tcPr>
            <w:tcW w:w="1134" w:type="dxa"/>
            <w:tcBorders>
              <w:top w:val="single" w:sz="8" w:space="0" w:color="auto"/>
              <w:bottom w:val="single" w:sz="8" w:space="0" w:color="auto"/>
            </w:tcBorders>
          </w:tcPr>
          <w:p>
            <w:pPr>
              <w:pStyle w:val="nTable"/>
              <w:spacing w:after="40"/>
              <w:rPr>
                <w:del w:id="144" w:author="svcMRProcess" w:date="2015-11-04T22:33:00Z"/>
                <w:b/>
                <w:sz w:val="19"/>
              </w:rPr>
            </w:pPr>
            <w:del w:id="145" w:author="svcMRProcess" w:date="2015-11-04T22:33:00Z">
              <w:r>
                <w:rPr>
                  <w:b/>
                  <w:sz w:val="19"/>
                </w:rPr>
                <w:delText>Number and year</w:delText>
              </w:r>
            </w:del>
          </w:p>
        </w:tc>
        <w:tc>
          <w:tcPr>
            <w:tcW w:w="1134" w:type="dxa"/>
            <w:tcBorders>
              <w:top w:val="single" w:sz="8" w:space="0" w:color="auto"/>
              <w:bottom w:val="single" w:sz="8" w:space="0" w:color="auto"/>
            </w:tcBorders>
          </w:tcPr>
          <w:p>
            <w:pPr>
              <w:pStyle w:val="nTable"/>
              <w:spacing w:after="40"/>
              <w:rPr>
                <w:del w:id="146" w:author="svcMRProcess" w:date="2015-11-04T22:33:00Z"/>
                <w:b/>
                <w:sz w:val="19"/>
              </w:rPr>
            </w:pPr>
            <w:del w:id="147" w:author="svcMRProcess" w:date="2015-11-04T22:33:00Z">
              <w:r>
                <w:rPr>
                  <w:b/>
                  <w:sz w:val="19"/>
                </w:rPr>
                <w:delText>Assent</w:delText>
              </w:r>
            </w:del>
          </w:p>
        </w:tc>
        <w:tc>
          <w:tcPr>
            <w:tcW w:w="2552" w:type="dxa"/>
            <w:tcBorders>
              <w:top w:val="single" w:sz="8" w:space="0" w:color="auto"/>
              <w:bottom w:val="single" w:sz="8" w:space="0" w:color="auto"/>
            </w:tcBorders>
          </w:tcPr>
          <w:p>
            <w:pPr>
              <w:pStyle w:val="nTable"/>
              <w:spacing w:after="40"/>
              <w:rPr>
                <w:del w:id="148" w:author="svcMRProcess" w:date="2015-11-04T22:33:00Z"/>
                <w:b/>
                <w:sz w:val="19"/>
              </w:rPr>
            </w:pPr>
            <w:del w:id="149" w:author="svcMRProcess" w:date="2015-11-04T22:33: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del w:id="150" w:author="svcMRProcess" w:date="2015-11-04T22:33:00Z">
              <w:r>
                <w:rPr>
                  <w:iCs/>
                  <w:sz w:val="19"/>
                  <w:vertAlign w:val="superscript"/>
                </w:rPr>
                <w:delText>6</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rPr>
          <w:vertAlign w:val="superscript"/>
        </w:rPr>
      </w:pPr>
    </w:p>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Pr>
        <w:pStyle w:val="nSubsection"/>
        <w:keepLines/>
        <w:rPr>
          <w:del w:id="151" w:author="svcMRProcess" w:date="2015-11-04T22:33:00Z"/>
          <w:snapToGrid w:val="0"/>
        </w:rPr>
      </w:pPr>
      <w:bookmarkStart w:id="152" w:name="AutoSch"/>
      <w:bookmarkStart w:id="153" w:name="UpToHere"/>
      <w:bookmarkEnd w:id="152"/>
      <w:del w:id="154" w:author="svcMRProcess" w:date="2015-11-04T22:33: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26, </w:delText>
        </w:r>
        <w:r>
          <w:rPr>
            <w:snapToGrid w:val="0"/>
          </w:rPr>
          <w:delText>had not come into operation.  It reads as follows:</w:delText>
        </w:r>
      </w:del>
    </w:p>
    <w:p>
      <w:pPr>
        <w:pStyle w:val="MiscOpen"/>
        <w:rPr>
          <w:del w:id="155" w:author="svcMRProcess" w:date="2015-11-04T22:33:00Z"/>
        </w:rPr>
      </w:pPr>
      <w:del w:id="156" w:author="svcMRProcess" w:date="2015-11-04T22:33:00Z">
        <w:r>
          <w:delText>“</w:delText>
        </w:r>
      </w:del>
    </w:p>
    <w:p>
      <w:pPr>
        <w:pStyle w:val="nzHeading5"/>
        <w:rPr>
          <w:del w:id="157" w:author="svcMRProcess" w:date="2015-11-04T22:33:00Z"/>
          <w:snapToGrid w:val="0"/>
        </w:rPr>
      </w:pPr>
      <w:bookmarkStart w:id="158" w:name="_Toc195421061"/>
      <w:del w:id="159" w:author="svcMRProcess" w:date="2015-11-04T22:33:00Z">
        <w:r>
          <w:rPr>
            <w:rStyle w:val="CharSectno"/>
          </w:rPr>
          <w:delText>52</w:delText>
        </w:r>
        <w:r>
          <w:rPr>
            <w:snapToGrid w:val="0"/>
          </w:rPr>
          <w:delText>.</w:delText>
        </w:r>
        <w:r>
          <w:rPr>
            <w:snapToGrid w:val="0"/>
          </w:rPr>
          <w:tab/>
          <w:delText>Various Acts amended</w:delText>
        </w:r>
        <w:bookmarkEnd w:id="158"/>
      </w:del>
    </w:p>
    <w:p>
      <w:pPr>
        <w:pStyle w:val="nzSubsection"/>
        <w:rPr>
          <w:del w:id="160" w:author="svcMRProcess" w:date="2015-11-04T22:33:00Z"/>
        </w:rPr>
      </w:pPr>
      <w:del w:id="161" w:author="svcMRProcess" w:date="2015-11-04T22:33:00Z">
        <w:r>
          <w:tab/>
        </w:r>
        <w:r>
          <w:tab/>
          <w:delText>Schedule 1 sets out how various Acts listed in that Schedule are to be amended.</w:delText>
        </w:r>
      </w:del>
    </w:p>
    <w:p>
      <w:pPr>
        <w:pStyle w:val="MiscClose"/>
        <w:rPr>
          <w:del w:id="162" w:author="svcMRProcess" w:date="2015-11-04T22:33:00Z"/>
        </w:rPr>
      </w:pPr>
      <w:del w:id="163" w:author="svcMRProcess" w:date="2015-11-04T22:33:00Z">
        <w:r>
          <w:delText>”.</w:delText>
        </w:r>
      </w:del>
    </w:p>
    <w:p>
      <w:pPr>
        <w:pStyle w:val="nSubsection"/>
        <w:keepLines/>
        <w:rPr>
          <w:del w:id="164" w:author="svcMRProcess" w:date="2015-11-04T22:33:00Z"/>
          <w:snapToGrid w:val="0"/>
        </w:rPr>
      </w:pPr>
      <w:del w:id="165" w:author="svcMRProcess" w:date="2015-11-04T22:33:00Z">
        <w:r>
          <w:rPr>
            <w:snapToGrid w:val="0"/>
          </w:rPr>
          <w:tab/>
          <w:delText>Schedule 1 cl. 26 reads as follows:</w:delText>
        </w:r>
      </w:del>
    </w:p>
    <w:p>
      <w:pPr>
        <w:pStyle w:val="MiscOpen"/>
        <w:rPr>
          <w:del w:id="166" w:author="svcMRProcess" w:date="2015-11-04T22:33:00Z"/>
        </w:rPr>
      </w:pPr>
      <w:del w:id="167" w:author="svcMRProcess" w:date="2015-11-04T22:33:00Z">
        <w:r>
          <w:delText>“</w:delText>
        </w:r>
      </w:del>
    </w:p>
    <w:p>
      <w:pPr>
        <w:pStyle w:val="nzHeading2"/>
        <w:rPr>
          <w:del w:id="168" w:author="svcMRProcess" w:date="2015-11-04T22:33:00Z"/>
        </w:rPr>
      </w:pPr>
      <w:bookmarkStart w:id="169" w:name="_Toc183919940"/>
      <w:bookmarkStart w:id="170" w:name="_Toc183921922"/>
      <w:bookmarkStart w:id="171" w:name="_Toc183943149"/>
      <w:bookmarkStart w:id="172" w:name="_Toc195421062"/>
      <w:del w:id="173" w:author="svcMRProcess" w:date="2015-11-04T22:33: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69"/>
        <w:bookmarkEnd w:id="170"/>
        <w:bookmarkEnd w:id="171"/>
        <w:bookmarkEnd w:id="172"/>
      </w:del>
    </w:p>
    <w:p>
      <w:pPr>
        <w:pStyle w:val="nzMiscellaneousBody"/>
        <w:jc w:val="right"/>
        <w:rPr>
          <w:del w:id="174" w:author="svcMRProcess" w:date="2015-11-04T22:33:00Z"/>
        </w:rPr>
      </w:pPr>
      <w:del w:id="175" w:author="svcMRProcess" w:date="2015-11-04T22:33:00Z">
        <w:r>
          <w:delText>[s. 52]</w:delText>
        </w:r>
      </w:del>
    </w:p>
    <w:p>
      <w:pPr>
        <w:pStyle w:val="nzHeading5"/>
        <w:rPr>
          <w:del w:id="176" w:author="svcMRProcess" w:date="2015-11-04T22:33:00Z"/>
        </w:rPr>
      </w:pPr>
      <w:bookmarkStart w:id="177" w:name="_Toc195421088"/>
      <w:del w:id="178" w:author="svcMRProcess" w:date="2015-11-04T22:33:00Z">
        <w:r>
          <w:rPr>
            <w:rStyle w:val="CharSClsNo"/>
          </w:rPr>
          <w:delText>26</w:delText>
        </w:r>
        <w:r>
          <w:delText>.</w:delText>
        </w:r>
        <w:r>
          <w:tab/>
        </w:r>
        <w:r>
          <w:rPr>
            <w:i/>
          </w:rPr>
          <w:delText>Parks and Reserves Act 1895</w:delText>
        </w:r>
        <w:bookmarkEnd w:id="177"/>
      </w:del>
    </w:p>
    <w:p>
      <w:pPr>
        <w:pStyle w:val="nzSubsection"/>
        <w:rPr>
          <w:del w:id="179" w:author="svcMRProcess" w:date="2015-11-04T22:33:00Z"/>
        </w:rPr>
      </w:pPr>
      <w:del w:id="180" w:author="svcMRProcess" w:date="2015-11-04T22:33:00Z">
        <w:r>
          <w:tab/>
        </w:r>
        <w:r>
          <w:tab/>
          <w:delText xml:space="preserve">Section 17(1) is amended by deleting “stamp duty chargeable under the </w:delText>
        </w:r>
        <w:r>
          <w:rPr>
            <w:i/>
            <w:iCs/>
          </w:rPr>
          <w:delText>Stamp Act 1921</w:delText>
        </w:r>
        <w:r>
          <w:delText xml:space="preserve">” and inserting instead — </w:delText>
        </w:r>
      </w:del>
    </w:p>
    <w:p>
      <w:pPr>
        <w:pStyle w:val="nzSubsection"/>
        <w:rPr>
          <w:del w:id="181" w:author="svcMRProcess" w:date="2015-11-04T22:33:00Z"/>
        </w:rPr>
      </w:pPr>
      <w:del w:id="182" w:author="svcMRProcess" w:date="2015-11-04T22:33:00Z">
        <w:r>
          <w:tab/>
        </w:r>
        <w:r>
          <w:tab/>
          <w:delText xml:space="preserve">“    </w:delText>
        </w:r>
        <w:r>
          <w:rPr>
            <w:sz w:val="24"/>
          </w:rPr>
          <w:delText xml:space="preserve">duty chargeable under the </w:delText>
        </w:r>
        <w:r>
          <w:rPr>
            <w:i/>
            <w:iCs/>
            <w:sz w:val="24"/>
          </w:rPr>
          <w:delText>Duties Act 2008</w:delText>
        </w:r>
        <w:r>
          <w:delText xml:space="preserve">    ”.</w:delText>
        </w:r>
      </w:del>
    </w:p>
    <w:p>
      <w:pPr>
        <w:pStyle w:val="MiscClose"/>
        <w:rPr>
          <w:del w:id="183" w:author="svcMRProcess" w:date="2015-11-04T22:33:00Z"/>
        </w:rPr>
      </w:pPr>
      <w:del w:id="184" w:author="svcMRProcess" w:date="2015-11-04T22:33:00Z">
        <w:r>
          <w:delText>”.</w:delText>
        </w:r>
      </w:del>
    </w:p>
    <w:bookmarkEnd w:id="153"/>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Parks and Reserves Act 1895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6454</Words>
  <Characters>29370</Characters>
  <Application>Microsoft Office Word</Application>
  <DocSecurity>0</DocSecurity>
  <Lines>815</Lines>
  <Paragraphs>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04-d0-01 - 04-e0-03</dc:title>
  <dc:subject/>
  <dc:creator/>
  <cp:keywords/>
  <dc:description/>
  <cp:lastModifiedBy>svcMRProcess</cp:lastModifiedBy>
  <cp:revision>2</cp:revision>
  <cp:lastPrinted>2006-01-05T02:05:00Z</cp:lastPrinted>
  <dcterms:created xsi:type="dcterms:W3CDTF">2015-11-04T14:33:00Z</dcterms:created>
  <dcterms:modified xsi:type="dcterms:W3CDTF">2015-11-04T14:33:00Z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568</vt:i4>
  </property>
  <property fmtid="{D5CDD505-2E9C-101B-9397-08002B2CF9AE}" pid="6" name="FromSuffix">
    <vt:lpwstr>04-d0-01</vt:lpwstr>
  </property>
  <property fmtid="{D5CDD505-2E9C-101B-9397-08002B2CF9AE}" pid="7" name="FromAsAtDate">
    <vt:lpwstr>14 Apr 2008</vt:lpwstr>
  </property>
  <property fmtid="{D5CDD505-2E9C-101B-9397-08002B2CF9AE}" pid="8" name="ToSuffix">
    <vt:lpwstr>04-e0-03</vt:lpwstr>
  </property>
  <property fmtid="{D5CDD505-2E9C-101B-9397-08002B2CF9AE}" pid="9" name="ToAsAtDate">
    <vt:lpwstr>01 Jul 2008</vt:lpwstr>
  </property>
</Properties>
</file>