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27 Jun 2008</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0" w:name="_GoBack"/>
      <w:bookmarkEnd w:id="0"/>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bookmarkStart w:id="16" w:name="_Toc151797778"/>
      <w:bookmarkStart w:id="17" w:name="_Toc151862393"/>
      <w:bookmarkStart w:id="18" w:name="_Toc155671083"/>
      <w:bookmarkStart w:id="19" w:name="_Toc157918780"/>
      <w:bookmarkStart w:id="20" w:name="_Toc164135634"/>
      <w:bookmarkStart w:id="21" w:name="_Toc164150721"/>
      <w:bookmarkStart w:id="22" w:name="_Toc164225356"/>
      <w:bookmarkStart w:id="23" w:name="_Toc166385906"/>
      <w:bookmarkStart w:id="24" w:name="_Toc167003566"/>
      <w:bookmarkStart w:id="25" w:name="_Toc169938995"/>
      <w:bookmarkStart w:id="26" w:name="_Toc170717896"/>
      <w:bookmarkStart w:id="27" w:name="_Toc171069505"/>
      <w:bookmarkStart w:id="28" w:name="_Toc202767208"/>
      <w:bookmarkStart w:id="29" w:name="_Toc202767301"/>
      <w:bookmarkStart w:id="30" w:name="_Toc20276963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32322958"/>
      <w:bookmarkStart w:id="32" w:name="_Toc487862860"/>
      <w:bookmarkStart w:id="33" w:name="_Toc7238282"/>
      <w:bookmarkStart w:id="34" w:name="_Toc151797779"/>
      <w:bookmarkStart w:id="35" w:name="_Toc169938996"/>
      <w:bookmarkStart w:id="36" w:name="_Toc202769632"/>
      <w:bookmarkStart w:id="37" w:name="_Toc171069506"/>
      <w:r>
        <w:rPr>
          <w:rStyle w:val="CharSectno"/>
        </w:rPr>
        <w:t>1</w:t>
      </w:r>
      <w:r>
        <w:rPr>
          <w:snapToGrid w:val="0"/>
        </w:rPr>
        <w:t>.</w:t>
      </w:r>
      <w:r>
        <w:rPr>
          <w:snapToGrid w:val="0"/>
        </w:rPr>
        <w:tab/>
        <w:t>Short title</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38" w:name="_Toc432322959"/>
      <w:bookmarkStart w:id="39" w:name="_Toc487862861"/>
      <w:bookmarkStart w:id="40" w:name="_Toc7238283"/>
      <w:bookmarkStart w:id="41" w:name="_Toc151797780"/>
      <w:bookmarkStart w:id="42" w:name="_Toc169938997"/>
      <w:bookmarkStart w:id="43" w:name="_Toc202769633"/>
      <w:bookmarkStart w:id="44" w:name="_Toc171069507"/>
      <w:r>
        <w:rPr>
          <w:rStyle w:val="CharSectno"/>
        </w:rPr>
        <w:t>2</w:t>
      </w:r>
      <w:r>
        <w:rPr>
          <w:snapToGrid w:val="0"/>
        </w:rPr>
        <w:t>.</w:t>
      </w:r>
      <w:r>
        <w:rPr>
          <w:snapToGrid w:val="0"/>
        </w:rPr>
        <w:tab/>
        <w:t>Commencement</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45" w:name="_Toc432322960"/>
      <w:bookmarkStart w:id="46" w:name="_Toc487862862"/>
      <w:bookmarkStart w:id="47" w:name="_Toc7238284"/>
      <w:bookmarkStart w:id="48" w:name="_Toc151797781"/>
      <w:bookmarkStart w:id="49" w:name="_Toc169938998"/>
      <w:bookmarkStart w:id="50" w:name="_Toc202769634"/>
      <w:bookmarkStart w:id="51" w:name="_Toc171069508"/>
      <w:r>
        <w:rPr>
          <w:rStyle w:val="CharSectno"/>
        </w:rPr>
        <w:t>3</w:t>
      </w:r>
      <w:r>
        <w:rPr>
          <w:snapToGrid w:val="0"/>
        </w:rPr>
        <w:t>.</w:t>
      </w:r>
      <w:r>
        <w:rPr>
          <w:snapToGrid w:val="0"/>
        </w:rPr>
        <w:tab/>
        <w:t>Application</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52" w:name="_Toc432322961"/>
      <w:bookmarkStart w:id="53" w:name="_Toc487862863"/>
      <w:bookmarkStart w:id="54" w:name="_Toc7238285"/>
      <w:bookmarkStart w:id="55" w:name="_Toc151797782"/>
      <w:bookmarkStart w:id="56" w:name="_Toc169938999"/>
      <w:bookmarkStart w:id="57" w:name="_Toc202769635"/>
      <w:bookmarkStart w:id="58" w:name="_Toc171069509"/>
      <w:r>
        <w:rPr>
          <w:rStyle w:val="CharSectno"/>
        </w:rPr>
        <w:t>4</w:t>
      </w:r>
      <w:r>
        <w:rPr>
          <w:snapToGrid w:val="0"/>
        </w:rPr>
        <w:t>.</w:t>
      </w:r>
      <w:r>
        <w:rPr>
          <w:snapToGrid w:val="0"/>
        </w:rPr>
        <w:tab/>
        <w:t>Act binds Crown</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9" w:name="_Toc72899277"/>
      <w:bookmarkStart w:id="60" w:name="_Toc88026854"/>
      <w:bookmarkStart w:id="61" w:name="_Toc89522045"/>
      <w:bookmarkStart w:id="62" w:name="_Toc90872554"/>
      <w:bookmarkStart w:id="63" w:name="_Toc94947581"/>
      <w:bookmarkStart w:id="64" w:name="_Toc97105550"/>
      <w:bookmarkStart w:id="65" w:name="_Toc102368022"/>
      <w:bookmarkStart w:id="66" w:name="_Toc103068608"/>
      <w:bookmarkStart w:id="67" w:name="_Toc107978913"/>
      <w:bookmarkStart w:id="68" w:name="_Toc108942295"/>
      <w:bookmarkStart w:id="69" w:name="_Toc109188520"/>
      <w:bookmarkStart w:id="70" w:name="_Toc112045002"/>
      <w:bookmarkStart w:id="71" w:name="_Toc113858425"/>
      <w:bookmarkStart w:id="72" w:name="_Toc121558686"/>
      <w:bookmarkStart w:id="73" w:name="_Toc131397166"/>
      <w:bookmarkStart w:id="74" w:name="_Toc151797783"/>
      <w:bookmarkStart w:id="75" w:name="_Toc151862398"/>
      <w:bookmarkStart w:id="76" w:name="_Toc155671088"/>
      <w:bookmarkStart w:id="77" w:name="_Toc157918785"/>
      <w:bookmarkStart w:id="78" w:name="_Toc164135639"/>
      <w:bookmarkStart w:id="79" w:name="_Toc164150726"/>
      <w:bookmarkStart w:id="80" w:name="_Toc164225361"/>
      <w:bookmarkStart w:id="81" w:name="_Toc166385911"/>
      <w:bookmarkStart w:id="82" w:name="_Toc167003571"/>
      <w:bookmarkStart w:id="83" w:name="_Toc169939000"/>
      <w:bookmarkStart w:id="84" w:name="_Toc170717901"/>
      <w:bookmarkStart w:id="85" w:name="_Toc171069510"/>
      <w:bookmarkStart w:id="86" w:name="_Toc202767213"/>
      <w:bookmarkStart w:id="87" w:name="_Toc202767306"/>
      <w:bookmarkStart w:id="88" w:name="_Toc202769636"/>
      <w:r>
        <w:rPr>
          <w:rStyle w:val="CharPartNo"/>
        </w:rPr>
        <w:lastRenderedPageBreak/>
        <w:t>Part II</w:t>
      </w:r>
      <w:r>
        <w:rPr>
          <w:rStyle w:val="CharDivNo"/>
        </w:rPr>
        <w:t> </w:t>
      </w:r>
      <w:r>
        <w:t>—</w:t>
      </w:r>
      <w:r>
        <w:rPr>
          <w:rStyle w:val="CharDivText"/>
        </w:rPr>
        <w:t> </w:t>
      </w:r>
      <w:r>
        <w:rPr>
          <w:rStyle w:val="CharPartText"/>
        </w:rPr>
        <w:t>General interpretation provisions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432322962"/>
      <w:bookmarkStart w:id="90" w:name="_Toc487862864"/>
      <w:bookmarkStart w:id="91" w:name="_Toc7238286"/>
      <w:bookmarkStart w:id="92" w:name="_Toc151797784"/>
      <w:bookmarkStart w:id="93" w:name="_Toc169939001"/>
      <w:bookmarkStart w:id="94" w:name="_Toc202769637"/>
      <w:bookmarkStart w:id="95" w:name="_Toc171069511"/>
      <w:r>
        <w:rPr>
          <w:rStyle w:val="CharSectno"/>
        </w:rPr>
        <w:t>5</w:t>
      </w:r>
      <w:r>
        <w:rPr>
          <w:snapToGrid w:val="0"/>
        </w:rPr>
        <w:t>.</w:t>
      </w:r>
      <w:r>
        <w:rPr>
          <w:snapToGrid w:val="0"/>
        </w:rPr>
        <w:tab/>
        <w:t>Definitions applicable to written laws</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t>“</w:t>
      </w:r>
      <w:r>
        <w:rPr>
          <w:rStyle w:val="CharDefText"/>
        </w:rPr>
        <w:t>act</w:t>
      </w:r>
      <w:r>
        <w:rPr>
          <w:b/>
        </w:rPr>
        <w:t>”</w:t>
      </w:r>
      <w:r>
        <w:t xml:space="preserve"> used with reference to an offence or civil wrong includes an omission and extends to a series of acts or omissions or a series of acts and omissions;</w:t>
      </w:r>
    </w:p>
    <w:p>
      <w:pPr>
        <w:pStyle w:val="Defstart"/>
      </w:pPr>
      <w:r>
        <w:rPr>
          <w:b/>
        </w:rPr>
        <w:tab/>
        <w:t>“</w:t>
      </w:r>
      <w:r>
        <w:rPr>
          <w:rStyle w:val="CharDefText"/>
        </w:rPr>
        <w:t>Act</w:t>
      </w:r>
      <w:r>
        <w:rPr>
          <w:b/>
        </w:rPr>
        <w: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t>“</w:t>
      </w:r>
      <w:r>
        <w:rPr>
          <w:rStyle w:val="CharDefText"/>
        </w:rPr>
        <w:t>affidavit</w:t>
      </w:r>
      <w:r>
        <w:rPr>
          <w:b/>
        </w:rPr>
        <w: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alternative offence</w:t>
      </w:r>
      <w:r>
        <w:rPr>
          <w:b/>
        </w:rPr>
        <w:t>”</w:t>
      </w:r>
      <w:r>
        <w:t xml:space="preserve">, when used in relation to an offence, has the meaning given by section 10B of </w:t>
      </w:r>
      <w:r>
        <w:rPr>
          <w:i/>
        </w:rPr>
        <w:t>The Criminal Code</w:t>
      </w:r>
      <w:r>
        <w:t>;</w:t>
      </w:r>
    </w:p>
    <w:p>
      <w:pPr>
        <w:pStyle w:val="Defstart"/>
      </w:pPr>
      <w:r>
        <w:rPr>
          <w:b/>
        </w:rPr>
        <w:tab/>
        <w:t>“</w:t>
      </w:r>
      <w:r>
        <w:rPr>
          <w:rStyle w:val="CharDefText"/>
        </w:rPr>
        <w:t>amend</w:t>
      </w:r>
      <w:r>
        <w:rPr>
          <w:b/>
        </w:rPr>
        <w:t>”</w:t>
      </w:r>
      <w:r>
        <w:t xml:space="preserve"> means replace, substitute, in whole or in part, add to or vary, and the doing of any 2 or more of such things simultaneously or by the same written law;</w:t>
      </w:r>
    </w:p>
    <w:p>
      <w:pPr>
        <w:pStyle w:val="Defstart"/>
      </w:pPr>
      <w:r>
        <w:rPr>
          <w:b/>
        </w:rPr>
        <w:tab/>
        <w:t>“</w:t>
      </w:r>
      <w:r>
        <w:rPr>
          <w:rStyle w:val="CharDefText"/>
        </w:rPr>
        <w:t>ASIC Law</w:t>
      </w:r>
      <w:r>
        <w:rPr>
          <w:b/>
        </w:rPr>
        <w:t>”</w:t>
      </w:r>
      <w:r>
        <w:t xml:space="preserve"> and </w:t>
      </w:r>
      <w:r>
        <w:rPr>
          <w:b/>
        </w:rPr>
        <w:t>“</w:t>
      </w:r>
      <w:r>
        <w:rPr>
          <w:rStyle w:val="CharDefText"/>
        </w:rPr>
        <w:t>ASIC Regulations</w:t>
      </w:r>
      <w:r>
        <w:rPr>
          <w:b/>
        </w:rPr>
        <w:t>”</w:t>
      </w:r>
      <w:r>
        <w:t xml:space="preserve"> have the meaning provided for by Part 11 of the </w:t>
      </w:r>
      <w:r>
        <w:rPr>
          <w:i/>
        </w:rPr>
        <w:t>Corporations (Western Australia) Act 1990</w:t>
      </w:r>
      <w:r>
        <w:t>;</w:t>
      </w:r>
    </w:p>
    <w:p>
      <w:pPr>
        <w:pStyle w:val="Defstart"/>
      </w:pPr>
      <w:r>
        <w:rPr>
          <w:b/>
        </w:rPr>
        <w:tab/>
        <w:t>“</w:t>
      </w:r>
      <w:r>
        <w:rPr>
          <w:rStyle w:val="CharDefText"/>
        </w:rPr>
        <w:t>Auditor General</w:t>
      </w:r>
      <w:r>
        <w:rPr>
          <w:b/>
        </w:rPr>
        <w:t>”</w:t>
      </w:r>
      <w:r>
        <w:t xml:space="preserve"> means the person holding the office of Auditor General for Western Australia continued by section 6 of the </w:t>
      </w:r>
      <w:r>
        <w:rPr>
          <w:i/>
          <w:iCs/>
        </w:rPr>
        <w:t>Auditor General Act 2006</w:t>
      </w:r>
      <w:r>
        <w:t>;</w:t>
      </w:r>
    </w:p>
    <w:p>
      <w:pPr>
        <w:pStyle w:val="Defstart"/>
      </w:pPr>
      <w:r>
        <w:rPr>
          <w:b/>
        </w:rPr>
        <w:tab/>
        <w:t>“</w:t>
      </w:r>
      <w:r>
        <w:rPr>
          <w:rStyle w:val="CharDefText"/>
        </w:rPr>
        <w:t>Australia</w:t>
      </w:r>
      <w:r>
        <w:rPr>
          <w:b/>
        </w:rPr>
        <w:t>”</w:t>
      </w:r>
      <w:r>
        <w:t xml:space="preserve"> means the Commonwealth of Australia;</w:t>
      </w:r>
    </w:p>
    <w:p>
      <w:pPr>
        <w:pStyle w:val="Defstart"/>
      </w:pPr>
      <w:r>
        <w:rPr>
          <w:b/>
        </w:rPr>
        <w:tab/>
        <w:t>“</w:t>
      </w:r>
      <w:r>
        <w:rPr>
          <w:rStyle w:val="CharDefText"/>
        </w:rPr>
        <w:t>Australia Acts</w:t>
      </w:r>
      <w:r>
        <w:rPr>
          <w:b/>
        </w:rPr>
        <w:t>”</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t>“</w:t>
      </w:r>
      <w:r>
        <w:rPr>
          <w:rStyle w:val="CharDefText"/>
        </w:rPr>
        <w:t>bank holiday</w:t>
      </w:r>
      <w:r>
        <w:rPr>
          <w:b/>
        </w:rPr>
        <w:t>”</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t>“</w:t>
      </w:r>
      <w:r>
        <w:rPr>
          <w:rStyle w:val="CharDefText"/>
        </w:rPr>
        <w:t>book</w:t>
      </w:r>
      <w:r>
        <w:rPr>
          <w:b/>
        </w:rPr>
        <w:t>”</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t>“</w:t>
      </w:r>
      <w:r>
        <w:rPr>
          <w:rStyle w:val="CharDefText"/>
        </w:rPr>
        <w:t>British possession</w:t>
      </w:r>
      <w:r>
        <w:rPr>
          <w:b/>
        </w:rPr>
        <w:t>”</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t>“</w:t>
      </w:r>
      <w:r>
        <w:rPr>
          <w:rStyle w:val="CharDefText"/>
        </w:rPr>
        <w:t>by</w:t>
      </w:r>
      <w:r>
        <w:rPr>
          <w:rStyle w:val="CharDefText"/>
        </w:rPr>
        <w:noBreakHyphen/>
        <w:t>law</w:t>
      </w:r>
      <w:r>
        <w:rPr>
          <w:b/>
        </w:rPr>
        <w:t>”</w:t>
      </w:r>
      <w:r>
        <w:t xml:space="preserve"> means a by</w:t>
      </w:r>
      <w:r>
        <w:noBreakHyphen/>
        <w:t>law made under the Act in which the term is used;</w:t>
      </w:r>
    </w:p>
    <w:p>
      <w:pPr>
        <w:pStyle w:val="Defstart"/>
      </w:pPr>
      <w:r>
        <w:rPr>
          <w:b/>
        </w:rPr>
        <w:tab/>
        <w:t>“</w:t>
      </w:r>
      <w:r>
        <w:rPr>
          <w:rStyle w:val="CharDefText"/>
        </w:rPr>
        <w:t>chief executive officer</w:t>
      </w:r>
      <w:r>
        <w:rPr>
          <w:b/>
        </w:rPr>
        <w:t>”</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t>“</w:t>
      </w:r>
      <w:r>
        <w:rPr>
          <w:rStyle w:val="CharDefText"/>
        </w:rPr>
        <w:t>Children’s Court</w:t>
      </w:r>
      <w:r>
        <w:rPr>
          <w:b/>
        </w:rPr>
        <w:t>”</w:t>
      </w:r>
      <w:r>
        <w:t xml:space="preserve"> means the Children’s Court of Western Australia established by the </w:t>
      </w:r>
      <w:r>
        <w:rPr>
          <w:i/>
        </w:rPr>
        <w:t>Children’s Court of Western Australia Act 1988</w:t>
      </w:r>
      <w:r>
        <w:t>;</w:t>
      </w:r>
    </w:p>
    <w:p>
      <w:pPr>
        <w:pStyle w:val="Defstart"/>
      </w:pPr>
      <w:r>
        <w:rPr>
          <w:b/>
        </w:rPr>
        <w:tab/>
        <w:t>“</w:t>
      </w:r>
      <w:r>
        <w:rPr>
          <w:rStyle w:val="CharDefText"/>
        </w:rPr>
        <w:t>commencement</w:t>
      </w:r>
      <w:r>
        <w:rPr>
          <w:b/>
        </w:rPr>
        <w:t>”</w:t>
      </w:r>
      <w:r>
        <w:t xml:space="preserve"> in relation to an enactment, means the time when the enactment came or comes into operation;</w:t>
      </w:r>
    </w:p>
    <w:p>
      <w:pPr>
        <w:pStyle w:val="Defstart"/>
      </w:pPr>
      <w:r>
        <w:tab/>
      </w:r>
      <w:r>
        <w:rPr>
          <w:b/>
        </w:rPr>
        <w:t>“</w:t>
      </w:r>
      <w:r>
        <w:rPr>
          <w:rStyle w:val="CharDefText"/>
        </w:rPr>
        <w:t>Commissioner of State Revenue</w:t>
      </w:r>
      <w:r>
        <w:rPr>
          <w:b/>
        </w:rPr>
        <w:t>”</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t>“</w:t>
      </w:r>
      <w:r>
        <w:rPr>
          <w:rStyle w:val="CharDefText"/>
        </w:rPr>
        <w:t>Commonwealth</w:t>
      </w:r>
      <w:r>
        <w:rPr>
          <w:b/>
        </w:rPr>
        <w:t>”</w:t>
      </w:r>
      <w:r>
        <w:t xml:space="preserve"> means the Commonwealth of Australia;</w:t>
      </w:r>
    </w:p>
    <w:p>
      <w:pPr>
        <w:pStyle w:val="Defstart"/>
      </w:pPr>
      <w:r>
        <w:rPr>
          <w:b/>
        </w:rPr>
        <w:tab/>
        <w:t>“</w:t>
      </w:r>
      <w:r>
        <w:rPr>
          <w:rStyle w:val="CharDefText"/>
        </w:rPr>
        <w:t>Commonwealth Act</w:t>
      </w:r>
      <w:r>
        <w:rPr>
          <w:b/>
        </w:rPr>
        <w:t>”</w:t>
      </w:r>
      <w:r>
        <w:t xml:space="preserve"> or </w:t>
      </w:r>
      <w:r>
        <w:rPr>
          <w:b/>
        </w:rPr>
        <w:t>“</w:t>
      </w:r>
      <w:r>
        <w:rPr>
          <w:rStyle w:val="CharDefText"/>
        </w:rPr>
        <w:t>Act of the Commonwealth</w:t>
      </w:r>
      <w:r>
        <w:rPr>
          <w:b/>
        </w:rPr>
        <w:t>”</w:t>
      </w:r>
      <w:r>
        <w:t xml:space="preserve"> means an Act passed by the Parliament of the Commonwealth;</w:t>
      </w:r>
    </w:p>
    <w:p>
      <w:pPr>
        <w:pStyle w:val="Defstart"/>
      </w:pPr>
      <w:r>
        <w:rPr>
          <w:b/>
        </w:rPr>
        <w:tab/>
        <w:t>“</w:t>
      </w:r>
      <w:r>
        <w:rPr>
          <w:rStyle w:val="CharDefText"/>
        </w:rPr>
        <w:t>Consolidated Account</w:t>
      </w:r>
      <w:r>
        <w:rPr>
          <w:b/>
        </w:rPr>
        <w:t>”</w:t>
      </w:r>
      <w:r>
        <w:t xml:space="preserve"> means the Consolidated Account referred to in section 64 of the </w:t>
      </w:r>
      <w:r>
        <w:rPr>
          <w:i/>
          <w:iCs/>
        </w:rPr>
        <w:t>Constitution Act 1889</w:t>
      </w:r>
      <w:r>
        <w:t>;</w:t>
      </w:r>
    </w:p>
    <w:p>
      <w:pPr>
        <w:pStyle w:val="Defstart"/>
      </w:pPr>
      <w:r>
        <w:rPr>
          <w:b/>
        </w:rPr>
        <w:tab/>
        <w:t>“</w:t>
      </w:r>
      <w:r>
        <w:rPr>
          <w:rStyle w:val="CharDefText"/>
        </w:rPr>
        <w:t>contravene</w:t>
      </w:r>
      <w:r>
        <w:rPr>
          <w:b/>
        </w:rPr>
        <w:t>”</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t>“</w:t>
      </w:r>
      <w:r>
        <w:rPr>
          <w:rStyle w:val="CharDefText"/>
        </w:rPr>
        <w:t>Corporations Law</w:t>
      </w:r>
      <w:r>
        <w:rPr>
          <w:b/>
        </w:rPr>
        <w:t>”</w:t>
      </w:r>
      <w:r>
        <w:t xml:space="preserve"> and </w:t>
      </w:r>
      <w:r>
        <w:rPr>
          <w:b/>
        </w:rPr>
        <w:t>“</w:t>
      </w:r>
      <w:r>
        <w:rPr>
          <w:rStyle w:val="CharDefText"/>
        </w:rPr>
        <w:t>Corporations Regulations</w:t>
      </w:r>
      <w:r>
        <w:rPr>
          <w:b/>
        </w:rPr>
        <w:t>”</w:t>
      </w:r>
      <w:r>
        <w:t xml:space="preserve"> have the meaning provided for by Part 3 of the </w:t>
      </w:r>
      <w:r>
        <w:rPr>
          <w:i/>
        </w:rPr>
        <w:t>Corporations (Western Australia) Act 1990</w:t>
      </w:r>
      <w:r>
        <w:t>;</w:t>
      </w:r>
    </w:p>
    <w:p>
      <w:pPr>
        <w:pStyle w:val="Defstart"/>
      </w:pPr>
      <w:r>
        <w:rPr>
          <w:b/>
        </w:rPr>
        <w:tab/>
        <w:t>“</w:t>
      </w:r>
      <w:r>
        <w:rPr>
          <w:rStyle w:val="CharDefText"/>
        </w:rPr>
        <w:t>Court of Appeal</w:t>
      </w:r>
      <w:r>
        <w:rPr>
          <w:b/>
        </w:rPr>
        <w:t>”</w:t>
      </w:r>
      <w:r>
        <w:t xml:space="preserve"> means the Court of Appeal established under the </w:t>
      </w:r>
      <w:r>
        <w:rPr>
          <w:i/>
        </w:rPr>
        <w:t>Supreme Court Act 1935</w:t>
      </w:r>
      <w:r>
        <w:t>;</w:t>
      </w:r>
    </w:p>
    <w:p>
      <w:pPr>
        <w:pStyle w:val="Defstart"/>
      </w:pPr>
      <w:r>
        <w:tab/>
      </w:r>
      <w:r>
        <w:rPr>
          <w:b/>
        </w:rPr>
        <w:t>“</w:t>
      </w:r>
      <w:r>
        <w:rPr>
          <w:rStyle w:val="CharDefText"/>
        </w:rPr>
        <w:t>court of summary jurisdiction</w:t>
      </w:r>
      <w:r>
        <w:rPr>
          <w:b/>
        </w:rPr>
        <w:t>”</w:t>
      </w:r>
      <w:r>
        <w:t xml:space="preserve"> means the Children’s Court or the Magistrates Court;</w:t>
      </w:r>
    </w:p>
    <w:p>
      <w:pPr>
        <w:pStyle w:val="Defstart"/>
      </w:pPr>
      <w:r>
        <w:tab/>
      </w:r>
      <w:r>
        <w:rPr>
          <w:b/>
        </w:rPr>
        <w:t>“</w:t>
      </w:r>
      <w:r>
        <w:rPr>
          <w:rStyle w:val="CharDefText"/>
        </w:rPr>
        <w:t>de facto partner</w:t>
      </w:r>
      <w:r>
        <w:rPr>
          <w:b/>
        </w:rPr>
        <w:t xml:space="preserve">” </w:t>
      </w:r>
      <w:r>
        <w:t xml:space="preserve">and </w:t>
      </w:r>
      <w:r>
        <w:rPr>
          <w:b/>
        </w:rPr>
        <w:t>“</w:t>
      </w:r>
      <w:r>
        <w:rPr>
          <w:rStyle w:val="CharDefText"/>
        </w:rPr>
        <w:t>de facto relationship</w:t>
      </w:r>
      <w:r>
        <w:rPr>
          <w:b/>
        </w:rPr>
        <w:t xml:space="preserve">” </w:t>
      </w:r>
      <w:r>
        <w:t>have the meanings given in section 13A;</w:t>
      </w:r>
    </w:p>
    <w:p>
      <w:pPr>
        <w:pStyle w:val="Defstart"/>
      </w:pPr>
      <w:r>
        <w:rPr>
          <w:b/>
        </w:rPr>
        <w:tab/>
        <w:t>“</w:t>
      </w:r>
      <w:r>
        <w:rPr>
          <w:rStyle w:val="CharDefText"/>
        </w:rPr>
        <w:t>definition</w:t>
      </w:r>
      <w:r>
        <w:rPr>
          <w:b/>
        </w:rPr>
        <w:t>”</w:t>
      </w:r>
      <w:r>
        <w:t xml:space="preserve"> means the interpretation given by any written law to a word or expression;</w:t>
      </w:r>
    </w:p>
    <w:p>
      <w:pPr>
        <w:pStyle w:val="Defstart"/>
        <w:spacing w:before="60"/>
      </w:pPr>
      <w:r>
        <w:rPr>
          <w:b/>
        </w:rPr>
        <w:tab/>
        <w:t>“</w:t>
      </w:r>
      <w:r>
        <w:rPr>
          <w:rStyle w:val="CharDefText"/>
        </w:rPr>
        <w:t>District Court</w:t>
      </w:r>
      <w:r>
        <w:rPr>
          <w:b/>
        </w:rPr>
        <w:t>”</w:t>
      </w:r>
      <w:r>
        <w:t xml:space="preserve"> means The District Court of Western Australia established by the </w:t>
      </w:r>
      <w:r>
        <w:rPr>
          <w:i/>
        </w:rPr>
        <w:t>District Court of Western Australia Act 1969</w:t>
      </w:r>
      <w:r>
        <w:t>;</w:t>
      </w:r>
    </w:p>
    <w:p>
      <w:pPr>
        <w:pStyle w:val="Defstart"/>
      </w:pPr>
      <w:r>
        <w:rPr>
          <w:b/>
        </w:rPr>
        <w:tab/>
        <w:t>“</w:t>
      </w:r>
      <w:r>
        <w:rPr>
          <w:rStyle w:val="CharDefText"/>
        </w:rPr>
        <w:t>District Court judge</w:t>
      </w:r>
      <w:r>
        <w:rPr>
          <w:b/>
        </w:rPr>
        <w:t>”</w:t>
      </w:r>
      <w:r>
        <w:t xml:space="preserve"> means a judge, acting judge or auxiliary judge of the District Court;</w:t>
      </w:r>
    </w:p>
    <w:p>
      <w:pPr>
        <w:pStyle w:val="Defstart"/>
      </w:pPr>
      <w:r>
        <w:rPr>
          <w:b/>
        </w:rPr>
        <w:tab/>
        <w:t>“</w:t>
      </w:r>
      <w:r>
        <w:rPr>
          <w:rStyle w:val="CharDefText"/>
        </w:rPr>
        <w:t>document</w:t>
      </w:r>
      <w:r>
        <w:rPr>
          <w:b/>
        </w:rPr>
        <w: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t>“</w:t>
      </w:r>
      <w:r>
        <w:rPr>
          <w:rStyle w:val="CharDefText"/>
        </w:rPr>
        <w:t>enactment</w:t>
      </w:r>
      <w:r>
        <w:rPr>
          <w:b/>
        </w:rPr>
        <w:t>”</w:t>
      </w:r>
      <w:r>
        <w:t xml:space="preserve"> means a written law or any portion of a written law;</w:t>
      </w:r>
    </w:p>
    <w:p>
      <w:pPr>
        <w:pStyle w:val="Defstart"/>
      </w:pPr>
      <w:r>
        <w:rPr>
          <w:b/>
        </w:rPr>
        <w:tab/>
        <w:t>“</w:t>
      </w:r>
      <w:r>
        <w:rPr>
          <w:rStyle w:val="CharDefText"/>
        </w:rPr>
        <w:t>estate</w:t>
      </w:r>
      <w:r>
        <w:rPr>
          <w:b/>
        </w:rPr>
        <w:t>”</w:t>
      </w:r>
      <w:r>
        <w:t xml:space="preserve"> in relation to land, includes any legal or equitable estate or interest, easement, right, title, claim, demand, charge, lien, or encumbrance in, over, to, or in respect of the land;</w:t>
      </w:r>
    </w:p>
    <w:p>
      <w:pPr>
        <w:pStyle w:val="Defstart"/>
      </w:pPr>
      <w:r>
        <w:rPr>
          <w:b/>
        </w:rPr>
        <w:tab/>
        <w:t>“</w:t>
      </w:r>
      <w:r>
        <w:rPr>
          <w:rStyle w:val="CharDefText"/>
        </w:rPr>
        <w:t>Family Court</w:t>
      </w:r>
      <w:r>
        <w:rPr>
          <w:b/>
        </w:rPr>
        <w:t>”</w:t>
      </w:r>
      <w:r>
        <w:t xml:space="preserve"> or </w:t>
      </w:r>
      <w:r>
        <w:rPr>
          <w:b/>
        </w:rPr>
        <w:t>“</w:t>
      </w:r>
      <w:r>
        <w:rPr>
          <w:rStyle w:val="CharDefText"/>
        </w:rPr>
        <w:t>Family Court of Western Australia</w:t>
      </w:r>
      <w:r>
        <w:rPr>
          <w:b/>
        </w:rPr>
        <w:t>”</w:t>
      </w:r>
      <w:r>
        <w:t xml:space="preserve"> means the Family Court of Western Australia continued by the </w:t>
      </w:r>
      <w:r>
        <w:rPr>
          <w:i/>
        </w:rPr>
        <w:t>Family Court Act 1997</w:t>
      </w:r>
      <w:r>
        <w:t>;</w:t>
      </w:r>
    </w:p>
    <w:p>
      <w:pPr>
        <w:pStyle w:val="Defstart"/>
      </w:pPr>
      <w:r>
        <w:rPr>
          <w:b/>
        </w:rPr>
        <w:tab/>
        <w:t>“</w:t>
      </w:r>
      <w:r>
        <w:rPr>
          <w:rStyle w:val="CharDefText"/>
        </w:rPr>
        <w:t>financial year</w:t>
      </w:r>
      <w:r>
        <w:rPr>
          <w:b/>
        </w:rPr>
        <w:t>”</w:t>
      </w:r>
      <w:r>
        <w:t xml:space="preserve"> means the period of 12 months ending on 30 June;</w:t>
      </w:r>
    </w:p>
    <w:p>
      <w:pPr>
        <w:pStyle w:val="Defstart"/>
      </w:pPr>
      <w:r>
        <w:rPr>
          <w:b/>
        </w:rPr>
        <w:tab/>
        <w:t>“</w:t>
      </w:r>
      <w:r>
        <w:rPr>
          <w:rStyle w:val="CharDefText"/>
        </w:rPr>
        <w:t>function</w:t>
      </w:r>
      <w:r>
        <w:rPr>
          <w:b/>
        </w:rPr>
        <w:t>”</w:t>
      </w:r>
      <w:r>
        <w:t xml:space="preserve"> includes powers, duties, responsibilities, authorities, and jurisdictions;</w:t>
      </w:r>
    </w:p>
    <w:p>
      <w:pPr>
        <w:pStyle w:val="Defstart"/>
        <w:tabs>
          <w:tab w:val="left" w:pos="4080"/>
        </w:tabs>
      </w:pPr>
      <w:r>
        <w:rPr>
          <w:b/>
        </w:rPr>
        <w:tab/>
        <w:t>“</w:t>
      </w:r>
      <w:r>
        <w:rPr>
          <w:rStyle w:val="CharDefText"/>
          <w:i/>
          <w:iCs/>
        </w:rPr>
        <w:t>Gazette</w:t>
      </w:r>
      <w:r>
        <w:rPr>
          <w:b/>
        </w:rPr>
        <w:t>”</w:t>
      </w:r>
      <w:r>
        <w:t xml:space="preserve"> or </w:t>
      </w:r>
      <w:r>
        <w:rPr>
          <w:b/>
        </w:rPr>
        <w:t>“</w:t>
      </w:r>
      <w:r>
        <w:rPr>
          <w:rStyle w:val="CharDefText"/>
          <w:i/>
          <w:iCs/>
        </w:rPr>
        <w:t>Government Gazette</w:t>
      </w:r>
      <w:r>
        <w:rPr>
          <w:b/>
        </w:rPr>
        <w:t>”</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t>“</w:t>
      </w:r>
      <w:r>
        <w:rPr>
          <w:rStyle w:val="CharDefText"/>
        </w:rPr>
        <w:t>Government</w:t>
      </w:r>
      <w:r>
        <w:rPr>
          <w:b/>
        </w:rPr>
        <w:t>”</w:t>
      </w:r>
      <w:r>
        <w:t xml:space="preserve"> means the Government of the State;</w:t>
      </w:r>
    </w:p>
    <w:p>
      <w:pPr>
        <w:pStyle w:val="Defstart"/>
      </w:pPr>
      <w:r>
        <w:rPr>
          <w:b/>
        </w:rPr>
        <w:tab/>
        <w:t>“</w:t>
      </w:r>
      <w:r>
        <w:rPr>
          <w:rStyle w:val="CharDefText"/>
        </w:rPr>
        <w:t>Government Printer</w:t>
      </w:r>
      <w:r>
        <w:rPr>
          <w:b/>
        </w:rPr>
        <w:t>”</w:t>
      </w:r>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t>“</w:t>
      </w:r>
      <w:r>
        <w:rPr>
          <w:rStyle w:val="CharDefText"/>
        </w:rPr>
        <w:t>Governor</w:t>
      </w:r>
      <w:r>
        <w:rPr>
          <w:b/>
        </w:rPr>
        <w:t>”</w:t>
      </w:r>
      <w:r>
        <w:t xml:space="preserve"> means the Governor of the State and includes the officer for the time being administering the Government of the State;</w:t>
      </w:r>
    </w:p>
    <w:p>
      <w:pPr>
        <w:pStyle w:val="Defstart"/>
        <w:keepLines/>
      </w:pPr>
      <w:r>
        <w:rPr>
          <w:b/>
        </w:rPr>
        <w:tab/>
        <w:t>“</w:t>
      </w:r>
      <w:r>
        <w:rPr>
          <w:rStyle w:val="CharDefText"/>
        </w:rPr>
        <w:t>Her Majesty</w:t>
      </w:r>
      <w:r>
        <w:rPr>
          <w:b/>
        </w:rPr>
        <w:t>”</w:t>
      </w:r>
      <w:r>
        <w:t xml:space="preserve">, </w:t>
      </w:r>
      <w:r>
        <w:rPr>
          <w:b/>
        </w:rPr>
        <w:t>“</w:t>
      </w:r>
      <w:r>
        <w:rPr>
          <w:rStyle w:val="CharDefText"/>
        </w:rPr>
        <w:t>His Majesty</w:t>
      </w:r>
      <w:r>
        <w:rPr>
          <w:b/>
        </w:rPr>
        <w:t>”</w:t>
      </w:r>
      <w:r>
        <w:t xml:space="preserve">, </w:t>
      </w:r>
      <w:r>
        <w:rPr>
          <w:b/>
        </w:rPr>
        <w:t>“</w:t>
      </w:r>
      <w:r>
        <w:rPr>
          <w:rStyle w:val="CharDefText"/>
        </w:rPr>
        <w:t>the Queen</w:t>
      </w:r>
      <w:r>
        <w:rPr>
          <w:b/>
        </w:rPr>
        <w:t>”</w:t>
      </w:r>
      <w:r>
        <w:t xml:space="preserve">, </w:t>
      </w:r>
      <w:r>
        <w:rPr>
          <w:b/>
        </w:rPr>
        <w:t>“</w:t>
      </w:r>
      <w:r>
        <w:rPr>
          <w:rStyle w:val="CharDefText"/>
        </w:rPr>
        <w:t>the King</w:t>
      </w:r>
      <w:r>
        <w:rPr>
          <w:b/>
        </w:rPr>
        <w:t>”</w:t>
      </w:r>
      <w:r>
        <w:t xml:space="preserve">, or </w:t>
      </w:r>
      <w:r>
        <w:rPr>
          <w:b/>
        </w:rPr>
        <w:t>“</w:t>
      </w:r>
      <w:r>
        <w:rPr>
          <w:rStyle w:val="CharDefText"/>
        </w:rPr>
        <w:t>the Crown</w:t>
      </w:r>
      <w:r>
        <w:rPr>
          <w:b/>
        </w:rPr>
        <w:t>”</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t>“</w:t>
      </w:r>
      <w:r>
        <w:rPr>
          <w:rStyle w:val="CharDefText"/>
        </w:rPr>
        <w:t>Imperial Act</w:t>
      </w:r>
      <w:r>
        <w:rPr>
          <w:b/>
        </w:rPr>
        <w:t>”</w:t>
      </w:r>
      <w:r>
        <w:t xml:space="preserve"> means an Act passed by the Parliament of the United Kingdom;</w:t>
      </w:r>
    </w:p>
    <w:p>
      <w:pPr>
        <w:pStyle w:val="Defstart"/>
      </w:pPr>
      <w:r>
        <w:rPr>
          <w:b/>
        </w:rPr>
        <w:tab/>
        <w:t>“</w:t>
      </w:r>
      <w:r>
        <w:rPr>
          <w:rStyle w:val="CharDefText"/>
        </w:rPr>
        <w:t>indictable offence</w:t>
      </w:r>
      <w:r>
        <w:rPr>
          <w:b/>
        </w:rPr>
        <w:t>”</w:t>
      </w:r>
      <w:r>
        <w:t xml:space="preserve"> has the meaning given by section 67;</w:t>
      </w:r>
    </w:p>
    <w:p>
      <w:pPr>
        <w:pStyle w:val="Defstart"/>
      </w:pPr>
      <w:r>
        <w:rPr>
          <w:b/>
        </w:rPr>
        <w:tab/>
        <w:t>“</w:t>
      </w:r>
      <w:r>
        <w:rPr>
          <w:rStyle w:val="CharDefText"/>
        </w:rPr>
        <w:t>individual</w:t>
      </w:r>
      <w:r>
        <w:rPr>
          <w:b/>
        </w:rPr>
        <w:t>”</w:t>
      </w:r>
      <w:r>
        <w:t xml:space="preserve"> means a natural person;</w:t>
      </w:r>
    </w:p>
    <w:p>
      <w:pPr>
        <w:pStyle w:val="Defstart"/>
      </w:pPr>
      <w:r>
        <w:rPr>
          <w:b/>
        </w:rPr>
        <w:tab/>
        <w:t>“</w:t>
      </w:r>
      <w:r>
        <w:rPr>
          <w:rStyle w:val="CharDefText"/>
        </w:rPr>
        <w:t>Judge</w:t>
      </w:r>
      <w:r>
        <w:rPr>
          <w:b/>
        </w:rPr>
        <w:t>”</w:t>
      </w:r>
      <w:r>
        <w:t xml:space="preserve"> means a judge, acting judge or auxiliary judge of the Supreme Court;</w:t>
      </w:r>
    </w:p>
    <w:p>
      <w:pPr>
        <w:pStyle w:val="Defstart"/>
      </w:pPr>
      <w:r>
        <w:tab/>
      </w:r>
      <w:r>
        <w:rPr>
          <w:b/>
        </w:rPr>
        <w:t>“</w:t>
      </w:r>
      <w:r>
        <w:rPr>
          <w:rStyle w:val="CharDefText"/>
        </w:rPr>
        <w:t>justice of the peace</w:t>
      </w:r>
      <w:r>
        <w:rPr>
          <w:b/>
        </w:rPr>
        <w:t>”</w:t>
      </w:r>
      <w:r>
        <w:t xml:space="preserve"> or </w:t>
      </w:r>
      <w:r>
        <w:rPr>
          <w:b/>
        </w:rPr>
        <w:t>“</w:t>
      </w:r>
      <w:r>
        <w:rPr>
          <w:rStyle w:val="CharDefText"/>
        </w:rPr>
        <w:t>justice</w:t>
      </w:r>
      <w:r>
        <w:rPr>
          <w:b/>
        </w:rPr>
        <w:t>”</w:t>
      </w:r>
      <w:r>
        <w:t xml:space="preserve"> or </w:t>
      </w:r>
      <w:r>
        <w:rPr>
          <w:b/>
        </w:rPr>
        <w:t>“</w:t>
      </w:r>
      <w:r>
        <w:rPr>
          <w:rStyle w:val="CharDefText"/>
        </w:rPr>
        <w:t>JP</w:t>
      </w:r>
      <w:r>
        <w:rPr>
          <w:b/>
        </w:rPr>
        <w:t>”</w:t>
      </w:r>
      <w:r>
        <w:t xml:space="preserve"> means a justice of the peace appointed under the </w:t>
      </w:r>
      <w:r>
        <w:rPr>
          <w:i/>
        </w:rPr>
        <w:t>Justices of the Peace Act 2004</w:t>
      </w:r>
      <w:r>
        <w:t>;</w:t>
      </w:r>
    </w:p>
    <w:p>
      <w:pPr>
        <w:pStyle w:val="Defstart"/>
      </w:pPr>
      <w:r>
        <w:rPr>
          <w:b/>
        </w:rPr>
        <w:tab/>
        <w:t>“</w:t>
      </w:r>
      <w:r>
        <w:rPr>
          <w:rStyle w:val="CharDefText"/>
        </w:rPr>
        <w:t>land</w:t>
      </w:r>
      <w:r>
        <w:rPr>
          <w:b/>
        </w:rPr>
        <w:t>”</w:t>
      </w:r>
      <w:r>
        <w:t xml:space="preserve"> includes buildings and other structures, land covered with water, and any estate, interest, easement, servitude or right in or over land;</w:t>
      </w:r>
    </w:p>
    <w:p>
      <w:pPr>
        <w:pStyle w:val="Defstart"/>
      </w:pPr>
      <w:r>
        <w:rPr>
          <w:b/>
        </w:rPr>
        <w:tab/>
        <w:t>“</w:t>
      </w:r>
      <w:r>
        <w:rPr>
          <w:rStyle w:val="CharDefText"/>
        </w:rPr>
        <w:t>local government</w:t>
      </w:r>
      <w:r>
        <w:rPr>
          <w:b/>
        </w:rPr>
        <w:t>”</w:t>
      </w:r>
      <w:r>
        <w:t xml:space="preserve"> means a local government established under the </w:t>
      </w:r>
      <w:r>
        <w:rPr>
          <w:i/>
        </w:rPr>
        <w:t>Local Government Act 1995</w:t>
      </w:r>
      <w:r>
        <w:t>;</w:t>
      </w:r>
    </w:p>
    <w:p>
      <w:pPr>
        <w:pStyle w:val="Defstart"/>
      </w:pPr>
      <w:r>
        <w:rPr>
          <w:b/>
        </w:rPr>
        <w:tab/>
        <w:t>“</w:t>
      </w:r>
      <w:r>
        <w:rPr>
          <w:rStyle w:val="CharDefText"/>
        </w:rPr>
        <w:t>local law</w:t>
      </w:r>
      <w:r>
        <w:rPr>
          <w:b/>
        </w:rPr>
        <w:t>”</w:t>
      </w:r>
      <w:r>
        <w:t xml:space="preserve"> means a local law made by a local government under the Act in which the term is used;</w:t>
      </w:r>
    </w:p>
    <w:p>
      <w:pPr>
        <w:pStyle w:val="Defstart"/>
      </w:pPr>
      <w:r>
        <w:tab/>
      </w:r>
      <w:r>
        <w:rPr>
          <w:b/>
        </w:rPr>
        <w:t>“</w:t>
      </w:r>
      <w:r>
        <w:rPr>
          <w:rStyle w:val="CharDefText"/>
        </w:rPr>
        <w:t>magistrate</w:t>
      </w:r>
      <w:r>
        <w:rPr>
          <w:b/>
        </w:rPr>
        <w:t>”</w:t>
      </w:r>
      <w:r>
        <w:t xml:space="preserve"> means a magistrate of the Magistrates Court;</w:t>
      </w:r>
    </w:p>
    <w:p>
      <w:pPr>
        <w:pStyle w:val="Defstart"/>
      </w:pPr>
      <w:r>
        <w:tab/>
      </w:r>
      <w:r>
        <w:rPr>
          <w:b/>
        </w:rPr>
        <w:t>“</w:t>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t>“</w:t>
      </w:r>
      <w:r>
        <w:rPr>
          <w:rStyle w:val="CharDefText"/>
        </w:rPr>
        <w:t>Minister</w:t>
      </w:r>
      <w:r>
        <w:rPr>
          <w:b/>
        </w:rPr>
        <w:t>”</w:t>
      </w:r>
      <w:r>
        <w:t xml:space="preserve"> has the meaning given in section 12;</w:t>
      </w:r>
    </w:p>
    <w:p>
      <w:pPr>
        <w:pStyle w:val="Defstart"/>
      </w:pPr>
      <w:r>
        <w:rPr>
          <w:b/>
        </w:rPr>
        <w:tab/>
        <w:t>“</w:t>
      </w:r>
      <w:r>
        <w:rPr>
          <w:rStyle w:val="CharDefText"/>
        </w:rPr>
        <w:t>Minister for Public Sector Management</w:t>
      </w:r>
      <w:r>
        <w:rPr>
          <w:b/>
        </w:rPr>
        <w: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t>“</w:t>
      </w:r>
      <w:r>
        <w:rPr>
          <w:rStyle w:val="CharDefText"/>
        </w:rPr>
        <w:t>month</w:t>
      </w:r>
      <w:r>
        <w:rPr>
          <w:b/>
        </w:rPr>
        <w:t>”</w:t>
      </w:r>
      <w:r>
        <w:t xml:space="preserve"> has the meaning given in section 62;</w:t>
      </w:r>
    </w:p>
    <w:p>
      <w:pPr>
        <w:pStyle w:val="Defstart"/>
      </w:pPr>
      <w:r>
        <w:rPr>
          <w:b/>
        </w:rPr>
        <w:tab/>
        <w:t>“</w:t>
      </w:r>
      <w:r>
        <w:rPr>
          <w:rStyle w:val="CharDefText"/>
        </w:rPr>
        <w:t>oath</w:t>
      </w:r>
      <w:r>
        <w:rPr>
          <w:b/>
        </w:rPr>
        <w:t>”</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b/>
        </w:rPr>
        <w:t>“</w:t>
      </w:r>
      <w:r>
        <w:rPr>
          <w:rStyle w:val="CharDefText"/>
        </w:rPr>
        <w:t>parent</w:t>
      </w:r>
      <w:r>
        <w:rPr>
          <w:b/>
        </w:rPr>
        <w: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start"/>
      </w:pPr>
      <w:r>
        <w:rPr>
          <w:b/>
        </w:rPr>
        <w:tab/>
        <w:t>“</w:t>
      </w:r>
      <w:r>
        <w:rPr>
          <w:rStyle w:val="CharDefText"/>
        </w:rPr>
        <w:t>Parliament</w:t>
      </w:r>
      <w:r>
        <w:rPr>
          <w:b/>
        </w:rPr>
        <w:t>”</w:t>
      </w:r>
      <w:r>
        <w:t xml:space="preserve"> means the Parliament of the State;</w:t>
      </w:r>
    </w:p>
    <w:p>
      <w:pPr>
        <w:pStyle w:val="Defstart"/>
      </w:pPr>
      <w:r>
        <w:rPr>
          <w:b/>
        </w:rPr>
        <w:tab/>
        <w:t>“</w:t>
      </w:r>
      <w:r>
        <w:rPr>
          <w:rStyle w:val="CharDefText"/>
        </w:rPr>
        <w:t>penalty</w:t>
      </w:r>
      <w:r>
        <w:rPr>
          <w:b/>
        </w:rPr>
        <w:t>”</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t>“</w:t>
      </w:r>
      <w:r>
        <w:rPr>
          <w:rStyle w:val="CharDefText"/>
        </w:rPr>
        <w:t>perform</w:t>
      </w:r>
      <w:r>
        <w:rPr>
          <w:b/>
        </w:rPr>
        <w:t>”</w:t>
      </w:r>
      <w:r>
        <w:t xml:space="preserve"> in relation to functions, includes the exercise of a power, responsibility, authority or jurisdiction;</w:t>
      </w:r>
    </w:p>
    <w:p>
      <w:pPr>
        <w:pStyle w:val="Defstart"/>
      </w:pPr>
      <w:r>
        <w:rPr>
          <w:b/>
        </w:rPr>
        <w:tab/>
        <w:t>“</w:t>
      </w:r>
      <w:r>
        <w:rPr>
          <w:rStyle w:val="CharDefText"/>
        </w:rPr>
        <w:t>person</w:t>
      </w:r>
      <w:r>
        <w:rPr>
          <w:b/>
        </w:rPr>
        <w:t>”</w:t>
      </w:r>
      <w:r>
        <w:t xml:space="preserve"> or any word or expression descriptive of a person includes a public body, company, or association or body of persons, corporate or unincorporate;</w:t>
      </w:r>
    </w:p>
    <w:p>
      <w:pPr>
        <w:pStyle w:val="Defstart"/>
      </w:pPr>
      <w:r>
        <w:tab/>
      </w:r>
      <w:r>
        <w:rPr>
          <w:b/>
          <w:bCs/>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t>“</w:t>
      </w:r>
      <w:r>
        <w:rPr>
          <w:rStyle w:val="CharDefText"/>
        </w:rPr>
        <w:t>power</w:t>
      </w:r>
      <w:r>
        <w:rPr>
          <w:b/>
        </w:rPr>
        <w:t>”</w:t>
      </w:r>
      <w:r>
        <w:t xml:space="preserve"> includes any privilege, authority, or discretion;</w:t>
      </w:r>
    </w:p>
    <w:p>
      <w:pPr>
        <w:pStyle w:val="Defstart"/>
      </w:pPr>
      <w:r>
        <w:rPr>
          <w:b/>
        </w:rPr>
        <w:tab/>
        <w:t>“</w:t>
      </w:r>
      <w:r>
        <w:rPr>
          <w:rStyle w:val="CharDefText"/>
        </w:rPr>
        <w:t>prescribed</w:t>
      </w:r>
      <w:r>
        <w:rPr>
          <w:b/>
        </w:rPr>
        <w:t>”</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t>“</w:t>
      </w:r>
      <w:r>
        <w:rPr>
          <w:rStyle w:val="CharDefText"/>
        </w:rPr>
        <w:t>proclamation</w:t>
      </w:r>
      <w:r>
        <w:rPr>
          <w:b/>
        </w:rPr>
        <w:t>”</w:t>
      </w:r>
      <w:r>
        <w:t xml:space="preserve"> means a proclamation made by the Governor and published in the </w:t>
      </w:r>
      <w:r>
        <w:rPr>
          <w:i/>
        </w:rPr>
        <w:t>Gazette</w:t>
      </w:r>
      <w:r>
        <w:t>;</w:t>
      </w:r>
    </w:p>
    <w:p>
      <w:pPr>
        <w:pStyle w:val="Defstart"/>
      </w:pPr>
      <w:r>
        <w:rPr>
          <w:b/>
        </w:rPr>
        <w:tab/>
        <w:t>“</w:t>
      </w:r>
      <w:r>
        <w:rPr>
          <w:rStyle w:val="CharDefText"/>
        </w:rPr>
        <w:t>public half</w:t>
      </w:r>
      <w:r>
        <w:rPr>
          <w:rStyle w:val="CharDefText"/>
        </w:rPr>
        <w:noBreakHyphen/>
        <w:t>holiday</w:t>
      </w:r>
      <w:r>
        <w:rPr>
          <w:b/>
        </w:rPr>
        <w:t>”</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t>“</w:t>
      </w:r>
      <w:r>
        <w:rPr>
          <w:rStyle w:val="CharDefText"/>
        </w:rPr>
        <w:t>public holiday</w:t>
      </w:r>
      <w:r>
        <w:rPr>
          <w:b/>
        </w:rPr>
        <w:t>”</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t>“</w:t>
      </w:r>
      <w:r>
        <w:rPr>
          <w:rStyle w:val="CharDefText"/>
        </w:rPr>
        <w:t>Public Service</w:t>
      </w:r>
      <w:r>
        <w:rPr>
          <w:b/>
        </w:rPr>
        <w:t>”</w:t>
      </w:r>
      <w:r>
        <w:t xml:space="preserve"> has the meaning given by the </w:t>
      </w:r>
      <w:r>
        <w:rPr>
          <w:i/>
        </w:rPr>
        <w:t>Public Sector Management Act 1994</w:t>
      </w:r>
      <w:r>
        <w:t>;</w:t>
      </w:r>
    </w:p>
    <w:p>
      <w:pPr>
        <w:pStyle w:val="Defstart"/>
      </w:pPr>
      <w:r>
        <w:rPr>
          <w:b/>
        </w:rPr>
        <w:tab/>
        <w:t>“</w:t>
      </w:r>
      <w:r>
        <w:rPr>
          <w:rStyle w:val="CharDefText"/>
        </w:rPr>
        <w:t>public service holiday</w:t>
      </w:r>
      <w:r>
        <w:rPr>
          <w:b/>
        </w:rPr>
        <w:t>”</w:t>
      </w:r>
      <w:r>
        <w:t xml:space="preserve"> means a holiday prescribed as such under the </w:t>
      </w:r>
      <w:r>
        <w:rPr>
          <w:i/>
        </w:rPr>
        <w:t>Public Service Act 1978</w:t>
      </w:r>
      <w:r>
        <w:t xml:space="preserve"> </w:t>
      </w:r>
      <w:r>
        <w:rPr>
          <w:vertAlign w:val="superscript"/>
        </w:rPr>
        <w:t>2</w:t>
      </w:r>
      <w:r>
        <w:t>;</w:t>
      </w:r>
    </w:p>
    <w:p>
      <w:pPr>
        <w:pStyle w:val="Defstart"/>
        <w:keepNext/>
      </w:pPr>
      <w:r>
        <w:rPr>
          <w:b/>
        </w:rPr>
        <w:tab/>
        <w:t>“</w:t>
      </w:r>
      <w:r>
        <w:rPr>
          <w:rStyle w:val="CharDefText"/>
        </w:rPr>
        <w:t>publication</w:t>
      </w:r>
      <w:r>
        <w:rPr>
          <w:b/>
        </w:rPr>
        <w:t>”</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start"/>
      </w:pPr>
      <w:r>
        <w:tab/>
        <w:t>(d)</w:t>
      </w:r>
      <w:r>
        <w:tab/>
        <w:t>every copy and reproduction of a publication as defined in paragraphs (a), (b) and (c);</w:t>
      </w:r>
    </w:p>
    <w:p>
      <w:pPr>
        <w:pStyle w:val="Defstart"/>
      </w:pPr>
      <w:r>
        <w:rPr>
          <w:b/>
        </w:rPr>
        <w:tab/>
        <w:t>“</w:t>
      </w:r>
      <w:r>
        <w:rPr>
          <w:rStyle w:val="CharDefText"/>
        </w:rPr>
        <w:t>regional local government</w:t>
      </w:r>
      <w:r>
        <w:rPr>
          <w:b/>
        </w:rPr>
        <w:t>”</w:t>
      </w:r>
      <w:r>
        <w:t xml:space="preserve"> means a regional local government established under the </w:t>
      </w:r>
      <w:r>
        <w:rPr>
          <w:i/>
        </w:rPr>
        <w:t>Local Government Act 1995</w:t>
      </w:r>
      <w:r>
        <w:t>;</w:t>
      </w:r>
    </w:p>
    <w:p>
      <w:pPr>
        <w:pStyle w:val="Defstart"/>
      </w:pPr>
      <w:r>
        <w:rPr>
          <w:b/>
        </w:rPr>
        <w:tab/>
        <w:t>“</w:t>
      </w:r>
      <w:r>
        <w:rPr>
          <w:rStyle w:val="CharDefText"/>
        </w:rPr>
        <w:t>regulation</w:t>
      </w:r>
      <w:r>
        <w:rPr>
          <w:b/>
        </w:rPr>
        <w:t>”</w:t>
      </w:r>
      <w:r>
        <w:t xml:space="preserve"> means a regulation made under the Act in which the term is used;</w:t>
      </w:r>
    </w:p>
    <w:p>
      <w:pPr>
        <w:pStyle w:val="Defstart"/>
      </w:pPr>
      <w:r>
        <w:rPr>
          <w:b/>
        </w:rPr>
        <w:tab/>
        <w:t>“</w:t>
      </w:r>
      <w:r>
        <w:rPr>
          <w:rStyle w:val="CharDefText"/>
        </w:rPr>
        <w:t>repeal</w:t>
      </w:r>
      <w:r>
        <w:rPr>
          <w:b/>
        </w:rPr>
        <w:t>”</w:t>
      </w:r>
      <w:r>
        <w:t xml:space="preserve"> includes rescind, revoke, cancel, or delete;</w:t>
      </w:r>
    </w:p>
    <w:p>
      <w:pPr>
        <w:pStyle w:val="Defstart"/>
      </w:pPr>
      <w:r>
        <w:rPr>
          <w:b/>
        </w:rPr>
        <w:tab/>
        <w:t>“</w:t>
      </w:r>
      <w:r>
        <w:rPr>
          <w:rStyle w:val="CharDefText"/>
        </w:rPr>
        <w:t>Royal Assent</w:t>
      </w:r>
      <w:r>
        <w:rPr>
          <w:b/>
        </w:rPr>
        <w:t>”</w:t>
      </w:r>
      <w:r>
        <w:t xml:space="preserve"> means assent by or in the name of Her Majesty;</w:t>
      </w:r>
    </w:p>
    <w:p>
      <w:pPr>
        <w:pStyle w:val="Defstart"/>
      </w:pPr>
      <w:r>
        <w:rPr>
          <w:b/>
        </w:rPr>
        <w:tab/>
        <w:t>“</w:t>
      </w:r>
      <w:r>
        <w:rPr>
          <w:rStyle w:val="CharDefText"/>
        </w:rPr>
        <w:t>rule</w:t>
      </w:r>
      <w:r>
        <w:rPr>
          <w:b/>
        </w:rPr>
        <w:t>”</w:t>
      </w:r>
      <w:r>
        <w:t xml:space="preserve"> means a rule made under the Act in which the term is used;</w:t>
      </w:r>
    </w:p>
    <w:p>
      <w:pPr>
        <w:pStyle w:val="Defstart"/>
      </w:pPr>
      <w:r>
        <w:rPr>
          <w:b/>
        </w:rPr>
        <w:tab/>
        <w:t>“</w:t>
      </w:r>
      <w:r>
        <w:rPr>
          <w:rStyle w:val="CharDefText"/>
        </w:rPr>
        <w:t>rules of court</w:t>
      </w:r>
      <w:r>
        <w:rPr>
          <w:b/>
        </w:rPr>
        <w:t>”</w:t>
      </w:r>
      <w:r>
        <w:t xml:space="preserve"> has the meaning given by section 66;</w:t>
      </w:r>
    </w:p>
    <w:p>
      <w:pPr>
        <w:pStyle w:val="Defstart"/>
      </w:pPr>
      <w:r>
        <w:rPr>
          <w:b/>
        </w:rPr>
        <w:tab/>
        <w:t>“</w:t>
      </w:r>
      <w:r>
        <w:rPr>
          <w:rStyle w:val="CharDefText"/>
        </w:rPr>
        <w:t>sell</w:t>
      </w:r>
      <w:r>
        <w:rPr>
          <w:b/>
        </w:rPr>
        <w:t>”</w:t>
      </w:r>
      <w:r>
        <w:t xml:space="preserve"> includes barter, exchange, offer to sell and expose for sale;</w:t>
      </w:r>
    </w:p>
    <w:p>
      <w:pPr>
        <w:pStyle w:val="Defstart"/>
      </w:pPr>
      <w:r>
        <w:rPr>
          <w:b/>
        </w:rPr>
        <w:tab/>
        <w:t>“</w:t>
      </w:r>
      <w:r>
        <w:rPr>
          <w:rStyle w:val="CharDefText"/>
        </w:rPr>
        <w:t>sign</w:t>
      </w:r>
      <w:r>
        <w:rPr>
          <w:b/>
        </w:rPr>
        <w:t>”</w:t>
      </w:r>
      <w:r>
        <w:t xml:space="preserve"> includes the affixing or making of a seal, mark or thumbprint;</w:t>
      </w:r>
    </w:p>
    <w:p>
      <w:pPr>
        <w:pStyle w:val="Defstart"/>
      </w:pPr>
      <w:r>
        <w:rPr>
          <w:b/>
        </w:rPr>
        <w:tab/>
        <w:t>“</w:t>
      </w:r>
      <w:r>
        <w:rPr>
          <w:rStyle w:val="CharDefText"/>
        </w:rPr>
        <w:t>simple offence</w:t>
      </w:r>
      <w:r>
        <w:rPr>
          <w:b/>
        </w:rPr>
        <w:t>”</w:t>
      </w:r>
      <w:r>
        <w:t xml:space="preserve"> has the meaning given by section 67;</w:t>
      </w:r>
    </w:p>
    <w:p>
      <w:pPr>
        <w:pStyle w:val="Defstart"/>
      </w:pPr>
      <w:r>
        <w:rPr>
          <w:b/>
        </w:rPr>
        <w:tab/>
        <w:t>“</w:t>
      </w:r>
      <w:r>
        <w:rPr>
          <w:rStyle w:val="CharDefText"/>
        </w:rPr>
        <w:t>sitting days</w:t>
      </w:r>
      <w:r>
        <w:rPr>
          <w:b/>
        </w:rPr>
        <w:t>”</w:t>
      </w:r>
      <w:r>
        <w:t xml:space="preserve"> in relation to either House of Parliament, means days on which such House actually sits;</w:t>
      </w:r>
    </w:p>
    <w:p>
      <w:pPr>
        <w:pStyle w:val="Defstart"/>
      </w:pPr>
      <w:r>
        <w:tab/>
      </w:r>
      <w:r>
        <w:rPr>
          <w:b/>
        </w:rPr>
        <w:t>“</w:t>
      </w:r>
      <w:r>
        <w:rPr>
          <w:rStyle w:val="CharDefText"/>
        </w:rPr>
        <w:t>spouse</w:t>
      </w:r>
      <w:r>
        <w:rPr>
          <w:b/>
        </w:rPr>
        <w:t>”</w:t>
      </w:r>
      <w:r>
        <w:t>, in relation to a person, means a person who is lawfully married to that person;</w:t>
      </w:r>
    </w:p>
    <w:p>
      <w:pPr>
        <w:pStyle w:val="Defstart"/>
      </w:pPr>
      <w:r>
        <w:tab/>
      </w:r>
      <w:r>
        <w:rPr>
          <w:b/>
        </w:rPr>
        <w:t>“</w:t>
      </w:r>
      <w:r>
        <w:rPr>
          <w:rStyle w:val="CharDefText"/>
        </w:rPr>
        <w:t>Standards Australia</w:t>
      </w:r>
      <w:r>
        <w:rPr>
          <w:b/>
        </w:rPr>
        <w:t>”</w:t>
      </w:r>
      <w:r>
        <w:t xml:space="preserve"> means Standards Australia International Limited (ACN 087 326 690) and includes a reference to the Standards Association of Australia as constituted before 1 July 1999;</w:t>
      </w:r>
    </w:p>
    <w:p>
      <w:pPr>
        <w:pStyle w:val="Defstart"/>
      </w:pPr>
      <w:r>
        <w:rPr>
          <w:b/>
        </w:rPr>
        <w:tab/>
        <w:t>“</w:t>
      </w:r>
      <w:r>
        <w:rPr>
          <w:rStyle w:val="CharDefText"/>
        </w:rPr>
        <w:t>State</w:t>
      </w:r>
      <w:r>
        <w:rPr>
          <w:b/>
        </w:rPr>
        <w:t>”</w:t>
      </w:r>
      <w:r>
        <w:t xml:space="preserve"> means a State of the Commonwealth;</w:t>
      </w:r>
    </w:p>
    <w:p>
      <w:pPr>
        <w:pStyle w:val="Defstart"/>
      </w:pPr>
      <w:r>
        <w:tab/>
      </w:r>
      <w:r>
        <w:rPr>
          <w:b/>
        </w:rPr>
        <w:t xml:space="preserve">“State Administrative Tribunal” </w:t>
      </w:r>
      <w:r>
        <w:t xml:space="preserve">means the State Administrative Tribunal established under the </w:t>
      </w:r>
      <w:r>
        <w:rPr>
          <w:i/>
        </w:rPr>
        <w:t>State Administrative Tribunal Act 2004</w:t>
      </w:r>
      <w:r>
        <w:t>;</w:t>
      </w:r>
    </w:p>
    <w:p>
      <w:pPr>
        <w:pStyle w:val="Defstart"/>
      </w:pPr>
      <w:r>
        <w:rPr>
          <w:b/>
        </w:rPr>
        <w:tab/>
        <w:t>“</w:t>
      </w:r>
      <w:r>
        <w:rPr>
          <w:rStyle w:val="CharDefText"/>
        </w:rPr>
        <w:t>statutory declaration</w:t>
      </w:r>
      <w:r>
        <w:rPr>
          <w:b/>
        </w:rPr>
        <w:t>”</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subsidiary legislation</w:t>
      </w:r>
      <w:r>
        <w:rPr>
          <w:b/>
        </w:rPr>
        <w:t>”</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t>“</w:t>
      </w:r>
      <w:r>
        <w:rPr>
          <w:rStyle w:val="CharDefText"/>
        </w:rPr>
        <w:t>summary conviction</w:t>
      </w:r>
      <w:r>
        <w:rPr>
          <w:b/>
        </w:rPr>
        <w:t>”</w:t>
      </w:r>
      <w:r>
        <w:t xml:space="preserve"> means a conviction by a court of summary jurisdiction;</w:t>
      </w:r>
    </w:p>
    <w:p>
      <w:pPr>
        <w:pStyle w:val="Defstart"/>
      </w:pPr>
      <w:r>
        <w:rPr>
          <w:b/>
        </w:rPr>
        <w:tab/>
        <w:t>“</w:t>
      </w:r>
      <w:r>
        <w:rPr>
          <w:rStyle w:val="CharDefText"/>
        </w:rPr>
        <w:t>summary conviction penalty</w:t>
      </w:r>
      <w:r>
        <w:rPr>
          <w:b/>
        </w:rPr>
        <w:t>”</w:t>
      </w:r>
      <w:r>
        <w:t xml:space="preserve">, when used in relation to an indictable offence, has the effect provided for by section 5 of </w:t>
      </w:r>
      <w:r>
        <w:rPr>
          <w:i/>
        </w:rPr>
        <w:t>The Criminal Code</w:t>
      </w:r>
      <w:r>
        <w:t>;</w:t>
      </w:r>
    </w:p>
    <w:p>
      <w:pPr>
        <w:pStyle w:val="Defstart"/>
      </w:pPr>
      <w:r>
        <w:rPr>
          <w:b/>
        </w:rPr>
        <w:tab/>
        <w:t>“</w:t>
      </w:r>
      <w:r>
        <w:rPr>
          <w:rStyle w:val="CharDefText"/>
        </w:rPr>
        <w:t>Supreme Court</w:t>
      </w:r>
      <w:r>
        <w:rPr>
          <w:b/>
        </w:rPr>
        <w:t>”</w:t>
      </w:r>
      <w:r>
        <w:t xml:space="preserve"> means the Supreme Court of Western Australia;</w:t>
      </w:r>
    </w:p>
    <w:p>
      <w:pPr>
        <w:pStyle w:val="Defstart"/>
      </w:pPr>
      <w:r>
        <w:rPr>
          <w:b/>
        </w:rPr>
        <w:tab/>
        <w:t>“</w:t>
      </w:r>
      <w:r>
        <w:rPr>
          <w:rStyle w:val="CharDefText"/>
        </w:rPr>
        <w:t>swear</w:t>
      </w:r>
      <w:r>
        <w:rPr>
          <w:b/>
        </w:rPr>
        <w:t>”</w:t>
      </w:r>
      <w:r>
        <w:t xml:space="preserve"> includes to affirm;</w:t>
      </w:r>
    </w:p>
    <w:p>
      <w:pPr>
        <w:pStyle w:val="Defstart"/>
      </w:pPr>
      <w:r>
        <w:rPr>
          <w:b/>
        </w:rPr>
        <w:tab/>
        <w:t>“</w:t>
      </w:r>
      <w:r>
        <w:rPr>
          <w:rStyle w:val="CharDefText"/>
          <w:bCs/>
        </w:rPr>
        <w:t xml:space="preserve">the </w:t>
      </w:r>
      <w:r>
        <w:rPr>
          <w:rStyle w:val="CharDefText"/>
        </w:rPr>
        <w:t>State</w:t>
      </w:r>
      <w:r>
        <w:rPr>
          <w:b/>
        </w:rPr>
        <w:t>”</w:t>
      </w:r>
      <w:r>
        <w:t xml:space="preserve"> or </w:t>
      </w:r>
      <w:r>
        <w:rPr>
          <w:b/>
        </w:rPr>
        <w:t>“</w:t>
      </w:r>
      <w:r>
        <w:rPr>
          <w:rStyle w:val="CharDefText"/>
        </w:rPr>
        <w:t>this State</w:t>
      </w:r>
      <w:r>
        <w:rPr>
          <w:b/>
        </w:rPr>
        <w:t>”</w:t>
      </w:r>
      <w:r>
        <w:t xml:space="preserve"> means the State of Western Australia;</w:t>
      </w:r>
    </w:p>
    <w:p>
      <w:pPr>
        <w:pStyle w:val="Defstart"/>
      </w:pPr>
      <w:r>
        <w:rPr>
          <w:b/>
        </w:rPr>
        <w:tab/>
        <w:t>“</w:t>
      </w:r>
      <w:r>
        <w:rPr>
          <w:rStyle w:val="CharDefText"/>
        </w:rPr>
        <w:t>Territory</w:t>
      </w:r>
      <w:r>
        <w:rPr>
          <w:b/>
        </w:rPr>
        <w:t>”</w:t>
      </w:r>
      <w:r>
        <w:t xml:space="preserve"> means a Territory of the Commonwealth;</w:t>
      </w:r>
    </w:p>
    <w:p>
      <w:pPr>
        <w:pStyle w:val="Defstart"/>
      </w:pPr>
      <w:r>
        <w:rPr>
          <w:b/>
        </w:rPr>
        <w:tab/>
        <w:t>“</w:t>
      </w:r>
      <w:r>
        <w:rPr>
          <w:rStyle w:val="CharDefText"/>
        </w:rPr>
        <w:t>under</w:t>
      </w:r>
      <w:r>
        <w:rPr>
          <w:b/>
        </w:rPr>
        <w:t>”</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t>“</w:t>
      </w:r>
      <w:r>
        <w:rPr>
          <w:rStyle w:val="CharDefText"/>
        </w:rPr>
        <w:t>United Kingdom</w:t>
      </w:r>
      <w:r>
        <w:rPr>
          <w:b/>
        </w:rPr>
        <w:t>”</w:t>
      </w:r>
      <w:r>
        <w:t xml:space="preserve"> means the United Kingdom of Great Britain and Northern Ireland;</w:t>
      </w:r>
    </w:p>
    <w:p>
      <w:pPr>
        <w:pStyle w:val="Defstart"/>
      </w:pPr>
      <w:r>
        <w:rPr>
          <w:b/>
        </w:rPr>
        <w:tab/>
        <w:t>“</w:t>
      </w:r>
      <w:r>
        <w:rPr>
          <w:rStyle w:val="CharDefText"/>
        </w:rPr>
        <w:t>Valuer</w:t>
      </w:r>
      <w:r>
        <w:rPr>
          <w:rStyle w:val="CharDefText"/>
        </w:rPr>
        <w:noBreakHyphen/>
        <w:t>General</w:t>
      </w:r>
      <w:r>
        <w:rPr>
          <w:b/>
        </w:rPr>
        <w:t>”</w:t>
      </w:r>
      <w:r>
        <w:t xml:space="preserve"> means the Valuer</w:t>
      </w:r>
      <w:r>
        <w:noBreakHyphen/>
        <w:t xml:space="preserve">General under the </w:t>
      </w:r>
      <w:r>
        <w:rPr>
          <w:i/>
        </w:rPr>
        <w:t>Valuation of Land Act 1978</w:t>
      </w:r>
      <w:r>
        <w:t>;</w:t>
      </w:r>
    </w:p>
    <w:p>
      <w:pPr>
        <w:pStyle w:val="Defstart"/>
      </w:pPr>
      <w:r>
        <w:rPr>
          <w:b/>
        </w:rPr>
        <w:tab/>
        <w:t>“</w:t>
      </w:r>
      <w:r>
        <w:rPr>
          <w:rStyle w:val="CharDefText"/>
        </w:rPr>
        <w:t>will</w:t>
      </w:r>
      <w:r>
        <w:rPr>
          <w:b/>
        </w:rPr>
        <w:t>”</w:t>
      </w:r>
      <w:r>
        <w:t xml:space="preserve"> includes a codicil and every writing making a voluntary posthumous disposition of property;</w:t>
      </w:r>
    </w:p>
    <w:p>
      <w:pPr>
        <w:pStyle w:val="Defstart"/>
      </w:pPr>
      <w:r>
        <w:rPr>
          <w:b/>
        </w:rPr>
        <w:tab/>
        <w:t>“</w:t>
      </w:r>
      <w:r>
        <w:rPr>
          <w:rStyle w:val="CharDefText"/>
        </w:rPr>
        <w:t>words</w:t>
      </w:r>
      <w:r>
        <w:rPr>
          <w:b/>
        </w:rPr>
        <w:t>”</w:t>
      </w:r>
      <w:r>
        <w:t xml:space="preserve"> includes figures and symbols;</w:t>
      </w:r>
    </w:p>
    <w:p>
      <w:pPr>
        <w:pStyle w:val="Defstart"/>
      </w:pPr>
      <w:r>
        <w:rPr>
          <w:b/>
        </w:rPr>
        <w:tab/>
        <w:t>“</w:t>
      </w:r>
      <w:r>
        <w:rPr>
          <w:rStyle w:val="CharDefText"/>
        </w:rPr>
        <w:t>writing</w:t>
      </w:r>
      <w:r>
        <w:rPr>
          <w:b/>
        </w:rPr>
        <w:t>”</w:t>
      </w:r>
      <w:r>
        <w:t xml:space="preserve"> and expressions referring to writing include printing, photography, photocopying, lithography, typewriting and any other modes of representing or reproducing words in visible form;</w:t>
      </w:r>
    </w:p>
    <w:p>
      <w:pPr>
        <w:pStyle w:val="Defstart"/>
      </w:pPr>
      <w:r>
        <w:rPr>
          <w:b/>
        </w:rPr>
        <w:tab/>
        <w:t>“</w:t>
      </w:r>
      <w:r>
        <w:rPr>
          <w:rStyle w:val="CharDefText"/>
        </w:rPr>
        <w:t>written law</w:t>
      </w:r>
      <w:r>
        <w:rPr>
          <w:b/>
        </w:rPr>
        <w:t>”</w:t>
      </w:r>
      <w:r>
        <w:t xml:space="preserve"> means all Acts for the time being in force and all subsidiary legislation for the time being in force;</w:t>
      </w:r>
    </w:p>
    <w:p>
      <w:pPr>
        <w:pStyle w:val="Defstart"/>
      </w:pPr>
      <w:r>
        <w:rPr>
          <w:b/>
        </w:rPr>
        <w:tab/>
        <w:t>“</w:t>
      </w:r>
      <w:r>
        <w:rPr>
          <w:rStyle w:val="CharDefText"/>
        </w:rPr>
        <w:t>year</w:t>
      </w:r>
      <w:r>
        <w:rPr>
          <w:b/>
        </w:rPr>
        <w:t>”</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 17.] </w:t>
      </w:r>
    </w:p>
    <w:p>
      <w:pPr>
        <w:pStyle w:val="Heading5"/>
        <w:rPr>
          <w:snapToGrid w:val="0"/>
        </w:rPr>
      </w:pPr>
      <w:bookmarkStart w:id="96" w:name="_Toc432322963"/>
      <w:bookmarkStart w:id="97" w:name="_Toc487862865"/>
      <w:bookmarkStart w:id="98" w:name="_Toc7238287"/>
      <w:bookmarkStart w:id="99" w:name="_Toc151797785"/>
      <w:bookmarkStart w:id="100" w:name="_Toc169939002"/>
      <w:bookmarkStart w:id="101" w:name="_Toc202769638"/>
      <w:bookmarkStart w:id="102" w:name="_Toc171069512"/>
      <w:r>
        <w:rPr>
          <w:rStyle w:val="CharSectno"/>
        </w:rPr>
        <w:t>6</w:t>
      </w:r>
      <w:r>
        <w:rPr>
          <w:snapToGrid w:val="0"/>
        </w:rPr>
        <w:t>.</w:t>
      </w:r>
      <w:r>
        <w:rPr>
          <w:snapToGrid w:val="0"/>
        </w:rPr>
        <w:tab/>
        <w:t>Definitions in a written law, application of</w:t>
      </w:r>
      <w:bookmarkEnd w:id="96"/>
      <w:bookmarkEnd w:id="97"/>
      <w:bookmarkEnd w:id="98"/>
      <w:bookmarkEnd w:id="99"/>
      <w:bookmarkEnd w:id="100"/>
      <w:bookmarkEnd w:id="101"/>
      <w:bookmarkEnd w:id="102"/>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03" w:name="_Toc432322964"/>
      <w:bookmarkStart w:id="104" w:name="_Toc487862866"/>
      <w:bookmarkStart w:id="105" w:name="_Toc7238288"/>
      <w:bookmarkStart w:id="106" w:name="_Toc151797786"/>
      <w:bookmarkStart w:id="107" w:name="_Toc169939003"/>
      <w:bookmarkStart w:id="108" w:name="_Toc202769639"/>
      <w:bookmarkStart w:id="109" w:name="_Toc171069513"/>
      <w:r>
        <w:rPr>
          <w:rStyle w:val="CharSectno"/>
        </w:rPr>
        <w:t>7</w:t>
      </w:r>
      <w:r>
        <w:rPr>
          <w:snapToGrid w:val="0"/>
        </w:rPr>
        <w:t>.</w:t>
      </w:r>
      <w:r>
        <w:rPr>
          <w:snapToGrid w:val="0"/>
        </w:rPr>
        <w:tab/>
        <w:t>Written laws to be construed subject to State’s legislative power</w:t>
      </w:r>
      <w:bookmarkEnd w:id="103"/>
      <w:bookmarkEnd w:id="104"/>
      <w:bookmarkEnd w:id="105"/>
      <w:bookmarkEnd w:id="106"/>
      <w:bookmarkEnd w:id="107"/>
      <w:bookmarkEnd w:id="108"/>
      <w:bookmarkEnd w:id="109"/>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10" w:name="_Toc432322965"/>
      <w:bookmarkStart w:id="111" w:name="_Toc487862867"/>
      <w:bookmarkStart w:id="112" w:name="_Toc7238289"/>
      <w:bookmarkStart w:id="113" w:name="_Toc151797787"/>
      <w:bookmarkStart w:id="114" w:name="_Toc169939004"/>
      <w:bookmarkStart w:id="115" w:name="_Toc202769640"/>
      <w:bookmarkStart w:id="116" w:name="_Toc171069514"/>
      <w:r>
        <w:rPr>
          <w:rStyle w:val="CharSectno"/>
        </w:rPr>
        <w:t>8</w:t>
      </w:r>
      <w:r>
        <w:rPr>
          <w:snapToGrid w:val="0"/>
        </w:rPr>
        <w:t>.</w:t>
      </w:r>
      <w:r>
        <w:rPr>
          <w:snapToGrid w:val="0"/>
        </w:rPr>
        <w:tab/>
        <w:t>Written laws always speaking</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17" w:name="_Toc432322966"/>
      <w:bookmarkStart w:id="118" w:name="_Toc487862868"/>
      <w:bookmarkStart w:id="119" w:name="_Toc7238290"/>
      <w:bookmarkStart w:id="120" w:name="_Toc151797788"/>
      <w:bookmarkStart w:id="121" w:name="_Toc169939005"/>
      <w:bookmarkStart w:id="122" w:name="_Toc202769641"/>
      <w:bookmarkStart w:id="123" w:name="_Toc171069515"/>
      <w:r>
        <w:rPr>
          <w:rStyle w:val="CharSectno"/>
        </w:rPr>
        <w:t>9</w:t>
      </w:r>
      <w:r>
        <w:rPr>
          <w:snapToGrid w:val="0"/>
        </w:rPr>
        <w:t>.</w:t>
      </w:r>
      <w:r>
        <w:rPr>
          <w:snapToGrid w:val="0"/>
        </w:rPr>
        <w:tab/>
        <w:t>Parts of speech and grammatical forms</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24" w:name="_Toc432322967"/>
      <w:bookmarkStart w:id="125" w:name="_Toc487862869"/>
      <w:bookmarkStart w:id="126" w:name="_Toc7238291"/>
      <w:bookmarkStart w:id="127" w:name="_Toc151797789"/>
      <w:bookmarkStart w:id="128" w:name="_Toc169939006"/>
      <w:bookmarkStart w:id="129" w:name="_Toc202769642"/>
      <w:bookmarkStart w:id="130" w:name="_Toc171069516"/>
      <w:r>
        <w:rPr>
          <w:rStyle w:val="CharSectno"/>
        </w:rPr>
        <w:t>10</w:t>
      </w:r>
      <w:r>
        <w:rPr>
          <w:snapToGrid w:val="0"/>
        </w:rPr>
        <w:t>.</w:t>
      </w:r>
      <w:r>
        <w:rPr>
          <w:snapToGrid w:val="0"/>
        </w:rPr>
        <w:tab/>
        <w:t>Gender and number</w:t>
      </w:r>
      <w:bookmarkEnd w:id="124"/>
      <w:bookmarkEnd w:id="125"/>
      <w:bookmarkEnd w:id="126"/>
      <w:bookmarkEnd w:id="127"/>
      <w:bookmarkEnd w:id="128"/>
      <w:bookmarkEnd w:id="129"/>
      <w:bookmarkEnd w:id="130"/>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31" w:name="_Toc432322968"/>
      <w:bookmarkStart w:id="132" w:name="_Toc487862870"/>
      <w:bookmarkStart w:id="133" w:name="_Toc7238292"/>
      <w:bookmarkStart w:id="134" w:name="_Toc151797790"/>
      <w:bookmarkStart w:id="135" w:name="_Toc169939007"/>
      <w:bookmarkStart w:id="136" w:name="_Toc202769643"/>
      <w:bookmarkStart w:id="137" w:name="_Toc171069517"/>
      <w:r>
        <w:rPr>
          <w:rStyle w:val="CharSectno"/>
        </w:rPr>
        <w:t>11</w:t>
      </w:r>
      <w:r>
        <w:rPr>
          <w:snapToGrid w:val="0"/>
        </w:rPr>
        <w:t>.</w:t>
      </w:r>
      <w:r>
        <w:rPr>
          <w:snapToGrid w:val="0"/>
        </w:rPr>
        <w:tab/>
        <w:t>Sovereign</w:t>
      </w:r>
      <w:bookmarkEnd w:id="131"/>
      <w:bookmarkEnd w:id="132"/>
      <w:bookmarkEnd w:id="133"/>
      <w:r>
        <w:rPr>
          <w:snapToGrid w:val="0"/>
        </w:rPr>
        <w:t>, references to</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38" w:name="_Toc432322969"/>
      <w:bookmarkStart w:id="139" w:name="_Toc487862871"/>
      <w:bookmarkStart w:id="140" w:name="_Toc7238293"/>
      <w:bookmarkStart w:id="141" w:name="_Toc151797791"/>
      <w:bookmarkStart w:id="142" w:name="_Toc169939008"/>
      <w:bookmarkStart w:id="143" w:name="_Toc202769644"/>
      <w:bookmarkStart w:id="144" w:name="_Toc171069518"/>
      <w:r>
        <w:rPr>
          <w:rStyle w:val="CharSectno"/>
        </w:rPr>
        <w:t>12</w:t>
      </w:r>
      <w:r>
        <w:rPr>
          <w:snapToGrid w:val="0"/>
        </w:rPr>
        <w:t>.</w:t>
      </w:r>
      <w:r>
        <w:rPr>
          <w:snapToGrid w:val="0"/>
        </w:rPr>
        <w:tab/>
        <w:t>Minister</w:t>
      </w:r>
      <w:bookmarkEnd w:id="138"/>
      <w:bookmarkEnd w:id="139"/>
      <w:bookmarkEnd w:id="140"/>
      <w:r>
        <w:rPr>
          <w:snapToGrid w:val="0"/>
        </w:rPr>
        <w:t>, references to</w:t>
      </w:r>
      <w:bookmarkEnd w:id="141"/>
      <w:bookmarkEnd w:id="142"/>
      <w:bookmarkEnd w:id="143"/>
      <w:bookmarkEnd w:id="144"/>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45" w:name="_Toc432322970"/>
      <w:bookmarkStart w:id="146" w:name="_Toc487862872"/>
      <w:bookmarkStart w:id="147" w:name="_Toc7238294"/>
      <w:bookmarkStart w:id="148" w:name="_Toc151797792"/>
      <w:bookmarkStart w:id="149" w:name="_Toc169939009"/>
      <w:bookmarkStart w:id="150" w:name="_Toc202769645"/>
      <w:bookmarkStart w:id="151" w:name="_Toc171069519"/>
      <w:r>
        <w:rPr>
          <w:rStyle w:val="CharSectno"/>
        </w:rPr>
        <w:t>13</w:t>
      </w:r>
      <w:r>
        <w:rPr>
          <w:snapToGrid w:val="0"/>
        </w:rPr>
        <w:t>.</w:t>
      </w:r>
      <w:r>
        <w:rPr>
          <w:snapToGrid w:val="0"/>
        </w:rPr>
        <w:tab/>
        <w:t>British subject, etc.</w:t>
      </w:r>
      <w:bookmarkEnd w:id="145"/>
      <w:bookmarkEnd w:id="146"/>
      <w:bookmarkEnd w:id="147"/>
      <w:r>
        <w:rPr>
          <w:snapToGrid w:val="0"/>
        </w:rPr>
        <w:t>, references to</w:t>
      </w:r>
      <w:bookmarkEnd w:id="148"/>
      <w:bookmarkEnd w:id="149"/>
      <w:bookmarkEnd w:id="150"/>
      <w:bookmarkEnd w:id="151"/>
    </w:p>
    <w:p>
      <w:pPr>
        <w:pStyle w:val="Subsection"/>
        <w:rPr>
          <w:snapToGrid w:val="0"/>
        </w:rPr>
      </w:pPr>
      <w:r>
        <w:rPr>
          <w:snapToGrid w:val="0"/>
        </w:rPr>
        <w:tab/>
        <w:t>(1)</w:t>
      </w:r>
      <w:r>
        <w:rPr>
          <w:snapToGrid w:val="0"/>
        </w:rPr>
        <w:tab/>
        <w:t>In this section — </w:t>
      </w:r>
    </w:p>
    <w:p>
      <w:pPr>
        <w:pStyle w:val="Defstart"/>
        <w:rPr>
          <w:spacing w:val="-4"/>
        </w:rPr>
      </w:pPr>
      <w:r>
        <w:rPr>
          <w:b/>
          <w:spacing w:val="-4"/>
        </w:rPr>
        <w:tab/>
        <w:t>“</w:t>
      </w:r>
      <w:r>
        <w:rPr>
          <w:rStyle w:val="CharDefText"/>
          <w:spacing w:val="-4"/>
        </w:rPr>
        <w:t>Commonwealth Act</w:t>
      </w:r>
      <w:r>
        <w:rPr>
          <w:b/>
          <w:spacing w:val="-4"/>
        </w:rPr>
        <w: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t>“</w:t>
      </w:r>
      <w:r>
        <w:rPr>
          <w:rStyle w:val="CharDefText"/>
        </w:rPr>
        <w:t>law of the State</w:t>
      </w:r>
      <w:r>
        <w:rPr>
          <w:b/>
        </w:rPr>
        <w:t>”</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52" w:name="_Toc151797793"/>
      <w:bookmarkStart w:id="153" w:name="_Toc169939010"/>
      <w:bookmarkStart w:id="154" w:name="_Toc202769646"/>
      <w:bookmarkStart w:id="155" w:name="_Toc171069520"/>
      <w:bookmarkStart w:id="156" w:name="_Toc432322971"/>
      <w:bookmarkStart w:id="157" w:name="_Toc487862873"/>
      <w:bookmarkStart w:id="158" w:name="_Toc7238295"/>
      <w:r>
        <w:rPr>
          <w:rStyle w:val="CharSectno"/>
        </w:rPr>
        <w:t>13A</w:t>
      </w:r>
      <w:r>
        <w:t>.</w:t>
      </w:r>
      <w:r>
        <w:tab/>
        <w:t>De facto relationship and de facto partner, references to</w:t>
      </w:r>
      <w:bookmarkEnd w:id="152"/>
      <w:bookmarkEnd w:id="153"/>
      <w:bookmarkEnd w:id="154"/>
      <w:bookmarkEnd w:id="155"/>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b/>
        </w:rPr>
        <w:t>“</w:t>
      </w:r>
      <w:r>
        <w:rPr>
          <w:rStyle w:val="CharDefText"/>
          <w:snapToGrid w:val="0"/>
        </w:rPr>
        <w:t>first person</w:t>
      </w:r>
      <w:r>
        <w:rPr>
          <w:b/>
        </w:rPr>
        <w:t>”</w:t>
      </w:r>
      <w:r>
        <w:t>) is the person who lives, or lived, in the de facto relationship with the first person.</w:t>
      </w:r>
    </w:p>
    <w:p>
      <w:pPr>
        <w:pStyle w:val="Footnotesection"/>
      </w:pPr>
      <w:r>
        <w:tab/>
        <w:t>[Section 13A inserted by No. 3 of 2002 s. 85.]</w:t>
      </w:r>
    </w:p>
    <w:p>
      <w:pPr>
        <w:pStyle w:val="Heading5"/>
      </w:pPr>
      <w:bookmarkStart w:id="159" w:name="_Toc151797794"/>
      <w:bookmarkStart w:id="160" w:name="_Toc169939011"/>
      <w:bookmarkStart w:id="161" w:name="_Toc202769647"/>
      <w:bookmarkStart w:id="162" w:name="_Toc171069521"/>
      <w:r>
        <w:rPr>
          <w:rStyle w:val="CharSectno"/>
        </w:rPr>
        <w:t>13B</w:t>
      </w:r>
      <w:r>
        <w:t>.</w:t>
      </w:r>
      <w:r>
        <w:tab/>
        <w:t>Standards Association of Australia, references to</w:t>
      </w:r>
      <w:bookmarkEnd w:id="159"/>
      <w:bookmarkEnd w:id="160"/>
      <w:bookmarkEnd w:id="161"/>
      <w:bookmarkEnd w:id="162"/>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rPr>
          <w:snapToGrid w:val="0"/>
        </w:rPr>
      </w:pPr>
      <w:bookmarkStart w:id="163" w:name="_Toc151797795"/>
      <w:bookmarkStart w:id="164" w:name="_Toc169939012"/>
      <w:bookmarkStart w:id="165" w:name="_Toc202769648"/>
      <w:bookmarkStart w:id="166" w:name="_Toc171069522"/>
      <w:r>
        <w:rPr>
          <w:rStyle w:val="CharSectno"/>
        </w:rPr>
        <w:t>14</w:t>
      </w:r>
      <w:r>
        <w:rPr>
          <w:snapToGrid w:val="0"/>
        </w:rPr>
        <w:t>.</w:t>
      </w:r>
      <w:r>
        <w:rPr>
          <w:snapToGrid w:val="0"/>
        </w:rPr>
        <w:tab/>
        <w:t>References to 2 or more provisions to be inclusive</w:t>
      </w:r>
      <w:bookmarkEnd w:id="156"/>
      <w:bookmarkEnd w:id="157"/>
      <w:bookmarkEnd w:id="158"/>
      <w:bookmarkEnd w:id="163"/>
      <w:bookmarkEnd w:id="164"/>
      <w:bookmarkEnd w:id="165"/>
      <w:bookmarkEnd w:id="166"/>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67" w:name="_Toc432322972"/>
      <w:bookmarkStart w:id="168" w:name="_Toc487862874"/>
      <w:bookmarkStart w:id="169" w:name="_Toc7238296"/>
      <w:bookmarkStart w:id="170" w:name="_Toc151797796"/>
      <w:bookmarkStart w:id="171" w:name="_Toc169939013"/>
      <w:bookmarkStart w:id="172" w:name="_Toc202769649"/>
      <w:bookmarkStart w:id="173" w:name="_Toc171069523"/>
      <w:r>
        <w:rPr>
          <w:rStyle w:val="CharSectno"/>
        </w:rPr>
        <w:t>15</w:t>
      </w:r>
      <w:r>
        <w:rPr>
          <w:snapToGrid w:val="0"/>
        </w:rPr>
        <w:t>.</w:t>
      </w:r>
      <w:r>
        <w:rPr>
          <w:snapToGrid w:val="0"/>
        </w:rPr>
        <w:tab/>
        <w:t xml:space="preserve">Internal references </w:t>
      </w:r>
      <w:bookmarkEnd w:id="167"/>
      <w:r>
        <w:rPr>
          <w:snapToGrid w:val="0"/>
        </w:rPr>
        <w:t>in written law</w:t>
      </w:r>
      <w:bookmarkEnd w:id="168"/>
      <w:bookmarkEnd w:id="169"/>
      <w:r>
        <w:rPr>
          <w:snapToGrid w:val="0"/>
        </w:rPr>
        <w:t>s, construction of</w:t>
      </w:r>
      <w:bookmarkEnd w:id="170"/>
      <w:bookmarkEnd w:id="171"/>
      <w:bookmarkEnd w:id="172"/>
      <w:bookmarkEnd w:id="173"/>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174" w:name="_Toc432322973"/>
      <w:bookmarkStart w:id="175" w:name="_Toc487862875"/>
      <w:bookmarkStart w:id="176" w:name="_Toc7238297"/>
      <w:bookmarkStart w:id="177" w:name="_Toc151797797"/>
      <w:bookmarkStart w:id="178" w:name="_Toc169939014"/>
      <w:bookmarkStart w:id="179" w:name="_Toc202769650"/>
      <w:bookmarkStart w:id="180" w:name="_Toc171069524"/>
      <w:r>
        <w:rPr>
          <w:rStyle w:val="CharSectno"/>
        </w:rPr>
        <w:t>16</w:t>
      </w:r>
      <w:r>
        <w:rPr>
          <w:snapToGrid w:val="0"/>
        </w:rPr>
        <w:t>.</w:t>
      </w:r>
      <w:r>
        <w:rPr>
          <w:snapToGrid w:val="0"/>
        </w:rPr>
        <w:tab/>
        <w:t>Reference to written law is to written law as amended</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81" w:name="_Toc432322974"/>
      <w:bookmarkStart w:id="182" w:name="_Toc487862876"/>
      <w:bookmarkStart w:id="183" w:name="_Toc7238298"/>
      <w:bookmarkStart w:id="184" w:name="_Toc151797798"/>
      <w:bookmarkStart w:id="185" w:name="_Toc169939015"/>
      <w:bookmarkStart w:id="186" w:name="_Toc202769651"/>
      <w:bookmarkStart w:id="187" w:name="_Toc171069525"/>
      <w:r>
        <w:rPr>
          <w:rStyle w:val="CharSectno"/>
        </w:rPr>
        <w:t>17</w:t>
      </w:r>
      <w:r>
        <w:rPr>
          <w:snapToGrid w:val="0"/>
        </w:rPr>
        <w:t>.</w:t>
      </w:r>
      <w:r>
        <w:rPr>
          <w:snapToGrid w:val="0"/>
        </w:rPr>
        <w:tab/>
        <w:t>Disjunctive construction of “or”</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b/>
          <w:snapToGrid w:val="0"/>
        </w:rPr>
        <w:t>“</w:t>
      </w:r>
      <w:r>
        <w:rPr>
          <w:rStyle w:val="CharDefText"/>
        </w:rPr>
        <w:t>or</w:t>
      </w:r>
      <w:r>
        <w:rPr>
          <w:b/>
          <w:snapToGrid w:val="0"/>
        </w:rPr>
        <w:t>”</w:t>
      </w:r>
      <w:r>
        <w:rPr>
          <w:snapToGrid w:val="0"/>
        </w:rPr>
        <w:t xml:space="preserve">, </w:t>
      </w:r>
      <w:r>
        <w:rPr>
          <w:b/>
          <w:snapToGrid w:val="0"/>
        </w:rPr>
        <w:t>“</w:t>
      </w:r>
      <w:r>
        <w:rPr>
          <w:rStyle w:val="CharDefText"/>
        </w:rPr>
        <w:t>other</w:t>
      </w:r>
      <w:r>
        <w:rPr>
          <w:b/>
          <w:snapToGrid w:val="0"/>
        </w:rPr>
        <w:t>”</w:t>
      </w:r>
      <w:r>
        <w:rPr>
          <w:snapToGrid w:val="0"/>
        </w:rPr>
        <w:t xml:space="preserve">, and </w:t>
      </w:r>
      <w:r>
        <w:rPr>
          <w:b/>
          <w:snapToGrid w:val="0"/>
        </w:rPr>
        <w:t>“</w:t>
      </w:r>
      <w:r>
        <w:rPr>
          <w:rStyle w:val="CharDefText"/>
        </w:rPr>
        <w:t>otherwise</w:t>
      </w:r>
      <w:r>
        <w:rPr>
          <w:b/>
          <w:snapToGrid w:val="0"/>
        </w:rPr>
        <w:t>”</w:t>
      </w:r>
      <w:r>
        <w:rPr>
          <w:snapToGrid w:val="0"/>
        </w:rPr>
        <w:t xml:space="preserve"> shall be construed disjunctively and not as implying similarity unless the word “similar” or some other word of like meaning is added.</w:t>
      </w:r>
    </w:p>
    <w:p>
      <w:pPr>
        <w:pStyle w:val="Heading5"/>
        <w:rPr>
          <w:snapToGrid w:val="0"/>
        </w:rPr>
      </w:pPr>
      <w:bookmarkStart w:id="188" w:name="_Toc432322975"/>
      <w:bookmarkStart w:id="189" w:name="_Toc487862877"/>
      <w:bookmarkStart w:id="190" w:name="_Toc7238299"/>
      <w:bookmarkStart w:id="191" w:name="_Toc151797799"/>
      <w:bookmarkStart w:id="192" w:name="_Toc169939016"/>
      <w:bookmarkStart w:id="193" w:name="_Toc202769652"/>
      <w:bookmarkStart w:id="194" w:name="_Toc171069526"/>
      <w:r>
        <w:rPr>
          <w:rStyle w:val="CharSectno"/>
        </w:rPr>
        <w:t>18</w:t>
      </w:r>
      <w:r>
        <w:rPr>
          <w:snapToGrid w:val="0"/>
        </w:rPr>
        <w:t>.</w:t>
      </w:r>
      <w:r>
        <w:rPr>
          <w:snapToGrid w:val="0"/>
        </w:rPr>
        <w:tab/>
        <w:t>Purpose or object</w:t>
      </w:r>
      <w:bookmarkEnd w:id="188"/>
      <w:bookmarkEnd w:id="189"/>
      <w:bookmarkEnd w:id="190"/>
      <w:r>
        <w:rPr>
          <w:snapToGrid w:val="0"/>
        </w:rPr>
        <w:t xml:space="preserve"> of written law, use of in interpretation</w:t>
      </w:r>
      <w:bookmarkEnd w:id="191"/>
      <w:bookmarkEnd w:id="192"/>
      <w:bookmarkEnd w:id="193"/>
      <w:bookmarkEnd w:id="194"/>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95" w:name="_Toc432322976"/>
      <w:bookmarkStart w:id="196" w:name="_Toc487862878"/>
      <w:bookmarkStart w:id="197" w:name="_Toc7238300"/>
      <w:bookmarkStart w:id="198" w:name="_Toc151797800"/>
      <w:bookmarkStart w:id="199" w:name="_Toc169939017"/>
      <w:bookmarkStart w:id="200" w:name="_Toc202769653"/>
      <w:bookmarkStart w:id="201" w:name="_Toc171069527"/>
      <w:r>
        <w:rPr>
          <w:rStyle w:val="CharSectno"/>
        </w:rPr>
        <w:t>19</w:t>
      </w:r>
      <w:r>
        <w:rPr>
          <w:snapToGrid w:val="0"/>
        </w:rPr>
        <w:t>.</w:t>
      </w:r>
      <w:r>
        <w:rPr>
          <w:snapToGrid w:val="0"/>
        </w:rPr>
        <w:tab/>
        <w:t>Extrinsic material, use of in interpretation</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202" w:name="_Toc72899295"/>
      <w:bookmarkStart w:id="203" w:name="_Toc88026872"/>
      <w:bookmarkStart w:id="204" w:name="_Toc89522063"/>
      <w:bookmarkStart w:id="205" w:name="_Toc90872572"/>
      <w:bookmarkStart w:id="206" w:name="_Toc94947599"/>
      <w:bookmarkStart w:id="207" w:name="_Toc97105568"/>
      <w:bookmarkStart w:id="208" w:name="_Toc102368040"/>
      <w:bookmarkStart w:id="209" w:name="_Toc103068626"/>
      <w:bookmarkStart w:id="210" w:name="_Toc107978931"/>
      <w:bookmarkStart w:id="211" w:name="_Toc108942313"/>
      <w:bookmarkStart w:id="212" w:name="_Toc109188538"/>
      <w:bookmarkStart w:id="213" w:name="_Toc112045020"/>
      <w:bookmarkStart w:id="214" w:name="_Toc113858443"/>
      <w:bookmarkStart w:id="215" w:name="_Toc121558704"/>
      <w:bookmarkStart w:id="216" w:name="_Toc131397184"/>
      <w:bookmarkStart w:id="217" w:name="_Toc151797801"/>
      <w:bookmarkStart w:id="218" w:name="_Toc151862416"/>
      <w:bookmarkStart w:id="219" w:name="_Toc155671106"/>
      <w:bookmarkStart w:id="220" w:name="_Toc157918803"/>
      <w:bookmarkStart w:id="221" w:name="_Toc164135657"/>
      <w:bookmarkStart w:id="222" w:name="_Toc164150744"/>
      <w:bookmarkStart w:id="223" w:name="_Toc164225379"/>
      <w:bookmarkStart w:id="224" w:name="_Toc166385929"/>
      <w:bookmarkStart w:id="225" w:name="_Toc167003589"/>
      <w:bookmarkStart w:id="226" w:name="_Toc169939018"/>
      <w:bookmarkStart w:id="227" w:name="_Toc170717919"/>
      <w:bookmarkStart w:id="228" w:name="_Toc171069528"/>
      <w:bookmarkStart w:id="229" w:name="_Toc202767231"/>
      <w:bookmarkStart w:id="230" w:name="_Toc202767324"/>
      <w:bookmarkStart w:id="231" w:name="_Toc202769654"/>
      <w:r>
        <w:rPr>
          <w:rStyle w:val="CharPartNo"/>
        </w:rPr>
        <w:t>Part III</w:t>
      </w:r>
      <w:r>
        <w:rPr>
          <w:rStyle w:val="CharDivNo"/>
        </w:rPr>
        <w:t> </w:t>
      </w:r>
      <w:r>
        <w:t>—</w:t>
      </w:r>
      <w:r>
        <w:rPr>
          <w:rStyle w:val="CharDivText"/>
        </w:rPr>
        <w:t> </w:t>
      </w:r>
      <w:r>
        <w:rPr>
          <w:rStyle w:val="CharPartText"/>
        </w:rPr>
        <w:t>Commencement and citation</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Heading5"/>
        <w:spacing w:before="240"/>
        <w:rPr>
          <w:snapToGrid w:val="0"/>
        </w:rPr>
      </w:pPr>
      <w:bookmarkStart w:id="232" w:name="_Toc432322977"/>
      <w:bookmarkStart w:id="233" w:name="_Toc487862879"/>
      <w:bookmarkStart w:id="234" w:name="_Toc7238301"/>
      <w:bookmarkStart w:id="235" w:name="_Toc151797802"/>
      <w:bookmarkStart w:id="236" w:name="_Toc169939019"/>
      <w:bookmarkStart w:id="237" w:name="_Toc202769655"/>
      <w:bookmarkStart w:id="238" w:name="_Toc171069529"/>
      <w:r>
        <w:rPr>
          <w:rStyle w:val="CharSectno"/>
        </w:rPr>
        <w:t>20</w:t>
      </w:r>
      <w:r>
        <w:rPr>
          <w:snapToGrid w:val="0"/>
        </w:rPr>
        <w:t>.</w:t>
      </w:r>
      <w:r>
        <w:rPr>
          <w:snapToGrid w:val="0"/>
        </w:rPr>
        <w:tab/>
        <w:t>Commencement of Acts</w:t>
      </w:r>
      <w:bookmarkEnd w:id="232"/>
      <w:bookmarkEnd w:id="233"/>
      <w:bookmarkEnd w:id="234"/>
      <w:bookmarkEnd w:id="235"/>
      <w:bookmarkEnd w:id="236"/>
      <w:bookmarkEnd w:id="237"/>
      <w:bookmarkEnd w:id="238"/>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239" w:name="_Toc432322978"/>
      <w:bookmarkStart w:id="240" w:name="_Toc487862880"/>
      <w:bookmarkStart w:id="241" w:name="_Toc7238302"/>
      <w:bookmarkStart w:id="242" w:name="_Toc151797803"/>
      <w:bookmarkStart w:id="243" w:name="_Toc169939020"/>
      <w:bookmarkStart w:id="244" w:name="_Toc202769656"/>
      <w:bookmarkStart w:id="245" w:name="_Toc171069530"/>
      <w:r>
        <w:rPr>
          <w:rStyle w:val="CharSectno"/>
        </w:rPr>
        <w:t>21</w:t>
      </w:r>
      <w:r>
        <w:rPr>
          <w:snapToGrid w:val="0"/>
        </w:rPr>
        <w:t>.</w:t>
      </w:r>
      <w:r>
        <w:rPr>
          <w:snapToGrid w:val="0"/>
        </w:rPr>
        <w:tab/>
        <w:t>Time of commencement of written laws</w:t>
      </w:r>
      <w:bookmarkEnd w:id="239"/>
      <w:bookmarkEnd w:id="240"/>
      <w:bookmarkEnd w:id="241"/>
      <w:bookmarkEnd w:id="242"/>
      <w:bookmarkEnd w:id="243"/>
      <w:bookmarkEnd w:id="244"/>
      <w:bookmarkEnd w:id="245"/>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246" w:name="_Toc432322979"/>
      <w:bookmarkStart w:id="247" w:name="_Toc487862881"/>
      <w:bookmarkStart w:id="248" w:name="_Toc7238303"/>
      <w:bookmarkStart w:id="249" w:name="_Toc151797804"/>
      <w:bookmarkStart w:id="250" w:name="_Toc169939021"/>
      <w:bookmarkStart w:id="251" w:name="_Toc202769657"/>
      <w:bookmarkStart w:id="252" w:name="_Toc171069531"/>
      <w:r>
        <w:rPr>
          <w:rStyle w:val="CharSectno"/>
        </w:rPr>
        <w:t>22</w:t>
      </w:r>
      <w:r>
        <w:rPr>
          <w:snapToGrid w:val="0"/>
        </w:rPr>
        <w:t>.</w:t>
      </w:r>
      <w:r>
        <w:rPr>
          <w:snapToGrid w:val="0"/>
        </w:rPr>
        <w:tab/>
      </w:r>
      <w:bookmarkEnd w:id="246"/>
      <w:bookmarkEnd w:id="247"/>
      <w:bookmarkEnd w:id="248"/>
      <w:r>
        <w:rPr>
          <w:snapToGrid w:val="0"/>
        </w:rPr>
        <w:t>Act commencing on proclamation, commencement of certain provisions of</w:t>
      </w:r>
      <w:bookmarkEnd w:id="249"/>
      <w:bookmarkEnd w:id="250"/>
      <w:bookmarkEnd w:id="251"/>
      <w:bookmarkEnd w:id="252"/>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253" w:name="_Toc432322980"/>
      <w:bookmarkStart w:id="254" w:name="_Toc487862882"/>
      <w:bookmarkStart w:id="255" w:name="_Toc7238304"/>
      <w:bookmarkStart w:id="256" w:name="_Toc151797805"/>
      <w:bookmarkStart w:id="257" w:name="_Toc169939022"/>
      <w:bookmarkStart w:id="258" w:name="_Toc202769658"/>
      <w:bookmarkStart w:id="259" w:name="_Toc171069532"/>
      <w:r>
        <w:rPr>
          <w:rStyle w:val="CharSectno"/>
        </w:rPr>
        <w:t>23</w:t>
      </w:r>
      <w:r>
        <w:rPr>
          <w:snapToGrid w:val="0"/>
        </w:rPr>
        <w:t>.</w:t>
      </w:r>
      <w:r>
        <w:rPr>
          <w:snapToGrid w:val="0"/>
        </w:rPr>
        <w:tab/>
      </w:r>
      <w:bookmarkEnd w:id="253"/>
      <w:bookmarkEnd w:id="254"/>
      <w:bookmarkEnd w:id="255"/>
      <w:r>
        <w:rPr>
          <w:snapToGrid w:val="0"/>
        </w:rPr>
        <w:t>Proclamation of commencement of Act, construction of power to make</w:t>
      </w:r>
      <w:bookmarkEnd w:id="256"/>
      <w:bookmarkEnd w:id="257"/>
      <w:bookmarkEnd w:id="258"/>
      <w:bookmarkEnd w:id="259"/>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260" w:name="_Toc432322981"/>
      <w:bookmarkStart w:id="261" w:name="_Toc487862883"/>
      <w:bookmarkStart w:id="262" w:name="_Toc7238305"/>
      <w:bookmarkStart w:id="263" w:name="_Toc151797806"/>
      <w:bookmarkStart w:id="264" w:name="_Toc169939023"/>
      <w:bookmarkStart w:id="265" w:name="_Toc202769659"/>
      <w:bookmarkStart w:id="266" w:name="_Toc171069533"/>
      <w:r>
        <w:rPr>
          <w:rStyle w:val="CharSectno"/>
        </w:rPr>
        <w:t>24</w:t>
      </w:r>
      <w:r>
        <w:rPr>
          <w:snapToGrid w:val="0"/>
        </w:rPr>
        <w:t>.</w:t>
      </w:r>
      <w:r>
        <w:rPr>
          <w:snapToGrid w:val="0"/>
        </w:rPr>
        <w:tab/>
        <w:t>Date of assent</w:t>
      </w:r>
      <w:bookmarkEnd w:id="260"/>
      <w:bookmarkEnd w:id="261"/>
      <w:bookmarkEnd w:id="262"/>
      <w:r>
        <w:rPr>
          <w:snapToGrid w:val="0"/>
        </w:rPr>
        <w:t>, evidence of</w:t>
      </w:r>
      <w:bookmarkEnd w:id="263"/>
      <w:bookmarkEnd w:id="264"/>
      <w:bookmarkEnd w:id="265"/>
      <w:bookmarkEnd w:id="266"/>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267" w:name="_Toc432322982"/>
      <w:bookmarkStart w:id="268" w:name="_Toc487862884"/>
      <w:bookmarkStart w:id="269" w:name="_Toc7238306"/>
      <w:bookmarkStart w:id="270" w:name="_Toc151797807"/>
      <w:bookmarkStart w:id="271" w:name="_Toc169939024"/>
      <w:bookmarkStart w:id="272" w:name="_Toc202769660"/>
      <w:bookmarkStart w:id="273" w:name="_Toc171069534"/>
      <w:r>
        <w:rPr>
          <w:rStyle w:val="CharSectno"/>
        </w:rPr>
        <w:t>25</w:t>
      </w:r>
      <w:r>
        <w:rPr>
          <w:snapToGrid w:val="0"/>
        </w:rPr>
        <w:t>.</w:t>
      </w:r>
      <w:r>
        <w:rPr>
          <w:snapToGrid w:val="0"/>
        </w:rPr>
        <w:tab/>
      </w:r>
      <w:bookmarkEnd w:id="267"/>
      <w:bookmarkEnd w:id="268"/>
      <w:bookmarkEnd w:id="269"/>
      <w:r>
        <w:rPr>
          <w:snapToGrid w:val="0"/>
        </w:rPr>
        <w:t>Some powers in Act may be exercised before it commences</w:t>
      </w:r>
      <w:bookmarkEnd w:id="270"/>
      <w:bookmarkEnd w:id="271"/>
      <w:bookmarkEnd w:id="272"/>
      <w:bookmarkEnd w:id="273"/>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274" w:name="_Toc432322983"/>
      <w:bookmarkStart w:id="275" w:name="_Toc487862885"/>
      <w:bookmarkStart w:id="276" w:name="_Toc7238307"/>
      <w:bookmarkStart w:id="277" w:name="_Toc151797808"/>
      <w:bookmarkStart w:id="278" w:name="_Toc169939025"/>
      <w:bookmarkStart w:id="279" w:name="_Toc202769661"/>
      <w:bookmarkStart w:id="280" w:name="_Toc171069535"/>
      <w:r>
        <w:rPr>
          <w:rStyle w:val="CharSectno"/>
        </w:rPr>
        <w:t>26</w:t>
      </w:r>
      <w:r>
        <w:rPr>
          <w:snapToGrid w:val="0"/>
        </w:rPr>
        <w:t>.</w:t>
      </w:r>
      <w:r>
        <w:rPr>
          <w:snapToGrid w:val="0"/>
        </w:rPr>
        <w:tab/>
        <w:t>Citation of written laws</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281" w:name="_Toc432322984"/>
      <w:bookmarkStart w:id="282" w:name="_Toc487862886"/>
      <w:bookmarkStart w:id="283" w:name="_Toc7238308"/>
      <w:bookmarkStart w:id="284" w:name="_Toc151797809"/>
      <w:bookmarkStart w:id="285" w:name="_Toc169939026"/>
      <w:bookmarkStart w:id="286" w:name="_Toc202769662"/>
      <w:bookmarkStart w:id="287" w:name="_Toc171069536"/>
      <w:r>
        <w:rPr>
          <w:rStyle w:val="CharSectno"/>
        </w:rPr>
        <w:t>27</w:t>
      </w:r>
      <w:r>
        <w:rPr>
          <w:snapToGrid w:val="0"/>
        </w:rPr>
        <w:t>.</w:t>
      </w:r>
      <w:r>
        <w:rPr>
          <w:snapToGrid w:val="0"/>
        </w:rPr>
        <w:tab/>
        <w:t>References to the commencement</w:t>
      </w:r>
      <w:bookmarkEnd w:id="281"/>
      <w:r>
        <w:rPr>
          <w:snapToGrid w:val="0"/>
        </w:rPr>
        <w:t xml:space="preserve"> of a written law if different provisions commence on different days</w:t>
      </w:r>
      <w:bookmarkEnd w:id="282"/>
      <w:bookmarkEnd w:id="283"/>
      <w:bookmarkEnd w:id="284"/>
      <w:bookmarkEnd w:id="285"/>
      <w:bookmarkEnd w:id="286"/>
      <w:bookmarkEnd w:id="287"/>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288" w:name="_Toc72899304"/>
      <w:bookmarkStart w:id="289" w:name="_Toc88026881"/>
      <w:bookmarkStart w:id="290" w:name="_Toc89522072"/>
      <w:bookmarkStart w:id="291" w:name="_Toc90872581"/>
      <w:bookmarkStart w:id="292" w:name="_Toc94947608"/>
      <w:bookmarkStart w:id="293" w:name="_Toc97105577"/>
      <w:bookmarkStart w:id="294" w:name="_Toc102368049"/>
      <w:bookmarkStart w:id="295" w:name="_Toc103068635"/>
      <w:bookmarkStart w:id="296" w:name="_Toc107978940"/>
      <w:bookmarkStart w:id="297" w:name="_Toc108942322"/>
      <w:bookmarkStart w:id="298" w:name="_Toc109188547"/>
      <w:bookmarkStart w:id="299" w:name="_Toc112045029"/>
      <w:bookmarkStart w:id="300" w:name="_Toc113858452"/>
      <w:bookmarkStart w:id="301" w:name="_Toc121558713"/>
      <w:bookmarkStart w:id="302" w:name="_Toc131397193"/>
      <w:bookmarkStart w:id="303" w:name="_Toc151797810"/>
      <w:bookmarkStart w:id="304" w:name="_Toc151862425"/>
      <w:bookmarkStart w:id="305" w:name="_Toc155671115"/>
      <w:bookmarkStart w:id="306" w:name="_Toc157918812"/>
      <w:bookmarkStart w:id="307" w:name="_Toc164135666"/>
      <w:bookmarkStart w:id="308" w:name="_Toc164150753"/>
      <w:bookmarkStart w:id="309" w:name="_Toc164225388"/>
      <w:bookmarkStart w:id="310" w:name="_Toc166385938"/>
      <w:bookmarkStart w:id="311" w:name="_Toc167003598"/>
      <w:bookmarkStart w:id="312" w:name="_Toc169939027"/>
      <w:bookmarkStart w:id="313" w:name="_Toc170717928"/>
      <w:bookmarkStart w:id="314" w:name="_Toc171069537"/>
      <w:bookmarkStart w:id="315" w:name="_Toc202767240"/>
      <w:bookmarkStart w:id="316" w:name="_Toc202767333"/>
      <w:bookmarkStart w:id="317" w:name="_Toc202769663"/>
      <w:r>
        <w:rPr>
          <w:rStyle w:val="CharPartNo"/>
        </w:rPr>
        <w:t>Part IV</w:t>
      </w:r>
      <w:r>
        <w:rPr>
          <w:rStyle w:val="CharDivNo"/>
        </w:rPr>
        <w:t> </w:t>
      </w:r>
      <w:r>
        <w:t>—</w:t>
      </w:r>
      <w:r>
        <w:rPr>
          <w:rStyle w:val="CharDivText"/>
        </w:rPr>
        <w:t> </w:t>
      </w:r>
      <w:r>
        <w:rPr>
          <w:rStyle w:val="CharPartText"/>
        </w:rPr>
        <w:t>Provisions as to enactment and operation of written law</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5"/>
        <w:rPr>
          <w:snapToGrid w:val="0"/>
        </w:rPr>
      </w:pPr>
      <w:bookmarkStart w:id="318" w:name="_Toc432322985"/>
      <w:bookmarkStart w:id="319" w:name="_Toc487862887"/>
      <w:bookmarkStart w:id="320" w:name="_Toc7238309"/>
      <w:bookmarkStart w:id="321" w:name="_Toc151797811"/>
      <w:bookmarkStart w:id="322" w:name="_Toc169939028"/>
      <w:bookmarkStart w:id="323" w:name="_Toc202769664"/>
      <w:bookmarkStart w:id="324" w:name="_Toc171069538"/>
      <w:r>
        <w:rPr>
          <w:rStyle w:val="CharSectno"/>
        </w:rPr>
        <w:t>28</w:t>
      </w:r>
      <w:r>
        <w:rPr>
          <w:snapToGrid w:val="0"/>
        </w:rPr>
        <w:t>.</w:t>
      </w:r>
      <w:r>
        <w:rPr>
          <w:snapToGrid w:val="0"/>
        </w:rPr>
        <w:tab/>
        <w:t>Acts deemed public Acts</w:t>
      </w:r>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325" w:name="_Toc432322986"/>
      <w:bookmarkStart w:id="326" w:name="_Toc487862888"/>
      <w:bookmarkStart w:id="327" w:name="_Toc7238310"/>
      <w:bookmarkStart w:id="328" w:name="_Toc151797812"/>
      <w:bookmarkStart w:id="329" w:name="_Toc169939029"/>
      <w:bookmarkStart w:id="330" w:name="_Toc202769665"/>
      <w:bookmarkStart w:id="331" w:name="_Toc171069539"/>
      <w:r>
        <w:rPr>
          <w:rStyle w:val="CharSectno"/>
        </w:rPr>
        <w:t>29</w:t>
      </w:r>
      <w:r>
        <w:rPr>
          <w:snapToGrid w:val="0"/>
        </w:rPr>
        <w:t>.</w:t>
      </w:r>
      <w:r>
        <w:rPr>
          <w:snapToGrid w:val="0"/>
        </w:rPr>
        <w:tab/>
        <w:t>Sections to be substantive enactments</w:t>
      </w:r>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332" w:name="_Toc432322987"/>
      <w:bookmarkStart w:id="333" w:name="_Toc487862889"/>
      <w:bookmarkStart w:id="334" w:name="_Toc7238311"/>
      <w:bookmarkStart w:id="335" w:name="_Toc151797813"/>
      <w:bookmarkStart w:id="336" w:name="_Toc169939030"/>
      <w:bookmarkStart w:id="337" w:name="_Toc202769666"/>
      <w:bookmarkStart w:id="338" w:name="_Toc171069540"/>
      <w:r>
        <w:rPr>
          <w:rStyle w:val="CharSectno"/>
        </w:rPr>
        <w:t>30</w:t>
      </w:r>
      <w:r>
        <w:rPr>
          <w:snapToGrid w:val="0"/>
        </w:rPr>
        <w:t>.</w:t>
      </w:r>
      <w:r>
        <w:rPr>
          <w:snapToGrid w:val="0"/>
        </w:rPr>
        <w:tab/>
        <w:t>Act may be amended in same session</w:t>
      </w:r>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339" w:name="_Toc432322988"/>
      <w:bookmarkStart w:id="340" w:name="_Toc487862890"/>
      <w:bookmarkStart w:id="341" w:name="_Toc7238312"/>
      <w:bookmarkStart w:id="342" w:name="_Toc151797814"/>
      <w:bookmarkStart w:id="343" w:name="_Toc169939031"/>
      <w:bookmarkStart w:id="344" w:name="_Toc202769667"/>
      <w:bookmarkStart w:id="345" w:name="_Toc171069541"/>
      <w:r>
        <w:rPr>
          <w:rStyle w:val="CharSectno"/>
        </w:rPr>
        <w:t>31</w:t>
      </w:r>
      <w:r>
        <w:rPr>
          <w:snapToGrid w:val="0"/>
        </w:rPr>
        <w:t>.</w:t>
      </w:r>
      <w:r>
        <w:rPr>
          <w:snapToGrid w:val="0"/>
        </w:rPr>
        <w:tab/>
        <w:t>Preambles, schedules, etc.</w:t>
      </w:r>
      <w:bookmarkEnd w:id="339"/>
      <w:bookmarkEnd w:id="340"/>
      <w:bookmarkEnd w:id="341"/>
      <w:r>
        <w:rPr>
          <w:snapToGrid w:val="0"/>
        </w:rPr>
        <w:t xml:space="preserve"> to form part of written law</w:t>
      </w:r>
      <w:bookmarkEnd w:id="342"/>
      <w:bookmarkEnd w:id="343"/>
      <w:bookmarkEnd w:id="344"/>
      <w:bookmarkEnd w:id="345"/>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346" w:name="_Toc432322989"/>
      <w:bookmarkStart w:id="347" w:name="_Toc487862891"/>
      <w:bookmarkStart w:id="348" w:name="_Toc7238313"/>
      <w:bookmarkStart w:id="349" w:name="_Toc151797815"/>
      <w:bookmarkStart w:id="350" w:name="_Toc169939032"/>
      <w:bookmarkStart w:id="351" w:name="_Toc202769668"/>
      <w:bookmarkStart w:id="352" w:name="_Toc171069542"/>
      <w:r>
        <w:rPr>
          <w:rStyle w:val="CharSectno"/>
        </w:rPr>
        <w:t>32</w:t>
      </w:r>
      <w:r>
        <w:rPr>
          <w:snapToGrid w:val="0"/>
        </w:rPr>
        <w:t>.</w:t>
      </w:r>
      <w:r>
        <w:rPr>
          <w:snapToGrid w:val="0"/>
        </w:rPr>
        <w:tab/>
        <w:t>Headings, marginal notes and footnotes</w:t>
      </w:r>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353" w:name="_Toc72899310"/>
      <w:bookmarkStart w:id="354" w:name="_Toc88026887"/>
      <w:bookmarkStart w:id="355" w:name="_Toc89522078"/>
      <w:bookmarkStart w:id="356" w:name="_Toc90872587"/>
      <w:bookmarkStart w:id="357" w:name="_Toc94947614"/>
      <w:bookmarkStart w:id="358" w:name="_Toc97105583"/>
      <w:bookmarkStart w:id="359" w:name="_Toc102368055"/>
      <w:bookmarkStart w:id="360" w:name="_Toc103068641"/>
      <w:bookmarkStart w:id="361" w:name="_Toc107978946"/>
      <w:bookmarkStart w:id="362" w:name="_Toc108942328"/>
      <w:bookmarkStart w:id="363" w:name="_Toc109188553"/>
      <w:bookmarkStart w:id="364" w:name="_Toc112045035"/>
      <w:bookmarkStart w:id="365" w:name="_Toc113858458"/>
      <w:bookmarkStart w:id="366" w:name="_Toc121558719"/>
      <w:bookmarkStart w:id="367" w:name="_Toc131397199"/>
      <w:bookmarkStart w:id="368" w:name="_Toc151797816"/>
      <w:bookmarkStart w:id="369" w:name="_Toc151862431"/>
      <w:bookmarkStart w:id="370" w:name="_Toc155671121"/>
      <w:bookmarkStart w:id="371" w:name="_Toc157918818"/>
      <w:bookmarkStart w:id="372" w:name="_Toc164135672"/>
      <w:bookmarkStart w:id="373" w:name="_Toc164150759"/>
      <w:bookmarkStart w:id="374" w:name="_Toc164225394"/>
      <w:bookmarkStart w:id="375" w:name="_Toc166385944"/>
      <w:bookmarkStart w:id="376" w:name="_Toc167003604"/>
      <w:bookmarkStart w:id="377" w:name="_Toc169939033"/>
      <w:bookmarkStart w:id="378" w:name="_Toc170717934"/>
      <w:bookmarkStart w:id="379" w:name="_Toc171069543"/>
      <w:bookmarkStart w:id="380" w:name="_Toc202767246"/>
      <w:bookmarkStart w:id="381" w:name="_Toc202767339"/>
      <w:bookmarkStart w:id="382" w:name="_Toc202769669"/>
      <w:r>
        <w:rPr>
          <w:rStyle w:val="CharPartNo"/>
        </w:rPr>
        <w:t>Part V</w:t>
      </w:r>
      <w:r>
        <w:rPr>
          <w:rStyle w:val="CharDivNo"/>
        </w:rPr>
        <w:t> </w:t>
      </w:r>
      <w:r>
        <w:t>—</w:t>
      </w:r>
      <w:r>
        <w:rPr>
          <w:rStyle w:val="CharDivText"/>
        </w:rPr>
        <w:t> </w:t>
      </w:r>
      <w:r>
        <w:rPr>
          <w:rStyle w:val="CharPartText"/>
        </w:rPr>
        <w:t>Repeal of written law</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Heading5"/>
        <w:spacing w:before="180"/>
        <w:rPr>
          <w:snapToGrid w:val="0"/>
        </w:rPr>
      </w:pPr>
      <w:bookmarkStart w:id="383" w:name="_Toc432322990"/>
      <w:bookmarkStart w:id="384" w:name="_Toc487862892"/>
      <w:bookmarkStart w:id="385" w:name="_Toc7238314"/>
      <w:bookmarkStart w:id="386" w:name="_Toc151797817"/>
      <w:bookmarkStart w:id="387" w:name="_Toc169939034"/>
      <w:bookmarkStart w:id="388" w:name="_Toc202769670"/>
      <w:bookmarkStart w:id="389" w:name="_Toc171069544"/>
      <w:r>
        <w:rPr>
          <w:rStyle w:val="CharSectno"/>
        </w:rPr>
        <w:t>33</w:t>
      </w:r>
      <w:r>
        <w:rPr>
          <w:snapToGrid w:val="0"/>
        </w:rPr>
        <w:t>.</w:t>
      </w:r>
      <w:r>
        <w:rPr>
          <w:snapToGrid w:val="0"/>
        </w:rPr>
        <w:tab/>
        <w:t xml:space="preserve">Repeal of written law </w:t>
      </w:r>
      <w:bookmarkEnd w:id="383"/>
      <w:bookmarkEnd w:id="384"/>
      <w:bookmarkEnd w:id="385"/>
      <w:r>
        <w:rPr>
          <w:snapToGrid w:val="0"/>
        </w:rPr>
        <w:t>includes repeal of amendments</w:t>
      </w:r>
      <w:bookmarkEnd w:id="386"/>
      <w:bookmarkEnd w:id="387"/>
      <w:bookmarkEnd w:id="388"/>
      <w:bookmarkEnd w:id="389"/>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390" w:name="_Toc432322991"/>
      <w:bookmarkStart w:id="391" w:name="_Toc487862893"/>
      <w:bookmarkStart w:id="392" w:name="_Toc7238315"/>
      <w:bookmarkStart w:id="393" w:name="_Toc151797818"/>
      <w:bookmarkStart w:id="394" w:name="_Toc169939035"/>
      <w:bookmarkStart w:id="395" w:name="_Toc202769671"/>
      <w:bookmarkStart w:id="396" w:name="_Toc171069545"/>
      <w:r>
        <w:rPr>
          <w:rStyle w:val="CharSectno"/>
        </w:rPr>
        <w:t>34</w:t>
      </w:r>
      <w:r>
        <w:rPr>
          <w:snapToGrid w:val="0"/>
        </w:rPr>
        <w:t>.</w:t>
      </w:r>
      <w:r>
        <w:rPr>
          <w:snapToGrid w:val="0"/>
        </w:rPr>
        <w:tab/>
        <w:t>Repeal of repeal</w:t>
      </w:r>
      <w:bookmarkEnd w:id="390"/>
      <w:bookmarkEnd w:id="391"/>
      <w:bookmarkEnd w:id="392"/>
      <w:r>
        <w:rPr>
          <w:snapToGrid w:val="0"/>
        </w:rPr>
        <w:t>ing enactment, effect of</w:t>
      </w:r>
      <w:bookmarkEnd w:id="393"/>
      <w:bookmarkEnd w:id="394"/>
      <w:bookmarkEnd w:id="395"/>
      <w:bookmarkEnd w:id="396"/>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397" w:name="_Toc432322992"/>
      <w:bookmarkStart w:id="398" w:name="_Toc487862894"/>
      <w:bookmarkStart w:id="399" w:name="_Toc7238316"/>
      <w:bookmarkStart w:id="400" w:name="_Toc151797819"/>
      <w:bookmarkStart w:id="401" w:name="_Toc169939036"/>
      <w:bookmarkStart w:id="402" w:name="_Toc202769672"/>
      <w:bookmarkStart w:id="403" w:name="_Toc171069546"/>
      <w:r>
        <w:rPr>
          <w:rStyle w:val="CharSectno"/>
        </w:rPr>
        <w:t>35</w:t>
      </w:r>
      <w:r>
        <w:rPr>
          <w:snapToGrid w:val="0"/>
        </w:rPr>
        <w:t>.</w:t>
      </w:r>
      <w:r>
        <w:rPr>
          <w:snapToGrid w:val="0"/>
        </w:rPr>
        <w:tab/>
        <w:t>Repeal and substitution</w:t>
      </w:r>
      <w:bookmarkEnd w:id="397"/>
      <w:bookmarkEnd w:id="398"/>
      <w:bookmarkEnd w:id="399"/>
      <w:r>
        <w:rPr>
          <w:snapToGrid w:val="0"/>
        </w:rPr>
        <w:t xml:space="preserve"> of provision, effect of</w:t>
      </w:r>
      <w:bookmarkEnd w:id="400"/>
      <w:bookmarkEnd w:id="401"/>
      <w:bookmarkEnd w:id="402"/>
      <w:bookmarkEnd w:id="403"/>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404" w:name="_Toc432322993"/>
      <w:bookmarkStart w:id="405" w:name="_Toc487862895"/>
      <w:bookmarkStart w:id="406" w:name="_Toc7238317"/>
      <w:bookmarkStart w:id="407" w:name="_Toc151797820"/>
      <w:bookmarkStart w:id="408" w:name="_Toc169939037"/>
      <w:bookmarkStart w:id="409" w:name="_Toc202769673"/>
      <w:bookmarkStart w:id="410" w:name="_Toc171069547"/>
      <w:r>
        <w:rPr>
          <w:rStyle w:val="CharSectno"/>
        </w:rPr>
        <w:t>36</w:t>
      </w:r>
      <w:r>
        <w:rPr>
          <w:snapToGrid w:val="0"/>
        </w:rPr>
        <w:t>.</w:t>
      </w:r>
      <w:r>
        <w:rPr>
          <w:snapToGrid w:val="0"/>
        </w:rPr>
        <w:tab/>
      </w:r>
      <w:bookmarkEnd w:id="404"/>
      <w:bookmarkEnd w:id="405"/>
      <w:bookmarkEnd w:id="406"/>
      <w:r>
        <w:rPr>
          <w:snapToGrid w:val="0"/>
        </w:rPr>
        <w:t>Repealing and re</w:t>
      </w:r>
      <w:r>
        <w:rPr>
          <w:snapToGrid w:val="0"/>
        </w:rPr>
        <w:noBreakHyphen/>
        <w:t>enacting a provision, effect of</w:t>
      </w:r>
      <w:bookmarkEnd w:id="407"/>
      <w:bookmarkEnd w:id="408"/>
      <w:bookmarkEnd w:id="409"/>
      <w:bookmarkEnd w:id="410"/>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411" w:name="_Toc432322994"/>
      <w:bookmarkStart w:id="412" w:name="_Toc487862896"/>
      <w:bookmarkStart w:id="413" w:name="_Toc7238318"/>
      <w:bookmarkStart w:id="414" w:name="_Toc151797821"/>
      <w:bookmarkStart w:id="415" w:name="_Toc169939038"/>
      <w:bookmarkStart w:id="416" w:name="_Toc202769674"/>
      <w:bookmarkStart w:id="417" w:name="_Toc171069548"/>
      <w:r>
        <w:rPr>
          <w:rStyle w:val="CharSectno"/>
        </w:rPr>
        <w:t>37</w:t>
      </w:r>
      <w:r>
        <w:rPr>
          <w:snapToGrid w:val="0"/>
        </w:rPr>
        <w:t>.</w:t>
      </w:r>
      <w:r>
        <w:rPr>
          <w:snapToGrid w:val="0"/>
        </w:rPr>
        <w:tab/>
        <w:t>General savings on repeal</w:t>
      </w:r>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418" w:name="_Toc432322995"/>
      <w:bookmarkStart w:id="419" w:name="_Toc487862897"/>
      <w:bookmarkStart w:id="420" w:name="_Toc7238319"/>
      <w:bookmarkStart w:id="421" w:name="_Toc151797822"/>
      <w:bookmarkStart w:id="422" w:name="_Toc169939039"/>
      <w:bookmarkStart w:id="423" w:name="_Toc202769675"/>
      <w:bookmarkStart w:id="424" w:name="_Toc171069549"/>
      <w:r>
        <w:rPr>
          <w:rStyle w:val="CharSectno"/>
        </w:rPr>
        <w:t>38</w:t>
      </w:r>
      <w:r>
        <w:rPr>
          <w:snapToGrid w:val="0"/>
        </w:rPr>
        <w:t>.</w:t>
      </w:r>
      <w:r>
        <w:rPr>
          <w:snapToGrid w:val="0"/>
        </w:rPr>
        <w:tab/>
        <w:t>Repeal of Act, effect of on subsidiary legislation</w:t>
      </w:r>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425" w:name="_Toc432322996"/>
      <w:bookmarkStart w:id="426" w:name="_Toc487862898"/>
      <w:bookmarkStart w:id="427" w:name="_Toc7238320"/>
      <w:bookmarkStart w:id="428" w:name="_Toc151797823"/>
      <w:bookmarkStart w:id="429" w:name="_Toc169939040"/>
      <w:bookmarkStart w:id="430" w:name="_Toc202769676"/>
      <w:bookmarkStart w:id="431" w:name="_Toc171069550"/>
      <w:r>
        <w:rPr>
          <w:rStyle w:val="CharSectno"/>
        </w:rPr>
        <w:t>39</w:t>
      </w:r>
      <w:r>
        <w:rPr>
          <w:snapToGrid w:val="0"/>
        </w:rPr>
        <w:t>.</w:t>
      </w:r>
      <w:r>
        <w:rPr>
          <w:snapToGrid w:val="0"/>
        </w:rPr>
        <w:tab/>
        <w:t>Expiry of enactment</w:t>
      </w:r>
      <w:bookmarkEnd w:id="425"/>
      <w:bookmarkEnd w:id="426"/>
      <w:bookmarkEnd w:id="427"/>
      <w:r>
        <w:rPr>
          <w:snapToGrid w:val="0"/>
        </w:rPr>
        <w:t>, effect of</w:t>
      </w:r>
      <w:bookmarkEnd w:id="428"/>
      <w:bookmarkEnd w:id="429"/>
      <w:bookmarkEnd w:id="430"/>
      <w:bookmarkEnd w:id="431"/>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432" w:name="_Toc72899318"/>
      <w:bookmarkStart w:id="433" w:name="_Toc88026895"/>
      <w:bookmarkStart w:id="434" w:name="_Toc89522086"/>
      <w:bookmarkStart w:id="435" w:name="_Toc90872595"/>
      <w:bookmarkStart w:id="436" w:name="_Toc94947622"/>
      <w:bookmarkStart w:id="437" w:name="_Toc97105591"/>
      <w:bookmarkStart w:id="438" w:name="_Toc102368063"/>
      <w:bookmarkStart w:id="439" w:name="_Toc103068649"/>
      <w:bookmarkStart w:id="440" w:name="_Toc107978954"/>
      <w:bookmarkStart w:id="441" w:name="_Toc108942336"/>
      <w:bookmarkStart w:id="442" w:name="_Toc109188561"/>
      <w:bookmarkStart w:id="443" w:name="_Toc112045043"/>
      <w:bookmarkStart w:id="444" w:name="_Toc113858466"/>
      <w:bookmarkStart w:id="445" w:name="_Toc121558727"/>
      <w:bookmarkStart w:id="446" w:name="_Toc131397207"/>
      <w:bookmarkStart w:id="447" w:name="_Toc151797824"/>
      <w:bookmarkStart w:id="448" w:name="_Toc151862439"/>
      <w:bookmarkStart w:id="449" w:name="_Toc155671129"/>
      <w:bookmarkStart w:id="450" w:name="_Toc157918826"/>
      <w:bookmarkStart w:id="451" w:name="_Toc164135680"/>
      <w:bookmarkStart w:id="452" w:name="_Toc164150767"/>
      <w:bookmarkStart w:id="453" w:name="_Toc164225402"/>
      <w:bookmarkStart w:id="454" w:name="_Toc166385952"/>
      <w:bookmarkStart w:id="455" w:name="_Toc167003612"/>
      <w:bookmarkStart w:id="456" w:name="_Toc169939041"/>
      <w:bookmarkStart w:id="457" w:name="_Toc170717942"/>
      <w:bookmarkStart w:id="458" w:name="_Toc171069551"/>
      <w:bookmarkStart w:id="459" w:name="_Toc202767254"/>
      <w:bookmarkStart w:id="460" w:name="_Toc202767347"/>
      <w:bookmarkStart w:id="461" w:name="_Toc202769677"/>
      <w:r>
        <w:rPr>
          <w:rStyle w:val="CharPartNo"/>
        </w:rPr>
        <w:t>Part VI</w:t>
      </w:r>
      <w:r>
        <w:rPr>
          <w:rStyle w:val="CharDivNo"/>
        </w:rPr>
        <w:t> </w:t>
      </w:r>
      <w:r>
        <w:t>—</w:t>
      </w:r>
      <w:r>
        <w:rPr>
          <w:rStyle w:val="CharDivText"/>
        </w:rPr>
        <w:t> </w:t>
      </w:r>
      <w:r>
        <w:rPr>
          <w:rStyle w:val="CharPartText"/>
        </w:rPr>
        <w:t>Subsidiary legislation</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PartText"/>
        </w:rPr>
        <w:t xml:space="preserve"> </w:t>
      </w:r>
    </w:p>
    <w:p>
      <w:pPr>
        <w:pStyle w:val="Heading5"/>
        <w:spacing w:before="180"/>
        <w:rPr>
          <w:snapToGrid w:val="0"/>
        </w:rPr>
      </w:pPr>
      <w:bookmarkStart w:id="462" w:name="_Toc432322997"/>
      <w:bookmarkStart w:id="463" w:name="_Toc487862899"/>
      <w:bookmarkStart w:id="464" w:name="_Toc7238321"/>
      <w:bookmarkStart w:id="465" w:name="_Toc151797825"/>
      <w:bookmarkStart w:id="466" w:name="_Toc169939042"/>
      <w:bookmarkStart w:id="467" w:name="_Toc202769678"/>
      <w:bookmarkStart w:id="468" w:name="_Toc171069552"/>
      <w:r>
        <w:rPr>
          <w:rStyle w:val="CharSectno"/>
        </w:rPr>
        <w:t>40</w:t>
      </w:r>
      <w:r>
        <w:rPr>
          <w:snapToGrid w:val="0"/>
        </w:rPr>
        <w:t>.</w:t>
      </w:r>
      <w:r>
        <w:rPr>
          <w:snapToGrid w:val="0"/>
        </w:rPr>
        <w:tab/>
        <w:t>Governor to make subsidiary legislation</w:t>
      </w:r>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469" w:name="_Toc432322998"/>
      <w:bookmarkStart w:id="470" w:name="_Toc487862900"/>
      <w:bookmarkStart w:id="471" w:name="_Toc7238322"/>
      <w:bookmarkStart w:id="472" w:name="_Toc151797826"/>
      <w:bookmarkStart w:id="473" w:name="_Toc169939043"/>
      <w:bookmarkStart w:id="474" w:name="_Toc202769679"/>
      <w:bookmarkStart w:id="475" w:name="_Toc171069553"/>
      <w:r>
        <w:rPr>
          <w:rStyle w:val="CharSectno"/>
        </w:rPr>
        <w:t>41</w:t>
      </w:r>
      <w:r>
        <w:rPr>
          <w:snapToGrid w:val="0"/>
        </w:rPr>
        <w:t>.</w:t>
      </w:r>
      <w:r>
        <w:rPr>
          <w:snapToGrid w:val="0"/>
        </w:rPr>
        <w:tab/>
        <w:t>Publication and commencement of subsidiary legislation</w:t>
      </w:r>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476" w:name="_Toc432322999"/>
      <w:bookmarkStart w:id="477" w:name="_Toc487862901"/>
      <w:bookmarkStart w:id="478" w:name="_Toc7238323"/>
      <w:bookmarkStart w:id="479" w:name="_Toc151797827"/>
      <w:bookmarkStart w:id="480" w:name="_Toc169939044"/>
      <w:bookmarkStart w:id="481" w:name="_Toc202769680"/>
      <w:bookmarkStart w:id="482" w:name="_Toc171069554"/>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b/>
          <w:snapToGrid w:val="0"/>
        </w:rPr>
        <w:t>“</w:t>
      </w:r>
      <w:r>
        <w:rPr>
          <w:rStyle w:val="CharDefText"/>
        </w:rPr>
        <w:t>regulations</w:t>
      </w:r>
      <w:r>
        <w:rPr>
          <w:b/>
          <w:snapToGrid w:val="0"/>
        </w:rPr>
        <w:t>”</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483" w:name="_Toc432323000"/>
      <w:bookmarkStart w:id="484" w:name="_Toc487862902"/>
      <w:bookmarkStart w:id="485" w:name="_Toc7238324"/>
      <w:bookmarkStart w:id="486" w:name="_Toc151797828"/>
      <w:bookmarkStart w:id="487" w:name="_Toc169939045"/>
      <w:bookmarkStart w:id="488" w:name="_Toc202769681"/>
      <w:bookmarkStart w:id="489" w:name="_Toc171069555"/>
      <w:r>
        <w:rPr>
          <w:rStyle w:val="CharSectno"/>
        </w:rPr>
        <w:t>43</w:t>
      </w:r>
      <w:r>
        <w:rPr>
          <w:snapToGrid w:val="0"/>
        </w:rPr>
        <w:t>.</w:t>
      </w:r>
      <w:r>
        <w:rPr>
          <w:snapToGrid w:val="0"/>
        </w:rPr>
        <w:tab/>
        <w:t>Power to make subsidiary legislation</w:t>
      </w:r>
      <w:bookmarkEnd w:id="483"/>
      <w:bookmarkEnd w:id="484"/>
      <w:bookmarkEnd w:id="485"/>
      <w:r>
        <w:rPr>
          <w:snapToGrid w:val="0"/>
        </w:rPr>
        <w:t>, general provisions about</w:t>
      </w:r>
      <w:bookmarkEnd w:id="486"/>
      <w:bookmarkEnd w:id="487"/>
      <w:bookmarkEnd w:id="488"/>
      <w:bookmarkEnd w:id="489"/>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b/>
          <w:snapToGrid w:val="0"/>
        </w:rPr>
        <w:t>“</w:t>
      </w:r>
      <w:r>
        <w:rPr>
          <w:rStyle w:val="CharDefText"/>
        </w:rPr>
        <w:t>specified</w:t>
      </w:r>
      <w:r>
        <w:rPr>
          <w:b/>
          <w:snapToGrid w:val="0"/>
        </w:rPr>
        <w:t>”</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490" w:name="_Toc432323001"/>
      <w:bookmarkStart w:id="491" w:name="_Toc487862903"/>
      <w:bookmarkStart w:id="492" w:name="_Toc7238325"/>
      <w:bookmarkStart w:id="493" w:name="_Toc151797829"/>
      <w:bookmarkStart w:id="494" w:name="_Toc169939046"/>
      <w:bookmarkStart w:id="495" w:name="_Toc202769682"/>
      <w:bookmarkStart w:id="496" w:name="_Toc171069556"/>
      <w:r>
        <w:rPr>
          <w:rStyle w:val="CharSectno"/>
        </w:rPr>
        <w:t>44</w:t>
      </w:r>
      <w:r>
        <w:rPr>
          <w:snapToGrid w:val="0"/>
        </w:rPr>
        <w:t>.</w:t>
      </w:r>
      <w:r>
        <w:rPr>
          <w:snapToGrid w:val="0"/>
        </w:rPr>
        <w:tab/>
        <w:t>Words and expressions in subsidiary legislation</w:t>
      </w:r>
      <w:bookmarkEnd w:id="490"/>
      <w:bookmarkEnd w:id="491"/>
      <w:bookmarkEnd w:id="492"/>
      <w:r>
        <w:rPr>
          <w:snapToGrid w:val="0"/>
        </w:rPr>
        <w:t>, meaning of</w:t>
      </w:r>
      <w:bookmarkEnd w:id="493"/>
      <w:bookmarkEnd w:id="494"/>
      <w:bookmarkEnd w:id="495"/>
      <w:bookmarkEnd w:id="496"/>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b/>
          <w:snapToGrid w:val="0"/>
        </w:rPr>
        <w:t>“</w:t>
      </w:r>
      <w:r>
        <w:rPr>
          <w:rStyle w:val="CharDefText"/>
        </w:rPr>
        <w:t>the Act</w:t>
      </w:r>
      <w:r>
        <w:rPr>
          <w:b/>
          <w:snapToGrid w:val="0"/>
        </w:rPr>
        <w:t>”</w:t>
      </w:r>
      <w:r>
        <w:rPr>
          <w:snapToGrid w:val="0"/>
        </w:rPr>
        <w:t xml:space="preserve"> shall be construed as a reference to the Act under which the subsidiary legislation is made.</w:t>
      </w:r>
    </w:p>
    <w:p>
      <w:pPr>
        <w:pStyle w:val="Heading5"/>
        <w:rPr>
          <w:snapToGrid w:val="0"/>
        </w:rPr>
      </w:pPr>
      <w:bookmarkStart w:id="497" w:name="_Toc432323002"/>
      <w:bookmarkStart w:id="498" w:name="_Toc487862904"/>
      <w:bookmarkStart w:id="499" w:name="_Toc7238326"/>
      <w:bookmarkStart w:id="500" w:name="_Toc151797830"/>
      <w:bookmarkStart w:id="501" w:name="_Toc169939047"/>
      <w:bookmarkStart w:id="502" w:name="_Toc202769683"/>
      <w:bookmarkStart w:id="503" w:name="_Toc171069557"/>
      <w:r>
        <w:rPr>
          <w:rStyle w:val="CharSectno"/>
        </w:rPr>
        <w:t>45</w:t>
      </w:r>
      <w:r>
        <w:rPr>
          <w:snapToGrid w:val="0"/>
        </w:rPr>
        <w:t>.</w:t>
      </w:r>
      <w:r>
        <w:rPr>
          <w:snapToGrid w:val="0"/>
        </w:rPr>
        <w:tab/>
        <w:t>Fees and charges</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504" w:name="_Toc432323003"/>
      <w:bookmarkStart w:id="505" w:name="_Toc487862905"/>
      <w:bookmarkStart w:id="506" w:name="_Toc7238327"/>
      <w:bookmarkStart w:id="507" w:name="_Toc151797831"/>
      <w:bookmarkStart w:id="508" w:name="_Toc169939048"/>
      <w:bookmarkStart w:id="509" w:name="_Toc202769684"/>
      <w:bookmarkStart w:id="510" w:name="_Toc171069558"/>
      <w:r>
        <w:rPr>
          <w:rStyle w:val="CharSectno"/>
        </w:rPr>
        <w:t>45A</w:t>
      </w:r>
      <w:r>
        <w:t>.</w:t>
      </w:r>
      <w:r>
        <w:tab/>
        <w:t>Fees for licences</w:t>
      </w:r>
      <w:bookmarkEnd w:id="504"/>
      <w:bookmarkEnd w:id="505"/>
      <w:bookmarkEnd w:id="506"/>
      <w:bookmarkEnd w:id="507"/>
      <w:bookmarkEnd w:id="508"/>
      <w:bookmarkEnd w:id="509"/>
      <w:bookmarkEnd w:id="510"/>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511" w:name="_Toc432323004"/>
      <w:bookmarkStart w:id="512" w:name="_Toc487862906"/>
      <w:bookmarkStart w:id="513" w:name="_Toc7238328"/>
      <w:bookmarkStart w:id="514" w:name="_Toc151797832"/>
      <w:bookmarkStart w:id="515" w:name="_Toc169939049"/>
      <w:bookmarkStart w:id="516" w:name="_Toc202769685"/>
      <w:bookmarkStart w:id="517" w:name="_Toc171069559"/>
      <w:r>
        <w:rPr>
          <w:rStyle w:val="CharSectno"/>
        </w:rPr>
        <w:t>46</w:t>
      </w:r>
      <w:r>
        <w:rPr>
          <w:snapToGrid w:val="0"/>
        </w:rPr>
        <w:t>.</w:t>
      </w:r>
      <w:r>
        <w:rPr>
          <w:snapToGrid w:val="0"/>
        </w:rPr>
        <w:tab/>
        <w:t>Reference to Act to include subsidiary legislation</w:t>
      </w:r>
      <w:bookmarkEnd w:id="511"/>
      <w:bookmarkEnd w:id="512"/>
      <w:bookmarkEnd w:id="513"/>
      <w:r>
        <w:rPr>
          <w:snapToGrid w:val="0"/>
        </w:rPr>
        <w:t xml:space="preserve"> made under the Act</w:t>
      </w:r>
      <w:bookmarkEnd w:id="514"/>
      <w:bookmarkEnd w:id="515"/>
      <w:bookmarkEnd w:id="516"/>
      <w:bookmarkEnd w:id="517"/>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518" w:name="_Toc432323005"/>
      <w:bookmarkStart w:id="519" w:name="_Toc487862907"/>
      <w:bookmarkStart w:id="520" w:name="_Toc7238329"/>
      <w:bookmarkStart w:id="521" w:name="_Toc151797833"/>
      <w:bookmarkStart w:id="522" w:name="_Toc169939050"/>
      <w:bookmarkStart w:id="523" w:name="_Toc202769686"/>
      <w:bookmarkStart w:id="524" w:name="_Toc171069560"/>
      <w:r>
        <w:rPr>
          <w:rStyle w:val="CharSectno"/>
        </w:rPr>
        <w:t>47</w:t>
      </w:r>
      <w:r>
        <w:rPr>
          <w:snapToGrid w:val="0"/>
        </w:rPr>
        <w:t>.</w:t>
      </w:r>
      <w:r>
        <w:rPr>
          <w:snapToGrid w:val="0"/>
        </w:rPr>
        <w:tab/>
        <w:t>Acts under subsidiary legislation deemed done under Act</w:t>
      </w:r>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525" w:name="_Toc72899328"/>
      <w:bookmarkStart w:id="526" w:name="_Toc88026905"/>
      <w:bookmarkStart w:id="527" w:name="_Toc89522096"/>
      <w:bookmarkStart w:id="528" w:name="_Toc90872605"/>
      <w:bookmarkStart w:id="529" w:name="_Toc94947632"/>
      <w:bookmarkStart w:id="530" w:name="_Toc97105601"/>
      <w:bookmarkStart w:id="531" w:name="_Toc102368073"/>
      <w:bookmarkStart w:id="532" w:name="_Toc103068659"/>
      <w:bookmarkStart w:id="533" w:name="_Toc107978964"/>
      <w:bookmarkStart w:id="534" w:name="_Toc108942346"/>
      <w:bookmarkStart w:id="535" w:name="_Toc109188571"/>
      <w:bookmarkStart w:id="536" w:name="_Toc112045053"/>
      <w:bookmarkStart w:id="537" w:name="_Toc113858476"/>
      <w:bookmarkStart w:id="538" w:name="_Toc121558737"/>
      <w:bookmarkStart w:id="539" w:name="_Toc131397217"/>
      <w:bookmarkStart w:id="540" w:name="_Toc151797834"/>
      <w:bookmarkStart w:id="541" w:name="_Toc151862449"/>
      <w:bookmarkStart w:id="542" w:name="_Toc155671139"/>
      <w:bookmarkStart w:id="543" w:name="_Toc157918836"/>
      <w:bookmarkStart w:id="544" w:name="_Toc164135690"/>
      <w:bookmarkStart w:id="545" w:name="_Toc164150777"/>
      <w:bookmarkStart w:id="546" w:name="_Toc164225412"/>
      <w:bookmarkStart w:id="547" w:name="_Toc166385962"/>
      <w:bookmarkStart w:id="548" w:name="_Toc167003622"/>
      <w:bookmarkStart w:id="549" w:name="_Toc169939051"/>
      <w:bookmarkStart w:id="550" w:name="_Toc170717952"/>
      <w:bookmarkStart w:id="551" w:name="_Toc171069561"/>
      <w:bookmarkStart w:id="552" w:name="_Toc202767264"/>
      <w:bookmarkStart w:id="553" w:name="_Toc202767357"/>
      <w:bookmarkStart w:id="554" w:name="_Toc202769687"/>
      <w:r>
        <w:rPr>
          <w:rStyle w:val="CharPartNo"/>
        </w:rPr>
        <w:t>Part VII</w:t>
      </w:r>
      <w:r>
        <w:rPr>
          <w:rStyle w:val="CharDivNo"/>
        </w:rPr>
        <w:t> </w:t>
      </w:r>
      <w:r>
        <w:t>—</w:t>
      </w:r>
      <w:r>
        <w:rPr>
          <w:rStyle w:val="CharDivText"/>
        </w:rPr>
        <w:t> </w:t>
      </w:r>
      <w:r>
        <w:rPr>
          <w:rStyle w:val="CharPartText"/>
        </w:rPr>
        <w:t>Statutory powers and duties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PartText"/>
        </w:rPr>
        <w:t xml:space="preserve"> </w:t>
      </w:r>
    </w:p>
    <w:p>
      <w:pPr>
        <w:pStyle w:val="Heading5"/>
        <w:rPr>
          <w:snapToGrid w:val="0"/>
        </w:rPr>
      </w:pPr>
      <w:bookmarkStart w:id="555" w:name="_Toc432323006"/>
      <w:bookmarkStart w:id="556" w:name="_Toc487862908"/>
      <w:bookmarkStart w:id="557" w:name="_Toc7238330"/>
      <w:bookmarkStart w:id="558" w:name="_Toc151797835"/>
      <w:bookmarkStart w:id="559" w:name="_Toc169939052"/>
      <w:bookmarkStart w:id="560" w:name="_Toc202769688"/>
      <w:bookmarkStart w:id="561" w:name="_Toc171069562"/>
      <w:r>
        <w:rPr>
          <w:rStyle w:val="CharSectno"/>
        </w:rPr>
        <w:t>48</w:t>
      </w:r>
      <w:r>
        <w:rPr>
          <w:snapToGrid w:val="0"/>
        </w:rPr>
        <w:t>.</w:t>
      </w:r>
      <w:r>
        <w:rPr>
          <w:snapToGrid w:val="0"/>
        </w:rPr>
        <w:tab/>
        <w:t>Time for exercise of power or performance of duty</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562" w:name="_Toc432323007"/>
      <w:bookmarkStart w:id="563" w:name="_Toc487862909"/>
      <w:bookmarkStart w:id="564" w:name="_Toc7238331"/>
      <w:bookmarkStart w:id="565" w:name="_Toc151797836"/>
      <w:bookmarkStart w:id="566" w:name="_Toc169939053"/>
      <w:bookmarkStart w:id="567" w:name="_Toc202769689"/>
      <w:bookmarkStart w:id="568" w:name="_Toc171069563"/>
      <w:r>
        <w:rPr>
          <w:rStyle w:val="CharSectno"/>
        </w:rPr>
        <w:t>48A</w:t>
      </w:r>
      <w:r>
        <w:rPr>
          <w:snapToGrid w:val="0"/>
        </w:rPr>
        <w:t>.</w:t>
      </w:r>
      <w:r>
        <w:rPr>
          <w:snapToGrid w:val="0"/>
        </w:rPr>
        <w:tab/>
      </w:r>
      <w:bookmarkEnd w:id="562"/>
      <w:bookmarkEnd w:id="563"/>
      <w:bookmarkEnd w:id="564"/>
      <w:r>
        <w:rPr>
          <w:snapToGrid w:val="0"/>
        </w:rPr>
        <w:t>Judicial acts and service of process may be done on any day</w:t>
      </w:r>
      <w:bookmarkEnd w:id="565"/>
      <w:bookmarkEnd w:id="566"/>
      <w:bookmarkEnd w:id="567"/>
      <w:bookmarkEnd w:id="568"/>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569" w:name="_Toc432323008"/>
      <w:bookmarkStart w:id="570" w:name="_Toc487862910"/>
      <w:bookmarkStart w:id="571" w:name="_Toc7238332"/>
      <w:bookmarkStart w:id="572" w:name="_Toc151797837"/>
      <w:bookmarkStart w:id="573" w:name="_Toc169939054"/>
      <w:bookmarkStart w:id="574" w:name="_Toc202769690"/>
      <w:bookmarkStart w:id="575" w:name="_Toc171069564"/>
      <w:r>
        <w:rPr>
          <w:rStyle w:val="CharSectno"/>
        </w:rPr>
        <w:t>49</w:t>
      </w:r>
      <w:r>
        <w:rPr>
          <w:snapToGrid w:val="0"/>
        </w:rPr>
        <w:t>.</w:t>
      </w:r>
      <w:r>
        <w:rPr>
          <w:snapToGrid w:val="0"/>
        </w:rPr>
        <w:tab/>
      </w:r>
      <w:bookmarkEnd w:id="569"/>
      <w:bookmarkEnd w:id="570"/>
      <w:bookmarkEnd w:id="571"/>
      <w:r>
        <w:rPr>
          <w:snapToGrid w:val="0"/>
        </w:rPr>
        <w:t>Public officer’s powers and duties may be exercised by acting officer etc.</w:t>
      </w:r>
      <w:bookmarkEnd w:id="572"/>
      <w:bookmarkEnd w:id="573"/>
      <w:bookmarkEnd w:id="574"/>
      <w:bookmarkEnd w:id="575"/>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576" w:name="_Toc432323009"/>
      <w:bookmarkStart w:id="577" w:name="_Toc487862911"/>
      <w:bookmarkStart w:id="578" w:name="_Toc7238333"/>
      <w:bookmarkStart w:id="579" w:name="_Toc151797838"/>
      <w:bookmarkStart w:id="580" w:name="_Toc169939055"/>
      <w:bookmarkStart w:id="581" w:name="_Toc202769691"/>
      <w:bookmarkStart w:id="582" w:name="_Toc171069565"/>
      <w:r>
        <w:rPr>
          <w:rStyle w:val="CharSectno"/>
        </w:rPr>
        <w:t>50</w:t>
      </w:r>
      <w:r>
        <w:rPr>
          <w:snapToGrid w:val="0"/>
        </w:rPr>
        <w:t>.</w:t>
      </w:r>
      <w:r>
        <w:rPr>
          <w:snapToGrid w:val="0"/>
        </w:rPr>
        <w:tab/>
        <w:t>Statutory powers, construction of</w:t>
      </w:r>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583" w:name="_Toc432323010"/>
      <w:bookmarkStart w:id="584" w:name="_Toc487862912"/>
      <w:bookmarkStart w:id="585" w:name="_Toc7238334"/>
      <w:bookmarkStart w:id="586" w:name="_Toc151797839"/>
      <w:bookmarkStart w:id="587" w:name="_Toc169939056"/>
      <w:bookmarkStart w:id="588" w:name="_Toc202769692"/>
      <w:bookmarkStart w:id="589" w:name="_Toc171069566"/>
      <w:r>
        <w:rPr>
          <w:rStyle w:val="CharSectno"/>
        </w:rPr>
        <w:t>51</w:t>
      </w:r>
      <w:r>
        <w:rPr>
          <w:snapToGrid w:val="0"/>
        </w:rPr>
        <w:t>.</w:t>
      </w:r>
      <w:r>
        <w:rPr>
          <w:snapToGrid w:val="0"/>
        </w:rPr>
        <w:tab/>
        <w:t>Power to issue licences and other authorisations is discretionary</w:t>
      </w:r>
      <w:bookmarkEnd w:id="583"/>
      <w:bookmarkEnd w:id="584"/>
      <w:bookmarkEnd w:id="585"/>
      <w:bookmarkEnd w:id="586"/>
      <w:bookmarkEnd w:id="587"/>
      <w:bookmarkEnd w:id="588"/>
      <w:bookmarkEnd w:id="589"/>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590" w:name="_Toc432323011"/>
      <w:bookmarkStart w:id="591" w:name="_Toc487862913"/>
      <w:bookmarkStart w:id="592" w:name="_Toc7238335"/>
      <w:bookmarkStart w:id="593" w:name="_Toc151797840"/>
      <w:bookmarkStart w:id="594" w:name="_Toc169939057"/>
      <w:bookmarkStart w:id="595" w:name="_Toc202769693"/>
      <w:bookmarkStart w:id="596" w:name="_Toc171069567"/>
      <w:r>
        <w:rPr>
          <w:rStyle w:val="CharSectno"/>
        </w:rPr>
        <w:t>52</w:t>
      </w:r>
      <w:r>
        <w:rPr>
          <w:snapToGrid w:val="0"/>
        </w:rPr>
        <w:t>.</w:t>
      </w:r>
      <w:r>
        <w:rPr>
          <w:snapToGrid w:val="0"/>
        </w:rPr>
        <w:tab/>
        <w:t>Power to appoint includes power to remove, suspend</w:t>
      </w:r>
      <w:bookmarkEnd w:id="590"/>
      <w:r>
        <w:rPr>
          <w:snapToGrid w:val="0"/>
        </w:rPr>
        <w:t xml:space="preserve">, </w:t>
      </w:r>
      <w:bookmarkEnd w:id="591"/>
      <w:bookmarkEnd w:id="592"/>
      <w:r>
        <w:rPr>
          <w:snapToGrid w:val="0"/>
        </w:rPr>
        <w:t>appoint acting officer, etc.</w:t>
      </w:r>
      <w:bookmarkEnd w:id="593"/>
      <w:bookmarkEnd w:id="594"/>
      <w:bookmarkEnd w:id="595"/>
      <w:bookmarkEnd w:id="596"/>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b/>
          <w:snapToGrid w:val="0"/>
        </w:rPr>
        <w:t>“</w:t>
      </w:r>
      <w:r>
        <w:rPr>
          <w:rStyle w:val="CharDefText"/>
        </w:rPr>
        <w:t>cause</w:t>
      </w:r>
      <w:r>
        <w:rPr>
          <w:b/>
          <w:snapToGrid w:val="0"/>
        </w:rPr>
        <w:t>”</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597" w:name="_Toc432323012"/>
      <w:bookmarkStart w:id="598" w:name="_Toc487862914"/>
      <w:bookmarkStart w:id="599" w:name="_Toc7238336"/>
      <w:bookmarkStart w:id="600" w:name="_Toc151797841"/>
      <w:bookmarkStart w:id="601" w:name="_Toc169939058"/>
      <w:bookmarkStart w:id="602" w:name="_Toc202769694"/>
      <w:bookmarkStart w:id="603" w:name="_Toc171069568"/>
      <w:r>
        <w:rPr>
          <w:rStyle w:val="CharSectno"/>
        </w:rPr>
        <w:t>53</w:t>
      </w:r>
      <w:r>
        <w:rPr>
          <w:snapToGrid w:val="0"/>
        </w:rPr>
        <w:t>.</w:t>
      </w:r>
      <w:r>
        <w:rPr>
          <w:snapToGrid w:val="0"/>
        </w:rPr>
        <w:tab/>
        <w:t>Appointments by name or office</w:t>
      </w:r>
      <w:bookmarkEnd w:id="597"/>
      <w:bookmarkEnd w:id="598"/>
      <w:bookmarkEnd w:id="599"/>
      <w:bookmarkEnd w:id="600"/>
      <w:bookmarkEnd w:id="601"/>
      <w:bookmarkEnd w:id="602"/>
      <w:bookmarkEnd w:id="603"/>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604" w:name="_Toc432323013"/>
      <w:bookmarkStart w:id="605" w:name="_Toc487862915"/>
      <w:bookmarkStart w:id="606" w:name="_Toc7238337"/>
      <w:bookmarkStart w:id="607" w:name="_Toc151797842"/>
      <w:bookmarkStart w:id="608" w:name="_Toc169939059"/>
      <w:bookmarkStart w:id="609" w:name="_Toc202769695"/>
      <w:bookmarkStart w:id="610" w:name="_Toc171069569"/>
      <w:r>
        <w:rPr>
          <w:rStyle w:val="CharSectno"/>
        </w:rPr>
        <w:t>54</w:t>
      </w:r>
      <w:r>
        <w:rPr>
          <w:snapToGrid w:val="0"/>
        </w:rPr>
        <w:t>.</w:t>
      </w:r>
      <w:r>
        <w:rPr>
          <w:snapToGrid w:val="0"/>
        </w:rPr>
        <w:tab/>
        <w:t>Statutory bodies, majority and quorum</w:t>
      </w:r>
      <w:bookmarkEnd w:id="604"/>
      <w:r>
        <w:rPr>
          <w:snapToGrid w:val="0"/>
        </w:rPr>
        <w:t xml:space="preserve"> provisions</w:t>
      </w:r>
      <w:bookmarkEnd w:id="605"/>
      <w:bookmarkEnd w:id="606"/>
      <w:bookmarkEnd w:id="607"/>
      <w:bookmarkEnd w:id="608"/>
      <w:bookmarkEnd w:id="609"/>
      <w:bookmarkEnd w:id="610"/>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b/>
          <w:snapToGrid w:val="0"/>
        </w:rPr>
        <w:t>“</w:t>
      </w:r>
      <w:r>
        <w:rPr>
          <w:rStyle w:val="CharDefText"/>
        </w:rPr>
        <w:t>association</w:t>
      </w:r>
      <w:r>
        <w:rPr>
          <w:b/>
          <w:snapToGrid w:val="0"/>
        </w:rPr>
        <w:t>”</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611" w:name="_Toc432323014"/>
      <w:bookmarkStart w:id="612" w:name="_Toc487862916"/>
      <w:bookmarkStart w:id="613" w:name="_Toc7238338"/>
      <w:bookmarkStart w:id="614" w:name="_Toc151797843"/>
      <w:bookmarkStart w:id="615" w:name="_Toc169939060"/>
      <w:bookmarkStart w:id="616" w:name="_Toc202769696"/>
      <w:bookmarkStart w:id="617" w:name="_Toc171069570"/>
      <w:r>
        <w:rPr>
          <w:rStyle w:val="CharSectno"/>
        </w:rPr>
        <w:t>55</w:t>
      </w:r>
      <w:r>
        <w:rPr>
          <w:snapToGrid w:val="0"/>
        </w:rPr>
        <w:t>.</w:t>
      </w:r>
      <w:r>
        <w:rPr>
          <w:snapToGrid w:val="0"/>
        </w:rPr>
        <w:tab/>
      </w:r>
      <w:bookmarkEnd w:id="611"/>
      <w:bookmarkEnd w:id="612"/>
      <w:bookmarkEnd w:id="613"/>
      <w:r>
        <w:rPr>
          <w:snapToGrid w:val="0"/>
        </w:rPr>
        <w:t>Errors when exercising certain powers or duties may be corrected</w:t>
      </w:r>
      <w:bookmarkEnd w:id="614"/>
      <w:bookmarkEnd w:id="615"/>
      <w:bookmarkEnd w:id="616"/>
      <w:bookmarkEnd w:id="617"/>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618" w:name="_Toc432323015"/>
      <w:bookmarkStart w:id="619" w:name="_Toc487862917"/>
      <w:bookmarkStart w:id="620" w:name="_Toc7238339"/>
      <w:bookmarkStart w:id="621" w:name="_Toc151797844"/>
      <w:bookmarkStart w:id="622" w:name="_Toc169939061"/>
      <w:bookmarkStart w:id="623" w:name="_Toc202769697"/>
      <w:bookmarkStart w:id="624" w:name="_Toc171069571"/>
      <w:r>
        <w:rPr>
          <w:snapToGrid w:val="0"/>
        </w:rPr>
        <w:t>56.</w:t>
      </w:r>
      <w:r>
        <w:rPr>
          <w:snapToGrid w:val="0"/>
        </w:rPr>
        <w:tab/>
        <w:t>“May” imports a discretion, “shall” is imperative</w:t>
      </w:r>
      <w:bookmarkEnd w:id="618"/>
      <w:bookmarkEnd w:id="619"/>
      <w:bookmarkEnd w:id="620"/>
      <w:bookmarkEnd w:id="621"/>
      <w:bookmarkEnd w:id="622"/>
      <w:bookmarkEnd w:id="623"/>
      <w:bookmarkEnd w:id="624"/>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b/>
          <w:snapToGrid w:val="0"/>
        </w:rPr>
        <w:t>“</w:t>
      </w:r>
      <w:r>
        <w:rPr>
          <w:rStyle w:val="CharDefText"/>
        </w:rPr>
        <w:t>may</w:t>
      </w:r>
      <w:r>
        <w:rPr>
          <w:b/>
          <w:snapToGrid w:val="0"/>
        </w:rPr>
        <w:t>”</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b/>
          <w:snapToGrid w:val="0"/>
        </w:rPr>
        <w:t>“</w:t>
      </w:r>
      <w:r>
        <w:rPr>
          <w:rStyle w:val="CharDefText"/>
        </w:rPr>
        <w:t>shall</w:t>
      </w:r>
      <w:r>
        <w:rPr>
          <w:b/>
          <w:snapToGrid w:val="0"/>
        </w:rPr>
        <w:t>”</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625" w:name="_Toc432323016"/>
      <w:bookmarkStart w:id="626" w:name="_Toc487862918"/>
      <w:bookmarkStart w:id="627" w:name="_Toc7238340"/>
      <w:bookmarkStart w:id="628" w:name="_Toc151797845"/>
      <w:bookmarkStart w:id="629" w:name="_Toc169939062"/>
      <w:bookmarkStart w:id="630" w:name="_Toc202769698"/>
      <w:bookmarkStart w:id="631" w:name="_Toc171069572"/>
      <w:r>
        <w:rPr>
          <w:rStyle w:val="CharSectno"/>
        </w:rPr>
        <w:t>57</w:t>
      </w:r>
      <w:r>
        <w:rPr>
          <w:snapToGrid w:val="0"/>
        </w:rPr>
        <w:t>.</w:t>
      </w:r>
      <w:r>
        <w:rPr>
          <w:snapToGrid w:val="0"/>
        </w:rPr>
        <w:tab/>
        <w:t xml:space="preserve">Statutory bodies, powers of not affected by vacancies </w:t>
      </w:r>
      <w:bookmarkEnd w:id="625"/>
      <w:bookmarkEnd w:id="626"/>
      <w:bookmarkEnd w:id="627"/>
      <w:r>
        <w:rPr>
          <w:snapToGrid w:val="0"/>
        </w:rPr>
        <w:t>etc.</w:t>
      </w:r>
      <w:bookmarkEnd w:id="628"/>
      <w:bookmarkEnd w:id="629"/>
      <w:bookmarkEnd w:id="630"/>
      <w:bookmarkEnd w:id="631"/>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632" w:name="_Toc432323017"/>
      <w:bookmarkStart w:id="633" w:name="_Toc487862919"/>
      <w:bookmarkStart w:id="634" w:name="_Toc7238341"/>
      <w:bookmarkStart w:id="635" w:name="_Toc151797846"/>
      <w:bookmarkStart w:id="636" w:name="_Toc169939063"/>
      <w:bookmarkStart w:id="637" w:name="_Toc202769699"/>
      <w:bookmarkStart w:id="638" w:name="_Toc171069573"/>
      <w:r>
        <w:rPr>
          <w:rStyle w:val="CharSectno"/>
        </w:rPr>
        <w:t>58</w:t>
      </w:r>
      <w:r>
        <w:rPr>
          <w:snapToGrid w:val="0"/>
        </w:rPr>
        <w:t>.</w:t>
      </w:r>
      <w:r>
        <w:rPr>
          <w:snapToGrid w:val="0"/>
        </w:rPr>
        <w:tab/>
      </w:r>
      <w:bookmarkEnd w:id="632"/>
      <w:bookmarkEnd w:id="633"/>
      <w:bookmarkEnd w:id="634"/>
      <w:r>
        <w:rPr>
          <w:snapToGrid w:val="0"/>
        </w:rPr>
        <w:t>Delegates, performance of functions by</w:t>
      </w:r>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639" w:name="_Toc432323018"/>
      <w:bookmarkStart w:id="640" w:name="_Toc487862920"/>
      <w:bookmarkStart w:id="641" w:name="_Toc7238342"/>
      <w:bookmarkStart w:id="642" w:name="_Toc151797847"/>
      <w:bookmarkStart w:id="643" w:name="_Toc169939064"/>
      <w:bookmarkStart w:id="644" w:name="_Toc202769700"/>
      <w:bookmarkStart w:id="645" w:name="_Toc171069574"/>
      <w:r>
        <w:rPr>
          <w:rStyle w:val="CharSectno"/>
        </w:rPr>
        <w:t>59</w:t>
      </w:r>
      <w:r>
        <w:rPr>
          <w:snapToGrid w:val="0"/>
        </w:rPr>
        <w:t>.</w:t>
      </w:r>
      <w:r>
        <w:rPr>
          <w:snapToGrid w:val="0"/>
        </w:rPr>
        <w:tab/>
        <w:t>Power to delegate</w:t>
      </w:r>
      <w:bookmarkEnd w:id="639"/>
      <w:bookmarkEnd w:id="640"/>
      <w:bookmarkEnd w:id="641"/>
      <w:r>
        <w:rPr>
          <w:snapToGrid w:val="0"/>
        </w:rPr>
        <w:t>, construction of</w:t>
      </w:r>
      <w:bookmarkEnd w:id="642"/>
      <w:bookmarkEnd w:id="643"/>
      <w:bookmarkEnd w:id="644"/>
      <w:bookmarkEnd w:id="645"/>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646" w:name="_Toc432323019"/>
      <w:bookmarkStart w:id="647" w:name="_Toc487862921"/>
      <w:bookmarkStart w:id="648" w:name="_Toc7238343"/>
      <w:bookmarkStart w:id="649" w:name="_Toc151797848"/>
      <w:bookmarkStart w:id="650" w:name="_Toc169939065"/>
      <w:bookmarkStart w:id="651" w:name="_Toc202769701"/>
      <w:bookmarkStart w:id="652" w:name="_Toc171069575"/>
      <w:r>
        <w:rPr>
          <w:rStyle w:val="CharSectno"/>
        </w:rPr>
        <w:t>60</w:t>
      </w:r>
      <w:r>
        <w:rPr>
          <w:snapToGrid w:val="0"/>
        </w:rPr>
        <w:t>.</w:t>
      </w:r>
      <w:r>
        <w:rPr>
          <w:snapToGrid w:val="0"/>
        </w:rPr>
        <w:tab/>
        <w:t>Governor to act with advice of Executive Council</w:t>
      </w:r>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653" w:name="_Toc72899343"/>
      <w:bookmarkStart w:id="654" w:name="_Toc88026920"/>
      <w:bookmarkStart w:id="655" w:name="_Toc89522111"/>
      <w:bookmarkStart w:id="656" w:name="_Toc90872620"/>
      <w:bookmarkStart w:id="657" w:name="_Toc94947647"/>
      <w:bookmarkStart w:id="658" w:name="_Toc97105616"/>
      <w:bookmarkStart w:id="659" w:name="_Toc102368088"/>
      <w:bookmarkStart w:id="660" w:name="_Toc103068674"/>
      <w:bookmarkStart w:id="661" w:name="_Toc107978979"/>
      <w:bookmarkStart w:id="662" w:name="_Toc108942361"/>
      <w:bookmarkStart w:id="663" w:name="_Toc109188586"/>
      <w:bookmarkStart w:id="664" w:name="_Toc112045068"/>
      <w:bookmarkStart w:id="665" w:name="_Toc113858491"/>
      <w:bookmarkStart w:id="666" w:name="_Toc121558752"/>
      <w:bookmarkStart w:id="667" w:name="_Toc131397232"/>
      <w:bookmarkStart w:id="668" w:name="_Toc151797849"/>
      <w:bookmarkStart w:id="669" w:name="_Toc151862464"/>
      <w:bookmarkStart w:id="670" w:name="_Toc155671154"/>
      <w:bookmarkStart w:id="671" w:name="_Toc157918851"/>
      <w:bookmarkStart w:id="672" w:name="_Toc164135705"/>
      <w:bookmarkStart w:id="673" w:name="_Toc164150792"/>
      <w:bookmarkStart w:id="674" w:name="_Toc164225427"/>
      <w:bookmarkStart w:id="675" w:name="_Toc166385977"/>
      <w:bookmarkStart w:id="676" w:name="_Toc167003637"/>
      <w:bookmarkStart w:id="677" w:name="_Toc169939066"/>
      <w:bookmarkStart w:id="678" w:name="_Toc170717967"/>
      <w:bookmarkStart w:id="679" w:name="_Toc171069576"/>
      <w:bookmarkStart w:id="680" w:name="_Toc202767279"/>
      <w:bookmarkStart w:id="681" w:name="_Toc202767372"/>
      <w:bookmarkStart w:id="682" w:name="_Toc202769702"/>
      <w:r>
        <w:rPr>
          <w:rStyle w:val="CharPartNo"/>
        </w:rPr>
        <w:t>Part VIII</w:t>
      </w:r>
      <w:r>
        <w:rPr>
          <w:rStyle w:val="CharDivNo"/>
        </w:rPr>
        <w:t> </w:t>
      </w:r>
      <w:r>
        <w:t>—</w:t>
      </w:r>
      <w:r>
        <w:rPr>
          <w:rStyle w:val="CharDivText"/>
        </w:rPr>
        <w:t> </w:t>
      </w:r>
      <w:r>
        <w:rPr>
          <w:rStyle w:val="CharPartText"/>
        </w:rPr>
        <w:t>Provisions regarding time and distance</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PartText"/>
        </w:rPr>
        <w:t xml:space="preserve"> </w:t>
      </w:r>
    </w:p>
    <w:p>
      <w:pPr>
        <w:pStyle w:val="Heading5"/>
        <w:rPr>
          <w:snapToGrid w:val="0"/>
        </w:rPr>
      </w:pPr>
      <w:bookmarkStart w:id="683" w:name="_Toc432323020"/>
      <w:bookmarkStart w:id="684" w:name="_Toc487862922"/>
      <w:bookmarkStart w:id="685" w:name="_Toc7238344"/>
      <w:bookmarkStart w:id="686" w:name="_Toc151797850"/>
      <w:bookmarkStart w:id="687" w:name="_Toc169939067"/>
      <w:bookmarkStart w:id="688" w:name="_Toc202769703"/>
      <w:bookmarkStart w:id="689" w:name="_Toc171069577"/>
      <w:r>
        <w:rPr>
          <w:rStyle w:val="CharSectno"/>
        </w:rPr>
        <w:t>61</w:t>
      </w:r>
      <w:r>
        <w:rPr>
          <w:snapToGrid w:val="0"/>
        </w:rPr>
        <w:t>.</w:t>
      </w:r>
      <w:r>
        <w:rPr>
          <w:snapToGrid w:val="0"/>
        </w:rPr>
        <w:tab/>
        <w:t>Computation of time</w:t>
      </w:r>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excluded day</w:t>
      </w:r>
      <w:r>
        <w:rPr>
          <w:b/>
          <w:snapToGrid w:val="0"/>
        </w:rPr>
        <w:t>”</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690" w:name="_Toc432323021"/>
      <w:bookmarkStart w:id="691" w:name="_Toc487862923"/>
      <w:bookmarkStart w:id="692" w:name="_Toc7238345"/>
      <w:bookmarkStart w:id="693" w:name="_Toc151797851"/>
      <w:bookmarkStart w:id="694" w:name="_Toc169939068"/>
      <w:bookmarkStart w:id="695" w:name="_Toc202769704"/>
      <w:bookmarkStart w:id="696" w:name="_Toc171069578"/>
      <w:r>
        <w:rPr>
          <w:rStyle w:val="CharSectno"/>
        </w:rPr>
        <w:t>62</w:t>
      </w:r>
      <w:r>
        <w:rPr>
          <w:snapToGrid w:val="0"/>
        </w:rPr>
        <w:t>.</w:t>
      </w:r>
      <w:r>
        <w:rPr>
          <w:snapToGrid w:val="0"/>
        </w:rPr>
        <w:tab/>
        <w:t>Reckoning of months</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month</w:t>
      </w:r>
      <w:r>
        <w:rPr>
          <w:b/>
          <w:snapToGrid w:val="0"/>
        </w:rPr>
        <w:t>”</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697" w:name="_Toc432323022"/>
      <w:bookmarkStart w:id="698" w:name="_Toc487862924"/>
      <w:bookmarkStart w:id="699" w:name="_Toc7238346"/>
      <w:bookmarkStart w:id="700" w:name="_Toc151797852"/>
      <w:bookmarkStart w:id="701" w:name="_Toc169939069"/>
      <w:bookmarkStart w:id="702" w:name="_Toc202769705"/>
      <w:bookmarkStart w:id="703" w:name="_Toc171069579"/>
      <w:r>
        <w:rPr>
          <w:rStyle w:val="CharSectno"/>
        </w:rPr>
        <w:t>63</w:t>
      </w:r>
      <w:r>
        <w:rPr>
          <w:snapToGrid w:val="0"/>
        </w:rPr>
        <w:t>.</w:t>
      </w:r>
      <w:r>
        <w:rPr>
          <w:snapToGrid w:val="0"/>
        </w:rPr>
        <w:tab/>
        <w:t>Time for doing acts if no time fixed</w:t>
      </w:r>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704" w:name="_Toc432323023"/>
      <w:bookmarkStart w:id="705" w:name="_Toc487862925"/>
      <w:bookmarkStart w:id="706" w:name="_Toc7238347"/>
      <w:bookmarkStart w:id="707" w:name="_Toc151797853"/>
      <w:bookmarkStart w:id="708" w:name="_Toc169939070"/>
      <w:bookmarkStart w:id="709" w:name="_Toc202769706"/>
      <w:bookmarkStart w:id="710" w:name="_Toc171069580"/>
      <w:r>
        <w:rPr>
          <w:rStyle w:val="CharSectno"/>
        </w:rPr>
        <w:t>64</w:t>
      </w:r>
      <w:r>
        <w:rPr>
          <w:snapToGrid w:val="0"/>
        </w:rPr>
        <w:t>.</w:t>
      </w:r>
      <w:r>
        <w:rPr>
          <w:snapToGrid w:val="0"/>
        </w:rPr>
        <w:tab/>
        <w:t>Power to extend time</w:t>
      </w:r>
      <w:bookmarkEnd w:id="704"/>
      <w:bookmarkEnd w:id="705"/>
      <w:bookmarkEnd w:id="706"/>
      <w:r>
        <w:rPr>
          <w:snapToGrid w:val="0"/>
        </w:rPr>
        <w:t>, construction of</w:t>
      </w:r>
      <w:bookmarkEnd w:id="707"/>
      <w:bookmarkEnd w:id="708"/>
      <w:bookmarkEnd w:id="709"/>
      <w:bookmarkEnd w:id="710"/>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711" w:name="_Toc432323024"/>
      <w:bookmarkStart w:id="712" w:name="_Toc487862926"/>
      <w:bookmarkStart w:id="713" w:name="_Toc7238348"/>
      <w:bookmarkStart w:id="714" w:name="_Toc151797854"/>
      <w:bookmarkStart w:id="715" w:name="_Toc169939071"/>
      <w:bookmarkStart w:id="716" w:name="_Toc202769707"/>
      <w:bookmarkStart w:id="717" w:name="_Toc171069581"/>
      <w:r>
        <w:rPr>
          <w:rStyle w:val="CharSectno"/>
        </w:rPr>
        <w:t>65</w:t>
      </w:r>
      <w:r>
        <w:rPr>
          <w:snapToGrid w:val="0"/>
        </w:rPr>
        <w:t>.</w:t>
      </w:r>
      <w:r>
        <w:rPr>
          <w:snapToGrid w:val="0"/>
        </w:rPr>
        <w:tab/>
        <w:t>Measurement of distance</w:t>
      </w:r>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718" w:name="_Toc72899349"/>
      <w:bookmarkStart w:id="719" w:name="_Toc88026926"/>
      <w:bookmarkStart w:id="720" w:name="_Toc89522117"/>
      <w:bookmarkStart w:id="721" w:name="_Toc90872626"/>
      <w:bookmarkStart w:id="722" w:name="_Toc94947653"/>
      <w:bookmarkStart w:id="723" w:name="_Toc97105622"/>
      <w:bookmarkStart w:id="724" w:name="_Toc102368094"/>
      <w:bookmarkStart w:id="725" w:name="_Toc103068680"/>
      <w:bookmarkStart w:id="726" w:name="_Toc107978985"/>
      <w:bookmarkStart w:id="727" w:name="_Toc108942367"/>
      <w:bookmarkStart w:id="728" w:name="_Toc109188592"/>
      <w:bookmarkStart w:id="729" w:name="_Toc112045074"/>
      <w:bookmarkStart w:id="730" w:name="_Toc113858497"/>
      <w:bookmarkStart w:id="731" w:name="_Toc121558758"/>
      <w:bookmarkStart w:id="732" w:name="_Toc131397238"/>
      <w:bookmarkStart w:id="733" w:name="_Toc151797855"/>
      <w:bookmarkStart w:id="734" w:name="_Toc151862470"/>
      <w:bookmarkStart w:id="735" w:name="_Toc155671160"/>
      <w:bookmarkStart w:id="736" w:name="_Toc157918857"/>
      <w:bookmarkStart w:id="737" w:name="_Toc164135711"/>
      <w:bookmarkStart w:id="738" w:name="_Toc164150798"/>
      <w:bookmarkStart w:id="739" w:name="_Toc164225433"/>
      <w:bookmarkStart w:id="740" w:name="_Toc166385983"/>
      <w:bookmarkStart w:id="741" w:name="_Toc167003643"/>
      <w:bookmarkStart w:id="742" w:name="_Toc169939072"/>
      <w:bookmarkStart w:id="743" w:name="_Toc170717973"/>
      <w:bookmarkStart w:id="744" w:name="_Toc171069582"/>
      <w:bookmarkStart w:id="745" w:name="_Toc202767285"/>
      <w:bookmarkStart w:id="746" w:name="_Toc202767378"/>
      <w:bookmarkStart w:id="747" w:name="_Toc202769708"/>
      <w:r>
        <w:rPr>
          <w:rStyle w:val="CharPartNo"/>
        </w:rPr>
        <w:t>Part IX</w:t>
      </w:r>
      <w:r>
        <w:rPr>
          <w:rStyle w:val="CharDivNo"/>
        </w:rPr>
        <w:t> </w:t>
      </w:r>
      <w:r>
        <w:t>—</w:t>
      </w:r>
      <w:r>
        <w:rPr>
          <w:rStyle w:val="CharDivText"/>
        </w:rPr>
        <w:t> </w:t>
      </w:r>
      <w:r>
        <w:rPr>
          <w:rStyle w:val="CharPartText"/>
        </w:rPr>
        <w:t>Procedures and penalties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PartText"/>
        </w:rPr>
        <w:t xml:space="preserve"> </w:t>
      </w:r>
    </w:p>
    <w:p>
      <w:pPr>
        <w:pStyle w:val="Heading5"/>
        <w:spacing w:before="180"/>
        <w:rPr>
          <w:snapToGrid w:val="0"/>
        </w:rPr>
      </w:pPr>
      <w:bookmarkStart w:id="748" w:name="_Toc432323025"/>
      <w:bookmarkStart w:id="749" w:name="_Toc487862927"/>
      <w:bookmarkStart w:id="750" w:name="_Toc7238349"/>
      <w:bookmarkStart w:id="751" w:name="_Toc151797856"/>
      <w:bookmarkStart w:id="752" w:name="_Toc169939073"/>
      <w:bookmarkStart w:id="753" w:name="_Toc202769709"/>
      <w:bookmarkStart w:id="754" w:name="_Toc171069583"/>
      <w:r>
        <w:rPr>
          <w:rStyle w:val="CharSectno"/>
        </w:rPr>
        <w:t>66</w:t>
      </w:r>
      <w:r>
        <w:rPr>
          <w:snapToGrid w:val="0"/>
        </w:rPr>
        <w:t>.</w:t>
      </w:r>
      <w:r>
        <w:rPr>
          <w:snapToGrid w:val="0"/>
        </w:rPr>
        <w:tab/>
        <w:t>Rules of court</w:t>
      </w:r>
      <w:bookmarkEnd w:id="748"/>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rules of court</w:t>
      </w:r>
      <w:r>
        <w:rPr>
          <w:b/>
          <w:snapToGrid w:val="0"/>
        </w:rPr>
        <w: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755" w:name="_Toc432323026"/>
      <w:bookmarkStart w:id="756" w:name="_Toc487862928"/>
      <w:bookmarkStart w:id="757" w:name="_Toc7238350"/>
      <w:bookmarkStart w:id="758" w:name="_Toc151797857"/>
      <w:bookmarkStart w:id="759" w:name="_Toc169939074"/>
      <w:bookmarkStart w:id="760" w:name="_Toc202769710"/>
      <w:bookmarkStart w:id="761" w:name="_Toc171069584"/>
      <w:r>
        <w:rPr>
          <w:rStyle w:val="CharSectno"/>
        </w:rPr>
        <w:t>67</w:t>
      </w:r>
      <w:r>
        <w:rPr>
          <w:snapToGrid w:val="0"/>
        </w:rPr>
        <w:t>.</w:t>
      </w:r>
      <w:r>
        <w:rPr>
          <w:snapToGrid w:val="0"/>
        </w:rPr>
        <w:tab/>
        <w:t>Offences and proceedings for offences</w:t>
      </w:r>
      <w:bookmarkEnd w:id="755"/>
      <w:bookmarkEnd w:id="756"/>
      <w:bookmarkEnd w:id="757"/>
      <w:bookmarkEnd w:id="758"/>
      <w:bookmarkEnd w:id="759"/>
      <w:bookmarkEnd w:id="760"/>
      <w:bookmarkEnd w:id="761"/>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repealed]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Repealed by No. 78 of 1995 s. 56.] </w:t>
      </w:r>
    </w:p>
    <w:p>
      <w:pPr>
        <w:pStyle w:val="Heading5"/>
        <w:rPr>
          <w:snapToGrid w:val="0"/>
        </w:rPr>
      </w:pPr>
      <w:bookmarkStart w:id="762" w:name="_Toc432323027"/>
      <w:bookmarkStart w:id="763" w:name="_Toc487862929"/>
      <w:bookmarkStart w:id="764" w:name="_Toc7238351"/>
      <w:bookmarkStart w:id="765" w:name="_Toc151797858"/>
      <w:bookmarkStart w:id="766" w:name="_Toc169939075"/>
      <w:bookmarkStart w:id="767" w:name="_Toc202769711"/>
      <w:bookmarkStart w:id="768" w:name="_Toc171069585"/>
      <w:r>
        <w:rPr>
          <w:rStyle w:val="CharSectno"/>
        </w:rPr>
        <w:t>69</w:t>
      </w:r>
      <w:r>
        <w:rPr>
          <w:snapToGrid w:val="0"/>
        </w:rPr>
        <w:t>.</w:t>
      </w:r>
      <w:r>
        <w:rPr>
          <w:snapToGrid w:val="0"/>
        </w:rPr>
        <w:tab/>
        <w:t>Bodies corporate</w:t>
      </w:r>
      <w:bookmarkEnd w:id="762"/>
      <w:bookmarkEnd w:id="763"/>
      <w:bookmarkEnd w:id="764"/>
      <w:r>
        <w:rPr>
          <w:snapToGrid w:val="0"/>
        </w:rPr>
        <w:t>, application of penal laws to</w:t>
      </w:r>
      <w:bookmarkEnd w:id="765"/>
      <w:bookmarkEnd w:id="766"/>
      <w:bookmarkEnd w:id="767"/>
      <w:bookmarkEnd w:id="768"/>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Repealed by No. 78 of 1995 s. 56.] </w:t>
      </w:r>
    </w:p>
    <w:p>
      <w:pPr>
        <w:pStyle w:val="Heading5"/>
        <w:rPr>
          <w:snapToGrid w:val="0"/>
        </w:rPr>
      </w:pPr>
      <w:bookmarkStart w:id="769" w:name="_Toc432323028"/>
      <w:bookmarkStart w:id="770" w:name="_Toc487862930"/>
      <w:bookmarkStart w:id="771" w:name="_Toc7238352"/>
      <w:bookmarkStart w:id="772" w:name="_Toc151797859"/>
      <w:bookmarkStart w:id="773" w:name="_Toc169939076"/>
      <w:bookmarkStart w:id="774" w:name="_Toc202769712"/>
      <w:bookmarkStart w:id="775" w:name="_Toc171069586"/>
      <w:r>
        <w:rPr>
          <w:rStyle w:val="CharSectno"/>
        </w:rPr>
        <w:t>71</w:t>
      </w:r>
      <w:r>
        <w:rPr>
          <w:snapToGrid w:val="0"/>
        </w:rPr>
        <w:t>.</w:t>
      </w:r>
      <w:r>
        <w:rPr>
          <w:snapToGrid w:val="0"/>
        </w:rPr>
        <w:tab/>
        <w:t>Continuing offences</w:t>
      </w:r>
      <w:bookmarkEnd w:id="769"/>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776" w:name="_Toc432323029"/>
      <w:bookmarkStart w:id="777" w:name="_Toc487862931"/>
      <w:bookmarkStart w:id="778" w:name="_Toc7238353"/>
      <w:bookmarkStart w:id="779" w:name="_Toc151797860"/>
      <w:bookmarkStart w:id="780" w:name="_Toc169939077"/>
      <w:bookmarkStart w:id="781" w:name="_Toc202769713"/>
      <w:bookmarkStart w:id="782" w:name="_Toc171069587"/>
      <w:r>
        <w:rPr>
          <w:rStyle w:val="CharSectno"/>
        </w:rPr>
        <w:t>72</w:t>
      </w:r>
      <w:r>
        <w:rPr>
          <w:snapToGrid w:val="0"/>
        </w:rPr>
        <w:t>.</w:t>
      </w:r>
      <w:r>
        <w:rPr>
          <w:snapToGrid w:val="0"/>
        </w:rPr>
        <w:tab/>
        <w:t>Statutory penalties</w:t>
      </w:r>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783" w:name="_Toc72899355"/>
      <w:bookmarkStart w:id="784" w:name="_Toc88026932"/>
      <w:bookmarkStart w:id="785" w:name="_Toc89522123"/>
      <w:bookmarkStart w:id="786" w:name="_Toc90872632"/>
      <w:bookmarkStart w:id="787" w:name="_Toc94947659"/>
      <w:bookmarkStart w:id="788" w:name="_Toc97105628"/>
      <w:bookmarkStart w:id="789" w:name="_Toc102368100"/>
      <w:bookmarkStart w:id="790" w:name="_Toc103068686"/>
      <w:bookmarkStart w:id="791" w:name="_Toc107978991"/>
      <w:bookmarkStart w:id="792" w:name="_Toc108942373"/>
      <w:bookmarkStart w:id="793" w:name="_Toc109188598"/>
      <w:bookmarkStart w:id="794" w:name="_Toc112045080"/>
      <w:bookmarkStart w:id="795" w:name="_Toc113858503"/>
      <w:bookmarkStart w:id="796" w:name="_Toc121558764"/>
      <w:bookmarkStart w:id="797" w:name="_Toc131397244"/>
      <w:bookmarkStart w:id="798" w:name="_Toc151797861"/>
      <w:bookmarkStart w:id="799" w:name="_Toc151862476"/>
      <w:bookmarkStart w:id="800" w:name="_Toc155671166"/>
      <w:bookmarkStart w:id="801" w:name="_Toc157918863"/>
      <w:bookmarkStart w:id="802" w:name="_Toc164135717"/>
      <w:bookmarkStart w:id="803" w:name="_Toc164150804"/>
      <w:bookmarkStart w:id="804" w:name="_Toc164225439"/>
      <w:bookmarkStart w:id="805" w:name="_Toc166385989"/>
      <w:bookmarkStart w:id="806" w:name="_Toc167003649"/>
      <w:bookmarkStart w:id="807" w:name="_Toc169939078"/>
      <w:bookmarkStart w:id="808" w:name="_Toc170717979"/>
      <w:bookmarkStart w:id="809" w:name="_Toc171069588"/>
      <w:bookmarkStart w:id="810" w:name="_Toc202767291"/>
      <w:bookmarkStart w:id="811" w:name="_Toc202767384"/>
      <w:bookmarkStart w:id="812" w:name="_Toc202769714"/>
      <w:r>
        <w:rPr>
          <w:rStyle w:val="CharPartNo"/>
        </w:rPr>
        <w:t>Part X</w:t>
      </w:r>
      <w:r>
        <w:rPr>
          <w:rStyle w:val="CharDivNo"/>
        </w:rPr>
        <w:t> </w:t>
      </w:r>
      <w:r>
        <w:t>—</w:t>
      </w:r>
      <w:r>
        <w:rPr>
          <w:rStyle w:val="CharDivText"/>
        </w:rPr>
        <w:t> </w:t>
      </w:r>
      <w:r>
        <w:rPr>
          <w:rStyle w:val="CharPartText"/>
        </w:rPr>
        <w:t>Miscellaneous provisions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PartText"/>
        </w:rPr>
        <w:t xml:space="preserve"> </w:t>
      </w:r>
    </w:p>
    <w:p>
      <w:pPr>
        <w:pStyle w:val="Heading5"/>
        <w:rPr>
          <w:snapToGrid w:val="0"/>
        </w:rPr>
      </w:pPr>
      <w:bookmarkStart w:id="813" w:name="_Toc432323030"/>
      <w:bookmarkStart w:id="814" w:name="_Toc487862932"/>
      <w:bookmarkStart w:id="815" w:name="_Toc7238354"/>
      <w:bookmarkStart w:id="816" w:name="_Toc151797862"/>
      <w:bookmarkStart w:id="817" w:name="_Toc169939079"/>
      <w:bookmarkStart w:id="818" w:name="_Toc202769715"/>
      <w:bookmarkStart w:id="819" w:name="_Toc171069589"/>
      <w:r>
        <w:rPr>
          <w:rStyle w:val="CharSectno"/>
        </w:rPr>
        <w:t>73</w:t>
      </w:r>
      <w:r>
        <w:rPr>
          <w:snapToGrid w:val="0"/>
        </w:rPr>
        <w:t>.</w:t>
      </w:r>
      <w:r>
        <w:rPr>
          <w:snapToGrid w:val="0"/>
        </w:rPr>
        <w:tab/>
        <w:t>State deemed established 1 June 1829</w:t>
      </w:r>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820" w:name="_Toc432323031"/>
      <w:bookmarkStart w:id="821" w:name="_Toc487862933"/>
      <w:bookmarkStart w:id="822" w:name="_Toc7238355"/>
      <w:bookmarkStart w:id="823" w:name="_Toc151797863"/>
      <w:bookmarkStart w:id="824" w:name="_Toc169939080"/>
      <w:bookmarkStart w:id="825" w:name="_Toc202769716"/>
      <w:bookmarkStart w:id="826" w:name="_Toc171069590"/>
      <w:r>
        <w:rPr>
          <w:rStyle w:val="CharSectno"/>
        </w:rPr>
        <w:t>74</w:t>
      </w:r>
      <w:r>
        <w:rPr>
          <w:snapToGrid w:val="0"/>
        </w:rPr>
        <w:t>.</w:t>
      </w:r>
      <w:r>
        <w:rPr>
          <w:snapToGrid w:val="0"/>
        </w:rPr>
        <w:tab/>
      </w:r>
      <w:bookmarkEnd w:id="820"/>
      <w:bookmarkEnd w:id="821"/>
      <w:bookmarkEnd w:id="822"/>
      <w:r>
        <w:rPr>
          <w:snapToGrid w:val="0"/>
        </w:rPr>
        <w:t>Prescribed forms, certain deviations do not invalidate</w:t>
      </w:r>
      <w:bookmarkEnd w:id="823"/>
      <w:bookmarkEnd w:id="824"/>
      <w:bookmarkEnd w:id="825"/>
      <w:bookmarkEnd w:id="826"/>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827" w:name="_Toc432323032"/>
      <w:bookmarkStart w:id="828" w:name="_Toc487862934"/>
      <w:bookmarkStart w:id="829" w:name="_Toc7238356"/>
      <w:bookmarkStart w:id="830" w:name="_Toc151797864"/>
      <w:bookmarkStart w:id="831" w:name="_Toc169939081"/>
      <w:bookmarkStart w:id="832" w:name="_Toc202769717"/>
      <w:bookmarkStart w:id="833" w:name="_Toc171069591"/>
      <w:r>
        <w:rPr>
          <w:rStyle w:val="CharSectno"/>
        </w:rPr>
        <w:t>75</w:t>
      </w:r>
      <w:r>
        <w:rPr>
          <w:snapToGrid w:val="0"/>
        </w:rPr>
        <w:t>.</w:t>
      </w:r>
      <w:r>
        <w:rPr>
          <w:snapToGrid w:val="0"/>
        </w:rPr>
        <w:tab/>
        <w:t>Service of documents by post</w:t>
      </w:r>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834" w:name="_Toc432323033"/>
      <w:bookmarkStart w:id="835" w:name="_Toc487862935"/>
      <w:bookmarkStart w:id="836" w:name="_Toc7238357"/>
      <w:bookmarkStart w:id="837" w:name="_Toc151797865"/>
      <w:bookmarkStart w:id="838" w:name="_Toc169939082"/>
      <w:bookmarkStart w:id="839" w:name="_Toc202769718"/>
      <w:bookmarkStart w:id="840" w:name="_Toc171069592"/>
      <w:r>
        <w:rPr>
          <w:rStyle w:val="CharSectno"/>
        </w:rPr>
        <w:t>76</w:t>
      </w:r>
      <w:r>
        <w:rPr>
          <w:snapToGrid w:val="0"/>
        </w:rPr>
        <w:t>.</w:t>
      </w:r>
      <w:r>
        <w:rPr>
          <w:snapToGrid w:val="0"/>
        </w:rPr>
        <w:tab/>
        <w:t>Service of documents generally</w:t>
      </w:r>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841" w:name="_Toc432323034"/>
      <w:bookmarkStart w:id="842" w:name="_Toc487862936"/>
      <w:bookmarkStart w:id="843" w:name="_Toc7238358"/>
      <w:bookmarkStart w:id="844" w:name="_Toc151797866"/>
      <w:bookmarkStart w:id="845" w:name="_Toc169939083"/>
      <w:bookmarkStart w:id="846" w:name="_Toc202769719"/>
      <w:bookmarkStart w:id="847" w:name="_Toc171069593"/>
      <w:r>
        <w:rPr>
          <w:rStyle w:val="CharSectno"/>
        </w:rPr>
        <w:t>76A</w:t>
      </w:r>
      <w:r>
        <w:rPr>
          <w:snapToGrid w:val="0"/>
        </w:rPr>
        <w:t xml:space="preserve">. </w:t>
      </w:r>
      <w:r>
        <w:rPr>
          <w:snapToGrid w:val="0"/>
        </w:rPr>
        <w:tab/>
      </w:r>
      <w:bookmarkEnd w:id="841"/>
      <w:bookmarkEnd w:id="842"/>
      <w:bookmarkEnd w:id="843"/>
      <w:r>
        <w:rPr>
          <w:snapToGrid w:val="0"/>
        </w:rPr>
        <w:t>Written laws made before Australia Acts, validity of</w:t>
      </w:r>
      <w:bookmarkEnd w:id="844"/>
      <w:bookmarkEnd w:id="845"/>
      <w:bookmarkEnd w:id="846"/>
      <w:bookmarkEnd w:id="847"/>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848" w:name="_Toc432323035"/>
      <w:bookmarkStart w:id="849" w:name="_Toc487862937"/>
      <w:bookmarkStart w:id="850" w:name="_Toc7238359"/>
      <w:bookmarkStart w:id="851" w:name="_Toc151797867"/>
      <w:bookmarkStart w:id="852" w:name="_Toc169939084"/>
      <w:bookmarkStart w:id="853" w:name="_Toc202769720"/>
      <w:bookmarkStart w:id="854" w:name="_Toc171069594"/>
      <w:r>
        <w:rPr>
          <w:rStyle w:val="CharSectno"/>
        </w:rPr>
        <w:t>77</w:t>
      </w:r>
      <w:r>
        <w:rPr>
          <w:snapToGrid w:val="0"/>
        </w:rPr>
        <w:t>.</w:t>
      </w:r>
      <w:r>
        <w:rPr>
          <w:snapToGrid w:val="0"/>
        </w:rPr>
        <w:tab/>
        <w:t>Repeal</w:t>
      </w:r>
      <w:bookmarkEnd w:id="848"/>
      <w:bookmarkEnd w:id="849"/>
      <w:bookmarkEnd w:id="850"/>
      <w:r>
        <w:rPr>
          <w:snapToGrid w:val="0"/>
        </w:rPr>
        <w:t xml:space="preserve"> and saving</w:t>
      </w:r>
      <w:bookmarkEnd w:id="851"/>
      <w:bookmarkEnd w:id="852"/>
      <w:bookmarkEnd w:id="853"/>
      <w:bookmarkEnd w:id="854"/>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855" w:name="_Toc72899362"/>
      <w:bookmarkStart w:id="856" w:name="_Toc88026939"/>
      <w:bookmarkStart w:id="857" w:name="_Toc89522130"/>
      <w:bookmarkStart w:id="858" w:name="_Toc90872639"/>
      <w:bookmarkStart w:id="859" w:name="_Toc94947666"/>
      <w:bookmarkStart w:id="860" w:name="_Toc97105635"/>
      <w:bookmarkStart w:id="861" w:name="_Toc102368107"/>
      <w:bookmarkStart w:id="862" w:name="_Toc103068693"/>
      <w:bookmarkStart w:id="863" w:name="_Toc107978998"/>
      <w:bookmarkStart w:id="864" w:name="_Toc108942380"/>
      <w:bookmarkStart w:id="865" w:name="_Toc109188605"/>
      <w:bookmarkStart w:id="866" w:name="_Toc112045087"/>
    </w:p>
    <w:p>
      <w:pPr>
        <w:pStyle w:val="nHeading2"/>
      </w:pPr>
      <w:bookmarkStart w:id="867" w:name="_Toc113858510"/>
      <w:bookmarkStart w:id="868" w:name="_Toc121558771"/>
      <w:bookmarkStart w:id="869" w:name="_Toc131397251"/>
      <w:bookmarkStart w:id="870" w:name="_Toc151797868"/>
      <w:bookmarkStart w:id="871" w:name="_Toc151862483"/>
      <w:bookmarkStart w:id="872" w:name="_Toc155671173"/>
      <w:bookmarkStart w:id="873" w:name="_Toc157918870"/>
      <w:bookmarkStart w:id="874" w:name="_Toc164135724"/>
      <w:bookmarkStart w:id="875" w:name="_Toc164150811"/>
      <w:bookmarkStart w:id="876" w:name="_Toc164225446"/>
      <w:bookmarkStart w:id="877" w:name="_Toc166385996"/>
      <w:bookmarkStart w:id="878" w:name="_Toc167003656"/>
      <w:bookmarkStart w:id="879" w:name="_Toc169939085"/>
      <w:bookmarkStart w:id="880" w:name="_Toc170717986"/>
      <w:bookmarkStart w:id="881" w:name="_Toc171069595"/>
      <w:bookmarkStart w:id="882" w:name="_Toc202767298"/>
      <w:bookmarkStart w:id="883" w:name="_Toc202767391"/>
      <w:bookmarkStart w:id="884" w:name="_Toc202769721"/>
      <w:r>
        <w:t>Notes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w:t>
      </w:r>
      <w:ins w:id="885" w:author="svcMRProcess" w:date="2019-05-11T05:32:00Z">
        <w:r>
          <w:rPr>
            <w:snapToGrid w:val="0"/>
          </w:rPr>
          <w:t> </w:t>
        </w:r>
        <w:r>
          <w:rPr>
            <w:snapToGrid w:val="0"/>
            <w:vertAlign w:val="superscript"/>
          </w:rPr>
          <w:t>1a</w:t>
        </w:r>
      </w:ins>
      <w:r>
        <w:rPr>
          <w:snapToGrid w:val="0"/>
        </w:rPr>
        <w:t>.  The table also contains information about any reprint.</w:t>
      </w:r>
    </w:p>
    <w:p>
      <w:pPr>
        <w:pStyle w:val="nHeading3"/>
      </w:pPr>
      <w:bookmarkStart w:id="886" w:name="_Toc169939086"/>
      <w:bookmarkStart w:id="887" w:name="_Toc202769722"/>
      <w:bookmarkStart w:id="888" w:name="_Toc171069596"/>
      <w:r>
        <w:t>Compilation table</w:t>
      </w:r>
      <w:bookmarkEnd w:id="886"/>
      <w:bookmarkEnd w:id="887"/>
      <w:bookmarkEnd w:id="88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9"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r>
              <w:rPr>
                <w:sz w:val="19"/>
              </w:rPr>
              <w:t xml:space="preserve">(1)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trPr>
        <w:tc>
          <w:tcPr>
            <w:tcW w:w="7089" w:type="dxa"/>
            <w:gridSpan w:val="4"/>
            <w:tcBorders>
              <w:bottom w:val="single" w:sz="4" w:space="0" w:color="auto"/>
            </w:tcBorders>
          </w:tcPr>
          <w:p>
            <w:pPr>
              <w:pStyle w:val="nTable"/>
              <w:spacing w:before="20" w:after="20"/>
              <w:rPr>
                <w:snapToGrid w:val="0"/>
                <w:sz w:val="19"/>
                <w:lang w:val="en-US"/>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bl>
    <w:p>
      <w:pPr>
        <w:pStyle w:val="nSubsection"/>
        <w:tabs>
          <w:tab w:val="clear" w:pos="454"/>
          <w:tab w:val="left" w:pos="567"/>
        </w:tabs>
        <w:spacing w:before="120"/>
        <w:ind w:left="567" w:hanging="567"/>
        <w:rPr>
          <w:ins w:id="889" w:author="svcMRProcess" w:date="2019-05-11T05:32:00Z"/>
          <w:snapToGrid w:val="0"/>
        </w:rPr>
      </w:pPr>
      <w:ins w:id="890" w:author="svcMRProcess" w:date="2019-05-11T05: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91" w:author="svcMRProcess" w:date="2019-05-11T05:32:00Z"/>
        </w:rPr>
      </w:pPr>
      <w:bookmarkStart w:id="892" w:name="_Toc7405065"/>
      <w:bookmarkStart w:id="893" w:name="_Toc181500909"/>
      <w:bookmarkStart w:id="894" w:name="_Toc193100050"/>
      <w:bookmarkStart w:id="895" w:name="_Toc202769723"/>
      <w:ins w:id="896" w:author="svcMRProcess" w:date="2019-05-11T05:32:00Z">
        <w:r>
          <w:t>Provisions that have not come into operation</w:t>
        </w:r>
        <w:bookmarkEnd w:id="892"/>
        <w:bookmarkEnd w:id="893"/>
        <w:bookmarkEnd w:id="894"/>
        <w:bookmarkEnd w:id="89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897" w:author="svcMRProcess" w:date="2019-05-11T05:32:00Z"/>
        </w:trPr>
        <w:tc>
          <w:tcPr>
            <w:tcW w:w="2268" w:type="dxa"/>
            <w:tcBorders>
              <w:top w:val="single" w:sz="8" w:space="0" w:color="auto"/>
              <w:bottom w:val="single" w:sz="8" w:space="0" w:color="auto"/>
            </w:tcBorders>
          </w:tcPr>
          <w:p>
            <w:pPr>
              <w:pStyle w:val="nTable"/>
              <w:spacing w:after="40"/>
              <w:rPr>
                <w:ins w:id="898" w:author="svcMRProcess" w:date="2019-05-11T05:32:00Z"/>
                <w:b/>
                <w:sz w:val="19"/>
              </w:rPr>
            </w:pPr>
            <w:ins w:id="899" w:author="svcMRProcess" w:date="2019-05-11T05:32:00Z">
              <w:r>
                <w:rPr>
                  <w:b/>
                  <w:sz w:val="19"/>
                </w:rPr>
                <w:t>Short title</w:t>
              </w:r>
            </w:ins>
          </w:p>
        </w:tc>
        <w:tc>
          <w:tcPr>
            <w:tcW w:w="1134" w:type="dxa"/>
            <w:tcBorders>
              <w:top w:val="single" w:sz="8" w:space="0" w:color="auto"/>
              <w:bottom w:val="single" w:sz="8" w:space="0" w:color="auto"/>
            </w:tcBorders>
          </w:tcPr>
          <w:p>
            <w:pPr>
              <w:pStyle w:val="nTable"/>
              <w:spacing w:after="40"/>
              <w:rPr>
                <w:ins w:id="900" w:author="svcMRProcess" w:date="2019-05-11T05:32:00Z"/>
                <w:b/>
                <w:sz w:val="19"/>
              </w:rPr>
            </w:pPr>
            <w:ins w:id="901" w:author="svcMRProcess" w:date="2019-05-11T05:32:00Z">
              <w:r>
                <w:rPr>
                  <w:b/>
                  <w:sz w:val="19"/>
                </w:rPr>
                <w:t>Number and year</w:t>
              </w:r>
            </w:ins>
          </w:p>
        </w:tc>
        <w:tc>
          <w:tcPr>
            <w:tcW w:w="1134" w:type="dxa"/>
            <w:tcBorders>
              <w:top w:val="single" w:sz="8" w:space="0" w:color="auto"/>
              <w:bottom w:val="single" w:sz="8" w:space="0" w:color="auto"/>
            </w:tcBorders>
          </w:tcPr>
          <w:p>
            <w:pPr>
              <w:pStyle w:val="nTable"/>
              <w:spacing w:after="40"/>
              <w:rPr>
                <w:ins w:id="902" w:author="svcMRProcess" w:date="2019-05-11T05:32:00Z"/>
                <w:b/>
                <w:sz w:val="19"/>
              </w:rPr>
            </w:pPr>
            <w:ins w:id="903" w:author="svcMRProcess" w:date="2019-05-11T05:32:00Z">
              <w:r>
                <w:rPr>
                  <w:b/>
                  <w:sz w:val="19"/>
                </w:rPr>
                <w:t>Assent</w:t>
              </w:r>
            </w:ins>
          </w:p>
        </w:tc>
        <w:tc>
          <w:tcPr>
            <w:tcW w:w="2552" w:type="dxa"/>
            <w:tcBorders>
              <w:top w:val="single" w:sz="8" w:space="0" w:color="auto"/>
              <w:bottom w:val="single" w:sz="8" w:space="0" w:color="auto"/>
            </w:tcBorders>
          </w:tcPr>
          <w:p>
            <w:pPr>
              <w:pStyle w:val="nTable"/>
              <w:spacing w:after="40"/>
              <w:rPr>
                <w:ins w:id="904" w:author="svcMRProcess" w:date="2019-05-11T05:32:00Z"/>
                <w:b/>
                <w:sz w:val="19"/>
              </w:rPr>
            </w:pPr>
            <w:ins w:id="905" w:author="svcMRProcess" w:date="2019-05-11T05:32:00Z">
              <w:r>
                <w:rPr>
                  <w:b/>
                  <w:sz w:val="19"/>
                </w:rPr>
                <w:t>Commencement</w:t>
              </w:r>
            </w:ins>
          </w:p>
        </w:tc>
      </w:tr>
      <w:tr>
        <w:trPr>
          <w:cantSplit/>
          <w:ins w:id="906" w:author="svcMRProcess" w:date="2019-05-11T05:32:00Z"/>
        </w:trPr>
        <w:tc>
          <w:tcPr>
            <w:tcW w:w="2268" w:type="dxa"/>
            <w:tcBorders>
              <w:top w:val="single" w:sz="8" w:space="0" w:color="auto"/>
              <w:bottom w:val="single" w:sz="4" w:space="0" w:color="auto"/>
            </w:tcBorders>
          </w:tcPr>
          <w:p>
            <w:pPr>
              <w:pStyle w:val="nTable"/>
              <w:spacing w:after="40"/>
              <w:rPr>
                <w:ins w:id="907" w:author="svcMRProcess" w:date="2019-05-11T05:32:00Z"/>
                <w:iCs/>
                <w:sz w:val="19"/>
                <w:vertAlign w:val="superscript"/>
              </w:rPr>
            </w:pPr>
            <w:ins w:id="908" w:author="svcMRProcess" w:date="2019-05-11T05:32:00Z">
              <w:r>
                <w:rPr>
                  <w:i/>
                  <w:snapToGrid w:val="0"/>
                </w:rPr>
                <w:t>Criminal Law Amendment (Homicide) Act 2008</w:t>
              </w:r>
              <w:r>
                <w:rPr>
                  <w:iCs/>
                  <w:snapToGrid w:val="0"/>
                </w:rPr>
                <w:t xml:space="preserve"> s. 35 </w:t>
              </w:r>
              <w:r>
                <w:rPr>
                  <w:iCs/>
                  <w:snapToGrid w:val="0"/>
                  <w:vertAlign w:val="superscript"/>
                </w:rPr>
                <w:t>4</w:t>
              </w:r>
            </w:ins>
          </w:p>
        </w:tc>
        <w:tc>
          <w:tcPr>
            <w:tcW w:w="1134" w:type="dxa"/>
            <w:tcBorders>
              <w:top w:val="single" w:sz="8" w:space="0" w:color="auto"/>
              <w:bottom w:val="single" w:sz="4" w:space="0" w:color="auto"/>
            </w:tcBorders>
          </w:tcPr>
          <w:p>
            <w:pPr>
              <w:pStyle w:val="nTable"/>
              <w:spacing w:after="40"/>
              <w:rPr>
                <w:ins w:id="909" w:author="svcMRProcess" w:date="2019-05-11T05:32:00Z"/>
                <w:sz w:val="19"/>
              </w:rPr>
            </w:pPr>
            <w:ins w:id="910" w:author="svcMRProcess" w:date="2019-05-11T05:32:00Z">
              <w:r>
                <w:rPr>
                  <w:sz w:val="19"/>
                </w:rPr>
                <w:t>29 of 2008</w:t>
              </w:r>
            </w:ins>
          </w:p>
        </w:tc>
        <w:tc>
          <w:tcPr>
            <w:tcW w:w="1134" w:type="dxa"/>
            <w:tcBorders>
              <w:top w:val="single" w:sz="8" w:space="0" w:color="auto"/>
              <w:bottom w:val="single" w:sz="4" w:space="0" w:color="auto"/>
            </w:tcBorders>
          </w:tcPr>
          <w:p>
            <w:pPr>
              <w:pStyle w:val="nTable"/>
              <w:spacing w:after="40"/>
              <w:rPr>
                <w:ins w:id="911" w:author="svcMRProcess" w:date="2019-05-11T05:32:00Z"/>
                <w:sz w:val="19"/>
              </w:rPr>
            </w:pPr>
            <w:ins w:id="912" w:author="svcMRProcess" w:date="2019-05-11T05:32:00Z">
              <w:r>
                <w:rPr>
                  <w:sz w:val="19"/>
                </w:rPr>
                <w:t>27 Jun 2008</w:t>
              </w:r>
            </w:ins>
          </w:p>
        </w:tc>
        <w:tc>
          <w:tcPr>
            <w:tcW w:w="2552" w:type="dxa"/>
            <w:tcBorders>
              <w:top w:val="single" w:sz="8" w:space="0" w:color="auto"/>
              <w:bottom w:val="single" w:sz="4" w:space="0" w:color="auto"/>
            </w:tcBorders>
          </w:tcPr>
          <w:p>
            <w:pPr>
              <w:pStyle w:val="nTable"/>
              <w:spacing w:after="40"/>
              <w:rPr>
                <w:ins w:id="913" w:author="svcMRProcess" w:date="2019-05-11T05:32:00Z"/>
                <w:sz w:val="19"/>
              </w:rPr>
            </w:pPr>
            <w:ins w:id="914" w:author="svcMRProcess" w:date="2019-05-11T05:32:00Z">
              <w:r>
                <w:rPr>
                  <w:sz w:val="19"/>
                </w:rPr>
                <w:t>To be proclaimed (see s. 2)</w:t>
              </w:r>
            </w:ins>
          </w:p>
        </w:tc>
      </w:tr>
    </w:tbl>
    <w:p>
      <w:pPr>
        <w:pStyle w:val="nSubsection"/>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pPr>
        <w:pStyle w:val="nSubsection"/>
        <w:keepLines/>
        <w:rPr>
          <w:ins w:id="915" w:author="svcMRProcess" w:date="2019-05-11T05:32:00Z"/>
          <w:snapToGrid w:val="0"/>
        </w:rPr>
      </w:pPr>
      <w:bookmarkStart w:id="916" w:name="AutoSch"/>
      <w:bookmarkEnd w:id="916"/>
      <w:ins w:id="917" w:author="svcMRProcess" w:date="2019-05-11T05:32:00Z">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35 </w:t>
        </w:r>
        <w:r>
          <w:rPr>
            <w:snapToGrid w:val="0"/>
          </w:rPr>
          <w:t>had not come into operation.  It reads as follows:</w:t>
        </w:r>
      </w:ins>
    </w:p>
    <w:p>
      <w:pPr>
        <w:pStyle w:val="MiscOpen"/>
        <w:rPr>
          <w:ins w:id="918" w:author="svcMRProcess" w:date="2019-05-11T05:32:00Z"/>
        </w:rPr>
      </w:pPr>
      <w:ins w:id="919" w:author="svcMRProcess" w:date="2019-05-11T05:32:00Z">
        <w:r>
          <w:t>“</w:t>
        </w:r>
      </w:ins>
    </w:p>
    <w:p>
      <w:pPr>
        <w:pStyle w:val="nzHeading5"/>
        <w:rPr>
          <w:ins w:id="920" w:author="svcMRProcess" w:date="2019-05-11T05:32:00Z"/>
        </w:rPr>
      </w:pPr>
      <w:bookmarkStart w:id="921" w:name="_Toc201727502"/>
      <w:bookmarkStart w:id="922" w:name="_Toc202597979"/>
      <w:bookmarkStart w:id="923" w:name="_Toc202685309"/>
      <w:ins w:id="924" w:author="svcMRProcess" w:date="2019-05-11T05:32:00Z">
        <w:r>
          <w:rPr>
            <w:rStyle w:val="CharSectno"/>
          </w:rPr>
          <w:t>35</w:t>
        </w:r>
        <w:r>
          <w:t>.</w:t>
        </w:r>
        <w:r>
          <w:tab/>
        </w:r>
        <w:r>
          <w:rPr>
            <w:i/>
          </w:rPr>
          <w:t>Interpretation Act 1984</w:t>
        </w:r>
        <w:bookmarkEnd w:id="921"/>
        <w:bookmarkEnd w:id="922"/>
        <w:bookmarkEnd w:id="923"/>
        <w:r>
          <w:rPr>
            <w:iCs/>
          </w:rPr>
          <w:t xml:space="preserve"> </w:t>
        </w:r>
      </w:ins>
    </w:p>
    <w:p>
      <w:pPr>
        <w:pStyle w:val="nzSubsection"/>
        <w:rPr>
          <w:ins w:id="925" w:author="svcMRProcess" w:date="2019-05-11T05:32:00Z"/>
        </w:rPr>
      </w:pPr>
      <w:ins w:id="926" w:author="svcMRProcess" w:date="2019-05-11T05:32:00Z">
        <w:r>
          <w:tab/>
          <w:t>(1)</w:t>
        </w:r>
        <w:r>
          <w:tab/>
          <w:t xml:space="preserve">The amendments in this section are to the </w:t>
        </w:r>
        <w:r>
          <w:rPr>
            <w:i/>
          </w:rPr>
          <w:t>Interpretation Act 1984</w:t>
        </w:r>
        <w:r>
          <w:t>.</w:t>
        </w:r>
      </w:ins>
    </w:p>
    <w:p>
      <w:pPr>
        <w:pStyle w:val="nzSubsection"/>
        <w:rPr>
          <w:ins w:id="927" w:author="svcMRProcess" w:date="2019-05-11T05:32:00Z"/>
        </w:rPr>
      </w:pPr>
      <w:ins w:id="928" w:author="svcMRProcess" w:date="2019-05-11T05:32:00Z">
        <w:r>
          <w:tab/>
          <w:t>(2)</w:t>
        </w:r>
        <w:r>
          <w:tab/>
          <w:t xml:space="preserve">Section 5 is amended by inserting in the appropriate alphabetical position — </w:t>
        </w:r>
      </w:ins>
    </w:p>
    <w:p>
      <w:pPr>
        <w:pStyle w:val="MiscOpen"/>
        <w:spacing w:before="60"/>
        <w:ind w:left="879"/>
        <w:rPr>
          <w:ins w:id="929" w:author="svcMRProcess" w:date="2019-05-11T05:32:00Z"/>
        </w:rPr>
      </w:pPr>
      <w:ins w:id="930" w:author="svcMRProcess" w:date="2019-05-11T05:32:00Z">
        <w:r>
          <w:t xml:space="preserve">“    </w:t>
        </w:r>
      </w:ins>
    </w:p>
    <w:p>
      <w:pPr>
        <w:pStyle w:val="nzDefstart"/>
        <w:rPr>
          <w:ins w:id="931" w:author="svcMRProcess" w:date="2019-05-11T05:32:00Z"/>
        </w:rPr>
      </w:pPr>
      <w:ins w:id="932" w:author="svcMRProcess" w:date="2019-05-11T05:32:00Z">
        <w:r>
          <w:rPr>
            <w:b/>
          </w:rPr>
          <w:tab/>
          <w:t>“</w:t>
        </w:r>
        <w:r>
          <w:rPr>
            <w:rStyle w:val="CharDefText"/>
          </w:rPr>
          <w:t>death</w:t>
        </w:r>
        <w:r>
          <w:rPr>
            <w:b/>
          </w:rPr>
          <w:t>”</w:t>
        </w:r>
        <w:r>
          <w:t xml:space="preserve"> of a person, has a meaning affected by section 13C;</w:t>
        </w:r>
      </w:ins>
    </w:p>
    <w:p>
      <w:pPr>
        <w:pStyle w:val="MiscClose"/>
        <w:rPr>
          <w:ins w:id="933" w:author="svcMRProcess" w:date="2019-05-11T05:32:00Z"/>
        </w:rPr>
      </w:pPr>
      <w:ins w:id="934" w:author="svcMRProcess" w:date="2019-05-11T05:32:00Z">
        <w:r>
          <w:t xml:space="preserve">    ”.</w:t>
        </w:r>
      </w:ins>
    </w:p>
    <w:p>
      <w:pPr>
        <w:pStyle w:val="nzSubsection"/>
        <w:rPr>
          <w:ins w:id="935" w:author="svcMRProcess" w:date="2019-05-11T05:32:00Z"/>
        </w:rPr>
      </w:pPr>
      <w:ins w:id="936" w:author="svcMRProcess" w:date="2019-05-11T05:32:00Z">
        <w:r>
          <w:tab/>
          <w:t>(3)</w:t>
        </w:r>
        <w:r>
          <w:tab/>
          <w:t xml:space="preserve">After section 13B the following section is inserted — </w:t>
        </w:r>
      </w:ins>
    </w:p>
    <w:p>
      <w:pPr>
        <w:pStyle w:val="MiscOpen"/>
        <w:keepNext w:val="0"/>
        <w:keepLines w:val="0"/>
        <w:spacing w:before="60"/>
        <w:rPr>
          <w:ins w:id="937" w:author="svcMRProcess" w:date="2019-05-11T05:32:00Z"/>
        </w:rPr>
      </w:pPr>
      <w:ins w:id="938" w:author="svcMRProcess" w:date="2019-05-11T05:32:00Z">
        <w:r>
          <w:t xml:space="preserve">“    </w:t>
        </w:r>
      </w:ins>
    </w:p>
    <w:p>
      <w:pPr>
        <w:pStyle w:val="nzHeading5"/>
        <w:rPr>
          <w:ins w:id="939" w:author="svcMRProcess" w:date="2019-05-11T05:32:00Z"/>
        </w:rPr>
      </w:pPr>
      <w:bookmarkStart w:id="940" w:name="_Toc201727503"/>
      <w:bookmarkStart w:id="941" w:name="_Toc202597980"/>
      <w:bookmarkStart w:id="942" w:name="_Toc202685310"/>
      <w:ins w:id="943" w:author="svcMRProcess" w:date="2019-05-11T05:32:00Z">
        <w:r>
          <w:t>13C.</w:t>
        </w:r>
        <w:r>
          <w:tab/>
          <w:t>When death of a person occurs</w:t>
        </w:r>
        <w:bookmarkEnd w:id="940"/>
        <w:bookmarkEnd w:id="941"/>
        <w:bookmarkEnd w:id="942"/>
      </w:ins>
    </w:p>
    <w:p>
      <w:pPr>
        <w:pStyle w:val="nzSubsection"/>
        <w:rPr>
          <w:ins w:id="944" w:author="svcMRProcess" w:date="2019-05-11T05:32:00Z"/>
        </w:rPr>
      </w:pPr>
      <w:ins w:id="945" w:author="svcMRProcess" w:date="2019-05-11T05:32:00Z">
        <w:r>
          <w:tab/>
        </w:r>
        <w:r>
          <w:tab/>
          <w:t xml:space="preserve">For the purposes of the law of this State, a person dies when there occurs — </w:t>
        </w:r>
      </w:ins>
    </w:p>
    <w:p>
      <w:pPr>
        <w:pStyle w:val="nzIndenta"/>
        <w:rPr>
          <w:ins w:id="946" w:author="svcMRProcess" w:date="2019-05-11T05:32:00Z"/>
        </w:rPr>
      </w:pPr>
      <w:ins w:id="947" w:author="svcMRProcess" w:date="2019-05-11T05:32:00Z">
        <w:r>
          <w:tab/>
          <w:t>(a)</w:t>
        </w:r>
        <w:r>
          <w:tab/>
          <w:t>irreversible cessation of all function of the person’s brain; or</w:t>
        </w:r>
      </w:ins>
    </w:p>
    <w:p>
      <w:pPr>
        <w:pStyle w:val="nzIndenta"/>
        <w:rPr>
          <w:ins w:id="948" w:author="svcMRProcess" w:date="2019-05-11T05:32:00Z"/>
        </w:rPr>
      </w:pPr>
      <w:ins w:id="949" w:author="svcMRProcess" w:date="2019-05-11T05:32:00Z">
        <w:r>
          <w:tab/>
          <w:t>(b)</w:t>
        </w:r>
        <w:r>
          <w:tab/>
          <w:t>irreversible cessation of circulation of blood in the person’s body.</w:t>
        </w:r>
      </w:ins>
    </w:p>
    <w:p>
      <w:pPr>
        <w:pStyle w:val="MiscClose"/>
        <w:rPr>
          <w:ins w:id="950" w:author="svcMRProcess" w:date="2019-05-11T05:32:00Z"/>
        </w:rPr>
      </w:pPr>
      <w:ins w:id="951" w:author="svcMRProcess" w:date="2019-05-11T05:32:00Z">
        <w:r>
          <w:t xml:space="preserve">    ”.</w:t>
        </w:r>
      </w:ins>
    </w:p>
    <w:p>
      <w:pPr>
        <w:pStyle w:val="MiscClose"/>
        <w:rPr>
          <w:ins w:id="952" w:author="svcMRProcess" w:date="2019-05-11T05:32:00Z"/>
        </w:rPr>
      </w:pPr>
      <w:ins w:id="953" w:author="svcMRProcess" w:date="2019-05-11T05:32: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Interpretation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54FD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3093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28F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72FA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700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F21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5833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B2C3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CA1A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727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901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0D6A6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14409</Words>
  <Characters>67871</Characters>
  <Application>Microsoft Office Word</Application>
  <DocSecurity>0</DocSecurity>
  <Lines>1834</Lines>
  <Paragraphs>924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06-b0-01 - 06-c0-01</dc:title>
  <dc:subject/>
  <dc:creator/>
  <cp:keywords/>
  <dc:description/>
  <cp:lastModifiedBy>svcMRProcess</cp:lastModifiedBy>
  <cp:revision>2</cp:revision>
  <cp:lastPrinted>2007-06-13T05:21:00Z</cp:lastPrinted>
  <dcterms:created xsi:type="dcterms:W3CDTF">2019-05-10T21:32:00Z</dcterms:created>
  <dcterms:modified xsi:type="dcterms:W3CDTF">2019-05-10T21:32:00Z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384</vt:i4>
  </property>
  <property fmtid="{D5CDD505-2E9C-101B-9397-08002B2CF9AE}" pid="6" name="ReprintNo">
    <vt:lpwstr>6</vt:lpwstr>
  </property>
  <property fmtid="{D5CDD505-2E9C-101B-9397-08002B2CF9AE}" pid="7" name="FromSuffix">
    <vt:lpwstr>06-b0-01</vt:lpwstr>
  </property>
  <property fmtid="{D5CDD505-2E9C-101B-9397-08002B2CF9AE}" pid="8" name="FromAsAtDate">
    <vt:lpwstr>01 Jul 2007</vt:lpwstr>
  </property>
  <property fmtid="{D5CDD505-2E9C-101B-9397-08002B2CF9AE}" pid="9" name="ToSuffix">
    <vt:lpwstr>06-c0-01</vt:lpwstr>
  </property>
  <property fmtid="{D5CDD505-2E9C-101B-9397-08002B2CF9AE}" pid="10" name="ToAsAtDate">
    <vt:lpwstr>27 Jun 2008</vt:lpwstr>
  </property>
</Properties>
</file>