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00-i0-04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Community Protection (Offender Reporting) Act 2004</w:t>
      </w:r>
    </w:p>
    <w:p>
      <w:pPr>
        <w:pStyle w:val="LongTitle"/>
        <w:suppressLineNumbers/>
        <w:rPr>
          <w:snapToGrid w:val="0"/>
        </w:rPr>
      </w:pPr>
      <w:r>
        <w:rPr>
          <w:snapToGrid w:val="0"/>
        </w:rPr>
        <w:t>A</w:t>
      </w:r>
      <w:bookmarkStart w:id="0" w:name="_GoBack"/>
      <w:bookmarkEnd w:id="0"/>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bookmarkStart w:id="176" w:name="_Toc202764517"/>
      <w:bookmarkStart w:id="177" w:name="_Toc202764662"/>
      <w:bookmarkStart w:id="178" w:name="_Toc202849376"/>
      <w:bookmarkStart w:id="179" w:name="_Toc203537875"/>
      <w:bookmarkStart w:id="180" w:name="_Toc205284236"/>
      <w:bookmarkStart w:id="181" w:name="_Toc205284424"/>
      <w:bookmarkStart w:id="182" w:name="_Toc205284572"/>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82513218"/>
      <w:bookmarkStart w:id="184" w:name="_Toc89512619"/>
      <w:bookmarkStart w:id="185" w:name="_Toc205284237"/>
      <w:bookmarkStart w:id="186" w:name="_Toc205284573"/>
      <w:bookmarkStart w:id="187" w:name="_Toc203537876"/>
      <w:r>
        <w:rPr>
          <w:rStyle w:val="CharSectno"/>
        </w:rPr>
        <w:t>1</w:t>
      </w:r>
      <w:r>
        <w:t>.</w:t>
      </w:r>
      <w:r>
        <w:tab/>
        <w:t>Short title</w:t>
      </w:r>
      <w:bookmarkEnd w:id="183"/>
      <w:bookmarkEnd w:id="184"/>
      <w:bookmarkEnd w:id="185"/>
      <w:bookmarkEnd w:id="186"/>
      <w:bookmarkEnd w:id="187"/>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88" w:name="_Toc82513219"/>
      <w:bookmarkStart w:id="189" w:name="_Toc89512620"/>
      <w:bookmarkStart w:id="190" w:name="_Toc205284238"/>
      <w:bookmarkStart w:id="191" w:name="_Toc205284574"/>
      <w:bookmarkStart w:id="192" w:name="_Toc203537877"/>
      <w:r>
        <w:rPr>
          <w:rStyle w:val="CharSectno"/>
        </w:rPr>
        <w:t>2</w:t>
      </w:r>
      <w:r>
        <w:t>.</w:t>
      </w:r>
      <w:r>
        <w:tab/>
        <w:t>Commencement</w:t>
      </w:r>
      <w:bookmarkEnd w:id="188"/>
      <w:bookmarkEnd w:id="189"/>
      <w:bookmarkEnd w:id="190"/>
      <w:bookmarkEnd w:id="191"/>
      <w:bookmarkEnd w:id="192"/>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93" w:name="_Toc205284239"/>
      <w:bookmarkStart w:id="194" w:name="_Toc205284575"/>
      <w:bookmarkStart w:id="195" w:name="_Toc203537878"/>
      <w:r>
        <w:rPr>
          <w:rStyle w:val="CharSectno"/>
        </w:rPr>
        <w:t>3</w:t>
      </w:r>
      <w:r>
        <w:t>.</w:t>
      </w:r>
      <w:r>
        <w:tab/>
        <w:t>Terms used in this Act</w:t>
      </w:r>
      <w:bookmarkEnd w:id="193"/>
      <w:bookmarkEnd w:id="194"/>
      <w:bookmarkEnd w:id="195"/>
    </w:p>
    <w:p>
      <w:pPr>
        <w:pStyle w:val="Subsection"/>
      </w:pPr>
      <w:r>
        <w:tab/>
      </w:r>
      <w:r>
        <w:tab/>
        <w:t xml:space="preserve">In this Act, unless the context otherwise requires — </w:t>
      </w:r>
    </w:p>
    <w:p>
      <w:pPr>
        <w:pStyle w:val="Defstart"/>
      </w:pPr>
      <w:r>
        <w:rPr>
          <w:b/>
        </w:rPr>
        <w:tab/>
      </w:r>
      <w:del w:id="196" w:author="svcMRProcess" w:date="2018-08-22T00:45:00Z">
        <w:r>
          <w:rPr>
            <w:b/>
          </w:rPr>
          <w:delText>“</w:delText>
        </w:r>
      </w:del>
      <w:r>
        <w:rPr>
          <w:rStyle w:val="CharDefText"/>
        </w:rPr>
        <w:t>approved place</w:t>
      </w:r>
      <w:del w:id="197" w:author="svcMRProcess" w:date="2018-08-22T00:45:00Z">
        <w:r>
          <w:rPr>
            <w:b/>
          </w:rPr>
          <w:delText>”</w:delText>
        </w:r>
      </w:del>
      <w:r>
        <w:t xml:space="preserve"> means a place approved by the Commissioner under section 34(1)(b);</w:t>
      </w:r>
    </w:p>
    <w:p>
      <w:pPr>
        <w:pStyle w:val="Defstart"/>
      </w:pPr>
      <w:r>
        <w:rPr>
          <w:b/>
        </w:rPr>
        <w:tab/>
      </w:r>
      <w:del w:id="198" w:author="svcMRProcess" w:date="2018-08-22T00:45:00Z">
        <w:r>
          <w:rPr>
            <w:b/>
          </w:rPr>
          <w:delText>“</w:delText>
        </w:r>
      </w:del>
      <w:r>
        <w:rPr>
          <w:rStyle w:val="CharDefText"/>
        </w:rPr>
        <w:t>authorised person</w:t>
      </w:r>
      <w:del w:id="199" w:author="svcMRProcess" w:date="2018-08-22T00:45:00Z">
        <w:r>
          <w:rPr>
            <w:b/>
          </w:rPr>
          <w:delText>”</w:delText>
        </w:r>
      </w:del>
      <w:r>
        <w:t xml:space="preserve"> means a police officer or a person, or a person who falls within a class of persons, prescribed by the regulations;</w:t>
      </w:r>
    </w:p>
    <w:p>
      <w:pPr>
        <w:pStyle w:val="Defstart"/>
      </w:pPr>
      <w:r>
        <w:rPr>
          <w:b/>
        </w:rPr>
        <w:tab/>
      </w:r>
      <w:del w:id="200" w:author="svcMRProcess" w:date="2018-08-22T00:45:00Z">
        <w:r>
          <w:rPr>
            <w:b/>
          </w:rPr>
          <w:delText>“</w:delText>
        </w:r>
      </w:del>
      <w:r>
        <w:rPr>
          <w:rStyle w:val="CharDefText"/>
        </w:rPr>
        <w:t>child</w:t>
      </w:r>
      <w:del w:id="201" w:author="svcMRProcess" w:date="2018-08-22T00:45:00Z">
        <w:r>
          <w:rPr>
            <w:b/>
          </w:rPr>
          <w:delText>”</w:delText>
        </w:r>
      </w:del>
      <w:r>
        <w:t xml:space="preserve"> means a person who is under 18 years of age;</w:t>
      </w:r>
    </w:p>
    <w:p>
      <w:pPr>
        <w:pStyle w:val="Defstart"/>
      </w:pPr>
      <w:r>
        <w:rPr>
          <w:b/>
        </w:rPr>
        <w:tab/>
      </w:r>
      <w:del w:id="202" w:author="svcMRProcess" w:date="2018-08-22T00:45:00Z">
        <w:r>
          <w:rPr>
            <w:b/>
          </w:rPr>
          <w:delText>“</w:delText>
        </w:r>
      </w:del>
      <w:r>
        <w:rPr>
          <w:rStyle w:val="CharDefText"/>
        </w:rPr>
        <w:t>Class 1 offence</w:t>
      </w:r>
      <w:del w:id="203" w:author="svcMRProcess" w:date="2018-08-22T00:45:00Z">
        <w:r>
          <w:rPr>
            <w:b/>
          </w:rPr>
          <w:delText>”</w:delText>
        </w:r>
      </w:del>
      <w:r>
        <w:t xml:space="preserve"> has the meaning given to that term in section 10;</w:t>
      </w:r>
    </w:p>
    <w:p>
      <w:pPr>
        <w:pStyle w:val="Defstart"/>
      </w:pPr>
      <w:r>
        <w:rPr>
          <w:b/>
        </w:rPr>
        <w:tab/>
      </w:r>
      <w:del w:id="204" w:author="svcMRProcess" w:date="2018-08-22T00:45:00Z">
        <w:r>
          <w:rPr>
            <w:b/>
          </w:rPr>
          <w:delText>“</w:delText>
        </w:r>
      </w:del>
      <w:r>
        <w:rPr>
          <w:rStyle w:val="CharDefText"/>
        </w:rPr>
        <w:t>Class 2 offence</w:t>
      </w:r>
      <w:del w:id="205" w:author="svcMRProcess" w:date="2018-08-22T00:45:00Z">
        <w:r>
          <w:rPr>
            <w:b/>
          </w:rPr>
          <w:delText>”</w:delText>
        </w:r>
      </w:del>
      <w:r>
        <w:t xml:space="preserve"> has the meaning given to that term in section 11;</w:t>
      </w:r>
    </w:p>
    <w:p>
      <w:pPr>
        <w:pStyle w:val="Defstart"/>
      </w:pPr>
      <w:r>
        <w:rPr>
          <w:b/>
        </w:rPr>
        <w:tab/>
      </w:r>
      <w:del w:id="206" w:author="svcMRProcess" w:date="2018-08-22T00:45:00Z">
        <w:r>
          <w:rPr>
            <w:b/>
          </w:rPr>
          <w:delText>“</w:delText>
        </w:r>
      </w:del>
      <w:r>
        <w:rPr>
          <w:rStyle w:val="CharDefText"/>
        </w:rPr>
        <w:t>Class 3 offence</w:t>
      </w:r>
      <w:del w:id="207" w:author="svcMRProcess" w:date="2018-08-22T00:45:00Z">
        <w:r>
          <w:rPr>
            <w:b/>
          </w:rPr>
          <w:delText>”</w:delText>
        </w:r>
      </w:del>
      <w:r>
        <w:t xml:space="preserve"> has the meaning given to that term in section 12;</w:t>
      </w:r>
    </w:p>
    <w:p>
      <w:pPr>
        <w:pStyle w:val="Defstart"/>
      </w:pPr>
      <w:r>
        <w:rPr>
          <w:b/>
        </w:rPr>
        <w:tab/>
      </w:r>
      <w:del w:id="208" w:author="svcMRProcess" w:date="2018-08-22T00:45:00Z">
        <w:r>
          <w:rPr>
            <w:b/>
          </w:rPr>
          <w:delText>“</w:delText>
        </w:r>
      </w:del>
      <w:r>
        <w:rPr>
          <w:rStyle w:val="CharDefText"/>
        </w:rPr>
        <w:t>commencement day</w:t>
      </w:r>
      <w:del w:id="209" w:author="svcMRProcess" w:date="2018-08-22T00:45:00Z">
        <w:r>
          <w:rPr>
            <w:b/>
          </w:rPr>
          <w:delText>”</w:delText>
        </w:r>
      </w:del>
      <w:r>
        <w:t xml:space="preserve"> means the day on which section 24 comes into operation;</w:t>
      </w:r>
    </w:p>
    <w:p>
      <w:pPr>
        <w:pStyle w:val="Defstart"/>
      </w:pPr>
      <w:r>
        <w:rPr>
          <w:b/>
        </w:rPr>
        <w:tab/>
      </w:r>
      <w:del w:id="210" w:author="svcMRProcess" w:date="2018-08-22T00:45:00Z">
        <w:r>
          <w:rPr>
            <w:b/>
          </w:rPr>
          <w:delText>“</w:delText>
        </w:r>
      </w:del>
      <w:r>
        <w:rPr>
          <w:rStyle w:val="CharDefText"/>
        </w:rPr>
        <w:t>Commissioner</w:t>
      </w:r>
      <w:del w:id="211" w:author="svcMRProcess" w:date="2018-08-22T00:45:00Z">
        <w:r>
          <w:rPr>
            <w:b/>
          </w:rPr>
          <w:delText>”</w:delText>
        </w:r>
      </w:del>
      <w:r>
        <w:t xml:space="preserve"> means the person holding or acting in the office of Commissioner of Police under the </w:t>
      </w:r>
      <w:r>
        <w:rPr>
          <w:i/>
        </w:rPr>
        <w:t>Police Act 1892</w:t>
      </w:r>
      <w:r>
        <w:t>;</w:t>
      </w:r>
    </w:p>
    <w:p>
      <w:pPr>
        <w:pStyle w:val="Defstart"/>
        <w:keepNext/>
      </w:pPr>
      <w:r>
        <w:rPr>
          <w:b/>
        </w:rPr>
        <w:tab/>
      </w:r>
      <w:del w:id="212" w:author="svcMRProcess" w:date="2018-08-22T00:45:00Z">
        <w:r>
          <w:rPr>
            <w:b/>
          </w:rPr>
          <w:delText>“</w:delText>
        </w:r>
      </w:del>
      <w:r>
        <w:rPr>
          <w:rStyle w:val="CharDefText"/>
        </w:rPr>
        <w:t>community order</w:t>
      </w:r>
      <w:del w:id="213" w:author="svcMRProcess" w:date="2018-08-22T00:45:00Z">
        <w:r>
          <w:rPr>
            <w:b/>
          </w:rPr>
          <w:delText>”</w:delText>
        </w:r>
      </w:del>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del w:id="214" w:author="svcMRProcess" w:date="2018-08-22T00:45:00Z">
        <w:r>
          <w:rPr>
            <w:b/>
          </w:rPr>
          <w:delText>“</w:delText>
        </w:r>
      </w:del>
      <w:r>
        <w:rPr>
          <w:rStyle w:val="CharDefText"/>
        </w:rPr>
        <w:t>corresponding Act</w:t>
      </w:r>
      <w:del w:id="215" w:author="svcMRProcess" w:date="2018-08-22T00:45:00Z">
        <w:r>
          <w:rPr>
            <w:b/>
          </w:rPr>
          <w:delText>”</w:delText>
        </w:r>
      </w:del>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del w:id="216" w:author="svcMRProcess" w:date="2018-08-22T00:45:00Z">
        <w:r>
          <w:rPr>
            <w:b/>
          </w:rPr>
          <w:delText>“</w:delText>
        </w:r>
      </w:del>
      <w:r>
        <w:rPr>
          <w:rStyle w:val="CharDefText"/>
        </w:rPr>
        <w:t>corresponding offender reporting order</w:t>
      </w:r>
      <w:del w:id="217" w:author="svcMRProcess" w:date="2018-08-22T00:45:00Z">
        <w:r>
          <w:rPr>
            <w:b/>
          </w:rPr>
          <w:delText>”</w:delText>
        </w:r>
      </w:del>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del w:id="218" w:author="svcMRProcess" w:date="2018-08-22T00:45:00Z">
        <w:r>
          <w:rPr>
            <w:b/>
          </w:rPr>
          <w:delText>“</w:delText>
        </w:r>
      </w:del>
      <w:r>
        <w:rPr>
          <w:rStyle w:val="CharDefText"/>
        </w:rPr>
        <w:t>corresponding registrar</w:t>
      </w:r>
      <w:del w:id="219" w:author="svcMRProcess" w:date="2018-08-22T00:45:00Z">
        <w:r>
          <w:rPr>
            <w:b/>
          </w:rPr>
          <w:delText>”</w:delText>
        </w:r>
      </w:del>
      <w:r>
        <w:t xml:space="preserve"> means the person whose functions under a corresponding Act most closely correspond to the functions of the Commissioner under this Act;</w:t>
      </w:r>
    </w:p>
    <w:p>
      <w:pPr>
        <w:pStyle w:val="Defstart"/>
      </w:pPr>
      <w:r>
        <w:tab/>
      </w:r>
      <w:del w:id="220" w:author="svcMRProcess" w:date="2018-08-22T00:45:00Z">
        <w:r>
          <w:rPr>
            <w:b/>
          </w:rPr>
          <w:delText>“</w:delText>
        </w:r>
      </w:del>
      <w:r>
        <w:rPr>
          <w:rStyle w:val="CharDefText"/>
        </w:rPr>
        <w:t>corresponding reportable offence</w:t>
      </w:r>
      <w:del w:id="221" w:author="svcMRProcess" w:date="2018-08-22T00:45:00Z">
        <w:r>
          <w:rPr>
            <w:b/>
          </w:rPr>
          <w:delText>”</w:delText>
        </w:r>
      </w:del>
      <w:r>
        <w:t xml:space="preserve"> means an offence that is a reportable offence for the purposes of a corresponding Act but is not a reportable offence as defined in section 9;</w:t>
      </w:r>
    </w:p>
    <w:p>
      <w:pPr>
        <w:pStyle w:val="Defstart"/>
      </w:pPr>
      <w:r>
        <w:tab/>
      </w:r>
      <w:del w:id="222" w:author="svcMRProcess" w:date="2018-08-22T00:45:00Z">
        <w:r>
          <w:rPr>
            <w:b/>
          </w:rPr>
          <w:delText>“</w:delText>
        </w:r>
      </w:del>
      <w:r>
        <w:rPr>
          <w:rStyle w:val="CharDefText"/>
        </w:rPr>
        <w:t>corresponding reportable offender</w:t>
      </w:r>
      <w:del w:id="223" w:author="svcMRProcess" w:date="2018-08-22T00:45:00Z">
        <w:r>
          <w:rPr>
            <w:b/>
          </w:rPr>
          <w:delText>”</w:delText>
        </w:r>
      </w:del>
      <w:r>
        <w:t xml:space="preserve"> has the meaning given to that term in section 7;</w:t>
      </w:r>
    </w:p>
    <w:p>
      <w:pPr>
        <w:pStyle w:val="Defstart"/>
      </w:pPr>
      <w:r>
        <w:rPr>
          <w:b/>
        </w:rPr>
        <w:tab/>
      </w:r>
      <w:del w:id="224" w:author="svcMRProcess" w:date="2018-08-22T00:45:00Z">
        <w:r>
          <w:rPr>
            <w:b/>
          </w:rPr>
          <w:delText>“</w:delText>
        </w:r>
      </w:del>
      <w:r>
        <w:rPr>
          <w:rStyle w:val="CharDefText"/>
        </w:rPr>
        <w:t>court</w:t>
      </w:r>
      <w:del w:id="225" w:author="svcMRProcess" w:date="2018-08-22T00:45:00Z">
        <w:r>
          <w:rPr>
            <w:b/>
          </w:rPr>
          <w:delText>”</w:delText>
        </w:r>
      </w:del>
      <w:r>
        <w:t xml:space="preserve"> includes a court (however described) of a foreign jurisdiction;</w:t>
      </w:r>
    </w:p>
    <w:p>
      <w:pPr>
        <w:pStyle w:val="Defstart"/>
      </w:pPr>
      <w:r>
        <w:rPr>
          <w:b/>
        </w:rPr>
        <w:tab/>
      </w:r>
      <w:del w:id="226" w:author="svcMRProcess" w:date="2018-08-22T00:45:00Z">
        <w:r>
          <w:rPr>
            <w:b/>
          </w:rPr>
          <w:delText>“</w:delText>
        </w:r>
      </w:del>
      <w:r>
        <w:rPr>
          <w:rStyle w:val="CharDefText"/>
        </w:rPr>
        <w:t>detainee</w:t>
      </w:r>
      <w:del w:id="227" w:author="svcMRProcess" w:date="2018-08-22T00:45:00Z">
        <w:r>
          <w:rPr>
            <w:b/>
          </w:rPr>
          <w:delText>”</w:delText>
        </w:r>
      </w:del>
      <w:r>
        <w:t xml:space="preserve"> means a person who is detained in a detention centre, as defined in the </w:t>
      </w:r>
      <w:r>
        <w:rPr>
          <w:i/>
        </w:rPr>
        <w:t>Young Offenders Act 1994</w:t>
      </w:r>
      <w:r>
        <w:t xml:space="preserve"> section 3;</w:t>
      </w:r>
    </w:p>
    <w:p>
      <w:pPr>
        <w:pStyle w:val="Defstart"/>
        <w:keepNext/>
      </w:pPr>
      <w:r>
        <w:rPr>
          <w:b/>
        </w:rPr>
        <w:tab/>
      </w:r>
      <w:del w:id="228" w:author="svcMRProcess" w:date="2018-08-22T00:45:00Z">
        <w:r>
          <w:rPr>
            <w:b/>
          </w:rPr>
          <w:delText>“</w:delText>
        </w:r>
      </w:del>
      <w:r>
        <w:rPr>
          <w:rStyle w:val="CharDefText"/>
        </w:rPr>
        <w:t>disability</w:t>
      </w:r>
      <w:del w:id="229" w:author="svcMRProcess" w:date="2018-08-22T00:45:00Z">
        <w:r>
          <w:rPr>
            <w:b/>
          </w:rPr>
          <w:delText>”</w:delText>
        </w:r>
        <w:r>
          <w:delText>,</w:delText>
        </w:r>
      </w:del>
      <w:ins w:id="230" w:author="svcMRProcess" w:date="2018-08-22T00:45:00Z">
        <w:r>
          <w:t>,</w:t>
        </w:r>
      </w:ins>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pPr>
      <w:r>
        <w:tab/>
        <w:t>(c)</w:t>
      </w:r>
      <w:r>
        <w:tab/>
        <w:t>any illness or condition that impairs the person’s thought processes, perception of reality, emotions or judgment or that results in disturbed behaviour,</w:t>
      </w:r>
    </w:p>
    <w:p>
      <w:pPr>
        <w:pStyle w:val="Defstart"/>
      </w:pPr>
      <w:del w:id="231" w:author="svcMRProcess" w:date="2018-08-22T00:45:00Z">
        <w:r>
          <w:tab/>
        </w:r>
      </w:del>
      <w:r>
        <w:tab/>
        <w:t>whether arising from a condition subsisting at birth or from an illness or injury;</w:t>
      </w:r>
    </w:p>
    <w:p>
      <w:pPr>
        <w:pStyle w:val="Defstart"/>
      </w:pPr>
      <w:r>
        <w:tab/>
      </w:r>
      <w:del w:id="232" w:author="svcMRProcess" w:date="2018-08-22T00:45:00Z">
        <w:r>
          <w:rPr>
            <w:b/>
          </w:rPr>
          <w:delText>“</w:delText>
        </w:r>
      </w:del>
      <w:r>
        <w:rPr>
          <w:rStyle w:val="CharDefText"/>
        </w:rPr>
        <w:t>existing controlled reportable offender</w:t>
      </w:r>
      <w:del w:id="233" w:author="svcMRProcess" w:date="2018-08-22T00:45:00Z">
        <w:r>
          <w:rPr>
            <w:b/>
          </w:rPr>
          <w:delText>”</w:delText>
        </w:r>
      </w:del>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del w:id="234" w:author="svcMRProcess" w:date="2018-08-22T00:45:00Z">
        <w:r>
          <w:rPr>
            <w:b/>
          </w:rPr>
          <w:delText>“</w:delText>
        </w:r>
      </w:del>
      <w:r>
        <w:rPr>
          <w:rStyle w:val="CharDefText"/>
        </w:rPr>
        <w:t>existing licensee</w:t>
      </w:r>
      <w:del w:id="235" w:author="svcMRProcess" w:date="2018-08-22T00:45:00Z">
        <w:r>
          <w:rPr>
            <w:b/>
          </w:rPr>
          <w:delText>”</w:delText>
        </w:r>
      </w:del>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del w:id="236" w:author="svcMRProcess" w:date="2018-08-22T00:45:00Z">
        <w:r>
          <w:tab/>
        </w:r>
      </w:del>
      <w:r>
        <w:tab/>
        <w:t>and includes a person who has a similar status under the laws of a foreign jurisdiction;</w:t>
      </w:r>
    </w:p>
    <w:p>
      <w:pPr>
        <w:pStyle w:val="Defstart"/>
      </w:pPr>
      <w:r>
        <w:rPr>
          <w:b/>
        </w:rPr>
        <w:tab/>
      </w:r>
      <w:del w:id="237" w:author="svcMRProcess" w:date="2018-08-22T00:45:00Z">
        <w:r>
          <w:rPr>
            <w:b/>
          </w:rPr>
          <w:delText>“</w:delText>
        </w:r>
      </w:del>
      <w:r>
        <w:rPr>
          <w:rStyle w:val="CharDefText"/>
        </w:rPr>
        <w:t>finding of guilt</w:t>
      </w:r>
      <w:del w:id="238" w:author="svcMRProcess" w:date="2018-08-22T00:45:00Z">
        <w:r>
          <w:rPr>
            <w:b/>
          </w:rPr>
          <w:delText>”</w:delText>
        </w:r>
      </w:del>
      <w:r>
        <w:t xml:space="preserve"> has the meaning given to that term in section 4;</w:t>
      </w:r>
    </w:p>
    <w:p>
      <w:pPr>
        <w:pStyle w:val="Defstart"/>
      </w:pPr>
      <w:r>
        <w:rPr>
          <w:b/>
        </w:rPr>
        <w:tab/>
      </w:r>
      <w:del w:id="239" w:author="svcMRProcess" w:date="2018-08-22T00:45:00Z">
        <w:r>
          <w:rPr>
            <w:b/>
          </w:rPr>
          <w:delText>“</w:delText>
        </w:r>
      </w:del>
      <w:r>
        <w:rPr>
          <w:rStyle w:val="CharDefText"/>
        </w:rPr>
        <w:t>foreign jurisdiction</w:t>
      </w:r>
      <w:del w:id="240" w:author="svcMRProcess" w:date="2018-08-22T00:45:00Z">
        <w:r>
          <w:rPr>
            <w:b/>
          </w:rPr>
          <w:delText>”</w:delText>
        </w:r>
      </w:del>
      <w:r>
        <w:t xml:space="preserve"> means a jurisdiction other than Western Australia (including jurisdictions outside Australia);</w:t>
      </w:r>
    </w:p>
    <w:p>
      <w:pPr>
        <w:pStyle w:val="Defstart"/>
      </w:pPr>
      <w:r>
        <w:rPr>
          <w:b/>
        </w:rPr>
        <w:tab/>
      </w:r>
      <w:del w:id="241" w:author="svcMRProcess" w:date="2018-08-22T00:45:00Z">
        <w:r>
          <w:rPr>
            <w:b/>
          </w:rPr>
          <w:delText>“</w:delText>
        </w:r>
      </w:del>
      <w:r>
        <w:rPr>
          <w:rStyle w:val="CharDefText"/>
        </w:rPr>
        <w:t>foreign witness protection law</w:t>
      </w:r>
      <w:del w:id="242" w:author="svcMRProcess" w:date="2018-08-22T00:45:00Z">
        <w:r>
          <w:rPr>
            <w:b/>
          </w:rPr>
          <w:delText>”</w:delText>
        </w:r>
      </w:del>
      <w:r>
        <w:t xml:space="preserve"> means a law of a foreign jurisdiction that provides for the protection of witnesses;</w:t>
      </w:r>
    </w:p>
    <w:p>
      <w:pPr>
        <w:pStyle w:val="Defstart"/>
      </w:pPr>
      <w:r>
        <w:rPr>
          <w:b/>
        </w:rPr>
        <w:tab/>
      </w:r>
      <w:del w:id="243" w:author="svcMRProcess" w:date="2018-08-22T00:45:00Z">
        <w:r>
          <w:rPr>
            <w:b/>
          </w:rPr>
          <w:delText>“</w:delText>
        </w:r>
      </w:del>
      <w:r>
        <w:rPr>
          <w:rStyle w:val="CharDefText"/>
        </w:rPr>
        <w:t>government custody</w:t>
      </w:r>
      <w:del w:id="244" w:author="svcMRProcess" w:date="2018-08-22T00:45:00Z">
        <w:r>
          <w:rPr>
            <w:b/>
          </w:rPr>
          <w:delText>”</w:delText>
        </w:r>
      </w:del>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Defendants) Act 1996</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del w:id="245" w:author="svcMRProcess" w:date="2018-08-22T00:45:00Z">
        <w:r>
          <w:rPr>
            <w:b/>
          </w:rPr>
          <w:delText>“</w:delText>
        </w:r>
      </w:del>
      <w:r>
        <w:rPr>
          <w:rStyle w:val="CharDefText"/>
        </w:rPr>
        <w:t>mentally impaired defendant</w:t>
      </w:r>
      <w:del w:id="246" w:author="svcMRProcess" w:date="2018-08-22T00:45:00Z">
        <w:r>
          <w:rPr>
            <w:b/>
          </w:rPr>
          <w:delText>”</w:delText>
        </w:r>
      </w:del>
      <w:r>
        <w:t xml:space="preserve"> means a person who is subject to a custody order made under the </w:t>
      </w:r>
      <w:r>
        <w:rPr>
          <w:i/>
        </w:rPr>
        <w:t>Criminal Law (Mentally Impaired Defendants) Act 1996</w:t>
      </w:r>
      <w:r>
        <w:t xml:space="preserve"> Part 4;</w:t>
      </w:r>
    </w:p>
    <w:p>
      <w:pPr>
        <w:pStyle w:val="Defstart"/>
      </w:pPr>
      <w:r>
        <w:rPr>
          <w:b/>
        </w:rPr>
        <w:tab/>
      </w:r>
      <w:del w:id="247" w:author="svcMRProcess" w:date="2018-08-22T00:45:00Z">
        <w:r>
          <w:rPr>
            <w:b/>
          </w:rPr>
          <w:delText>“</w:delText>
        </w:r>
      </w:del>
      <w:r>
        <w:rPr>
          <w:rStyle w:val="CharDefText"/>
        </w:rPr>
        <w:t>New South Wales Act</w:t>
      </w:r>
      <w:del w:id="248" w:author="svcMRProcess" w:date="2018-08-22T00:45:00Z">
        <w:r>
          <w:rPr>
            <w:b/>
          </w:rPr>
          <w:delText>”</w:delText>
        </w:r>
      </w:del>
      <w:r>
        <w:t xml:space="preserve"> means the </w:t>
      </w:r>
      <w:r>
        <w:rPr>
          <w:i/>
        </w:rPr>
        <w:t>Child Protection (Offenders Registration) Act 2000</w:t>
      </w:r>
      <w:r>
        <w:t xml:space="preserve"> of New South Wales;</w:t>
      </w:r>
    </w:p>
    <w:p>
      <w:pPr>
        <w:pStyle w:val="Defstart"/>
      </w:pPr>
      <w:r>
        <w:tab/>
      </w:r>
      <w:del w:id="249" w:author="svcMRProcess" w:date="2018-08-22T00:45:00Z">
        <w:r>
          <w:rPr>
            <w:b/>
          </w:rPr>
          <w:delText>“</w:delText>
        </w:r>
      </w:del>
      <w:r>
        <w:rPr>
          <w:rStyle w:val="CharDefText"/>
        </w:rPr>
        <w:t>New South Wales reportable offender</w:t>
      </w:r>
      <w:del w:id="250" w:author="svcMRProcess" w:date="2018-08-22T00:45:00Z">
        <w:r>
          <w:rPr>
            <w:b/>
          </w:rPr>
          <w:delText>”</w:delText>
        </w:r>
      </w:del>
      <w:r>
        <w:t xml:space="preserve"> has the meaning given to that term in section 8;</w:t>
      </w:r>
    </w:p>
    <w:p>
      <w:pPr>
        <w:pStyle w:val="Defstart"/>
        <w:rPr>
          <w:b/>
          <w:i/>
        </w:rPr>
      </w:pPr>
      <w:r>
        <w:rPr>
          <w:b/>
        </w:rPr>
        <w:tab/>
      </w:r>
      <w:del w:id="251" w:author="svcMRProcess" w:date="2018-08-22T00:45:00Z">
        <w:r>
          <w:rPr>
            <w:b/>
          </w:rPr>
          <w:delText>“</w:delText>
        </w:r>
      </w:del>
      <w:r>
        <w:rPr>
          <w:rStyle w:val="CharDefText"/>
        </w:rPr>
        <w:t>offender reporting order</w:t>
      </w:r>
      <w:del w:id="252" w:author="svcMRProcess" w:date="2018-08-22T00:45:00Z">
        <w:r>
          <w:rPr>
            <w:b/>
          </w:rPr>
          <w:delText>”</w:delText>
        </w:r>
      </w:del>
      <w:r>
        <w:t xml:space="preserve"> means an order made under section 13 and includes a corresponding offender reporting order;</w:t>
      </w:r>
    </w:p>
    <w:p>
      <w:pPr>
        <w:pStyle w:val="Defstart"/>
      </w:pPr>
      <w:r>
        <w:rPr>
          <w:b/>
        </w:rPr>
        <w:tab/>
      </w:r>
      <w:del w:id="253" w:author="svcMRProcess" w:date="2018-08-22T00:45:00Z">
        <w:r>
          <w:rPr>
            <w:b/>
          </w:rPr>
          <w:delText>“</w:delText>
        </w:r>
      </w:del>
      <w:r>
        <w:rPr>
          <w:rStyle w:val="CharDefText"/>
        </w:rPr>
        <w:t>parole</w:t>
      </w:r>
      <w:del w:id="254" w:author="svcMRProcess" w:date="2018-08-22T00:45:00Z">
        <w:r>
          <w:rPr>
            <w:b/>
          </w:rPr>
          <w:delText>”</w:delText>
        </w:r>
      </w:del>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del w:id="255" w:author="svcMRProcess" w:date="2018-08-22T00:45:00Z">
        <w:r>
          <w:rPr>
            <w:b/>
          </w:rPr>
          <w:delText>“</w:delText>
        </w:r>
      </w:del>
      <w:r>
        <w:rPr>
          <w:rStyle w:val="CharDefText"/>
        </w:rPr>
        <w:t>past offender reporting order</w:t>
      </w:r>
      <w:del w:id="256" w:author="svcMRProcess" w:date="2018-08-22T00:45:00Z">
        <w:r>
          <w:rPr>
            <w:b/>
          </w:rPr>
          <w:delText>”</w:delText>
        </w:r>
      </w:del>
      <w:r>
        <w:t xml:space="preserve"> means an order made under section 19;</w:t>
      </w:r>
    </w:p>
    <w:p>
      <w:pPr>
        <w:pStyle w:val="Defstart"/>
      </w:pPr>
      <w:r>
        <w:rPr>
          <w:b/>
        </w:rPr>
        <w:tab/>
      </w:r>
      <w:del w:id="257" w:author="svcMRProcess" w:date="2018-08-22T00:45:00Z">
        <w:r>
          <w:rPr>
            <w:b/>
          </w:rPr>
          <w:delText>“</w:delText>
        </w:r>
      </w:del>
      <w:r>
        <w:rPr>
          <w:rStyle w:val="CharDefText"/>
        </w:rPr>
        <w:t>personal details</w:t>
      </w:r>
      <w:del w:id="258" w:author="svcMRProcess" w:date="2018-08-22T00:45:00Z">
        <w:r>
          <w:rPr>
            <w:b/>
          </w:rPr>
          <w:delText>”</w:delText>
        </w:r>
      </w:del>
      <w:r>
        <w:t xml:space="preserve"> means the information listed in section 26(1);</w:t>
      </w:r>
    </w:p>
    <w:p>
      <w:pPr>
        <w:pStyle w:val="Defstart"/>
      </w:pPr>
      <w:r>
        <w:rPr>
          <w:b/>
        </w:rPr>
        <w:tab/>
      </w:r>
      <w:del w:id="259" w:author="svcMRProcess" w:date="2018-08-22T00:45:00Z">
        <w:r>
          <w:rPr>
            <w:b/>
          </w:rPr>
          <w:delText>“</w:delText>
        </w:r>
      </w:del>
      <w:r>
        <w:rPr>
          <w:rStyle w:val="CharDefText"/>
        </w:rPr>
        <w:t>personal information</w:t>
      </w:r>
      <w:del w:id="260" w:author="svcMRProcess" w:date="2018-08-22T00:45:00Z">
        <w:r>
          <w:rPr>
            <w:b/>
          </w:rPr>
          <w:delText>”</w:delText>
        </w:r>
      </w:del>
      <w:r>
        <w:t xml:space="preserve"> means information about an individual whose identity is apparent or can reasonably be ascertained from the information;</w:t>
      </w:r>
    </w:p>
    <w:p>
      <w:pPr>
        <w:pStyle w:val="Defstart"/>
      </w:pPr>
      <w:r>
        <w:rPr>
          <w:b/>
        </w:rPr>
        <w:tab/>
      </w:r>
      <w:del w:id="261" w:author="svcMRProcess" w:date="2018-08-22T00:45:00Z">
        <w:r>
          <w:rPr>
            <w:b/>
          </w:rPr>
          <w:delText>“</w:delText>
        </w:r>
      </w:del>
      <w:r>
        <w:rPr>
          <w:rStyle w:val="CharDefText"/>
        </w:rPr>
        <w:t>prisoner</w:t>
      </w:r>
      <w:del w:id="262" w:author="svcMRProcess" w:date="2018-08-22T00:45:00Z">
        <w:r>
          <w:rPr>
            <w:b/>
          </w:rPr>
          <w:delText>”</w:delText>
        </w:r>
      </w:del>
      <w:r>
        <w:t xml:space="preserve"> has the meaning given to that term in the </w:t>
      </w:r>
      <w:r>
        <w:rPr>
          <w:i/>
        </w:rPr>
        <w:t>Prisons Act 1981</w:t>
      </w:r>
      <w:r>
        <w:t xml:space="preserve"> section 3;</w:t>
      </w:r>
    </w:p>
    <w:p>
      <w:pPr>
        <w:pStyle w:val="Defstart"/>
      </w:pPr>
      <w:r>
        <w:rPr>
          <w:b/>
        </w:rPr>
        <w:tab/>
      </w:r>
      <w:del w:id="263" w:author="svcMRProcess" w:date="2018-08-22T00:45:00Z">
        <w:r>
          <w:rPr>
            <w:b/>
          </w:rPr>
          <w:delText>“</w:delText>
        </w:r>
      </w:del>
      <w:r>
        <w:rPr>
          <w:rStyle w:val="CharDefText"/>
        </w:rPr>
        <w:t>prohibition order</w:t>
      </w:r>
      <w:del w:id="264" w:author="svcMRProcess" w:date="2018-08-22T00:45:00Z">
        <w:r>
          <w:rPr>
            <w:b/>
          </w:rPr>
          <w:delText>”</w:delText>
        </w:r>
      </w:del>
      <w:r>
        <w:t xml:space="preserve"> has the meaning given to that term in section 85;</w:t>
      </w:r>
    </w:p>
    <w:p>
      <w:pPr>
        <w:pStyle w:val="Defstart"/>
      </w:pPr>
      <w:r>
        <w:rPr>
          <w:b/>
        </w:rPr>
        <w:tab/>
      </w:r>
      <w:del w:id="265" w:author="svcMRProcess" w:date="2018-08-22T00:45:00Z">
        <w:r>
          <w:rPr>
            <w:b/>
          </w:rPr>
          <w:delText>“</w:delText>
        </w:r>
      </w:del>
      <w:r>
        <w:rPr>
          <w:rStyle w:val="CharDefText"/>
        </w:rPr>
        <w:t>public authority</w:t>
      </w:r>
      <w:del w:id="266" w:author="svcMRProcess" w:date="2018-08-22T00:45:00Z">
        <w:r>
          <w:rPr>
            <w:b/>
          </w:rPr>
          <w:delText>”</w:delText>
        </w:r>
      </w:del>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r>
      <w:del w:id="267" w:author="svcMRProcess" w:date="2018-08-22T00:45:00Z">
        <w:r>
          <w:rPr>
            <w:b/>
          </w:rPr>
          <w:delText>“</w:delText>
        </w:r>
      </w:del>
      <w:r>
        <w:rPr>
          <w:rStyle w:val="CharDefText"/>
        </w:rPr>
        <w:t>Register</w:t>
      </w:r>
      <w:del w:id="268" w:author="svcMRProcess" w:date="2018-08-22T00:45:00Z">
        <w:r>
          <w:rPr>
            <w:b/>
          </w:rPr>
          <w:delText>”</w:delText>
        </w:r>
      </w:del>
      <w:r>
        <w:t xml:space="preserve"> means the Community Protection Offender Register established under section 80;</w:t>
      </w:r>
    </w:p>
    <w:p>
      <w:pPr>
        <w:pStyle w:val="Defstart"/>
      </w:pPr>
      <w:r>
        <w:rPr>
          <w:b/>
        </w:rPr>
        <w:tab/>
      </w:r>
      <w:del w:id="269" w:author="svcMRProcess" w:date="2018-08-22T00:45:00Z">
        <w:r>
          <w:rPr>
            <w:b/>
          </w:rPr>
          <w:delText>“</w:delText>
        </w:r>
      </w:del>
      <w:r>
        <w:rPr>
          <w:rStyle w:val="CharDefText"/>
        </w:rPr>
        <w:t>reportable offence</w:t>
      </w:r>
      <w:del w:id="270" w:author="svcMRProcess" w:date="2018-08-22T00:45:00Z">
        <w:r>
          <w:rPr>
            <w:b/>
          </w:rPr>
          <w:delText>”</w:delText>
        </w:r>
      </w:del>
      <w:r>
        <w:t xml:space="preserve"> has the meaning given to that term in section 9;</w:t>
      </w:r>
    </w:p>
    <w:p>
      <w:pPr>
        <w:pStyle w:val="Defstart"/>
      </w:pPr>
      <w:r>
        <w:rPr>
          <w:b/>
        </w:rPr>
        <w:tab/>
      </w:r>
      <w:del w:id="271" w:author="svcMRProcess" w:date="2018-08-22T00:45:00Z">
        <w:r>
          <w:rPr>
            <w:b/>
          </w:rPr>
          <w:delText>“</w:delText>
        </w:r>
      </w:del>
      <w:r>
        <w:rPr>
          <w:rStyle w:val="CharDefText"/>
        </w:rPr>
        <w:t>reportable offender</w:t>
      </w:r>
      <w:del w:id="272" w:author="svcMRProcess" w:date="2018-08-22T00:45:00Z">
        <w:r>
          <w:rPr>
            <w:b/>
          </w:rPr>
          <w:delText>”</w:delText>
        </w:r>
      </w:del>
      <w:r>
        <w:t xml:space="preserve"> has the meaning given to that term in section 6;</w:t>
      </w:r>
    </w:p>
    <w:p>
      <w:pPr>
        <w:pStyle w:val="Defstart"/>
      </w:pPr>
      <w:r>
        <w:rPr>
          <w:b/>
        </w:rPr>
        <w:tab/>
      </w:r>
      <w:del w:id="273" w:author="svcMRProcess" w:date="2018-08-22T00:45:00Z">
        <w:r>
          <w:rPr>
            <w:b/>
          </w:rPr>
          <w:delText>“</w:delText>
        </w:r>
      </w:del>
      <w:r>
        <w:rPr>
          <w:rStyle w:val="CharDefText"/>
        </w:rPr>
        <w:t>reporting obligations</w:t>
      </w:r>
      <w:del w:id="274" w:author="svcMRProcess" w:date="2018-08-22T00:45:00Z">
        <w:r>
          <w:rPr>
            <w:b/>
          </w:rPr>
          <w:delText>”</w:delText>
        </w:r>
        <w:r>
          <w:delText>,</w:delText>
        </w:r>
      </w:del>
      <w:ins w:id="275" w:author="svcMRProcess" w:date="2018-08-22T00:45:00Z">
        <w:r>
          <w:t>,</w:t>
        </w:r>
      </w:ins>
      <w:r>
        <w:t xml:space="preserve"> in relation to a reportable offender, means the obligations imposed on him or her by Part 3;</w:t>
      </w:r>
    </w:p>
    <w:p>
      <w:pPr>
        <w:pStyle w:val="Defstart"/>
      </w:pPr>
      <w:r>
        <w:rPr>
          <w:b/>
        </w:rPr>
        <w:tab/>
      </w:r>
      <w:del w:id="276" w:author="svcMRProcess" w:date="2018-08-22T00:45:00Z">
        <w:r>
          <w:rPr>
            <w:b/>
          </w:rPr>
          <w:delText>“</w:delText>
        </w:r>
      </w:del>
      <w:r>
        <w:rPr>
          <w:rStyle w:val="CharDefText"/>
        </w:rPr>
        <w:t>reporting period</w:t>
      </w:r>
      <w:del w:id="277" w:author="svcMRProcess" w:date="2018-08-22T00:45:00Z">
        <w:r>
          <w:rPr>
            <w:b/>
          </w:rPr>
          <w:delText>”</w:delText>
        </w:r>
      </w:del>
      <w:r>
        <w:t xml:space="preserve"> means the period, as determined under Part 3 Division 5, during which a reportable offender must comply with his or her reporting obligations;</w:t>
      </w:r>
    </w:p>
    <w:p>
      <w:pPr>
        <w:pStyle w:val="Defstart"/>
      </w:pPr>
      <w:r>
        <w:rPr>
          <w:b/>
        </w:rPr>
        <w:tab/>
      </w:r>
      <w:del w:id="278" w:author="svcMRProcess" w:date="2018-08-22T00:45:00Z">
        <w:r>
          <w:rPr>
            <w:b/>
          </w:rPr>
          <w:delText>“</w:delText>
        </w:r>
      </w:del>
      <w:r>
        <w:rPr>
          <w:rStyle w:val="CharDefText"/>
        </w:rPr>
        <w:t>sentence</w:t>
      </w:r>
      <w:del w:id="279" w:author="svcMRProcess" w:date="2018-08-22T00:45:00Z">
        <w:r>
          <w:rPr>
            <w:b/>
          </w:rPr>
          <w:delText>”</w:delText>
        </w:r>
      </w:del>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Defendants)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del w:id="280" w:author="svcMRProcess" w:date="2018-08-22T00:45:00Z">
        <w:r>
          <w:tab/>
        </w:r>
      </w:del>
      <w:r>
        <w:tab/>
        <w:t>and any sentence or equivalent exercise of power or order under the laws of a foreign jurisdiction;</w:t>
      </w:r>
    </w:p>
    <w:p>
      <w:pPr>
        <w:pStyle w:val="Defstart"/>
      </w:pPr>
      <w:r>
        <w:rPr>
          <w:b/>
        </w:rPr>
        <w:tab/>
      </w:r>
      <w:del w:id="281" w:author="svcMRProcess" w:date="2018-08-22T00:45:00Z">
        <w:r>
          <w:rPr>
            <w:b/>
          </w:rPr>
          <w:delText>“</w:delText>
        </w:r>
      </w:del>
      <w:r>
        <w:rPr>
          <w:rStyle w:val="CharDefText"/>
        </w:rPr>
        <w:t>strict government custody</w:t>
      </w:r>
      <w:del w:id="282" w:author="svcMRProcess" w:date="2018-08-22T00:45:00Z">
        <w:r>
          <w:rPr>
            <w:b/>
          </w:rPr>
          <w:delText>”</w:delText>
        </w:r>
        <w:r>
          <w:delText>,</w:delText>
        </w:r>
      </w:del>
      <w:ins w:id="283" w:author="svcMRProcess" w:date="2018-08-22T00:45:00Z">
        <w:r>
          <w:t>,</w:t>
        </w:r>
      </w:ins>
      <w:r>
        <w:t xml:space="preserve"> in relation to a reportable offender, means custody as a prisoner, detainee or mentally impaired defendant</w:t>
      </w:r>
      <w:r>
        <w:rPr>
          <w:b/>
          <w:i/>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del w:id="284" w:author="svcMRProcess" w:date="2018-08-22T00:45:00Z">
        <w:r>
          <w:rPr>
            <w:b/>
          </w:rPr>
          <w:delText>“</w:delText>
        </w:r>
      </w:del>
      <w:r>
        <w:rPr>
          <w:rStyle w:val="CharDefText"/>
        </w:rPr>
        <w:t>supervising authority</w:t>
      </w:r>
      <w:del w:id="285" w:author="svcMRProcess" w:date="2018-08-22T00:45:00Z">
        <w:r>
          <w:rPr>
            <w:b/>
          </w:rPr>
          <w:delText>”</w:delText>
        </w:r>
        <w:r>
          <w:delText>,</w:delText>
        </w:r>
      </w:del>
      <w:ins w:id="286" w:author="svcMRProcess" w:date="2018-08-22T00:45:00Z">
        <w:r>
          <w:t>,</w:t>
        </w:r>
      </w:ins>
      <w:r>
        <w:t xml:space="preserve"> in relation to a class of reportable offenders, means the authority prescribed by the regulations as the supervising authority of that class of reportable offenders;</w:t>
      </w:r>
    </w:p>
    <w:p>
      <w:pPr>
        <w:pStyle w:val="Defstart"/>
      </w:pPr>
      <w:r>
        <w:rPr>
          <w:b/>
        </w:rPr>
        <w:tab/>
      </w:r>
      <w:del w:id="287" w:author="svcMRProcess" w:date="2018-08-22T00:45:00Z">
        <w:r>
          <w:rPr>
            <w:b/>
          </w:rPr>
          <w:delText>“</w:delText>
        </w:r>
      </w:del>
      <w:r>
        <w:rPr>
          <w:rStyle w:val="CharDefText"/>
        </w:rPr>
        <w:t>young reportable offender</w:t>
      </w:r>
      <w:del w:id="288" w:author="svcMRProcess" w:date="2018-08-22T00:45:00Z">
        <w:r>
          <w:rPr>
            <w:b/>
          </w:rPr>
          <w:delText>”</w:delText>
        </w:r>
      </w:del>
      <w:r>
        <w:t xml:space="preserve"> means a reportable offender who is a child.</w:t>
      </w:r>
    </w:p>
    <w:p>
      <w:pPr>
        <w:pStyle w:val="Heading5"/>
      </w:pPr>
      <w:bookmarkStart w:id="289" w:name="_Toc205284240"/>
      <w:bookmarkStart w:id="290" w:name="_Toc205284576"/>
      <w:bookmarkStart w:id="291" w:name="_Toc203537879"/>
      <w:r>
        <w:rPr>
          <w:rStyle w:val="CharSectno"/>
        </w:rPr>
        <w:t>4</w:t>
      </w:r>
      <w:r>
        <w:t>.</w:t>
      </w:r>
      <w:r>
        <w:tab/>
        <w:t>Meaning of finding of guilt</w:t>
      </w:r>
      <w:bookmarkEnd w:id="289"/>
      <w:bookmarkEnd w:id="290"/>
      <w:bookmarkEnd w:id="291"/>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292" w:name="_Toc205284241"/>
      <w:bookmarkStart w:id="293" w:name="_Toc205284577"/>
      <w:bookmarkStart w:id="294" w:name="_Toc203537880"/>
      <w:r>
        <w:rPr>
          <w:rStyle w:val="CharSectno"/>
        </w:rPr>
        <w:t>5</w:t>
      </w:r>
      <w:r>
        <w:t>.</w:t>
      </w:r>
      <w:r>
        <w:tab/>
        <w:t>Other reference provisions</w:t>
      </w:r>
      <w:bookmarkEnd w:id="292"/>
      <w:bookmarkEnd w:id="293"/>
      <w:bookmarkEnd w:id="294"/>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del w:id="295" w:author="svcMRProcess" w:date="2018-08-22T00:45:00Z">
        <w:r>
          <w:rPr>
            <w:b/>
          </w:rPr>
          <w:delText>“</w:delText>
        </w:r>
      </w:del>
      <w:r>
        <w:rPr>
          <w:rStyle w:val="CharDefText"/>
        </w:rPr>
        <w:t>in person</w:t>
      </w:r>
      <w:del w:id="296" w:author="svcMRProcess" w:date="2018-08-22T00:45:00Z">
        <w:r>
          <w:rPr>
            <w:b/>
          </w:rPr>
          <w:delText>”</w:delText>
        </w:r>
      </w:del>
      <w:r>
        <w:t xml:space="preserve"> is a reference to doing the thing by personal attendance at a place, and it is not sufficient to attend the place by telephone or by any other electronic means.</w:t>
      </w:r>
    </w:p>
    <w:p>
      <w:pPr>
        <w:pStyle w:val="Heading2"/>
        <w:tabs>
          <w:tab w:val="left" w:pos="6943"/>
        </w:tabs>
      </w:pPr>
      <w:bookmarkStart w:id="297" w:name="_Toc94433595"/>
      <w:bookmarkStart w:id="298" w:name="_Toc196103715"/>
      <w:bookmarkStart w:id="299" w:name="_Toc196195733"/>
      <w:bookmarkStart w:id="300" w:name="_Toc196789172"/>
      <w:bookmarkStart w:id="301" w:name="_Toc202764523"/>
      <w:bookmarkStart w:id="302" w:name="_Toc202764668"/>
      <w:bookmarkStart w:id="303" w:name="_Toc202849382"/>
      <w:bookmarkStart w:id="304" w:name="_Toc203537881"/>
      <w:bookmarkStart w:id="305" w:name="_Toc205284242"/>
      <w:bookmarkStart w:id="306" w:name="_Toc205284430"/>
      <w:bookmarkStart w:id="307" w:name="_Toc205284578"/>
      <w:bookmarkStart w:id="308" w:name="_Toc91661587"/>
      <w:bookmarkStart w:id="309" w:name="_Toc91661611"/>
      <w:r>
        <w:rPr>
          <w:rStyle w:val="CharPartNo"/>
        </w:rPr>
        <w:t>Part 2</w:t>
      </w:r>
      <w:r>
        <w:t> — </w:t>
      </w:r>
      <w:r>
        <w:rPr>
          <w:rStyle w:val="CharPartText"/>
        </w:rPr>
        <w:t>Offenders to whom Act applies</w:t>
      </w:r>
      <w:bookmarkEnd w:id="297"/>
      <w:bookmarkEnd w:id="298"/>
      <w:bookmarkEnd w:id="299"/>
      <w:bookmarkEnd w:id="300"/>
      <w:bookmarkEnd w:id="301"/>
      <w:bookmarkEnd w:id="302"/>
      <w:bookmarkEnd w:id="303"/>
      <w:bookmarkEnd w:id="304"/>
      <w:bookmarkEnd w:id="305"/>
      <w:bookmarkEnd w:id="306"/>
      <w:bookmarkEnd w:id="307"/>
    </w:p>
    <w:p>
      <w:pPr>
        <w:pStyle w:val="Heading3"/>
      </w:pPr>
      <w:bookmarkStart w:id="310" w:name="_Toc94433596"/>
      <w:bookmarkStart w:id="311" w:name="_Toc196103716"/>
      <w:bookmarkStart w:id="312" w:name="_Toc196195734"/>
      <w:bookmarkStart w:id="313" w:name="_Toc196789173"/>
      <w:bookmarkStart w:id="314" w:name="_Toc202764524"/>
      <w:bookmarkStart w:id="315" w:name="_Toc202764669"/>
      <w:bookmarkStart w:id="316" w:name="_Toc202849383"/>
      <w:bookmarkStart w:id="317" w:name="_Toc203537882"/>
      <w:bookmarkStart w:id="318" w:name="_Toc205284243"/>
      <w:bookmarkStart w:id="319" w:name="_Toc205284431"/>
      <w:bookmarkStart w:id="320" w:name="_Toc205284579"/>
      <w:r>
        <w:rPr>
          <w:rStyle w:val="CharDivNo"/>
        </w:rPr>
        <w:t>Division 1</w:t>
      </w:r>
      <w:r>
        <w:t> — </w:t>
      </w:r>
      <w:r>
        <w:rPr>
          <w:rStyle w:val="CharDivText"/>
        </w:rPr>
        <w:t>General</w:t>
      </w:r>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205284244"/>
      <w:bookmarkStart w:id="322" w:name="_Toc205284580"/>
      <w:bookmarkStart w:id="323" w:name="_Toc203537883"/>
      <w:r>
        <w:rPr>
          <w:rStyle w:val="CharSectno"/>
        </w:rPr>
        <w:t>6</w:t>
      </w:r>
      <w:r>
        <w:t>.</w:t>
      </w:r>
      <w:r>
        <w:tab/>
        <w:t>Reportable offenders</w:t>
      </w:r>
      <w:bookmarkEnd w:id="321"/>
      <w:bookmarkEnd w:id="322"/>
      <w:bookmarkEnd w:id="323"/>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324" w:name="_Toc205284245"/>
      <w:bookmarkStart w:id="325" w:name="_Toc205284581"/>
      <w:bookmarkStart w:id="326" w:name="_Toc203537884"/>
      <w:r>
        <w:rPr>
          <w:rStyle w:val="CharSectno"/>
        </w:rPr>
        <w:t>7</w:t>
      </w:r>
      <w:r>
        <w:t>.</w:t>
      </w:r>
      <w:r>
        <w:tab/>
        <w:t>Corresponding reportable offenders</w:t>
      </w:r>
      <w:bookmarkEnd w:id="324"/>
      <w:bookmarkEnd w:id="325"/>
      <w:bookmarkEnd w:id="326"/>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327" w:name="_Toc205284246"/>
      <w:bookmarkStart w:id="328" w:name="_Toc205284582"/>
      <w:bookmarkStart w:id="329" w:name="_Toc203537885"/>
      <w:r>
        <w:rPr>
          <w:rStyle w:val="CharSectno"/>
        </w:rPr>
        <w:t>8</w:t>
      </w:r>
      <w:r>
        <w:t>.</w:t>
      </w:r>
      <w:r>
        <w:tab/>
        <w:t>New South Wales reportable offenders</w:t>
      </w:r>
      <w:bookmarkEnd w:id="327"/>
      <w:bookmarkEnd w:id="328"/>
      <w:bookmarkEnd w:id="329"/>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330" w:name="_Toc205284247"/>
      <w:bookmarkStart w:id="331" w:name="_Toc205284583"/>
      <w:bookmarkStart w:id="332" w:name="_Toc203537886"/>
      <w:r>
        <w:rPr>
          <w:rStyle w:val="CharSectno"/>
        </w:rPr>
        <w:t>9</w:t>
      </w:r>
      <w:r>
        <w:t>.</w:t>
      </w:r>
      <w:r>
        <w:tab/>
        <w:t>Reportable offences</w:t>
      </w:r>
      <w:bookmarkEnd w:id="330"/>
      <w:bookmarkEnd w:id="331"/>
      <w:bookmarkEnd w:id="332"/>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333" w:name="_Toc205284248"/>
      <w:bookmarkStart w:id="334" w:name="_Toc205284584"/>
      <w:bookmarkStart w:id="335" w:name="_Toc203537887"/>
      <w:r>
        <w:rPr>
          <w:rStyle w:val="CharSectno"/>
        </w:rPr>
        <w:t>10</w:t>
      </w:r>
      <w:r>
        <w:t>.</w:t>
      </w:r>
      <w:r>
        <w:tab/>
        <w:t>Class 1 offences</w:t>
      </w:r>
      <w:bookmarkEnd w:id="333"/>
      <w:bookmarkEnd w:id="334"/>
      <w:bookmarkEnd w:id="335"/>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336" w:name="_Toc205284249"/>
      <w:bookmarkStart w:id="337" w:name="_Toc205284585"/>
      <w:bookmarkStart w:id="338" w:name="_Toc203537888"/>
      <w:r>
        <w:rPr>
          <w:rStyle w:val="CharSectno"/>
        </w:rPr>
        <w:t>11</w:t>
      </w:r>
      <w:r>
        <w:t>.</w:t>
      </w:r>
      <w:r>
        <w:tab/>
        <w:t>Class 2 offences</w:t>
      </w:r>
      <w:bookmarkEnd w:id="336"/>
      <w:bookmarkEnd w:id="337"/>
      <w:bookmarkEnd w:id="338"/>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pPr>
      <w:r>
        <w:t>[12.</w:t>
      </w:r>
      <w:r>
        <w:tab/>
      </w:r>
      <w:r>
        <w:tab/>
        <w:t>Has not come into operation </w:t>
      </w:r>
      <w:r>
        <w:rPr>
          <w:i w:val="0"/>
          <w:vertAlign w:val="superscript"/>
        </w:rPr>
        <w:t>2</w:t>
      </w:r>
      <w:r>
        <w:t>.]</w:t>
      </w:r>
    </w:p>
    <w:p>
      <w:pPr>
        <w:pStyle w:val="Heading5"/>
      </w:pPr>
      <w:bookmarkStart w:id="339" w:name="_Toc205284250"/>
      <w:bookmarkStart w:id="340" w:name="_Toc205284586"/>
      <w:bookmarkStart w:id="341" w:name="_Toc203537889"/>
      <w:r>
        <w:rPr>
          <w:rStyle w:val="CharSectno"/>
        </w:rPr>
        <w:t>13</w:t>
      </w:r>
      <w:r>
        <w:t>.</w:t>
      </w:r>
      <w:r>
        <w:tab/>
        <w:t>Offender reporting orders</w:t>
      </w:r>
      <w:bookmarkEnd w:id="339"/>
      <w:bookmarkEnd w:id="340"/>
      <w:bookmarkEnd w:id="341"/>
    </w:p>
    <w:p>
      <w:pPr>
        <w:pStyle w:val="Subsection"/>
      </w:pPr>
      <w:r>
        <w:tab/>
        <w:t>(1)</w:t>
      </w:r>
      <w:r>
        <w:tab/>
        <w:t xml:space="preserve">If — </w:t>
      </w:r>
    </w:p>
    <w:p>
      <w:pPr>
        <w:pStyle w:val="Indenta"/>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The court must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tab/>
        <w:t>(7)</w:t>
      </w:r>
      <w:r>
        <w:tab/>
        <w:t>For the purposes of Part 3 Division 5, a person subject to an order made under this section is taken to have been found guilty of a Class 2 offence.</w:t>
      </w:r>
    </w:p>
    <w:p>
      <w:pPr>
        <w:pStyle w:val="Heading3"/>
      </w:pPr>
      <w:bookmarkStart w:id="342" w:name="_Toc94433604"/>
      <w:bookmarkStart w:id="343" w:name="_Toc196103724"/>
      <w:bookmarkStart w:id="344" w:name="_Toc196195742"/>
      <w:bookmarkStart w:id="345" w:name="_Toc196789181"/>
      <w:bookmarkStart w:id="346" w:name="_Toc202764532"/>
      <w:bookmarkStart w:id="347" w:name="_Toc202764677"/>
      <w:bookmarkStart w:id="348" w:name="_Toc202849391"/>
      <w:bookmarkStart w:id="349" w:name="_Toc203537890"/>
      <w:bookmarkStart w:id="350" w:name="_Toc205284251"/>
      <w:bookmarkStart w:id="351" w:name="_Toc205284439"/>
      <w:bookmarkStart w:id="352" w:name="_Toc205284587"/>
      <w:r>
        <w:rPr>
          <w:rStyle w:val="CharDivNo"/>
        </w:rPr>
        <w:t>Division 2</w:t>
      </w:r>
      <w:r>
        <w:t> — </w:t>
      </w:r>
      <w:r>
        <w:rPr>
          <w:rStyle w:val="CharDivText"/>
        </w:rPr>
        <w:t>Past offender reporting orders</w:t>
      </w:r>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205284252"/>
      <w:bookmarkStart w:id="354" w:name="_Toc205284588"/>
      <w:bookmarkStart w:id="355" w:name="_Toc203537891"/>
      <w:r>
        <w:rPr>
          <w:rStyle w:val="CharSectno"/>
        </w:rPr>
        <w:t>14</w:t>
      </w:r>
      <w:r>
        <w:t>.</w:t>
      </w:r>
      <w:r>
        <w:tab/>
        <w:t>Terms used in this Division</w:t>
      </w:r>
      <w:bookmarkEnd w:id="353"/>
      <w:bookmarkEnd w:id="354"/>
      <w:bookmarkEnd w:id="355"/>
    </w:p>
    <w:p>
      <w:pPr>
        <w:pStyle w:val="Subsection"/>
      </w:pPr>
      <w:r>
        <w:tab/>
      </w:r>
      <w:r>
        <w:tab/>
        <w:t xml:space="preserve">In this Division — </w:t>
      </w:r>
    </w:p>
    <w:p>
      <w:pPr>
        <w:pStyle w:val="Defstart"/>
      </w:pPr>
      <w:r>
        <w:rPr>
          <w:b/>
        </w:rPr>
        <w:tab/>
      </w:r>
      <w:del w:id="356" w:author="svcMRProcess" w:date="2018-08-22T00:45:00Z">
        <w:r>
          <w:rPr>
            <w:b/>
          </w:rPr>
          <w:delText>“</w:delText>
        </w:r>
      </w:del>
      <w:r>
        <w:rPr>
          <w:rStyle w:val="CharDefText"/>
        </w:rPr>
        <w:t>court</w:t>
      </w:r>
      <w:del w:id="357" w:author="svcMRProcess" w:date="2018-08-22T00:45:00Z">
        <w:r>
          <w:rPr>
            <w:b/>
          </w:rPr>
          <w:delText>”</w:delText>
        </w:r>
      </w:del>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del w:id="358" w:author="svcMRProcess" w:date="2018-08-22T00:45:00Z">
        <w:r>
          <w:rPr>
            <w:b/>
          </w:rPr>
          <w:delText>“</w:delText>
        </w:r>
      </w:del>
      <w:r>
        <w:rPr>
          <w:rStyle w:val="CharDefText"/>
        </w:rPr>
        <w:t>registrar</w:t>
      </w:r>
      <w:del w:id="359" w:author="svcMRProcess" w:date="2018-08-22T00:45:00Z">
        <w:r>
          <w:rPr>
            <w:b/>
          </w:rPr>
          <w:delText>”</w:delText>
        </w:r>
      </w:del>
      <w:r>
        <w:t xml:space="preserve"> means the clerk or registrar of the court to which an application for a reporting order is made;</w:t>
      </w:r>
    </w:p>
    <w:p>
      <w:pPr>
        <w:pStyle w:val="Defstart"/>
      </w:pPr>
      <w:r>
        <w:rPr>
          <w:b/>
        </w:rPr>
        <w:tab/>
      </w:r>
      <w:del w:id="360" w:author="svcMRProcess" w:date="2018-08-22T00:45:00Z">
        <w:r>
          <w:rPr>
            <w:b/>
          </w:rPr>
          <w:delText>“</w:delText>
        </w:r>
      </w:del>
      <w:r>
        <w:rPr>
          <w:rStyle w:val="CharDefText"/>
        </w:rPr>
        <w:t>reporting order</w:t>
      </w:r>
      <w:del w:id="361" w:author="svcMRProcess" w:date="2018-08-22T00:45:00Z">
        <w:r>
          <w:rPr>
            <w:b/>
          </w:rPr>
          <w:delText>”</w:delText>
        </w:r>
      </w:del>
      <w:r>
        <w:t xml:space="preserve"> means a past offender reporting order;</w:t>
      </w:r>
    </w:p>
    <w:p>
      <w:pPr>
        <w:pStyle w:val="Defstart"/>
      </w:pPr>
      <w:r>
        <w:rPr>
          <w:b/>
        </w:rPr>
        <w:tab/>
      </w:r>
      <w:del w:id="362" w:author="svcMRProcess" w:date="2018-08-22T00:45:00Z">
        <w:r>
          <w:rPr>
            <w:b/>
          </w:rPr>
          <w:delText>“</w:delText>
        </w:r>
      </w:del>
      <w:r>
        <w:rPr>
          <w:rStyle w:val="CharDefText"/>
        </w:rPr>
        <w:t>respondent</w:t>
      </w:r>
      <w:del w:id="363" w:author="svcMRProcess" w:date="2018-08-22T00:45:00Z">
        <w:r>
          <w:rPr>
            <w:b/>
          </w:rPr>
          <w:delText>”</w:delText>
        </w:r>
      </w:del>
      <w:r>
        <w:t xml:space="preserve"> means the person who is subject to a reporting order or in respect of whom a reporting order is sought.</w:t>
      </w:r>
    </w:p>
    <w:p>
      <w:pPr>
        <w:pStyle w:val="Heading5"/>
      </w:pPr>
      <w:bookmarkStart w:id="364" w:name="_Toc205284253"/>
      <w:bookmarkStart w:id="365" w:name="_Toc205284589"/>
      <w:bookmarkStart w:id="366" w:name="_Toc203537892"/>
      <w:r>
        <w:rPr>
          <w:rStyle w:val="CharSectno"/>
        </w:rPr>
        <w:t>15</w:t>
      </w:r>
      <w:r>
        <w:t>.</w:t>
      </w:r>
      <w:r>
        <w:tab/>
        <w:t>Commissioner may apply for reporting orders</w:t>
      </w:r>
      <w:bookmarkEnd w:id="364"/>
      <w:bookmarkEnd w:id="365"/>
      <w:bookmarkEnd w:id="366"/>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367" w:name="_Toc205284254"/>
      <w:bookmarkStart w:id="368" w:name="_Toc205284590"/>
      <w:bookmarkStart w:id="369" w:name="_Toc203537893"/>
      <w:r>
        <w:rPr>
          <w:rStyle w:val="CharSectno"/>
        </w:rPr>
        <w:t>16</w:t>
      </w:r>
      <w:r>
        <w:t>.</w:t>
      </w:r>
      <w:r>
        <w:tab/>
        <w:t>Fixing a hearing</w:t>
      </w:r>
      <w:bookmarkEnd w:id="367"/>
      <w:bookmarkEnd w:id="368"/>
      <w:bookmarkEnd w:id="369"/>
    </w:p>
    <w:p>
      <w:pPr>
        <w:pStyle w:val="Subsection"/>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370" w:name="_Toc205284255"/>
      <w:bookmarkStart w:id="371" w:name="_Toc205284591"/>
      <w:bookmarkStart w:id="372" w:name="_Toc203537894"/>
      <w:r>
        <w:rPr>
          <w:rStyle w:val="CharSectno"/>
        </w:rPr>
        <w:t>17</w:t>
      </w:r>
      <w:r>
        <w:t>.</w:t>
      </w:r>
      <w:r>
        <w:tab/>
        <w:t>Evidence</w:t>
      </w:r>
      <w:bookmarkEnd w:id="370"/>
      <w:bookmarkEnd w:id="371"/>
      <w:bookmarkEnd w:id="372"/>
    </w:p>
    <w:p>
      <w:pPr>
        <w:pStyle w:val="Subsection"/>
      </w:pPr>
      <w:r>
        <w:tab/>
      </w:r>
      <w:r>
        <w:tab/>
        <w:t>Evidence may be given at a hearing orally or by affidavit.</w:t>
      </w:r>
    </w:p>
    <w:p>
      <w:pPr>
        <w:pStyle w:val="Heading5"/>
      </w:pPr>
      <w:bookmarkStart w:id="373" w:name="_Toc205284256"/>
      <w:bookmarkStart w:id="374" w:name="_Toc205284592"/>
      <w:bookmarkStart w:id="375" w:name="_Toc203537895"/>
      <w:r>
        <w:rPr>
          <w:rStyle w:val="CharSectno"/>
        </w:rPr>
        <w:t>18</w:t>
      </w:r>
      <w:r>
        <w:t>.</w:t>
      </w:r>
      <w:r>
        <w:tab/>
        <w:t>How application to be disposed of</w:t>
      </w:r>
      <w:bookmarkEnd w:id="373"/>
      <w:bookmarkEnd w:id="374"/>
      <w:bookmarkEnd w:id="375"/>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376" w:name="_Toc205284257"/>
      <w:bookmarkStart w:id="377" w:name="_Toc205284593"/>
      <w:bookmarkStart w:id="378" w:name="_Toc203537896"/>
      <w:r>
        <w:rPr>
          <w:rStyle w:val="CharSectno"/>
        </w:rPr>
        <w:t>19</w:t>
      </w:r>
      <w:r>
        <w:t>.</w:t>
      </w:r>
      <w:r>
        <w:tab/>
        <w:t>Court may make reporting orders</w:t>
      </w:r>
      <w:bookmarkEnd w:id="376"/>
      <w:bookmarkEnd w:id="377"/>
      <w:bookmarkEnd w:id="378"/>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pPr>
      <w:bookmarkStart w:id="379" w:name="_Toc205284258"/>
      <w:bookmarkStart w:id="380" w:name="_Toc205284594"/>
      <w:bookmarkStart w:id="381" w:name="_Toc203537897"/>
      <w:r>
        <w:rPr>
          <w:rStyle w:val="CharSectno"/>
        </w:rPr>
        <w:t>20</w:t>
      </w:r>
      <w:r>
        <w:t>.</w:t>
      </w:r>
      <w:r>
        <w:tab/>
        <w:t>Attendance at hearings</w:t>
      </w:r>
      <w:bookmarkEnd w:id="379"/>
      <w:bookmarkEnd w:id="380"/>
      <w:bookmarkEnd w:id="381"/>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82" w:name="_Toc205284259"/>
      <w:bookmarkStart w:id="383" w:name="_Toc205284595"/>
      <w:bookmarkStart w:id="384" w:name="_Toc203537898"/>
      <w:r>
        <w:rPr>
          <w:rStyle w:val="CharSectno"/>
        </w:rPr>
        <w:t>21</w:t>
      </w:r>
      <w:r>
        <w:t>.</w:t>
      </w:r>
      <w:r>
        <w:tab/>
        <w:t>Notification of orders made in absence of respondent</w:t>
      </w:r>
      <w:bookmarkEnd w:id="382"/>
      <w:bookmarkEnd w:id="383"/>
      <w:bookmarkEnd w:id="384"/>
    </w:p>
    <w:p>
      <w:pPr>
        <w:pStyle w:val="Subsection"/>
      </w:pPr>
      <w:r>
        <w:tab/>
      </w:r>
      <w:r>
        <w:tab/>
        <w:t>The registrar of a court that makes a reporting order in the absence of the respondent must cause a copy of the order to be served on the respondent.</w:t>
      </w:r>
    </w:p>
    <w:p>
      <w:pPr>
        <w:pStyle w:val="Heading5"/>
      </w:pPr>
      <w:bookmarkStart w:id="385" w:name="_Toc205284260"/>
      <w:bookmarkStart w:id="386" w:name="_Toc205284596"/>
      <w:bookmarkStart w:id="387" w:name="_Toc203537899"/>
      <w:r>
        <w:rPr>
          <w:rStyle w:val="CharSectno"/>
        </w:rPr>
        <w:t>22</w:t>
      </w:r>
      <w:r>
        <w:t>.</w:t>
      </w:r>
      <w:r>
        <w:tab/>
        <w:t>Appeals</w:t>
      </w:r>
      <w:bookmarkEnd w:id="385"/>
      <w:bookmarkEnd w:id="386"/>
      <w:bookmarkEnd w:id="387"/>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pPr>
      <w:r>
        <w:tab/>
        <w:t>(b)</w:t>
      </w:r>
      <w:r>
        <w:tab/>
        <w:t>to make a reporting order,</w:t>
      </w:r>
    </w:p>
    <w:p>
      <w:pPr>
        <w:pStyle w:val="Subsection"/>
      </w:pPr>
      <w:r>
        <w:tab/>
      </w:r>
      <w:r>
        <w:tab/>
        <w:t>may appeal against that decision in accordance with this section.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388" w:name="_Toc205284261"/>
      <w:bookmarkStart w:id="389" w:name="_Toc205284597"/>
      <w:bookmarkStart w:id="390" w:name="_Toc203537900"/>
      <w:r>
        <w:rPr>
          <w:rStyle w:val="CharSectno"/>
        </w:rPr>
        <w:t>23</w:t>
      </w:r>
      <w:r>
        <w:t>.</w:t>
      </w:r>
      <w:r>
        <w:tab/>
        <w:t>Appeal does not stay order</w:t>
      </w:r>
      <w:bookmarkEnd w:id="388"/>
      <w:bookmarkEnd w:id="389"/>
      <w:bookmarkEnd w:id="390"/>
    </w:p>
    <w:p>
      <w:pPr>
        <w:pStyle w:val="Subsection"/>
      </w:pPr>
      <w:r>
        <w:tab/>
      </w:r>
      <w:r>
        <w:tab/>
        <w:t>An appeal against an order made under this Part does not operate to stay the operation of the order unless the court to which the appeal is made so orders.</w:t>
      </w:r>
    </w:p>
    <w:p>
      <w:pPr>
        <w:pStyle w:val="Heading2"/>
      </w:pPr>
      <w:bookmarkStart w:id="391" w:name="_Toc94433615"/>
      <w:bookmarkStart w:id="392" w:name="_Toc196103735"/>
      <w:bookmarkStart w:id="393" w:name="_Toc196195753"/>
      <w:bookmarkStart w:id="394" w:name="_Toc196789192"/>
      <w:bookmarkStart w:id="395" w:name="_Toc202764543"/>
      <w:bookmarkStart w:id="396" w:name="_Toc202764688"/>
      <w:bookmarkStart w:id="397" w:name="_Toc202849402"/>
      <w:bookmarkStart w:id="398" w:name="_Toc203537901"/>
      <w:bookmarkStart w:id="399" w:name="_Toc205284262"/>
      <w:bookmarkStart w:id="400" w:name="_Toc205284450"/>
      <w:bookmarkStart w:id="401" w:name="_Toc205284598"/>
      <w:r>
        <w:rPr>
          <w:rStyle w:val="CharPartNo"/>
        </w:rPr>
        <w:t>Part 3</w:t>
      </w:r>
      <w:r>
        <w:t> — </w:t>
      </w:r>
      <w:r>
        <w:rPr>
          <w:rStyle w:val="CharPartText"/>
        </w:rPr>
        <w:t>Reporting obligations</w:t>
      </w:r>
      <w:bookmarkEnd w:id="391"/>
      <w:bookmarkEnd w:id="392"/>
      <w:bookmarkEnd w:id="393"/>
      <w:bookmarkEnd w:id="394"/>
      <w:bookmarkEnd w:id="395"/>
      <w:bookmarkEnd w:id="396"/>
      <w:bookmarkEnd w:id="397"/>
      <w:bookmarkEnd w:id="398"/>
      <w:bookmarkEnd w:id="399"/>
      <w:bookmarkEnd w:id="400"/>
      <w:bookmarkEnd w:id="401"/>
    </w:p>
    <w:p>
      <w:pPr>
        <w:pStyle w:val="Heading3"/>
      </w:pPr>
      <w:bookmarkStart w:id="402" w:name="_Toc94433616"/>
      <w:bookmarkStart w:id="403" w:name="_Toc196103736"/>
      <w:bookmarkStart w:id="404" w:name="_Toc196195754"/>
      <w:bookmarkStart w:id="405" w:name="_Toc196789193"/>
      <w:bookmarkStart w:id="406" w:name="_Toc202764544"/>
      <w:bookmarkStart w:id="407" w:name="_Toc202764689"/>
      <w:bookmarkStart w:id="408" w:name="_Toc202849403"/>
      <w:bookmarkStart w:id="409" w:name="_Toc203537902"/>
      <w:bookmarkStart w:id="410" w:name="_Toc205284263"/>
      <w:bookmarkStart w:id="411" w:name="_Toc205284451"/>
      <w:bookmarkStart w:id="412" w:name="_Toc205284599"/>
      <w:r>
        <w:rPr>
          <w:rStyle w:val="CharDivNo"/>
        </w:rPr>
        <w:t>Division 1</w:t>
      </w:r>
      <w:r>
        <w:t> — </w:t>
      </w:r>
      <w:r>
        <w:rPr>
          <w:rStyle w:val="CharDivText"/>
        </w:rPr>
        <w:t>Initial report</w:t>
      </w:r>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205284264"/>
      <w:bookmarkStart w:id="414" w:name="_Toc205284600"/>
      <w:bookmarkStart w:id="415" w:name="_Toc203537903"/>
      <w:r>
        <w:rPr>
          <w:rStyle w:val="CharSectno"/>
        </w:rPr>
        <w:t>24</w:t>
      </w:r>
      <w:r>
        <w:t>.</w:t>
      </w:r>
      <w:r>
        <w:tab/>
        <w:t>When the report must be made</w:t>
      </w:r>
      <w:bookmarkEnd w:id="413"/>
      <w:bookmarkEnd w:id="414"/>
      <w:bookmarkEnd w:id="415"/>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416" w:name="_Toc205284265"/>
      <w:bookmarkStart w:id="417" w:name="_Toc205284601"/>
      <w:bookmarkStart w:id="418" w:name="_Toc203537904"/>
      <w:r>
        <w:rPr>
          <w:rStyle w:val="CharSectno"/>
        </w:rPr>
        <w:t>25</w:t>
      </w:r>
      <w:r>
        <w:t>.</w:t>
      </w:r>
      <w:r>
        <w:tab/>
        <w:t>When new initial report must be made by offender whose previous reporting obligations have ceased</w:t>
      </w:r>
      <w:bookmarkEnd w:id="416"/>
      <w:bookmarkEnd w:id="417"/>
      <w:bookmarkEnd w:id="418"/>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419" w:name="_Toc205284266"/>
      <w:bookmarkStart w:id="420" w:name="_Toc205284602"/>
      <w:bookmarkStart w:id="421" w:name="_Toc203537905"/>
      <w:r>
        <w:rPr>
          <w:rStyle w:val="CharSectno"/>
        </w:rPr>
        <w:t>26</w:t>
      </w:r>
      <w:r>
        <w:t>.</w:t>
      </w:r>
      <w:r>
        <w:tab/>
        <w:t>Initial report by reportable offender of personal details</w:t>
      </w:r>
      <w:bookmarkEnd w:id="419"/>
      <w:bookmarkEnd w:id="420"/>
      <w:bookmarkEnd w:id="421"/>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pPr>
      <w:r>
        <w:tab/>
        <w:t>(c)</w:t>
      </w:r>
      <w:r>
        <w:tab/>
        <w:t>his or her date of birth;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internet 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tab/>
        <w:t>(f)</w:t>
      </w:r>
      <w:r>
        <w:tab/>
        <w:t xml:space="preserve">if he or she is employed — </w:t>
      </w:r>
    </w:p>
    <w:p>
      <w:pPr>
        <w:pStyle w:val="Indenti"/>
      </w:pPr>
      <w:r>
        <w:tab/>
        <w:t>(i)</w:t>
      </w:r>
      <w:r>
        <w:tab/>
        <w:t>the nature of his or her employment; and</w:t>
      </w:r>
    </w:p>
    <w:p>
      <w:pPr>
        <w:pStyle w:val="Indenti"/>
      </w:pPr>
      <w:r>
        <w:tab/>
        <w:t>(ii)</w:t>
      </w:r>
      <w:r>
        <w:tab/>
        <w:t>the name of his or her employer (if any); and</w:t>
      </w:r>
    </w:p>
    <w:p>
      <w:pPr>
        <w:pStyle w:val="Indenti"/>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pPr>
      <w:r>
        <w:tab/>
        <w:t>(1a)</w:t>
      </w:r>
      <w:r>
        <w:tab/>
        <w:t xml:space="preserve">In subsection (1)(dc) — </w:t>
      </w:r>
    </w:p>
    <w:p>
      <w:pPr>
        <w:pStyle w:val="Defstart"/>
      </w:pPr>
      <w:r>
        <w:rPr>
          <w:b/>
        </w:rPr>
        <w:tab/>
      </w:r>
      <w:del w:id="422" w:author="svcMRProcess" w:date="2018-08-22T00:45:00Z">
        <w:r>
          <w:rPr>
            <w:b/>
          </w:rPr>
          <w:delText>“</w:delText>
        </w:r>
      </w:del>
      <w:r>
        <w:rPr>
          <w:rStyle w:val="CharDefText"/>
        </w:rPr>
        <w:t>Internet carriage service</w:t>
      </w:r>
      <w:del w:id="423" w:author="svcMRProcess" w:date="2018-08-22T00:45:00Z">
        <w:r>
          <w:rPr>
            <w:b/>
          </w:rPr>
          <w:delText>”</w:delText>
        </w:r>
      </w:del>
      <w:r>
        <w:t xml:space="preserve"> and </w:t>
      </w:r>
      <w:del w:id="424" w:author="svcMRProcess" w:date="2018-08-22T00:45:00Z">
        <w:r>
          <w:rPr>
            <w:b/>
          </w:rPr>
          <w:delText>“</w:delText>
        </w:r>
      </w:del>
      <w:r>
        <w:rPr>
          <w:rStyle w:val="CharDefText"/>
        </w:rPr>
        <w:t>Internet service provider</w:t>
      </w:r>
      <w:del w:id="425" w:author="svcMRProcess" w:date="2018-08-22T00:45:00Z">
        <w:r>
          <w:rPr>
            <w:b/>
          </w:rPr>
          <w:delText>”</w:delText>
        </w:r>
      </w:del>
      <w:r>
        <w:t xml:space="preserve"> have the same meanings as they have in Schedule 5 to the </w:t>
      </w:r>
      <w:r>
        <w:rPr>
          <w:i/>
          <w:iCs/>
        </w:rPr>
        <w:t xml:space="preserve">Broadcasting Services Act 1992 </w:t>
      </w:r>
      <w:r>
        <w:t>of the Commonwealth.</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w:t>
      </w:r>
    </w:p>
    <w:p>
      <w:pPr>
        <w:pStyle w:val="Heading5"/>
      </w:pPr>
      <w:bookmarkStart w:id="426" w:name="_Toc205284267"/>
      <w:bookmarkStart w:id="427" w:name="_Toc205284603"/>
      <w:bookmarkStart w:id="428" w:name="_Toc203537906"/>
      <w:r>
        <w:rPr>
          <w:rStyle w:val="CharSectno"/>
        </w:rPr>
        <w:t>27</w:t>
      </w:r>
      <w:r>
        <w:t>.</w:t>
      </w:r>
      <w:r>
        <w:tab/>
        <w:t>Persons required to report under corresponding Act</w:t>
      </w:r>
      <w:bookmarkEnd w:id="426"/>
      <w:bookmarkEnd w:id="427"/>
      <w:bookmarkEnd w:id="428"/>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429" w:name="_Toc94433621"/>
      <w:bookmarkStart w:id="430" w:name="_Toc196103741"/>
      <w:bookmarkStart w:id="431" w:name="_Toc196195759"/>
      <w:bookmarkStart w:id="432" w:name="_Toc196789198"/>
      <w:bookmarkStart w:id="433" w:name="_Toc202764549"/>
      <w:bookmarkStart w:id="434" w:name="_Toc202764694"/>
      <w:bookmarkStart w:id="435" w:name="_Toc202849408"/>
      <w:bookmarkStart w:id="436" w:name="_Toc203537907"/>
      <w:bookmarkStart w:id="437" w:name="_Toc205284268"/>
      <w:bookmarkStart w:id="438" w:name="_Toc205284456"/>
      <w:bookmarkStart w:id="439" w:name="_Toc205284604"/>
      <w:r>
        <w:rPr>
          <w:rStyle w:val="CharDivNo"/>
        </w:rPr>
        <w:t>Division 2</w:t>
      </w:r>
      <w:r>
        <w:t> — </w:t>
      </w:r>
      <w:r>
        <w:rPr>
          <w:rStyle w:val="CharDivText"/>
        </w:rPr>
        <w:t>Ongoing reporting obligations</w:t>
      </w:r>
      <w:bookmarkEnd w:id="429"/>
      <w:bookmarkEnd w:id="430"/>
      <w:bookmarkEnd w:id="431"/>
      <w:bookmarkEnd w:id="432"/>
      <w:bookmarkEnd w:id="433"/>
      <w:bookmarkEnd w:id="434"/>
      <w:bookmarkEnd w:id="435"/>
      <w:bookmarkEnd w:id="436"/>
      <w:bookmarkEnd w:id="437"/>
      <w:bookmarkEnd w:id="438"/>
      <w:bookmarkEnd w:id="439"/>
    </w:p>
    <w:p>
      <w:pPr>
        <w:pStyle w:val="Heading5"/>
      </w:pPr>
      <w:bookmarkStart w:id="440" w:name="_Toc205284269"/>
      <w:bookmarkStart w:id="441" w:name="_Toc205284605"/>
      <w:bookmarkStart w:id="442" w:name="_Toc203537908"/>
      <w:r>
        <w:rPr>
          <w:rStyle w:val="CharSectno"/>
        </w:rPr>
        <w:t>28</w:t>
      </w:r>
      <w:r>
        <w:t>.</w:t>
      </w:r>
      <w:r>
        <w:tab/>
        <w:t>Reportable offender to report annually and as required by Commissioner</w:t>
      </w:r>
      <w:bookmarkEnd w:id="440"/>
      <w:bookmarkEnd w:id="441"/>
      <w:bookmarkEnd w:id="442"/>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spacing w:before="120"/>
      </w:pPr>
      <w:bookmarkStart w:id="443" w:name="_Toc205284270"/>
      <w:bookmarkStart w:id="444" w:name="_Toc205284606"/>
      <w:bookmarkStart w:id="445" w:name="_Toc203537909"/>
      <w:r>
        <w:rPr>
          <w:rStyle w:val="CharSectno"/>
        </w:rPr>
        <w:t>29</w:t>
      </w:r>
      <w:r>
        <w:t>.</w:t>
      </w:r>
      <w:r>
        <w:tab/>
        <w:t>Reportable offender to report changes to relevant personal details</w:t>
      </w:r>
      <w:bookmarkEnd w:id="443"/>
      <w:bookmarkEnd w:id="444"/>
      <w:bookmarkEnd w:id="445"/>
    </w:p>
    <w:p>
      <w:pPr>
        <w:pStyle w:val="Subsection"/>
      </w:pPr>
      <w:r>
        <w:tab/>
        <w:t>(1)</w:t>
      </w:r>
      <w:r>
        <w:tab/>
        <w:t>A reportable offender must report to the Commissioner any change in his or her personal details within 7 days after that change occurs.</w:t>
      </w:r>
    </w:p>
    <w:p>
      <w:pPr>
        <w:pStyle w:val="Subsection"/>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only on the expiry of the relevant 14 day period referred to in section 26(2).</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pPr>
      <w:r>
        <w:tab/>
        <w:t>(b)</w:t>
      </w:r>
      <w:r>
        <w:tab/>
        <w:t>before leaving Western Australia, if he or she leaves within that 7 day period.</w:t>
      </w:r>
    </w:p>
    <w:p>
      <w:pPr>
        <w:pStyle w:val="Heading5"/>
      </w:pPr>
      <w:bookmarkStart w:id="446" w:name="_Toc201567706"/>
      <w:bookmarkStart w:id="447" w:name="_Toc202754853"/>
      <w:bookmarkStart w:id="448" w:name="_Toc202773830"/>
      <w:bookmarkStart w:id="449" w:name="_Toc205284271"/>
      <w:bookmarkStart w:id="450" w:name="_Toc205284607"/>
      <w:bookmarkStart w:id="451" w:name="_Toc203537910"/>
      <w:r>
        <w:rPr>
          <w:rStyle w:val="CharSectno"/>
        </w:rPr>
        <w:t>29A</w:t>
      </w:r>
      <w:r>
        <w:t>.</w:t>
      </w:r>
      <w:r>
        <w:tab/>
        <w:t>Intended absence from place of residence to be reported</w:t>
      </w:r>
      <w:bookmarkEnd w:id="446"/>
      <w:bookmarkEnd w:id="447"/>
      <w:bookmarkEnd w:id="448"/>
      <w:bookmarkEnd w:id="449"/>
      <w:bookmarkEnd w:id="450"/>
      <w:bookmarkEnd w:id="451"/>
    </w:p>
    <w:p>
      <w:pPr>
        <w:pStyle w:val="Subsection"/>
      </w:pPr>
      <w:r>
        <w:tab/>
        <w:t>(1)</w:t>
      </w:r>
      <w:r>
        <w:tab/>
        <w:t xml:space="preserve">In this section, a reference to the place where a reportable offender generally resides is a reference to — </w:t>
      </w:r>
    </w:p>
    <w:p>
      <w:pPr>
        <w:pStyle w:val="Indenta"/>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452" w:name="_Toc205284272"/>
      <w:bookmarkStart w:id="453" w:name="_Toc205284608"/>
      <w:bookmarkStart w:id="454" w:name="_Toc203537911"/>
      <w:r>
        <w:rPr>
          <w:rStyle w:val="CharSectno"/>
        </w:rPr>
        <w:t>30</w:t>
      </w:r>
      <w:r>
        <w:t>.</w:t>
      </w:r>
      <w:r>
        <w:tab/>
        <w:t>Intended absence from Western Australia to be reported</w:t>
      </w:r>
      <w:bookmarkEnd w:id="452"/>
      <w:bookmarkEnd w:id="453"/>
      <w:bookmarkEnd w:id="454"/>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pPr>
      <w:bookmarkStart w:id="455" w:name="_Toc205284273"/>
      <w:bookmarkStart w:id="456" w:name="_Toc205284609"/>
      <w:bookmarkStart w:id="457" w:name="_Toc203537912"/>
      <w:r>
        <w:rPr>
          <w:rStyle w:val="CharSectno"/>
        </w:rPr>
        <w:t>31</w:t>
      </w:r>
      <w:r>
        <w:t>.</w:t>
      </w:r>
      <w:r>
        <w:tab/>
        <w:t>Change of travel plans while out of Western Australia to be reported</w:t>
      </w:r>
      <w:bookmarkEnd w:id="455"/>
      <w:bookmarkEnd w:id="456"/>
      <w:bookmarkEnd w:id="457"/>
      <w:r>
        <w:t xml:space="preserve"> </w:t>
      </w:r>
    </w:p>
    <w:p>
      <w:pPr>
        <w:pStyle w:val="Subsection"/>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pPr>
      <w:bookmarkStart w:id="458" w:name="_Toc205284274"/>
      <w:bookmarkStart w:id="459" w:name="_Toc205284610"/>
      <w:bookmarkStart w:id="460" w:name="_Toc203537913"/>
      <w:r>
        <w:rPr>
          <w:rStyle w:val="CharSectno"/>
        </w:rPr>
        <w:t>32</w:t>
      </w:r>
      <w:r>
        <w:t>.</w:t>
      </w:r>
      <w:r>
        <w:tab/>
        <w:t>Reportable offender to report return to Western Australia or decision not to leave</w:t>
      </w:r>
      <w:bookmarkEnd w:id="458"/>
      <w:bookmarkEnd w:id="459"/>
      <w:bookmarkEnd w:id="460"/>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by No. 27 of 2008 s. 8.]</w:t>
      </w:r>
    </w:p>
    <w:p>
      <w:pPr>
        <w:pStyle w:val="Heading5"/>
      </w:pPr>
      <w:bookmarkStart w:id="461" w:name="_Toc205284275"/>
      <w:bookmarkStart w:id="462" w:name="_Toc205284611"/>
      <w:bookmarkStart w:id="463" w:name="_Toc203537914"/>
      <w:r>
        <w:rPr>
          <w:rStyle w:val="CharSectno"/>
        </w:rPr>
        <w:t>33</w:t>
      </w:r>
      <w:r>
        <w:t>.</w:t>
      </w:r>
      <w:r>
        <w:tab/>
        <w:t>Report of other absences from Western Australia</w:t>
      </w:r>
      <w:bookmarkEnd w:id="461"/>
      <w:bookmarkEnd w:id="462"/>
      <w:bookmarkEnd w:id="463"/>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464" w:name="_Toc94433628"/>
      <w:bookmarkStart w:id="465" w:name="_Toc196103748"/>
      <w:bookmarkStart w:id="466" w:name="_Toc196195766"/>
      <w:bookmarkStart w:id="467" w:name="_Toc196789205"/>
      <w:bookmarkStart w:id="468" w:name="_Toc202764556"/>
      <w:bookmarkStart w:id="469" w:name="_Toc202764701"/>
      <w:bookmarkStart w:id="470" w:name="_Toc202849416"/>
      <w:bookmarkStart w:id="471" w:name="_Toc203537915"/>
      <w:bookmarkStart w:id="472" w:name="_Toc205284276"/>
      <w:bookmarkStart w:id="473" w:name="_Toc205284464"/>
      <w:bookmarkStart w:id="474" w:name="_Toc205284612"/>
      <w:r>
        <w:rPr>
          <w:rStyle w:val="CharDivNo"/>
        </w:rPr>
        <w:t>Division 3</w:t>
      </w:r>
      <w:r>
        <w:t> — </w:t>
      </w:r>
      <w:r>
        <w:rPr>
          <w:rStyle w:val="CharDivText"/>
        </w:rPr>
        <w:t>Provisions applying to all reporting obligations</w:t>
      </w:r>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205284277"/>
      <w:bookmarkStart w:id="476" w:name="_Toc205284613"/>
      <w:bookmarkStart w:id="477" w:name="_Toc203537916"/>
      <w:r>
        <w:rPr>
          <w:rStyle w:val="CharSectno"/>
        </w:rPr>
        <w:t>34</w:t>
      </w:r>
      <w:r>
        <w:t>.</w:t>
      </w:r>
      <w:r>
        <w:tab/>
        <w:t>Where reports must be made</w:t>
      </w:r>
      <w:bookmarkEnd w:id="475"/>
      <w:bookmarkEnd w:id="476"/>
      <w:bookmarkEnd w:id="477"/>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Heading5"/>
      </w:pPr>
      <w:bookmarkStart w:id="478" w:name="_Toc205284278"/>
      <w:bookmarkStart w:id="479" w:name="_Toc205284614"/>
      <w:bookmarkStart w:id="480" w:name="_Toc203537917"/>
      <w:r>
        <w:rPr>
          <w:rStyle w:val="CharSectno"/>
        </w:rPr>
        <w:t>35</w:t>
      </w:r>
      <w:r>
        <w:t>.</w:t>
      </w:r>
      <w:r>
        <w:tab/>
        <w:t>How reports must be made</w:t>
      </w:r>
      <w:bookmarkEnd w:id="478"/>
      <w:bookmarkEnd w:id="479"/>
      <w:bookmarkEnd w:id="480"/>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481" w:name="_Toc205284279"/>
      <w:bookmarkStart w:id="482" w:name="_Toc205284615"/>
      <w:bookmarkStart w:id="483" w:name="_Toc203537918"/>
      <w:r>
        <w:rPr>
          <w:rStyle w:val="CharSectno"/>
        </w:rPr>
        <w:t>36</w:t>
      </w:r>
      <w:r>
        <w:t>.</w:t>
      </w:r>
      <w:r>
        <w:tab/>
        <w:t>Right to privacy and support when reporting</w:t>
      </w:r>
      <w:bookmarkEnd w:id="481"/>
      <w:bookmarkEnd w:id="482"/>
      <w:bookmarkEnd w:id="483"/>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pPr>
      <w:bookmarkStart w:id="484" w:name="_Toc205284280"/>
      <w:bookmarkStart w:id="485" w:name="_Toc205284616"/>
      <w:bookmarkStart w:id="486" w:name="_Toc203537919"/>
      <w:r>
        <w:rPr>
          <w:rStyle w:val="CharSectno"/>
        </w:rPr>
        <w:t>37</w:t>
      </w:r>
      <w:r>
        <w:t>.</w:t>
      </w:r>
      <w:r>
        <w:tab/>
        <w:t>Receipt of information to be acknowledged</w:t>
      </w:r>
      <w:bookmarkEnd w:id="484"/>
      <w:bookmarkEnd w:id="485"/>
      <w:bookmarkEnd w:id="486"/>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487" w:name="_Toc205284281"/>
      <w:bookmarkStart w:id="488" w:name="_Toc205284617"/>
      <w:bookmarkStart w:id="489" w:name="_Toc203537920"/>
      <w:r>
        <w:rPr>
          <w:rStyle w:val="CharSectno"/>
        </w:rPr>
        <w:t>38</w:t>
      </w:r>
      <w:r>
        <w:t>.</w:t>
      </w:r>
      <w:r>
        <w:tab/>
        <w:t>Additional matters to be provided</w:t>
      </w:r>
      <w:bookmarkEnd w:id="487"/>
      <w:bookmarkEnd w:id="488"/>
      <w:bookmarkEnd w:id="489"/>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pPr>
      <w:r>
        <w:tab/>
        <w:t>(4)</w:t>
      </w:r>
      <w:r>
        <w:tab/>
        <w:t>The authorised person receiving a report may copy any document presented to the person for inspection under subsection (1)(a).</w:t>
      </w:r>
    </w:p>
    <w:p>
      <w:pPr>
        <w:pStyle w:val="Subsection"/>
      </w:pPr>
      <w:r>
        <w:tab/>
        <w:t>(5)</w:t>
      </w:r>
      <w:r>
        <w:tab/>
        <w:t xml:space="preserve">For the purposes of a report that is made otherwise than in person, the regulations may specify — </w:t>
      </w:r>
    </w:p>
    <w:p>
      <w:pPr>
        <w:pStyle w:val="Indenta"/>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490" w:name="_Toc205284282"/>
      <w:bookmarkStart w:id="491" w:name="_Toc205284618"/>
      <w:bookmarkStart w:id="492" w:name="_Toc203537921"/>
      <w:r>
        <w:rPr>
          <w:rStyle w:val="CharSectno"/>
        </w:rPr>
        <w:t>39</w:t>
      </w:r>
      <w:r>
        <w:t>.</w:t>
      </w:r>
      <w:r>
        <w:tab/>
        <w:t>Power to take fingerprints</w:t>
      </w:r>
      <w:bookmarkEnd w:id="490"/>
      <w:bookmarkEnd w:id="491"/>
      <w:bookmarkEnd w:id="492"/>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493" w:name="_Toc205284283"/>
      <w:bookmarkStart w:id="494" w:name="_Toc205284619"/>
      <w:bookmarkStart w:id="495" w:name="_Toc203537922"/>
      <w:r>
        <w:rPr>
          <w:rStyle w:val="CharSectno"/>
        </w:rPr>
        <w:t>40</w:t>
      </w:r>
      <w:r>
        <w:t>.</w:t>
      </w:r>
      <w:r>
        <w:tab/>
        <w:t>Power to take photographs</w:t>
      </w:r>
      <w:bookmarkEnd w:id="493"/>
      <w:bookmarkEnd w:id="494"/>
      <w:bookmarkEnd w:id="495"/>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496" w:name="_Toc205284284"/>
      <w:bookmarkStart w:id="497" w:name="_Toc205284620"/>
      <w:bookmarkStart w:id="498" w:name="_Toc203537923"/>
      <w:r>
        <w:rPr>
          <w:rStyle w:val="CharSectno"/>
        </w:rPr>
        <w:t>41</w:t>
      </w:r>
      <w:r>
        <w:t>.</w:t>
      </w:r>
      <w:r>
        <w:tab/>
        <w:t>Reasonable force may be used to obtain fingerprints and photographs</w:t>
      </w:r>
      <w:bookmarkEnd w:id="496"/>
      <w:bookmarkEnd w:id="497"/>
      <w:bookmarkEnd w:id="498"/>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499" w:name="_Toc205284285"/>
      <w:bookmarkStart w:id="500" w:name="_Toc205284621"/>
      <w:bookmarkStart w:id="501" w:name="_Toc203537924"/>
      <w:r>
        <w:rPr>
          <w:rStyle w:val="CharSectno"/>
        </w:rPr>
        <w:t>42</w:t>
      </w:r>
      <w:r>
        <w:t>.</w:t>
      </w:r>
      <w:r>
        <w:tab/>
        <w:t>Retention of material for certain purposes</w:t>
      </w:r>
      <w:bookmarkEnd w:id="499"/>
      <w:bookmarkEnd w:id="500"/>
      <w:bookmarkEnd w:id="501"/>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502" w:name="_Toc205284286"/>
      <w:bookmarkStart w:id="503" w:name="_Toc205284622"/>
      <w:bookmarkStart w:id="504" w:name="_Toc203537925"/>
      <w:r>
        <w:rPr>
          <w:rStyle w:val="CharSectno"/>
        </w:rPr>
        <w:t>43</w:t>
      </w:r>
      <w:r>
        <w:t>.</w:t>
      </w:r>
      <w:r>
        <w:tab/>
        <w:t>Reporting by remote offenders</w:t>
      </w:r>
      <w:bookmarkEnd w:id="502"/>
      <w:bookmarkEnd w:id="503"/>
      <w:bookmarkEnd w:id="504"/>
    </w:p>
    <w:p>
      <w:pPr>
        <w:pStyle w:val="Subsection"/>
      </w:pPr>
      <w:r>
        <w:tab/>
        <w:t>(1)</w:t>
      </w:r>
      <w:r>
        <w:tab/>
        <w:t>This section applies to a reportable offender who resides more than the distance prescribed by the regulations from the nearest police station or approved place.</w:t>
      </w:r>
    </w:p>
    <w:p>
      <w:pPr>
        <w:pStyle w:val="Subsection"/>
      </w:pPr>
      <w:r>
        <w:tab/>
        <w:t>(2)</w:t>
      </w:r>
      <w:r>
        <w:tab/>
        <w:t>Different distances may be prescribed for the purposes of subsection (1) in respect of different areas of Western Australia.</w:t>
      </w:r>
    </w:p>
    <w:p>
      <w:pPr>
        <w:pStyle w:val="Subsection"/>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505" w:name="_Toc94433639"/>
      <w:bookmarkStart w:id="506" w:name="_Toc196103759"/>
      <w:bookmarkStart w:id="507" w:name="_Toc196195777"/>
      <w:bookmarkStart w:id="508" w:name="_Toc196789216"/>
      <w:bookmarkStart w:id="509" w:name="_Toc202764567"/>
      <w:bookmarkStart w:id="510" w:name="_Toc202764712"/>
      <w:bookmarkStart w:id="511" w:name="_Toc202849427"/>
      <w:bookmarkStart w:id="512" w:name="_Toc203537926"/>
      <w:bookmarkStart w:id="513" w:name="_Toc205284287"/>
      <w:bookmarkStart w:id="514" w:name="_Toc205284475"/>
      <w:bookmarkStart w:id="515" w:name="_Toc205284623"/>
      <w:r>
        <w:rPr>
          <w:rStyle w:val="CharDivNo"/>
        </w:rPr>
        <w:t>Division 4</w:t>
      </w:r>
      <w:r>
        <w:t> — </w:t>
      </w:r>
      <w:r>
        <w:rPr>
          <w:rStyle w:val="CharDivText"/>
        </w:rPr>
        <w:t>Suspension and extension of reporting obligations</w:t>
      </w:r>
      <w:bookmarkEnd w:id="505"/>
      <w:bookmarkEnd w:id="506"/>
      <w:bookmarkEnd w:id="507"/>
      <w:bookmarkEnd w:id="508"/>
      <w:bookmarkEnd w:id="509"/>
      <w:bookmarkEnd w:id="510"/>
      <w:bookmarkEnd w:id="511"/>
      <w:bookmarkEnd w:id="512"/>
      <w:bookmarkEnd w:id="513"/>
      <w:bookmarkEnd w:id="514"/>
      <w:bookmarkEnd w:id="515"/>
    </w:p>
    <w:p>
      <w:pPr>
        <w:pStyle w:val="Heading5"/>
      </w:pPr>
      <w:bookmarkStart w:id="516" w:name="_Toc205284288"/>
      <w:bookmarkStart w:id="517" w:name="_Toc205284624"/>
      <w:bookmarkStart w:id="518" w:name="_Toc203537927"/>
      <w:r>
        <w:rPr>
          <w:rStyle w:val="CharSectno"/>
        </w:rPr>
        <w:t>44</w:t>
      </w:r>
      <w:r>
        <w:t>.</w:t>
      </w:r>
      <w:r>
        <w:tab/>
        <w:t>Suspension and extension of reporting obligations</w:t>
      </w:r>
      <w:bookmarkEnd w:id="516"/>
      <w:bookmarkEnd w:id="517"/>
      <w:bookmarkEnd w:id="518"/>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519" w:name="_Toc94433641"/>
      <w:bookmarkStart w:id="520" w:name="_Toc196103761"/>
      <w:bookmarkStart w:id="521" w:name="_Toc196195779"/>
      <w:bookmarkStart w:id="522" w:name="_Toc196789218"/>
      <w:bookmarkStart w:id="523" w:name="_Toc202764569"/>
      <w:bookmarkStart w:id="524" w:name="_Toc202764714"/>
      <w:bookmarkStart w:id="525" w:name="_Toc202849429"/>
      <w:bookmarkStart w:id="526" w:name="_Toc203537928"/>
      <w:bookmarkStart w:id="527" w:name="_Toc205284289"/>
      <w:bookmarkStart w:id="528" w:name="_Toc205284477"/>
      <w:bookmarkStart w:id="529" w:name="_Toc205284625"/>
      <w:r>
        <w:rPr>
          <w:rStyle w:val="CharDivNo"/>
        </w:rPr>
        <w:t>Division 5</w:t>
      </w:r>
      <w:r>
        <w:t> — </w:t>
      </w:r>
      <w:r>
        <w:rPr>
          <w:rStyle w:val="CharDivText"/>
        </w:rPr>
        <w:t>Reporting period</w:t>
      </w:r>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205284290"/>
      <w:bookmarkStart w:id="531" w:name="_Toc205284626"/>
      <w:bookmarkStart w:id="532" w:name="_Toc203537929"/>
      <w:r>
        <w:rPr>
          <w:rStyle w:val="CharSectno"/>
        </w:rPr>
        <w:t>45</w:t>
      </w:r>
      <w:r>
        <w:t>.</w:t>
      </w:r>
      <w:r>
        <w:tab/>
        <w:t>When reporting obligations begin</w:t>
      </w:r>
      <w:bookmarkEnd w:id="530"/>
      <w:bookmarkEnd w:id="531"/>
      <w:bookmarkEnd w:id="532"/>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533" w:name="_Toc205284291"/>
      <w:bookmarkStart w:id="534" w:name="_Toc205284627"/>
      <w:bookmarkStart w:id="535" w:name="_Toc203537930"/>
      <w:r>
        <w:rPr>
          <w:rStyle w:val="CharSectno"/>
        </w:rPr>
        <w:t>46</w:t>
      </w:r>
      <w:r>
        <w:t>.</w:t>
      </w:r>
      <w:r>
        <w:tab/>
        <w:t>Length of reporting period</w:t>
      </w:r>
      <w:bookmarkEnd w:id="533"/>
      <w:bookmarkEnd w:id="534"/>
      <w:bookmarkEnd w:id="535"/>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536" w:name="_Toc205284292"/>
      <w:bookmarkStart w:id="537" w:name="_Toc205284628"/>
      <w:bookmarkStart w:id="538" w:name="_Toc203537931"/>
      <w:r>
        <w:rPr>
          <w:rStyle w:val="CharSectno"/>
        </w:rPr>
        <w:t>47</w:t>
      </w:r>
      <w:r>
        <w:t>.</w:t>
      </w:r>
      <w:r>
        <w:tab/>
        <w:t>Reduced period applies for young reportable offenders</w:t>
      </w:r>
      <w:bookmarkEnd w:id="536"/>
      <w:bookmarkEnd w:id="537"/>
      <w:bookmarkEnd w:id="538"/>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539" w:name="_Toc205284293"/>
      <w:bookmarkStart w:id="540" w:name="_Toc205284629"/>
      <w:bookmarkStart w:id="541" w:name="_Toc203537932"/>
      <w:r>
        <w:rPr>
          <w:rStyle w:val="CharSectno"/>
        </w:rPr>
        <w:t>48</w:t>
      </w:r>
      <w:r>
        <w:t>.</w:t>
      </w:r>
      <w:r>
        <w:tab/>
        <w:t>Extended reporting period if reportable offender still on parole</w:t>
      </w:r>
      <w:bookmarkEnd w:id="539"/>
      <w:bookmarkEnd w:id="540"/>
      <w:bookmarkEnd w:id="541"/>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542" w:name="_Toc205284294"/>
      <w:bookmarkStart w:id="543" w:name="_Toc205284630"/>
      <w:bookmarkStart w:id="544" w:name="_Toc203537933"/>
      <w:r>
        <w:rPr>
          <w:rStyle w:val="CharSectno"/>
        </w:rPr>
        <w:t>49</w:t>
      </w:r>
      <w:r>
        <w:t>.</w:t>
      </w:r>
      <w:r>
        <w:tab/>
        <w:t>Reporting period for corresponding reportable offenders</w:t>
      </w:r>
      <w:bookmarkEnd w:id="542"/>
      <w:bookmarkEnd w:id="543"/>
      <w:bookmarkEnd w:id="544"/>
    </w:p>
    <w:p>
      <w:pPr>
        <w:pStyle w:val="Subsection"/>
      </w:pPr>
      <w:r>
        <w:tab/>
        <w:t>(1)</w:t>
      </w:r>
      <w:r>
        <w:tab/>
        <w:t xml:space="preserve">Despite anything in this Part, a corresponding reportable offender must continue to comply with the reporting obligations imposed by this Part for the longer period (the </w:t>
      </w:r>
      <w:del w:id="545" w:author="svcMRProcess" w:date="2018-08-22T00:45:00Z">
        <w:r>
          <w:rPr>
            <w:b/>
          </w:rPr>
          <w:delText>“</w:delText>
        </w:r>
      </w:del>
      <w:r>
        <w:rPr>
          <w:rStyle w:val="CharDefText"/>
        </w:rPr>
        <w:t>recognised foreign reporting period</w:t>
      </w:r>
      <w:del w:id="546" w:author="svcMRProcess" w:date="2018-08-22T00:45:00Z">
        <w:r>
          <w:rPr>
            <w:b/>
          </w:rPr>
          <w:delText>”</w:delText>
        </w:r>
        <w:r>
          <w:delText>)</w:delText>
        </w:r>
      </w:del>
      <w:ins w:id="547" w:author="svcMRProcess" w:date="2018-08-22T00:45:00Z">
        <w:r>
          <w:t>)</w:t>
        </w:r>
      </w:ins>
      <w:r>
        <w:t xml:space="preserve">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548" w:name="_Toc205284295"/>
      <w:bookmarkStart w:id="549" w:name="_Toc205284631"/>
      <w:bookmarkStart w:id="550" w:name="_Toc203537934"/>
      <w:r>
        <w:rPr>
          <w:rStyle w:val="CharSectno"/>
        </w:rPr>
        <w:t>50</w:t>
      </w:r>
      <w:r>
        <w:t>.</w:t>
      </w:r>
      <w:r>
        <w:tab/>
        <w:t>Reporting period for New South Wales reportable offenders</w:t>
      </w:r>
      <w:bookmarkEnd w:id="548"/>
      <w:bookmarkEnd w:id="549"/>
      <w:bookmarkEnd w:id="550"/>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551" w:name="_Toc94433648"/>
      <w:bookmarkStart w:id="552" w:name="_Toc196103768"/>
      <w:bookmarkStart w:id="553" w:name="_Toc196195786"/>
      <w:bookmarkStart w:id="554" w:name="_Toc196789225"/>
      <w:bookmarkStart w:id="555" w:name="_Toc202764576"/>
      <w:bookmarkStart w:id="556" w:name="_Toc202764721"/>
      <w:bookmarkStart w:id="557" w:name="_Toc202849436"/>
      <w:bookmarkStart w:id="558" w:name="_Toc203537935"/>
      <w:bookmarkStart w:id="559" w:name="_Toc205284296"/>
      <w:bookmarkStart w:id="560" w:name="_Toc205284484"/>
      <w:bookmarkStart w:id="561" w:name="_Toc205284632"/>
      <w:r>
        <w:rPr>
          <w:rStyle w:val="CharDivNo"/>
        </w:rPr>
        <w:t>Division 6</w:t>
      </w:r>
      <w:r>
        <w:t> — </w:t>
      </w:r>
      <w:r>
        <w:rPr>
          <w:rStyle w:val="CharDivText"/>
        </w:rPr>
        <w:t>Exemption from reporting obligations</w:t>
      </w:r>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205284297"/>
      <w:bookmarkStart w:id="563" w:name="_Toc205284633"/>
      <w:bookmarkStart w:id="564" w:name="_Toc203537936"/>
      <w:r>
        <w:rPr>
          <w:rStyle w:val="CharSectno"/>
        </w:rPr>
        <w:t>51</w:t>
      </w:r>
      <w:r>
        <w:t>.</w:t>
      </w:r>
      <w:r>
        <w:tab/>
        <w:t>Application of Division</w:t>
      </w:r>
      <w:bookmarkEnd w:id="562"/>
      <w:bookmarkEnd w:id="563"/>
      <w:bookmarkEnd w:id="564"/>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pPr>
      <w:r>
        <w:tab/>
        <w:t>(a)</w:t>
      </w:r>
      <w:r>
        <w:tab/>
        <w:t xml:space="preserve">an offence under </w:t>
      </w:r>
      <w:r>
        <w:rPr>
          <w:i/>
        </w:rPr>
        <w:t>The Criminal Code</w:t>
      </w:r>
      <w:r>
        <w:t xml:space="preserve"> section 279(1);</w:t>
      </w:r>
    </w:p>
    <w:p>
      <w:pPr>
        <w:pStyle w:val="Indenta"/>
      </w:pPr>
      <w:r>
        <w:tab/>
        <w:t>(b)</w:t>
      </w:r>
      <w:r>
        <w:tab/>
        <w:t xml:space="preserve">an offence under a law of a foreign jurisdiction the elements of which, if they had occurred in Western Australia, would have constituted an offence of the kind referred to in paragraph (a); or </w:t>
      </w:r>
    </w:p>
    <w:p>
      <w:pPr>
        <w:pStyle w:val="Indenta"/>
      </w:pPr>
      <w:r>
        <w:tab/>
        <w:t>(c)</w:t>
      </w:r>
      <w:r>
        <w:tab/>
        <w:t>an offence that, at the time it was committed, was an offence of the kind referred to in this subsection.</w:t>
      </w:r>
    </w:p>
    <w:p>
      <w:pPr>
        <w:pStyle w:val="Heading5"/>
      </w:pPr>
      <w:bookmarkStart w:id="565" w:name="_Toc205284298"/>
      <w:bookmarkStart w:id="566" w:name="_Toc205284634"/>
      <w:bookmarkStart w:id="567" w:name="_Toc203537937"/>
      <w:r>
        <w:rPr>
          <w:rStyle w:val="CharSectno"/>
        </w:rPr>
        <w:t>52</w:t>
      </w:r>
      <w:r>
        <w:t>.</w:t>
      </w:r>
      <w:r>
        <w:tab/>
        <w:t>District Court may exempt certain reportable offenders</w:t>
      </w:r>
      <w:bookmarkEnd w:id="565"/>
      <w:bookmarkEnd w:id="566"/>
      <w:bookmarkEnd w:id="567"/>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568" w:name="_Toc205284299"/>
      <w:bookmarkStart w:id="569" w:name="_Toc205284635"/>
      <w:bookmarkStart w:id="570" w:name="_Toc203537938"/>
      <w:r>
        <w:rPr>
          <w:rStyle w:val="CharSectno"/>
        </w:rPr>
        <w:t>53</w:t>
      </w:r>
      <w:r>
        <w:t>.</w:t>
      </w:r>
      <w:r>
        <w:tab/>
        <w:t>Order for suspension</w:t>
      </w:r>
      <w:bookmarkEnd w:id="568"/>
      <w:bookmarkEnd w:id="569"/>
      <w:bookmarkEnd w:id="570"/>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571" w:name="_Toc205284300"/>
      <w:bookmarkStart w:id="572" w:name="_Toc205284636"/>
      <w:bookmarkStart w:id="573" w:name="_Toc203537939"/>
      <w:r>
        <w:rPr>
          <w:rStyle w:val="CharSectno"/>
        </w:rPr>
        <w:t>54</w:t>
      </w:r>
      <w:r>
        <w:t>.</w:t>
      </w:r>
      <w:r>
        <w:tab/>
        <w:t>Commissioner and certain chief executive officers entitled to be parties to proceedings</w:t>
      </w:r>
      <w:bookmarkEnd w:id="571"/>
      <w:bookmarkEnd w:id="572"/>
      <w:bookmarkEnd w:id="573"/>
    </w:p>
    <w:p>
      <w:pPr>
        <w:pStyle w:val="Subsection"/>
      </w:pPr>
      <w:r>
        <w:tab/>
        <w:t>(1)</w:t>
      </w:r>
      <w:r>
        <w:tab/>
        <w:t xml:space="preserve">In this section — </w:t>
      </w:r>
    </w:p>
    <w:p>
      <w:pPr>
        <w:pStyle w:val="Defstart"/>
      </w:pPr>
      <w:r>
        <w:tab/>
      </w:r>
      <w:del w:id="574" w:author="svcMRProcess" w:date="2018-08-22T00:45:00Z">
        <w:r>
          <w:rPr>
            <w:b/>
          </w:rPr>
          <w:delText>“</w:delText>
        </w:r>
      </w:del>
      <w:r>
        <w:rPr>
          <w:rStyle w:val="CharDefText"/>
        </w:rPr>
        <w:t>relevant authority</w:t>
      </w:r>
      <w:del w:id="575" w:author="svcMRProcess" w:date="2018-08-22T00:45:00Z">
        <w:r>
          <w:rPr>
            <w:b/>
          </w:rPr>
          <w:delText>”</w:delText>
        </w:r>
      </w:del>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576" w:name="_Toc205284301"/>
      <w:bookmarkStart w:id="577" w:name="_Toc205284637"/>
      <w:bookmarkStart w:id="578" w:name="_Toc203537940"/>
      <w:r>
        <w:rPr>
          <w:rStyle w:val="CharSectno"/>
        </w:rPr>
        <w:t>55</w:t>
      </w:r>
      <w:r>
        <w:t>.</w:t>
      </w:r>
      <w:r>
        <w:tab/>
        <w:t>Commissioner to be notified of order</w:t>
      </w:r>
      <w:bookmarkEnd w:id="576"/>
      <w:bookmarkEnd w:id="577"/>
      <w:bookmarkEnd w:id="578"/>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579" w:name="_Toc205284302"/>
      <w:bookmarkStart w:id="580" w:name="_Toc205284638"/>
      <w:bookmarkStart w:id="581" w:name="_Toc203537941"/>
      <w:r>
        <w:rPr>
          <w:rStyle w:val="CharSectno"/>
        </w:rPr>
        <w:t>56</w:t>
      </w:r>
      <w:r>
        <w:t>.</w:t>
      </w:r>
      <w:r>
        <w:tab/>
        <w:t>No costs to be awarded</w:t>
      </w:r>
      <w:bookmarkEnd w:id="579"/>
      <w:bookmarkEnd w:id="580"/>
      <w:bookmarkEnd w:id="581"/>
    </w:p>
    <w:p>
      <w:pPr>
        <w:pStyle w:val="Subsection"/>
      </w:pPr>
      <w:r>
        <w:tab/>
      </w:r>
      <w:r>
        <w:tab/>
        <w:t>The District Court must not award costs in respect of proceedings under this Division.</w:t>
      </w:r>
    </w:p>
    <w:p>
      <w:pPr>
        <w:pStyle w:val="Heading5"/>
      </w:pPr>
      <w:bookmarkStart w:id="582" w:name="_Toc205284303"/>
      <w:bookmarkStart w:id="583" w:name="_Toc205284639"/>
      <w:bookmarkStart w:id="584" w:name="_Toc203537942"/>
      <w:r>
        <w:rPr>
          <w:rStyle w:val="CharSectno"/>
        </w:rPr>
        <w:t>57</w:t>
      </w:r>
      <w:r>
        <w:t>.</w:t>
      </w:r>
      <w:r>
        <w:tab/>
        <w:t>Applications not to be heard in public on application of party to proceedings</w:t>
      </w:r>
      <w:bookmarkEnd w:id="582"/>
      <w:bookmarkEnd w:id="583"/>
      <w:bookmarkEnd w:id="584"/>
    </w:p>
    <w:p>
      <w:pPr>
        <w:pStyle w:val="Subsection"/>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585" w:name="_Toc205284304"/>
      <w:bookmarkStart w:id="586" w:name="_Toc205284640"/>
      <w:bookmarkStart w:id="587" w:name="_Toc203537943"/>
      <w:r>
        <w:rPr>
          <w:rStyle w:val="CharSectno"/>
        </w:rPr>
        <w:t>58</w:t>
      </w:r>
      <w:r>
        <w:t>.</w:t>
      </w:r>
      <w:r>
        <w:tab/>
        <w:t>Restriction on right of unsuccessful applicant to re</w:t>
      </w:r>
      <w:r>
        <w:noBreakHyphen/>
        <w:t>apply for order</w:t>
      </w:r>
      <w:bookmarkEnd w:id="585"/>
      <w:bookmarkEnd w:id="586"/>
      <w:bookmarkEnd w:id="587"/>
    </w:p>
    <w:p>
      <w:pPr>
        <w:pStyle w:val="Subsection"/>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588" w:name="_Toc205284305"/>
      <w:bookmarkStart w:id="589" w:name="_Toc205284641"/>
      <w:bookmarkStart w:id="590" w:name="_Toc203537944"/>
      <w:r>
        <w:rPr>
          <w:rStyle w:val="CharSectno"/>
        </w:rPr>
        <w:t>59</w:t>
      </w:r>
      <w:r>
        <w:t>.</w:t>
      </w:r>
      <w:r>
        <w:tab/>
        <w:t>Cessation of order</w:t>
      </w:r>
      <w:bookmarkEnd w:id="588"/>
      <w:bookmarkEnd w:id="589"/>
      <w:bookmarkEnd w:id="590"/>
    </w:p>
    <w:p>
      <w:pPr>
        <w:pStyle w:val="Subsection"/>
      </w:pPr>
      <w:r>
        <w:tab/>
        <w:t>(1)</w:t>
      </w:r>
      <w:r>
        <w:tab/>
        <w:t xml:space="preserve">An order made under this Division ceases to have effect if, at any time after the making of the order,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591" w:name="_Toc205284306"/>
      <w:bookmarkStart w:id="592" w:name="_Toc205284642"/>
      <w:bookmarkStart w:id="593" w:name="_Toc203537945"/>
      <w:r>
        <w:rPr>
          <w:rStyle w:val="CharSectno"/>
        </w:rPr>
        <w:t>60</w:t>
      </w:r>
      <w:r>
        <w:t>.</w:t>
      </w:r>
      <w:r>
        <w:tab/>
        <w:t>Application for new order</w:t>
      </w:r>
      <w:bookmarkEnd w:id="591"/>
      <w:bookmarkEnd w:id="592"/>
      <w:bookmarkEnd w:id="593"/>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594" w:name="_Toc94433659"/>
      <w:bookmarkStart w:id="595" w:name="_Toc196103779"/>
      <w:bookmarkStart w:id="596" w:name="_Toc196195797"/>
      <w:bookmarkStart w:id="597" w:name="_Toc196789236"/>
      <w:bookmarkStart w:id="598" w:name="_Toc202764587"/>
      <w:bookmarkStart w:id="599" w:name="_Toc202764732"/>
      <w:bookmarkStart w:id="600" w:name="_Toc202849447"/>
      <w:bookmarkStart w:id="601" w:name="_Toc203537946"/>
      <w:bookmarkStart w:id="602" w:name="_Toc205284307"/>
      <w:bookmarkStart w:id="603" w:name="_Toc205284495"/>
      <w:bookmarkStart w:id="604" w:name="_Toc205284643"/>
      <w:r>
        <w:rPr>
          <w:rStyle w:val="CharDivNo"/>
        </w:rPr>
        <w:t>Division 7</w:t>
      </w:r>
      <w:r>
        <w:t> — </w:t>
      </w:r>
      <w:r>
        <w:rPr>
          <w:rStyle w:val="CharDivText"/>
        </w:rPr>
        <w:t>Suspension of reporting obligations of certain reportable offenders</w:t>
      </w:r>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205284308"/>
      <w:bookmarkStart w:id="606" w:name="_Toc205284644"/>
      <w:bookmarkStart w:id="607" w:name="_Toc203537947"/>
      <w:r>
        <w:rPr>
          <w:rStyle w:val="CharSectno"/>
        </w:rPr>
        <w:t>61</w:t>
      </w:r>
      <w:r>
        <w:t>.</w:t>
      </w:r>
      <w:r>
        <w:tab/>
        <w:t>Commissioner may approve suspension of reporting obligations</w:t>
      </w:r>
      <w:bookmarkEnd w:id="605"/>
      <w:bookmarkEnd w:id="606"/>
      <w:bookmarkEnd w:id="607"/>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608" w:name="_Toc205284309"/>
      <w:bookmarkStart w:id="609" w:name="_Toc205284645"/>
      <w:bookmarkStart w:id="610" w:name="_Toc203537948"/>
      <w:r>
        <w:rPr>
          <w:rStyle w:val="CharSectno"/>
        </w:rPr>
        <w:t>62</w:t>
      </w:r>
      <w:r>
        <w:t>.</w:t>
      </w:r>
      <w:r>
        <w:tab/>
        <w:t>Cessation of approval</w:t>
      </w:r>
      <w:bookmarkEnd w:id="608"/>
      <w:bookmarkEnd w:id="609"/>
      <w:bookmarkEnd w:id="610"/>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611" w:name="_Toc94433662"/>
      <w:bookmarkStart w:id="612" w:name="_Toc196103782"/>
      <w:bookmarkStart w:id="613" w:name="_Toc196195800"/>
      <w:bookmarkStart w:id="614" w:name="_Toc196789239"/>
      <w:bookmarkStart w:id="615" w:name="_Toc202764590"/>
      <w:bookmarkStart w:id="616" w:name="_Toc202764735"/>
      <w:bookmarkStart w:id="617" w:name="_Toc202849450"/>
      <w:bookmarkStart w:id="618" w:name="_Toc203537949"/>
      <w:bookmarkStart w:id="619" w:name="_Toc205284310"/>
      <w:bookmarkStart w:id="620" w:name="_Toc205284498"/>
      <w:bookmarkStart w:id="621" w:name="_Toc205284646"/>
      <w:r>
        <w:rPr>
          <w:rStyle w:val="CharDivNo"/>
        </w:rPr>
        <w:t>Division 8</w:t>
      </w:r>
      <w:r>
        <w:t> — </w:t>
      </w:r>
      <w:r>
        <w:rPr>
          <w:rStyle w:val="CharDivText"/>
        </w:rPr>
        <w:t>Offences</w:t>
      </w:r>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205284311"/>
      <w:bookmarkStart w:id="623" w:name="_Toc205284647"/>
      <w:bookmarkStart w:id="624" w:name="_Toc203537950"/>
      <w:r>
        <w:rPr>
          <w:rStyle w:val="CharSectno"/>
        </w:rPr>
        <w:t>63</w:t>
      </w:r>
      <w:r>
        <w:t>.</w:t>
      </w:r>
      <w:r>
        <w:tab/>
        <w:t>Failure to comply with reporting obligations</w:t>
      </w:r>
      <w:bookmarkEnd w:id="622"/>
      <w:bookmarkEnd w:id="623"/>
      <w:bookmarkEnd w:id="624"/>
    </w:p>
    <w:p>
      <w:pPr>
        <w:pStyle w:val="Subsection"/>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pPr>
      <w:bookmarkStart w:id="625" w:name="_Toc205284312"/>
      <w:bookmarkStart w:id="626" w:name="_Toc205284648"/>
      <w:bookmarkStart w:id="627" w:name="_Toc203537951"/>
      <w:r>
        <w:rPr>
          <w:rStyle w:val="CharSectno"/>
        </w:rPr>
        <w:t>64</w:t>
      </w:r>
      <w:r>
        <w:t>.</w:t>
      </w:r>
      <w:r>
        <w:tab/>
        <w:t>Providing false or misleading information</w:t>
      </w:r>
      <w:bookmarkEnd w:id="625"/>
      <w:bookmarkEnd w:id="626"/>
      <w:bookmarkEnd w:id="627"/>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pPr>
      <w:bookmarkStart w:id="628" w:name="_Toc205284313"/>
      <w:bookmarkStart w:id="629" w:name="_Toc205284649"/>
      <w:bookmarkStart w:id="630" w:name="_Toc203537952"/>
      <w:r>
        <w:rPr>
          <w:rStyle w:val="CharSectno"/>
        </w:rPr>
        <w:t>65</w:t>
      </w:r>
      <w:r>
        <w:t>.</w:t>
      </w:r>
      <w:r>
        <w:tab/>
        <w:t>No time limit for prosecutions</w:t>
      </w:r>
      <w:bookmarkEnd w:id="628"/>
      <w:bookmarkEnd w:id="629"/>
      <w:bookmarkEnd w:id="630"/>
    </w:p>
    <w:p>
      <w:pPr>
        <w:pStyle w:val="Subsection"/>
      </w:pPr>
      <w:r>
        <w:tab/>
      </w:r>
      <w:r>
        <w:tab/>
        <w:t>Proceedings for an offence against this Act may be commenced at any time.</w:t>
      </w:r>
    </w:p>
    <w:p>
      <w:pPr>
        <w:pStyle w:val="Heading5"/>
      </w:pPr>
      <w:bookmarkStart w:id="631" w:name="_Toc205284314"/>
      <w:bookmarkStart w:id="632" w:name="_Toc205284650"/>
      <w:bookmarkStart w:id="633" w:name="_Toc203537953"/>
      <w:r>
        <w:rPr>
          <w:rStyle w:val="CharSectno"/>
        </w:rPr>
        <w:t>66</w:t>
      </w:r>
      <w:r>
        <w:t>.</w:t>
      </w:r>
      <w:r>
        <w:tab/>
        <w:t>Bar to prosecution for failing to report leaving Western Australia</w:t>
      </w:r>
      <w:bookmarkEnd w:id="631"/>
      <w:bookmarkEnd w:id="632"/>
      <w:bookmarkEnd w:id="633"/>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634" w:name="_Toc94433667"/>
      <w:bookmarkStart w:id="635" w:name="_Toc196103787"/>
      <w:bookmarkStart w:id="636" w:name="_Toc196195805"/>
      <w:bookmarkStart w:id="637" w:name="_Toc196789244"/>
      <w:bookmarkStart w:id="638" w:name="_Toc202764595"/>
      <w:bookmarkStart w:id="639" w:name="_Toc202764740"/>
      <w:bookmarkStart w:id="640" w:name="_Toc202849455"/>
      <w:bookmarkStart w:id="641" w:name="_Toc203537954"/>
      <w:bookmarkStart w:id="642" w:name="_Toc205284315"/>
      <w:bookmarkStart w:id="643" w:name="_Toc205284503"/>
      <w:bookmarkStart w:id="644" w:name="_Toc205284651"/>
      <w:r>
        <w:rPr>
          <w:rStyle w:val="CharDivNo"/>
        </w:rPr>
        <w:t>Division 9</w:t>
      </w:r>
      <w:r>
        <w:t> — </w:t>
      </w:r>
      <w:r>
        <w:rPr>
          <w:rStyle w:val="CharDivText"/>
        </w:rPr>
        <w:t>Notification of reporting obligations</w:t>
      </w:r>
      <w:bookmarkEnd w:id="634"/>
      <w:bookmarkEnd w:id="635"/>
      <w:bookmarkEnd w:id="636"/>
      <w:bookmarkEnd w:id="637"/>
      <w:bookmarkEnd w:id="638"/>
      <w:bookmarkEnd w:id="639"/>
      <w:bookmarkEnd w:id="640"/>
      <w:bookmarkEnd w:id="641"/>
      <w:bookmarkEnd w:id="642"/>
      <w:bookmarkEnd w:id="643"/>
      <w:bookmarkEnd w:id="644"/>
    </w:p>
    <w:p>
      <w:pPr>
        <w:pStyle w:val="Heading5"/>
      </w:pPr>
      <w:bookmarkStart w:id="645" w:name="_Toc205284316"/>
      <w:bookmarkStart w:id="646" w:name="_Toc205284652"/>
      <w:bookmarkStart w:id="647" w:name="_Toc203537955"/>
      <w:r>
        <w:rPr>
          <w:rStyle w:val="CharSectno"/>
        </w:rPr>
        <w:t>67</w:t>
      </w:r>
      <w:r>
        <w:t>.</w:t>
      </w:r>
      <w:r>
        <w:tab/>
        <w:t>Notice to be given to reportable offender</w:t>
      </w:r>
      <w:bookmarkEnd w:id="645"/>
      <w:bookmarkEnd w:id="646"/>
      <w:bookmarkEnd w:id="647"/>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648" w:name="_Toc205284317"/>
      <w:bookmarkStart w:id="649" w:name="_Toc205284653"/>
      <w:bookmarkStart w:id="650" w:name="_Toc203537956"/>
      <w:r>
        <w:rPr>
          <w:rStyle w:val="CharSectno"/>
        </w:rPr>
        <w:t>68</w:t>
      </w:r>
      <w:r>
        <w:t>.</w:t>
      </w:r>
      <w:r>
        <w:tab/>
        <w:t>Courts to provide sentencing information to Commissioner</w:t>
      </w:r>
      <w:bookmarkEnd w:id="648"/>
      <w:bookmarkEnd w:id="649"/>
      <w:bookmarkEnd w:id="650"/>
    </w:p>
    <w:p>
      <w:pPr>
        <w:pStyle w:val="Subsection"/>
      </w:pPr>
      <w:r>
        <w:tab/>
        <w:t>(1)</w:t>
      </w:r>
      <w:r>
        <w:tab/>
        <w:t xml:space="preserve">In this section — </w:t>
      </w:r>
    </w:p>
    <w:p>
      <w:pPr>
        <w:pStyle w:val="Defstart"/>
      </w:pPr>
      <w:r>
        <w:rPr>
          <w:b/>
        </w:rPr>
        <w:tab/>
      </w:r>
      <w:del w:id="651" w:author="svcMRProcess" w:date="2018-08-22T00:45:00Z">
        <w:r>
          <w:rPr>
            <w:b/>
          </w:rPr>
          <w:delText>“</w:delText>
        </w:r>
      </w:del>
      <w:r>
        <w:rPr>
          <w:rStyle w:val="CharDefText"/>
        </w:rPr>
        <w:t>court</w:t>
      </w:r>
      <w:del w:id="652" w:author="svcMRProcess" w:date="2018-08-22T00:45:00Z">
        <w:r>
          <w:rPr>
            <w:b/>
          </w:rPr>
          <w:delText>”</w:delText>
        </w:r>
      </w:del>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653" w:name="_Toc205284318"/>
      <w:bookmarkStart w:id="654" w:name="_Toc205284654"/>
      <w:bookmarkStart w:id="655" w:name="_Toc203537957"/>
      <w:r>
        <w:rPr>
          <w:rStyle w:val="CharSectno"/>
        </w:rPr>
        <w:t>69</w:t>
      </w:r>
      <w:r>
        <w:t>.</w:t>
      </w:r>
      <w:r>
        <w:tab/>
        <w:t>Notice to be given when reporting period changes</w:t>
      </w:r>
      <w:bookmarkEnd w:id="653"/>
      <w:bookmarkEnd w:id="654"/>
      <w:bookmarkEnd w:id="655"/>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656" w:name="_Toc205284319"/>
      <w:bookmarkStart w:id="657" w:name="_Toc205284655"/>
      <w:bookmarkStart w:id="658" w:name="_Toc203537958"/>
      <w:r>
        <w:rPr>
          <w:rStyle w:val="CharSectno"/>
        </w:rPr>
        <w:t>70</w:t>
      </w:r>
      <w:r>
        <w:t>.</w:t>
      </w:r>
      <w:r>
        <w:tab/>
        <w:t>Supervising authority to notify Commissioner of certain events</w:t>
      </w:r>
      <w:bookmarkEnd w:id="656"/>
      <w:bookmarkEnd w:id="657"/>
      <w:bookmarkEnd w:id="658"/>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Defendants) Act 1996</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659" w:name="_Toc205284320"/>
      <w:bookmarkStart w:id="660" w:name="_Toc205284656"/>
      <w:bookmarkStart w:id="661" w:name="_Toc203537959"/>
      <w:r>
        <w:rPr>
          <w:rStyle w:val="CharSectno"/>
        </w:rPr>
        <w:t>71</w:t>
      </w:r>
      <w:r>
        <w:t>.</w:t>
      </w:r>
      <w:r>
        <w:tab/>
        <w:t>Notices may be given by Commissioner</w:t>
      </w:r>
      <w:bookmarkEnd w:id="659"/>
      <w:bookmarkEnd w:id="660"/>
      <w:bookmarkEnd w:id="661"/>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662" w:name="_Toc205284321"/>
      <w:bookmarkStart w:id="663" w:name="_Toc205284657"/>
      <w:bookmarkStart w:id="664" w:name="_Toc203537960"/>
      <w:r>
        <w:rPr>
          <w:rStyle w:val="CharSectno"/>
        </w:rPr>
        <w:t>72</w:t>
      </w:r>
      <w:r>
        <w:t>.</w:t>
      </w:r>
      <w:r>
        <w:tab/>
        <w:t>Power of detention to enable notice to be given</w:t>
      </w:r>
      <w:bookmarkEnd w:id="662"/>
      <w:bookmarkEnd w:id="663"/>
      <w:bookmarkEnd w:id="664"/>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pPr>
      <w:bookmarkStart w:id="665" w:name="_Toc205284322"/>
      <w:bookmarkStart w:id="666" w:name="_Toc205284658"/>
      <w:bookmarkStart w:id="667" w:name="_Toc203537961"/>
      <w:r>
        <w:rPr>
          <w:rStyle w:val="CharSectno"/>
        </w:rPr>
        <w:t>73</w:t>
      </w:r>
      <w:r>
        <w:t>.</w:t>
      </w:r>
      <w:r>
        <w:tab/>
        <w:t>Failure to comply with procedural requirements does not affect reportable offender’s obligations</w:t>
      </w:r>
      <w:bookmarkEnd w:id="665"/>
      <w:bookmarkEnd w:id="666"/>
      <w:bookmarkEnd w:id="667"/>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668" w:name="_Toc94433675"/>
      <w:bookmarkStart w:id="669" w:name="_Toc196103795"/>
      <w:bookmarkStart w:id="670" w:name="_Toc196195813"/>
      <w:bookmarkStart w:id="671" w:name="_Toc196789252"/>
      <w:bookmarkStart w:id="672" w:name="_Toc202764603"/>
      <w:bookmarkStart w:id="673" w:name="_Toc202764748"/>
      <w:bookmarkStart w:id="674" w:name="_Toc202849463"/>
      <w:bookmarkStart w:id="675" w:name="_Toc203537962"/>
      <w:bookmarkStart w:id="676" w:name="_Toc205284323"/>
      <w:bookmarkStart w:id="677" w:name="_Toc205284511"/>
      <w:bookmarkStart w:id="678" w:name="_Toc205284659"/>
      <w:r>
        <w:rPr>
          <w:rStyle w:val="CharDivNo"/>
        </w:rPr>
        <w:t>Division 10</w:t>
      </w:r>
      <w:r>
        <w:t> — </w:t>
      </w:r>
      <w:r>
        <w:rPr>
          <w:rStyle w:val="CharDivText"/>
        </w:rPr>
        <w:t>Modified reporting procedures for participants in witness protection programs</w:t>
      </w:r>
      <w:bookmarkEnd w:id="668"/>
      <w:bookmarkEnd w:id="669"/>
      <w:bookmarkEnd w:id="670"/>
      <w:bookmarkEnd w:id="671"/>
      <w:bookmarkEnd w:id="672"/>
      <w:bookmarkEnd w:id="673"/>
      <w:bookmarkEnd w:id="674"/>
      <w:bookmarkEnd w:id="675"/>
      <w:bookmarkEnd w:id="676"/>
      <w:bookmarkEnd w:id="677"/>
      <w:bookmarkEnd w:id="678"/>
    </w:p>
    <w:p>
      <w:pPr>
        <w:pStyle w:val="Heading5"/>
      </w:pPr>
      <w:bookmarkStart w:id="679" w:name="_Toc205284324"/>
      <w:bookmarkStart w:id="680" w:name="_Toc205284660"/>
      <w:bookmarkStart w:id="681" w:name="_Toc203537963"/>
      <w:r>
        <w:rPr>
          <w:rStyle w:val="CharSectno"/>
        </w:rPr>
        <w:t>74</w:t>
      </w:r>
      <w:r>
        <w:t>.</w:t>
      </w:r>
      <w:r>
        <w:tab/>
        <w:t>Term used in this Division</w:t>
      </w:r>
      <w:bookmarkEnd w:id="679"/>
      <w:bookmarkEnd w:id="680"/>
      <w:bookmarkEnd w:id="681"/>
    </w:p>
    <w:p>
      <w:pPr>
        <w:pStyle w:val="Subsection"/>
      </w:pPr>
      <w:r>
        <w:tab/>
      </w:r>
      <w:r>
        <w:tab/>
        <w:t xml:space="preserve">In this Division — </w:t>
      </w:r>
    </w:p>
    <w:p>
      <w:pPr>
        <w:pStyle w:val="Defstart"/>
      </w:pPr>
      <w:r>
        <w:rPr>
          <w:b/>
        </w:rPr>
        <w:tab/>
      </w:r>
      <w:del w:id="682" w:author="svcMRProcess" w:date="2018-08-22T00:45:00Z">
        <w:r>
          <w:rPr>
            <w:b/>
          </w:rPr>
          <w:delText>“</w:delText>
        </w:r>
      </w:del>
      <w:r>
        <w:rPr>
          <w:rStyle w:val="CharDefText"/>
        </w:rPr>
        <w:t>witness protection program</w:t>
      </w:r>
      <w:del w:id="683" w:author="svcMRProcess" w:date="2018-08-22T00:45:00Z">
        <w:r>
          <w:rPr>
            <w:b/>
          </w:rPr>
          <w:delText>”</w:delText>
        </w:r>
      </w:del>
      <w:r>
        <w:t xml:space="preserve"> has the meaning given to the term “State Witness Protection Program” in the </w:t>
      </w:r>
      <w:r>
        <w:rPr>
          <w:i/>
        </w:rPr>
        <w:t>Witness Protection (Western Australia) Act 1996</w:t>
      </w:r>
      <w:r>
        <w:t xml:space="preserve"> section 3.</w:t>
      </w:r>
    </w:p>
    <w:p>
      <w:pPr>
        <w:pStyle w:val="Heading5"/>
      </w:pPr>
      <w:bookmarkStart w:id="684" w:name="_Toc205284325"/>
      <w:bookmarkStart w:id="685" w:name="_Toc205284661"/>
      <w:bookmarkStart w:id="686" w:name="_Toc203537964"/>
      <w:r>
        <w:rPr>
          <w:rStyle w:val="CharSectno"/>
        </w:rPr>
        <w:t>75</w:t>
      </w:r>
      <w:r>
        <w:t>.</w:t>
      </w:r>
      <w:r>
        <w:tab/>
        <w:t>Who this Division applies to</w:t>
      </w:r>
      <w:bookmarkEnd w:id="684"/>
      <w:bookmarkEnd w:id="685"/>
      <w:bookmarkEnd w:id="686"/>
    </w:p>
    <w:p>
      <w:pPr>
        <w:pStyle w:val="Subsection"/>
        <w:spacing w:before="100"/>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spacing w:before="10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spacing w:before="120"/>
      </w:pPr>
      <w:bookmarkStart w:id="687" w:name="_Toc205284326"/>
      <w:bookmarkStart w:id="688" w:name="_Toc205284662"/>
      <w:bookmarkStart w:id="689" w:name="_Toc203537965"/>
      <w:r>
        <w:rPr>
          <w:rStyle w:val="CharSectno"/>
        </w:rPr>
        <w:t>76</w:t>
      </w:r>
      <w:r>
        <w:t>.</w:t>
      </w:r>
      <w:r>
        <w:tab/>
        <w:t>Report need not be made in person</w:t>
      </w:r>
      <w:bookmarkEnd w:id="687"/>
      <w:bookmarkEnd w:id="688"/>
      <w:bookmarkEnd w:id="689"/>
    </w:p>
    <w:p>
      <w:pPr>
        <w:pStyle w:val="Subsection"/>
        <w:spacing w:before="100"/>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690" w:name="_Toc205284327"/>
      <w:bookmarkStart w:id="691" w:name="_Toc205284663"/>
      <w:bookmarkStart w:id="692" w:name="_Toc203537966"/>
      <w:r>
        <w:rPr>
          <w:rStyle w:val="CharSectno"/>
        </w:rPr>
        <w:t>77</w:t>
      </w:r>
      <w:r>
        <w:t>.</w:t>
      </w:r>
      <w:r>
        <w:tab/>
        <w:t>Determination as to whether this Division applies</w:t>
      </w:r>
      <w:bookmarkEnd w:id="690"/>
      <w:bookmarkEnd w:id="691"/>
      <w:bookmarkEnd w:id="692"/>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693" w:name="_Toc205284328"/>
      <w:bookmarkStart w:id="694" w:name="_Toc205284664"/>
      <w:bookmarkStart w:id="695" w:name="_Toc203537967"/>
      <w:r>
        <w:rPr>
          <w:rStyle w:val="CharSectno"/>
        </w:rPr>
        <w:t>78</w:t>
      </w:r>
      <w:r>
        <w:t>.</w:t>
      </w:r>
      <w:r>
        <w:tab/>
        <w:t>When determination takes effect</w:t>
      </w:r>
      <w:bookmarkEnd w:id="693"/>
      <w:bookmarkEnd w:id="694"/>
      <w:bookmarkEnd w:id="695"/>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696" w:name="_Toc205284329"/>
      <w:bookmarkStart w:id="697" w:name="_Toc205284665"/>
      <w:bookmarkStart w:id="698" w:name="_Toc203537968"/>
      <w:r>
        <w:rPr>
          <w:rStyle w:val="CharSectno"/>
        </w:rPr>
        <w:t>79</w:t>
      </w:r>
      <w:r>
        <w:t>.</w:t>
      </w:r>
      <w:r>
        <w:tab/>
        <w:t>Modification of reporting obligations</w:t>
      </w:r>
      <w:bookmarkEnd w:id="696"/>
      <w:bookmarkEnd w:id="697"/>
      <w:bookmarkEnd w:id="698"/>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bookmarkStart w:id="699" w:name="_Toc94433682"/>
      <w:bookmarkStart w:id="700" w:name="_Toc196103802"/>
      <w:bookmarkStart w:id="701" w:name="_Toc196195820"/>
      <w:bookmarkStart w:id="702" w:name="_Toc196789259"/>
      <w:bookmarkStart w:id="703" w:name="_Toc202764610"/>
      <w:bookmarkStart w:id="704" w:name="_Toc202764755"/>
      <w:r>
        <w:tab/>
        <w:t>[Section 79 amended by No. 27 of 2008 s. 9.]</w:t>
      </w:r>
    </w:p>
    <w:p>
      <w:pPr>
        <w:pStyle w:val="Heading2"/>
      </w:pPr>
      <w:bookmarkStart w:id="705" w:name="_Toc202849470"/>
      <w:bookmarkStart w:id="706" w:name="_Toc203537969"/>
      <w:bookmarkStart w:id="707" w:name="_Toc205284330"/>
      <w:bookmarkStart w:id="708" w:name="_Toc205284518"/>
      <w:bookmarkStart w:id="709" w:name="_Toc205284666"/>
      <w:r>
        <w:rPr>
          <w:rStyle w:val="CharPartNo"/>
        </w:rPr>
        <w:t>Part 4</w:t>
      </w:r>
      <w:r>
        <w:rPr>
          <w:rStyle w:val="CharDivNo"/>
        </w:rPr>
        <w:t> </w:t>
      </w:r>
      <w:r>
        <w:t>—</w:t>
      </w:r>
      <w:r>
        <w:rPr>
          <w:rStyle w:val="CharDivText"/>
        </w:rPr>
        <w:t> </w:t>
      </w:r>
      <w:r>
        <w:rPr>
          <w:rStyle w:val="CharPartText"/>
        </w:rPr>
        <w:t>Community Protection Offender Register</w:t>
      </w:r>
      <w:bookmarkEnd w:id="308"/>
      <w:bookmarkEnd w:id="309"/>
      <w:bookmarkEnd w:id="699"/>
      <w:bookmarkEnd w:id="700"/>
      <w:bookmarkEnd w:id="701"/>
      <w:bookmarkEnd w:id="702"/>
      <w:bookmarkEnd w:id="703"/>
      <w:bookmarkEnd w:id="704"/>
      <w:bookmarkEnd w:id="705"/>
      <w:bookmarkEnd w:id="706"/>
      <w:bookmarkEnd w:id="707"/>
      <w:bookmarkEnd w:id="708"/>
      <w:bookmarkEnd w:id="709"/>
    </w:p>
    <w:p>
      <w:pPr>
        <w:pStyle w:val="Heading5"/>
      </w:pPr>
      <w:bookmarkStart w:id="710" w:name="_Toc205284331"/>
      <w:bookmarkStart w:id="711" w:name="_Toc205284667"/>
      <w:bookmarkStart w:id="712" w:name="_Toc203537970"/>
      <w:r>
        <w:rPr>
          <w:rStyle w:val="CharSectno"/>
        </w:rPr>
        <w:t>80</w:t>
      </w:r>
      <w:r>
        <w:t>.</w:t>
      </w:r>
      <w:r>
        <w:tab/>
        <w:t>Requirement to establish and maintain Community Protection Offender Register</w:t>
      </w:r>
      <w:bookmarkEnd w:id="710"/>
      <w:bookmarkEnd w:id="711"/>
      <w:bookmarkEnd w:id="712"/>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713" w:name="_Toc205284332"/>
      <w:bookmarkStart w:id="714" w:name="_Toc205284668"/>
      <w:bookmarkStart w:id="715" w:name="_Toc203537971"/>
      <w:r>
        <w:rPr>
          <w:rStyle w:val="CharSectno"/>
        </w:rPr>
        <w:t>81</w:t>
      </w:r>
      <w:r>
        <w:t>.</w:t>
      </w:r>
      <w:r>
        <w:tab/>
        <w:t>Access to the Register to be restricted</w:t>
      </w:r>
      <w:bookmarkEnd w:id="713"/>
      <w:bookmarkEnd w:id="714"/>
      <w:bookmarkEnd w:id="715"/>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del w:id="716" w:author="svcMRProcess" w:date="2018-08-22T00:45:00Z">
        <w:r>
          <w:rPr>
            <w:b/>
          </w:rPr>
          <w:delText>“</w:delText>
        </w:r>
      </w:del>
      <w:r>
        <w:rPr>
          <w:rStyle w:val="CharDefText"/>
        </w:rPr>
        <w:t>law enforcement agency</w:t>
      </w:r>
      <w:del w:id="717" w:author="svcMRProcess" w:date="2018-08-22T00:45:00Z">
        <w:r>
          <w:rPr>
            <w:b/>
          </w:rPr>
          <w:delText>”</w:delText>
        </w:r>
      </w:del>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718" w:name="_Toc205284333"/>
      <w:bookmarkStart w:id="719" w:name="_Toc205284669"/>
      <w:bookmarkStart w:id="720" w:name="_Toc203537972"/>
      <w:r>
        <w:rPr>
          <w:rStyle w:val="CharSectno"/>
        </w:rPr>
        <w:t>82</w:t>
      </w:r>
      <w:r>
        <w:t>.</w:t>
      </w:r>
      <w:r>
        <w:tab/>
        <w:t>Confidentiality</w:t>
      </w:r>
      <w:bookmarkEnd w:id="718"/>
      <w:bookmarkEnd w:id="719"/>
      <w:bookmarkEnd w:id="720"/>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pPr>
      <w:bookmarkStart w:id="721" w:name="_Toc205284334"/>
      <w:bookmarkStart w:id="722" w:name="_Toc205284670"/>
      <w:bookmarkStart w:id="723" w:name="_Toc203537973"/>
      <w:r>
        <w:rPr>
          <w:rStyle w:val="CharSectno"/>
        </w:rPr>
        <w:t>83</w:t>
      </w:r>
      <w:r>
        <w:t>.</w:t>
      </w:r>
      <w:r>
        <w:tab/>
        <w:t>Restriction on who may access personal information on protected witnesses</w:t>
      </w:r>
      <w:bookmarkEnd w:id="721"/>
      <w:bookmarkEnd w:id="722"/>
      <w:bookmarkEnd w:id="723"/>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724" w:name="_Toc205284335"/>
      <w:bookmarkStart w:id="725" w:name="_Toc205284671"/>
      <w:bookmarkStart w:id="726" w:name="_Toc203537974"/>
      <w:r>
        <w:rPr>
          <w:rStyle w:val="CharSectno"/>
        </w:rPr>
        <w:t>84</w:t>
      </w:r>
      <w:r>
        <w:t>.</w:t>
      </w:r>
      <w:r>
        <w:tab/>
        <w:t>Reportable offender’s rights in relation to Register</w:t>
      </w:r>
      <w:bookmarkEnd w:id="724"/>
      <w:bookmarkEnd w:id="725"/>
      <w:bookmarkEnd w:id="726"/>
    </w:p>
    <w:p>
      <w:pPr>
        <w:pStyle w:val="Subsection"/>
      </w:pPr>
      <w:r>
        <w:tab/>
        <w:t>(1)</w:t>
      </w:r>
      <w:r>
        <w:tab/>
        <w:t xml:space="preserve">In this section — </w:t>
      </w:r>
    </w:p>
    <w:p>
      <w:pPr>
        <w:pStyle w:val="Defstart"/>
      </w:pPr>
      <w:r>
        <w:rPr>
          <w:b/>
        </w:rPr>
        <w:tab/>
      </w:r>
      <w:del w:id="727" w:author="svcMRProcess" w:date="2018-08-22T00:45:00Z">
        <w:r>
          <w:rPr>
            <w:b/>
          </w:rPr>
          <w:delText>“</w:delText>
        </w:r>
      </w:del>
      <w:r>
        <w:rPr>
          <w:rStyle w:val="CharDefText"/>
        </w:rPr>
        <w:t>reportable information</w:t>
      </w:r>
      <w:del w:id="728" w:author="svcMRProcess" w:date="2018-08-22T00:45:00Z">
        <w:r>
          <w:rPr>
            <w:b/>
          </w:rPr>
          <w:delText>”</w:delText>
        </w:r>
      </w:del>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729" w:name="_Toc94433688"/>
      <w:bookmarkStart w:id="730" w:name="_Toc196103808"/>
      <w:bookmarkStart w:id="731" w:name="_Toc196195826"/>
      <w:bookmarkStart w:id="732" w:name="_Toc196789265"/>
      <w:bookmarkStart w:id="733" w:name="_Toc202764616"/>
      <w:bookmarkStart w:id="734" w:name="_Toc202764761"/>
      <w:bookmarkStart w:id="735" w:name="_Toc202849476"/>
      <w:bookmarkStart w:id="736" w:name="_Toc203537975"/>
      <w:bookmarkStart w:id="737" w:name="_Toc205284336"/>
      <w:bookmarkStart w:id="738" w:name="_Toc205284524"/>
      <w:bookmarkStart w:id="739" w:name="_Toc205284672"/>
      <w:bookmarkStart w:id="740" w:name="_Toc91661593"/>
      <w:bookmarkStart w:id="741" w:name="_Toc91661617"/>
      <w:r>
        <w:rPr>
          <w:rStyle w:val="CharPartNo"/>
        </w:rPr>
        <w:t>Part 5</w:t>
      </w:r>
      <w:r>
        <w:t> — </w:t>
      </w:r>
      <w:r>
        <w:rPr>
          <w:rStyle w:val="CharPartText"/>
        </w:rPr>
        <w:t>Prohibition orders</w:t>
      </w:r>
      <w:bookmarkEnd w:id="729"/>
      <w:bookmarkEnd w:id="730"/>
      <w:bookmarkEnd w:id="731"/>
      <w:bookmarkEnd w:id="732"/>
      <w:bookmarkEnd w:id="733"/>
      <w:bookmarkEnd w:id="734"/>
      <w:bookmarkEnd w:id="735"/>
      <w:bookmarkEnd w:id="736"/>
      <w:bookmarkEnd w:id="737"/>
      <w:bookmarkEnd w:id="738"/>
      <w:bookmarkEnd w:id="739"/>
    </w:p>
    <w:p>
      <w:pPr>
        <w:pStyle w:val="Heading3"/>
      </w:pPr>
      <w:bookmarkStart w:id="742" w:name="_Toc94433689"/>
      <w:bookmarkStart w:id="743" w:name="_Toc196103809"/>
      <w:bookmarkStart w:id="744" w:name="_Toc196195827"/>
      <w:bookmarkStart w:id="745" w:name="_Toc196789266"/>
      <w:bookmarkStart w:id="746" w:name="_Toc202764617"/>
      <w:bookmarkStart w:id="747" w:name="_Toc202764762"/>
      <w:bookmarkStart w:id="748" w:name="_Toc202849477"/>
      <w:bookmarkStart w:id="749" w:name="_Toc203537976"/>
      <w:bookmarkStart w:id="750" w:name="_Toc205284337"/>
      <w:bookmarkStart w:id="751" w:name="_Toc205284525"/>
      <w:bookmarkStart w:id="752" w:name="_Toc205284673"/>
      <w:r>
        <w:rPr>
          <w:rStyle w:val="CharDivNo"/>
        </w:rPr>
        <w:t>Division 1</w:t>
      </w:r>
      <w:r>
        <w:t> — </w:t>
      </w:r>
      <w:r>
        <w:rPr>
          <w:rStyle w:val="CharDivText"/>
        </w:rPr>
        <w:t>Preliminary</w:t>
      </w:r>
      <w:bookmarkEnd w:id="742"/>
      <w:bookmarkEnd w:id="743"/>
      <w:bookmarkEnd w:id="744"/>
      <w:bookmarkEnd w:id="745"/>
      <w:bookmarkEnd w:id="746"/>
      <w:bookmarkEnd w:id="747"/>
      <w:bookmarkEnd w:id="748"/>
      <w:bookmarkEnd w:id="749"/>
      <w:bookmarkEnd w:id="750"/>
      <w:bookmarkEnd w:id="751"/>
      <w:bookmarkEnd w:id="752"/>
    </w:p>
    <w:p>
      <w:pPr>
        <w:pStyle w:val="Heading5"/>
      </w:pPr>
      <w:bookmarkStart w:id="753" w:name="_Toc205284338"/>
      <w:bookmarkStart w:id="754" w:name="_Toc205284674"/>
      <w:bookmarkStart w:id="755" w:name="_Toc203537977"/>
      <w:r>
        <w:rPr>
          <w:rStyle w:val="CharSectno"/>
        </w:rPr>
        <w:t>85</w:t>
      </w:r>
      <w:r>
        <w:t>.</w:t>
      </w:r>
      <w:r>
        <w:tab/>
        <w:t>Terms used in this Part</w:t>
      </w:r>
      <w:bookmarkEnd w:id="753"/>
      <w:bookmarkEnd w:id="754"/>
      <w:bookmarkEnd w:id="755"/>
    </w:p>
    <w:p>
      <w:pPr>
        <w:pStyle w:val="Subsection"/>
      </w:pPr>
      <w:r>
        <w:tab/>
      </w:r>
      <w:r>
        <w:tab/>
        <w:t xml:space="preserve">In this Part — </w:t>
      </w:r>
    </w:p>
    <w:p>
      <w:pPr>
        <w:pStyle w:val="Defstart"/>
      </w:pPr>
      <w:r>
        <w:tab/>
      </w:r>
      <w:del w:id="756" w:author="svcMRProcess" w:date="2018-08-22T00:45:00Z">
        <w:r>
          <w:rPr>
            <w:b/>
          </w:rPr>
          <w:delText>“</w:delText>
        </w:r>
      </w:del>
      <w:r>
        <w:rPr>
          <w:rStyle w:val="CharDefText"/>
        </w:rPr>
        <w:t>child protection prohibition order</w:t>
      </w:r>
      <w:del w:id="757" w:author="svcMRProcess" w:date="2018-08-22T00:45:00Z">
        <w:r>
          <w:rPr>
            <w:b/>
          </w:rPr>
          <w:delText>”</w:delText>
        </w:r>
      </w:del>
      <w:r>
        <w:t xml:space="preserve"> means a child protection prohibition order made under section 90 or 95(1);</w:t>
      </w:r>
    </w:p>
    <w:p>
      <w:pPr>
        <w:pStyle w:val="Defstart"/>
      </w:pPr>
      <w:r>
        <w:rPr>
          <w:b/>
        </w:rPr>
        <w:tab/>
      </w:r>
      <w:del w:id="758" w:author="svcMRProcess" w:date="2018-08-22T00:45:00Z">
        <w:r>
          <w:rPr>
            <w:b/>
          </w:rPr>
          <w:delText>“</w:delText>
        </w:r>
      </w:del>
      <w:r>
        <w:rPr>
          <w:rStyle w:val="CharDefText"/>
        </w:rPr>
        <w:t>conduct</w:t>
      </w:r>
      <w:del w:id="759" w:author="svcMRProcess" w:date="2018-08-22T00:45:00Z">
        <w:r>
          <w:rPr>
            <w:b/>
          </w:rPr>
          <w:delText>”</w:delText>
        </w:r>
      </w:del>
      <w:r>
        <w:t xml:space="preserve"> includes an act or omission or a course of conduct;</w:t>
      </w:r>
    </w:p>
    <w:p>
      <w:pPr>
        <w:pStyle w:val="Defstart"/>
      </w:pPr>
      <w:r>
        <w:rPr>
          <w:b/>
        </w:rPr>
        <w:tab/>
      </w:r>
      <w:del w:id="760" w:author="svcMRProcess" w:date="2018-08-22T00:45:00Z">
        <w:r>
          <w:rPr>
            <w:b/>
          </w:rPr>
          <w:delText>“</w:delText>
        </w:r>
      </w:del>
      <w:r>
        <w:rPr>
          <w:rStyle w:val="CharDefText"/>
        </w:rPr>
        <w:t>corresponding prohibition order</w:t>
      </w:r>
      <w:del w:id="761" w:author="svcMRProcess" w:date="2018-08-22T00:45:00Z">
        <w:r>
          <w:rPr>
            <w:b/>
          </w:rPr>
          <w:delText>”</w:delText>
        </w:r>
      </w:del>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r>
      <w:del w:id="762" w:author="svcMRProcess" w:date="2018-08-22T00:45:00Z">
        <w:r>
          <w:rPr>
            <w:b/>
          </w:rPr>
          <w:delText>“</w:delText>
        </w:r>
      </w:del>
      <w:r>
        <w:rPr>
          <w:rStyle w:val="CharDefText"/>
        </w:rPr>
        <w:t>court</w:t>
      </w:r>
      <w:del w:id="763" w:author="svcMRProcess" w:date="2018-08-22T00:45:00Z">
        <w:r>
          <w:rPr>
            <w:b/>
          </w:rPr>
          <w:delText>”</w:delText>
        </w:r>
      </w:del>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r>
      <w:del w:id="764" w:author="svcMRProcess" w:date="2018-08-22T00:45:00Z">
        <w:r>
          <w:rPr>
            <w:b/>
          </w:rPr>
          <w:delText>“</w:delText>
        </w:r>
      </w:del>
      <w:r>
        <w:rPr>
          <w:rStyle w:val="CharDefText"/>
        </w:rPr>
        <w:t>interim prohibition order</w:t>
      </w:r>
      <w:del w:id="765" w:author="svcMRProcess" w:date="2018-08-22T00:45:00Z">
        <w:r>
          <w:rPr>
            <w:b/>
          </w:rPr>
          <w:delText>”</w:delText>
        </w:r>
      </w:del>
      <w:r>
        <w:t xml:space="preserve"> means an interim child protection prohibition order made under section 92 or 95(2);</w:t>
      </w:r>
    </w:p>
    <w:p>
      <w:pPr>
        <w:pStyle w:val="Defstart"/>
      </w:pPr>
      <w:r>
        <w:rPr>
          <w:b/>
        </w:rPr>
        <w:tab/>
      </w:r>
      <w:del w:id="766" w:author="svcMRProcess" w:date="2018-08-22T00:45:00Z">
        <w:r>
          <w:rPr>
            <w:b/>
          </w:rPr>
          <w:delText>“</w:delText>
        </w:r>
      </w:del>
      <w:r>
        <w:rPr>
          <w:rStyle w:val="CharDefText"/>
        </w:rPr>
        <w:t>prohibition order</w:t>
      </w:r>
      <w:del w:id="767" w:author="svcMRProcess" w:date="2018-08-22T00:45:00Z">
        <w:r>
          <w:rPr>
            <w:b/>
          </w:rPr>
          <w:delText>”</w:delText>
        </w:r>
      </w:del>
      <w:r>
        <w:t xml:space="preserve"> means a child protection prohibition order or an interim prohibition order;</w:t>
      </w:r>
    </w:p>
    <w:p>
      <w:pPr>
        <w:pStyle w:val="Defstart"/>
      </w:pPr>
      <w:r>
        <w:rPr>
          <w:b/>
        </w:rPr>
        <w:tab/>
      </w:r>
      <w:del w:id="768" w:author="svcMRProcess" w:date="2018-08-22T00:45:00Z">
        <w:r>
          <w:rPr>
            <w:b/>
          </w:rPr>
          <w:delText>“</w:delText>
        </w:r>
      </w:del>
      <w:r>
        <w:rPr>
          <w:rStyle w:val="CharDefText"/>
        </w:rPr>
        <w:t>registrar</w:t>
      </w:r>
      <w:del w:id="769" w:author="svcMRProcess" w:date="2018-08-22T00:45:00Z">
        <w:r>
          <w:rPr>
            <w:b/>
          </w:rPr>
          <w:delText>”</w:delText>
        </w:r>
      </w:del>
      <w:r>
        <w:t xml:space="preserve"> means the clerk or registrar of the court to which an application for a prohibition order is made;</w:t>
      </w:r>
    </w:p>
    <w:p>
      <w:pPr>
        <w:pStyle w:val="Defstart"/>
      </w:pPr>
      <w:r>
        <w:rPr>
          <w:b/>
        </w:rPr>
        <w:tab/>
      </w:r>
      <w:del w:id="770" w:author="svcMRProcess" w:date="2018-08-22T00:45:00Z">
        <w:r>
          <w:rPr>
            <w:b/>
          </w:rPr>
          <w:delText>“</w:delText>
        </w:r>
      </w:del>
      <w:r>
        <w:rPr>
          <w:rStyle w:val="CharDefText"/>
        </w:rPr>
        <w:t>respondent</w:t>
      </w:r>
      <w:del w:id="771" w:author="svcMRProcess" w:date="2018-08-22T00:45:00Z">
        <w:r>
          <w:rPr>
            <w:b/>
          </w:rPr>
          <w:delText>”</w:delText>
        </w:r>
      </w:del>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pPr>
      <w:bookmarkStart w:id="772" w:name="_Toc205284339"/>
      <w:bookmarkStart w:id="773" w:name="_Toc205284675"/>
      <w:bookmarkStart w:id="774" w:name="_Toc203537978"/>
      <w:r>
        <w:rPr>
          <w:rStyle w:val="CharSectno"/>
        </w:rPr>
        <w:t>86</w:t>
      </w:r>
      <w:r>
        <w:t>.</w:t>
      </w:r>
      <w:r>
        <w:tab/>
        <w:t>Evidence</w:t>
      </w:r>
      <w:bookmarkEnd w:id="772"/>
      <w:bookmarkEnd w:id="773"/>
      <w:bookmarkEnd w:id="774"/>
    </w:p>
    <w:p>
      <w:pPr>
        <w:pStyle w:val="Subsection"/>
      </w:pPr>
      <w:r>
        <w:tab/>
      </w:r>
      <w:r>
        <w:tab/>
        <w:t>Evidence may be given at a hearing under this Part (including a further hearing fixed under section 92) orally or by affidavit.</w:t>
      </w:r>
    </w:p>
    <w:p>
      <w:pPr>
        <w:pStyle w:val="Heading3"/>
        <w:spacing w:before="120"/>
      </w:pPr>
      <w:bookmarkStart w:id="775" w:name="_Toc94433692"/>
      <w:bookmarkStart w:id="776" w:name="_Toc196103812"/>
      <w:bookmarkStart w:id="777" w:name="_Toc196195830"/>
      <w:bookmarkStart w:id="778" w:name="_Toc196789269"/>
      <w:bookmarkStart w:id="779" w:name="_Toc202764620"/>
      <w:bookmarkStart w:id="780" w:name="_Toc202764765"/>
      <w:bookmarkStart w:id="781" w:name="_Toc202849480"/>
      <w:bookmarkStart w:id="782" w:name="_Toc203537979"/>
      <w:bookmarkStart w:id="783" w:name="_Toc205284340"/>
      <w:bookmarkStart w:id="784" w:name="_Toc205284528"/>
      <w:bookmarkStart w:id="785" w:name="_Toc205284676"/>
      <w:r>
        <w:rPr>
          <w:rStyle w:val="CharDivNo"/>
        </w:rPr>
        <w:t>Division 2</w:t>
      </w:r>
      <w:r>
        <w:t> — </w:t>
      </w:r>
      <w:r>
        <w:rPr>
          <w:rStyle w:val="CharDivText"/>
        </w:rPr>
        <w:t>Orders</w:t>
      </w:r>
      <w:bookmarkEnd w:id="775"/>
      <w:bookmarkEnd w:id="776"/>
      <w:bookmarkEnd w:id="777"/>
      <w:bookmarkEnd w:id="778"/>
      <w:bookmarkEnd w:id="779"/>
      <w:bookmarkEnd w:id="780"/>
      <w:bookmarkEnd w:id="781"/>
      <w:bookmarkEnd w:id="782"/>
      <w:bookmarkEnd w:id="783"/>
      <w:bookmarkEnd w:id="784"/>
      <w:bookmarkEnd w:id="785"/>
    </w:p>
    <w:p>
      <w:pPr>
        <w:pStyle w:val="Heading5"/>
        <w:spacing w:before="120"/>
      </w:pPr>
      <w:bookmarkStart w:id="786" w:name="_Toc205284341"/>
      <w:bookmarkStart w:id="787" w:name="_Toc205284677"/>
      <w:bookmarkStart w:id="788" w:name="_Toc203537980"/>
      <w:r>
        <w:rPr>
          <w:rStyle w:val="CharSectno"/>
        </w:rPr>
        <w:t>87</w:t>
      </w:r>
      <w:r>
        <w:t>.</w:t>
      </w:r>
      <w:r>
        <w:tab/>
        <w:t>Commissioner may apply for orders</w:t>
      </w:r>
      <w:bookmarkEnd w:id="786"/>
      <w:bookmarkEnd w:id="787"/>
      <w:bookmarkEnd w:id="788"/>
    </w:p>
    <w:p>
      <w:pPr>
        <w:pStyle w:val="Subsection"/>
      </w:pPr>
      <w:r>
        <w:tab/>
      </w:r>
      <w:r>
        <w:tab/>
        <w:t>The Commissioner may apply to a court for a prohibition order prohibiting a reportable offender from engaging in specified conduct.</w:t>
      </w:r>
    </w:p>
    <w:p>
      <w:pPr>
        <w:pStyle w:val="Heading5"/>
      </w:pPr>
      <w:bookmarkStart w:id="789" w:name="_Toc205284342"/>
      <w:bookmarkStart w:id="790" w:name="_Toc205284678"/>
      <w:bookmarkStart w:id="791" w:name="_Toc203537981"/>
      <w:r>
        <w:rPr>
          <w:rStyle w:val="CharSectno"/>
        </w:rPr>
        <w:t>88</w:t>
      </w:r>
      <w:r>
        <w:t>.</w:t>
      </w:r>
      <w:r>
        <w:tab/>
        <w:t>Fixing a hearing</w:t>
      </w:r>
      <w:bookmarkEnd w:id="789"/>
      <w:bookmarkEnd w:id="790"/>
      <w:bookmarkEnd w:id="791"/>
    </w:p>
    <w:p>
      <w:pPr>
        <w:pStyle w:val="Subsection"/>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pPr>
      <w:bookmarkStart w:id="792" w:name="_Toc205284343"/>
      <w:bookmarkStart w:id="793" w:name="_Toc205284679"/>
      <w:bookmarkStart w:id="794" w:name="_Toc203537982"/>
      <w:r>
        <w:rPr>
          <w:rStyle w:val="CharSectno"/>
        </w:rPr>
        <w:t>89</w:t>
      </w:r>
      <w:r>
        <w:t>.</w:t>
      </w:r>
      <w:r>
        <w:tab/>
        <w:t>How application to be disposed of</w:t>
      </w:r>
      <w:bookmarkEnd w:id="792"/>
      <w:bookmarkEnd w:id="793"/>
      <w:bookmarkEnd w:id="794"/>
    </w:p>
    <w:p>
      <w:pPr>
        <w:pStyle w:val="Subsection"/>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795" w:name="_Toc205284344"/>
      <w:bookmarkStart w:id="796" w:name="_Toc205284680"/>
      <w:bookmarkStart w:id="797" w:name="_Toc203537983"/>
      <w:r>
        <w:rPr>
          <w:rStyle w:val="CharSectno"/>
        </w:rPr>
        <w:t>90</w:t>
      </w:r>
      <w:r>
        <w:t>.</w:t>
      </w:r>
      <w:r>
        <w:tab/>
        <w:t>Court may make child protection prohibition orders</w:t>
      </w:r>
      <w:bookmarkEnd w:id="795"/>
      <w:bookmarkEnd w:id="796"/>
      <w:bookmarkEnd w:id="797"/>
    </w:p>
    <w:p>
      <w:pPr>
        <w:pStyle w:val="Subsection"/>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del w:id="798" w:author="svcMRProcess" w:date="2018-08-22T00:45:00Z">
        <w:r>
          <w:rPr>
            <w:b/>
          </w:rPr>
          <w:delText>“</w:delText>
        </w:r>
      </w:del>
      <w:r>
        <w:rPr>
          <w:rStyle w:val="CharDefText"/>
        </w:rPr>
        <w:t>new order</w:t>
      </w:r>
      <w:del w:id="799" w:author="svcMRProcess" w:date="2018-08-22T00:45:00Z">
        <w:r>
          <w:rPr>
            <w:b/>
          </w:rPr>
          <w:delText>”</w:delText>
        </w:r>
        <w:r>
          <w:delText>)</w:delText>
        </w:r>
      </w:del>
      <w:ins w:id="800" w:author="svcMRProcess" w:date="2018-08-22T00:45:00Z">
        <w:r>
          <w:t>)</w:t>
        </w:r>
      </w:ins>
      <w:r>
        <w:t xml:space="preserve"> is sought is already subject to a prohibition order (the </w:t>
      </w:r>
      <w:del w:id="801" w:author="svcMRProcess" w:date="2018-08-22T00:45:00Z">
        <w:r>
          <w:rPr>
            <w:b/>
          </w:rPr>
          <w:delText>“</w:delText>
        </w:r>
      </w:del>
      <w:r>
        <w:rPr>
          <w:rStyle w:val="CharDefText"/>
        </w:rPr>
        <w:t>existing order</w:t>
      </w:r>
      <w:del w:id="802" w:author="svcMRProcess" w:date="2018-08-22T00:45:00Z">
        <w:r>
          <w:rPr>
            <w:b/>
          </w:rPr>
          <w:delText>”</w:delText>
        </w:r>
        <w:r>
          <w:delText>)</w:delText>
        </w:r>
      </w:del>
      <w:ins w:id="803" w:author="svcMRProcess" w:date="2018-08-22T00:45:00Z">
        <w:r>
          <w:t>)</w:t>
        </w:r>
      </w:ins>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804" w:name="_Toc205284345"/>
      <w:bookmarkStart w:id="805" w:name="_Toc205284681"/>
      <w:bookmarkStart w:id="806" w:name="_Toc203537984"/>
      <w:r>
        <w:rPr>
          <w:rStyle w:val="CharSectno"/>
        </w:rPr>
        <w:t>91</w:t>
      </w:r>
      <w:r>
        <w:t>.</w:t>
      </w:r>
      <w:r>
        <w:tab/>
        <w:t>Term of child protection prohibition orders</w:t>
      </w:r>
      <w:bookmarkEnd w:id="804"/>
      <w:bookmarkEnd w:id="805"/>
      <w:bookmarkEnd w:id="806"/>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807" w:name="_Toc205284346"/>
      <w:bookmarkStart w:id="808" w:name="_Toc205284682"/>
      <w:bookmarkStart w:id="809" w:name="_Toc203537985"/>
      <w:r>
        <w:rPr>
          <w:rStyle w:val="CharSectno"/>
        </w:rPr>
        <w:t>92</w:t>
      </w:r>
      <w:r>
        <w:t>.</w:t>
      </w:r>
      <w:r>
        <w:tab/>
        <w:t>Interim child protection prohibition orders</w:t>
      </w:r>
      <w:bookmarkEnd w:id="807"/>
      <w:bookmarkEnd w:id="808"/>
      <w:bookmarkEnd w:id="809"/>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810" w:name="_Toc205284347"/>
      <w:bookmarkStart w:id="811" w:name="_Toc205284683"/>
      <w:bookmarkStart w:id="812" w:name="_Toc203537986"/>
      <w:r>
        <w:rPr>
          <w:rStyle w:val="CharSectno"/>
        </w:rPr>
        <w:t>93</w:t>
      </w:r>
      <w:r>
        <w:t>.</w:t>
      </w:r>
      <w:r>
        <w:tab/>
        <w:t>Conduct that may be the subject of orders</w:t>
      </w:r>
      <w:bookmarkEnd w:id="810"/>
      <w:bookmarkEnd w:id="811"/>
      <w:bookmarkEnd w:id="812"/>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813" w:name="_Toc205284348"/>
      <w:bookmarkStart w:id="814" w:name="_Toc205284684"/>
      <w:bookmarkStart w:id="815" w:name="_Toc203537987"/>
      <w:r>
        <w:rPr>
          <w:rStyle w:val="CharSectno"/>
        </w:rPr>
        <w:t>94</w:t>
      </w:r>
      <w:r>
        <w:t>.</w:t>
      </w:r>
      <w:r>
        <w:tab/>
        <w:t>Explanation of orders</w:t>
      </w:r>
      <w:bookmarkEnd w:id="813"/>
      <w:bookmarkEnd w:id="814"/>
      <w:bookmarkEnd w:id="815"/>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816" w:name="_Toc205284349"/>
      <w:bookmarkStart w:id="817" w:name="_Toc205284685"/>
      <w:bookmarkStart w:id="818" w:name="_Toc203537988"/>
      <w:r>
        <w:rPr>
          <w:rStyle w:val="CharSectno"/>
        </w:rPr>
        <w:t>95</w:t>
      </w:r>
      <w:r>
        <w:t>.</w:t>
      </w:r>
      <w:r>
        <w:tab/>
        <w:t>Consent orders</w:t>
      </w:r>
      <w:bookmarkEnd w:id="816"/>
      <w:bookmarkEnd w:id="817"/>
      <w:bookmarkEnd w:id="818"/>
    </w:p>
    <w:p>
      <w:pPr>
        <w:pStyle w:val="Subsection"/>
      </w:pPr>
      <w:r>
        <w:tab/>
        <w:t>(1)</w:t>
      </w:r>
      <w:r>
        <w:tab/>
        <w:t>A court may make a child protection prohibition order without being subject to section 90 if the applicant and the reportable offender consent to the making of the order.</w:t>
      </w:r>
    </w:p>
    <w:p>
      <w:pPr>
        <w:pStyle w:val="Subsection"/>
      </w:pPr>
      <w:r>
        <w:tab/>
        <w:t>(2)</w:t>
      </w:r>
      <w:r>
        <w:tab/>
        <w:t>A court may make an interim prohibition order without being subject to section 92 if the applicant and the reportable offender consent to the making of the order.</w:t>
      </w:r>
    </w:p>
    <w:p>
      <w:pPr>
        <w:pStyle w:val="Subsection"/>
      </w:pPr>
      <w:r>
        <w:tab/>
        <w:t>(3)</w:t>
      </w:r>
      <w:r>
        <w:tab/>
        <w:t>The court is not required to conduct a hearing before making an order under this section unless the court considers that it is in the interests of justice to conduct the hearing.</w:t>
      </w:r>
    </w:p>
    <w:p>
      <w:pPr>
        <w:pStyle w:val="Subsection"/>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pPr>
      <w:bookmarkStart w:id="819" w:name="_Toc94433702"/>
      <w:bookmarkStart w:id="820" w:name="_Toc196103822"/>
      <w:bookmarkStart w:id="821" w:name="_Toc196195840"/>
      <w:bookmarkStart w:id="822" w:name="_Toc196789279"/>
      <w:bookmarkStart w:id="823" w:name="_Toc202764630"/>
      <w:bookmarkStart w:id="824" w:name="_Toc202764775"/>
      <w:bookmarkStart w:id="825" w:name="_Toc202849490"/>
      <w:bookmarkStart w:id="826" w:name="_Toc203537989"/>
      <w:bookmarkStart w:id="827" w:name="_Toc205284350"/>
      <w:bookmarkStart w:id="828" w:name="_Toc205284538"/>
      <w:bookmarkStart w:id="829" w:name="_Toc205284686"/>
      <w:r>
        <w:rPr>
          <w:rStyle w:val="CharDivNo"/>
        </w:rPr>
        <w:t>Division 3</w:t>
      </w:r>
      <w:r>
        <w:t> — </w:t>
      </w:r>
      <w:r>
        <w:rPr>
          <w:rStyle w:val="CharDivText"/>
        </w:rPr>
        <w:t>Variation or revocation</w:t>
      </w:r>
      <w:bookmarkEnd w:id="819"/>
      <w:bookmarkEnd w:id="820"/>
      <w:bookmarkEnd w:id="821"/>
      <w:bookmarkEnd w:id="822"/>
      <w:bookmarkEnd w:id="823"/>
      <w:bookmarkEnd w:id="824"/>
      <w:bookmarkEnd w:id="825"/>
      <w:bookmarkEnd w:id="826"/>
      <w:bookmarkEnd w:id="827"/>
      <w:bookmarkEnd w:id="828"/>
      <w:bookmarkEnd w:id="829"/>
    </w:p>
    <w:p>
      <w:pPr>
        <w:pStyle w:val="Heading5"/>
      </w:pPr>
      <w:bookmarkStart w:id="830" w:name="_Toc205284351"/>
      <w:bookmarkStart w:id="831" w:name="_Toc205284687"/>
      <w:bookmarkStart w:id="832" w:name="_Toc203537990"/>
      <w:r>
        <w:rPr>
          <w:rStyle w:val="CharSectno"/>
        </w:rPr>
        <w:t>96</w:t>
      </w:r>
      <w:r>
        <w:t>.</w:t>
      </w:r>
      <w:r>
        <w:tab/>
        <w:t>Variation or revocation of child protection prohibition orders</w:t>
      </w:r>
      <w:bookmarkEnd w:id="830"/>
      <w:bookmarkEnd w:id="831"/>
      <w:bookmarkEnd w:id="832"/>
    </w:p>
    <w:p>
      <w:pPr>
        <w:pStyle w:val="Subsection"/>
      </w:pPr>
      <w:r>
        <w:tab/>
        <w:t>(1)</w:t>
      </w:r>
      <w:r>
        <w:tab/>
        <w:t>The Commissioner may apply to a court for an order varying or revoking a child protection prohibition order.</w:t>
      </w:r>
    </w:p>
    <w:p>
      <w:pPr>
        <w:pStyle w:val="Subsection"/>
      </w:pPr>
      <w:r>
        <w:tab/>
        <w:t>(2)</w:t>
      </w:r>
      <w:r>
        <w:tab/>
        <w:t>A reportable offender subject to a child protection prohibition order may apply to a court for an order varying or revoking the order.</w:t>
      </w:r>
    </w:p>
    <w:p>
      <w:pPr>
        <w:pStyle w:val="Subsection"/>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833" w:name="_Toc205284352"/>
      <w:bookmarkStart w:id="834" w:name="_Toc205284688"/>
      <w:bookmarkStart w:id="835" w:name="_Toc203537991"/>
      <w:r>
        <w:rPr>
          <w:rStyle w:val="CharSectno"/>
        </w:rPr>
        <w:t>97</w:t>
      </w:r>
      <w:r>
        <w:t>.</w:t>
      </w:r>
      <w:r>
        <w:tab/>
        <w:t>Fixing a hearing</w:t>
      </w:r>
      <w:bookmarkEnd w:id="833"/>
      <w:bookmarkEnd w:id="834"/>
      <w:bookmarkEnd w:id="835"/>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836" w:name="_Toc205284353"/>
      <w:bookmarkStart w:id="837" w:name="_Toc205284689"/>
      <w:bookmarkStart w:id="838" w:name="_Toc203537992"/>
      <w:r>
        <w:rPr>
          <w:rStyle w:val="CharSectno"/>
        </w:rPr>
        <w:t>98</w:t>
      </w:r>
      <w:r>
        <w:t>.</w:t>
      </w:r>
      <w:r>
        <w:tab/>
        <w:t>How application to be disposed of</w:t>
      </w:r>
      <w:bookmarkEnd w:id="836"/>
      <w:bookmarkEnd w:id="837"/>
      <w:bookmarkEnd w:id="838"/>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839" w:name="_Toc94433706"/>
      <w:bookmarkStart w:id="840" w:name="_Toc196103826"/>
      <w:bookmarkStart w:id="841" w:name="_Toc196195844"/>
      <w:bookmarkStart w:id="842" w:name="_Toc196789283"/>
      <w:bookmarkStart w:id="843" w:name="_Toc202764634"/>
      <w:bookmarkStart w:id="844" w:name="_Toc202764779"/>
      <w:bookmarkStart w:id="845" w:name="_Toc202849494"/>
      <w:bookmarkStart w:id="846" w:name="_Toc203537993"/>
      <w:bookmarkStart w:id="847" w:name="_Toc205284354"/>
      <w:bookmarkStart w:id="848" w:name="_Toc205284542"/>
      <w:bookmarkStart w:id="849" w:name="_Toc205284690"/>
      <w:r>
        <w:rPr>
          <w:rStyle w:val="CharDivNo"/>
        </w:rPr>
        <w:t>Division 4</w:t>
      </w:r>
      <w:r>
        <w:t> — </w:t>
      </w:r>
      <w:r>
        <w:rPr>
          <w:rStyle w:val="CharDivText"/>
        </w:rPr>
        <w:t>Attendance at hearings</w:t>
      </w:r>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Toc205284355"/>
      <w:bookmarkStart w:id="851" w:name="_Toc205284691"/>
      <w:bookmarkStart w:id="852" w:name="_Toc203537994"/>
      <w:r>
        <w:rPr>
          <w:rStyle w:val="CharSectno"/>
        </w:rPr>
        <w:t>99</w:t>
      </w:r>
      <w:r>
        <w:t>.</w:t>
      </w:r>
      <w:r>
        <w:tab/>
        <w:t>Attendance at hearings</w:t>
      </w:r>
      <w:bookmarkEnd w:id="850"/>
      <w:bookmarkEnd w:id="851"/>
      <w:bookmarkEnd w:id="852"/>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853" w:name="_Toc205284356"/>
      <w:bookmarkStart w:id="854" w:name="_Toc205284692"/>
      <w:bookmarkStart w:id="855" w:name="_Toc203537995"/>
      <w:r>
        <w:rPr>
          <w:rStyle w:val="CharSectno"/>
        </w:rPr>
        <w:t>100</w:t>
      </w:r>
      <w:r>
        <w:t>.</w:t>
      </w:r>
      <w:r>
        <w:tab/>
        <w:t>Notification of orders made in absence of respondent</w:t>
      </w:r>
      <w:bookmarkEnd w:id="853"/>
      <w:bookmarkEnd w:id="854"/>
      <w:bookmarkEnd w:id="855"/>
    </w:p>
    <w:p>
      <w:pPr>
        <w:pStyle w:val="Subsection"/>
      </w:pPr>
      <w:r>
        <w:tab/>
      </w:r>
      <w:r>
        <w:tab/>
        <w:t>The registrar of a court that makes, varies or revokes a prohibition order in the absence of the respondent must cause a copy of the order to be served on the respondent.</w:t>
      </w:r>
    </w:p>
    <w:p>
      <w:pPr>
        <w:pStyle w:val="Heading3"/>
      </w:pPr>
      <w:bookmarkStart w:id="856" w:name="_Toc94433709"/>
      <w:bookmarkStart w:id="857" w:name="_Toc196103829"/>
      <w:bookmarkStart w:id="858" w:name="_Toc196195847"/>
      <w:bookmarkStart w:id="859" w:name="_Toc196789286"/>
      <w:bookmarkStart w:id="860" w:name="_Toc202764637"/>
      <w:bookmarkStart w:id="861" w:name="_Toc202764782"/>
      <w:bookmarkStart w:id="862" w:name="_Toc202849497"/>
      <w:bookmarkStart w:id="863" w:name="_Toc203537996"/>
      <w:bookmarkStart w:id="864" w:name="_Toc205284357"/>
      <w:bookmarkStart w:id="865" w:name="_Toc205284545"/>
      <w:bookmarkStart w:id="866" w:name="_Toc205284693"/>
      <w:r>
        <w:rPr>
          <w:rStyle w:val="CharDivNo"/>
        </w:rPr>
        <w:t>Division 5</w:t>
      </w:r>
      <w:r>
        <w:t> — </w:t>
      </w:r>
      <w:r>
        <w:rPr>
          <w:rStyle w:val="CharDivText"/>
        </w:rPr>
        <w:t>Offence</w:t>
      </w:r>
      <w:bookmarkEnd w:id="856"/>
      <w:bookmarkEnd w:id="857"/>
      <w:bookmarkEnd w:id="858"/>
      <w:bookmarkEnd w:id="859"/>
      <w:bookmarkEnd w:id="860"/>
      <w:bookmarkEnd w:id="861"/>
      <w:bookmarkEnd w:id="862"/>
      <w:bookmarkEnd w:id="863"/>
      <w:bookmarkEnd w:id="864"/>
      <w:bookmarkEnd w:id="865"/>
      <w:bookmarkEnd w:id="866"/>
    </w:p>
    <w:p>
      <w:pPr>
        <w:pStyle w:val="Heading5"/>
      </w:pPr>
      <w:bookmarkStart w:id="867" w:name="_Toc205284358"/>
      <w:bookmarkStart w:id="868" w:name="_Toc205284694"/>
      <w:bookmarkStart w:id="869" w:name="_Toc203537997"/>
      <w:r>
        <w:rPr>
          <w:rStyle w:val="CharSectno"/>
        </w:rPr>
        <w:t>101</w:t>
      </w:r>
      <w:r>
        <w:t>.</w:t>
      </w:r>
      <w:r>
        <w:tab/>
        <w:t>Failure to comply with orders</w:t>
      </w:r>
      <w:bookmarkEnd w:id="867"/>
      <w:bookmarkEnd w:id="868"/>
      <w:bookmarkEnd w:id="869"/>
    </w:p>
    <w:p>
      <w:pPr>
        <w:pStyle w:val="Subsection"/>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pPr>
      <w:r>
        <w:tab/>
        <w:t>(2)</w:t>
      </w:r>
      <w:r>
        <w:tab/>
        <w:t>A police officer who suspects on reasonable grounds that a person has committed an offence under subsection (1) may, without a warrant, arrest the person.</w:t>
      </w:r>
    </w:p>
    <w:p>
      <w:pPr>
        <w:pStyle w:val="Heading3"/>
      </w:pPr>
      <w:bookmarkStart w:id="870" w:name="_Toc94433711"/>
      <w:bookmarkStart w:id="871" w:name="_Toc196103831"/>
      <w:bookmarkStart w:id="872" w:name="_Toc196195849"/>
      <w:bookmarkStart w:id="873" w:name="_Toc196789288"/>
      <w:bookmarkStart w:id="874" w:name="_Toc202764639"/>
      <w:bookmarkStart w:id="875" w:name="_Toc202764784"/>
      <w:bookmarkStart w:id="876" w:name="_Toc202849499"/>
      <w:bookmarkStart w:id="877" w:name="_Toc203537998"/>
      <w:bookmarkStart w:id="878" w:name="_Toc205284359"/>
      <w:bookmarkStart w:id="879" w:name="_Toc205284547"/>
      <w:bookmarkStart w:id="880" w:name="_Toc205284695"/>
      <w:r>
        <w:rPr>
          <w:rStyle w:val="CharDivNo"/>
        </w:rPr>
        <w:t>Division 6</w:t>
      </w:r>
      <w:r>
        <w:t> — </w:t>
      </w:r>
      <w:r>
        <w:rPr>
          <w:rStyle w:val="CharDivText"/>
        </w:rPr>
        <w:t>Appeals</w:t>
      </w:r>
      <w:bookmarkEnd w:id="870"/>
      <w:bookmarkEnd w:id="871"/>
      <w:bookmarkEnd w:id="872"/>
      <w:bookmarkEnd w:id="873"/>
      <w:bookmarkEnd w:id="874"/>
      <w:bookmarkEnd w:id="875"/>
      <w:bookmarkEnd w:id="876"/>
      <w:bookmarkEnd w:id="877"/>
      <w:bookmarkEnd w:id="878"/>
      <w:bookmarkEnd w:id="879"/>
      <w:bookmarkEnd w:id="880"/>
    </w:p>
    <w:p>
      <w:pPr>
        <w:pStyle w:val="Heading5"/>
      </w:pPr>
      <w:bookmarkStart w:id="881" w:name="_Toc205284360"/>
      <w:bookmarkStart w:id="882" w:name="_Toc205284696"/>
      <w:bookmarkStart w:id="883" w:name="_Toc203537999"/>
      <w:r>
        <w:rPr>
          <w:rStyle w:val="CharSectno"/>
        </w:rPr>
        <w:t>102</w:t>
      </w:r>
      <w:r>
        <w:t>.</w:t>
      </w:r>
      <w:r>
        <w:tab/>
        <w:t>Appeals</w:t>
      </w:r>
      <w:bookmarkEnd w:id="881"/>
      <w:bookmarkEnd w:id="882"/>
      <w:bookmarkEnd w:id="883"/>
    </w:p>
    <w:p>
      <w:pPr>
        <w:pStyle w:val="Subsection"/>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pPr>
      <w:r>
        <w:tab/>
      </w:r>
      <w:r>
        <w:tab/>
        <w:t>may appeal against that decision in accordance with this Division.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884" w:name="_Toc205284361"/>
      <w:bookmarkStart w:id="885" w:name="_Toc205284697"/>
      <w:bookmarkStart w:id="886" w:name="_Toc203538000"/>
      <w:r>
        <w:rPr>
          <w:rStyle w:val="CharSectno"/>
        </w:rPr>
        <w:t>103</w:t>
      </w:r>
      <w:r>
        <w:t>.</w:t>
      </w:r>
      <w:r>
        <w:tab/>
        <w:t>Appeal does not stay order</w:t>
      </w:r>
      <w:bookmarkEnd w:id="884"/>
      <w:bookmarkEnd w:id="885"/>
      <w:bookmarkEnd w:id="886"/>
    </w:p>
    <w:p>
      <w:pPr>
        <w:pStyle w:val="Subsection"/>
      </w:pPr>
      <w:r>
        <w:tab/>
      </w:r>
      <w:r>
        <w:tab/>
        <w:t>An appeal against an order made under this Part does not operate to stay the operation of the order unless the court to which the appeal is made so orders.</w:t>
      </w:r>
    </w:p>
    <w:p>
      <w:pPr>
        <w:pStyle w:val="Heading3"/>
      </w:pPr>
      <w:bookmarkStart w:id="887" w:name="_Toc94433714"/>
      <w:bookmarkStart w:id="888" w:name="_Toc196103834"/>
      <w:bookmarkStart w:id="889" w:name="_Toc196195852"/>
      <w:bookmarkStart w:id="890" w:name="_Toc196789291"/>
      <w:bookmarkStart w:id="891" w:name="_Toc202764642"/>
      <w:bookmarkStart w:id="892" w:name="_Toc202764787"/>
      <w:bookmarkStart w:id="893" w:name="_Toc202849502"/>
      <w:bookmarkStart w:id="894" w:name="_Toc203538001"/>
      <w:bookmarkStart w:id="895" w:name="_Toc205284362"/>
      <w:bookmarkStart w:id="896" w:name="_Toc205284550"/>
      <w:bookmarkStart w:id="897" w:name="_Toc205284698"/>
      <w:r>
        <w:rPr>
          <w:rStyle w:val="CharDivNo"/>
        </w:rPr>
        <w:t>Division 7</w:t>
      </w:r>
      <w:r>
        <w:t> — </w:t>
      </w:r>
      <w:r>
        <w:rPr>
          <w:rStyle w:val="CharDivText"/>
        </w:rPr>
        <w:t>Miscellaneous</w:t>
      </w:r>
      <w:bookmarkEnd w:id="887"/>
      <w:bookmarkEnd w:id="888"/>
      <w:bookmarkEnd w:id="889"/>
      <w:bookmarkEnd w:id="890"/>
      <w:bookmarkEnd w:id="891"/>
      <w:bookmarkEnd w:id="892"/>
      <w:bookmarkEnd w:id="893"/>
      <w:bookmarkEnd w:id="894"/>
      <w:bookmarkEnd w:id="895"/>
      <w:bookmarkEnd w:id="896"/>
      <w:bookmarkEnd w:id="897"/>
    </w:p>
    <w:p>
      <w:pPr>
        <w:pStyle w:val="Heading5"/>
      </w:pPr>
      <w:bookmarkStart w:id="898" w:name="_Toc205284363"/>
      <w:bookmarkStart w:id="899" w:name="_Toc205284699"/>
      <w:bookmarkStart w:id="900" w:name="_Toc203538002"/>
      <w:r>
        <w:rPr>
          <w:rStyle w:val="CharSectno"/>
        </w:rPr>
        <w:t>104</w:t>
      </w:r>
      <w:r>
        <w:t>.</w:t>
      </w:r>
      <w:r>
        <w:tab/>
        <w:t>Applications not to be heard in public</w:t>
      </w:r>
      <w:bookmarkEnd w:id="898"/>
      <w:bookmarkEnd w:id="899"/>
      <w:bookmarkEnd w:id="900"/>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901" w:name="_Toc205284364"/>
      <w:bookmarkStart w:id="902" w:name="_Toc205284700"/>
      <w:bookmarkStart w:id="903" w:name="_Toc203538003"/>
      <w:r>
        <w:rPr>
          <w:rStyle w:val="CharSectno"/>
        </w:rPr>
        <w:t>105</w:t>
      </w:r>
      <w:r>
        <w:t>.</w:t>
      </w:r>
      <w:r>
        <w:tab/>
        <w:t>Commissioner to be given information relating to reportable offenders</w:t>
      </w:r>
      <w:bookmarkEnd w:id="901"/>
      <w:bookmarkEnd w:id="902"/>
      <w:bookmarkEnd w:id="903"/>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904" w:name="_Toc205284365"/>
      <w:bookmarkStart w:id="905" w:name="_Toc205284701"/>
      <w:bookmarkStart w:id="906" w:name="_Toc203538004"/>
      <w:r>
        <w:rPr>
          <w:rStyle w:val="CharSectno"/>
        </w:rPr>
        <w:t>106</w:t>
      </w:r>
      <w:r>
        <w:t>.</w:t>
      </w:r>
      <w:r>
        <w:tab/>
        <w:t>Restriction on publication of identity of reportable offenders and victims</w:t>
      </w:r>
      <w:bookmarkEnd w:id="904"/>
      <w:bookmarkEnd w:id="905"/>
      <w:bookmarkEnd w:id="906"/>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907" w:name="_Toc205284366"/>
      <w:bookmarkStart w:id="908" w:name="_Toc205284702"/>
      <w:bookmarkStart w:id="909" w:name="_Toc203538005"/>
      <w:r>
        <w:rPr>
          <w:rStyle w:val="CharSectno"/>
        </w:rPr>
        <w:t>107</w:t>
      </w:r>
      <w:r>
        <w:t>.</w:t>
      </w:r>
      <w:r>
        <w:tab/>
        <w:t>Prohibition orders have no effect to extent of inconsistency with certain other orders</w:t>
      </w:r>
      <w:bookmarkEnd w:id="907"/>
      <w:bookmarkEnd w:id="908"/>
      <w:bookmarkEnd w:id="909"/>
    </w:p>
    <w:p>
      <w:pPr>
        <w:pStyle w:val="Subsection"/>
        <w:keepNext/>
      </w:pPr>
      <w:r>
        <w:tab/>
        <w:t>(1)</w:t>
      </w:r>
      <w:r>
        <w:tab/>
        <w:t xml:space="preserve">In this section — </w:t>
      </w:r>
    </w:p>
    <w:p>
      <w:pPr>
        <w:pStyle w:val="Defstart"/>
      </w:pPr>
      <w:r>
        <w:rPr>
          <w:b/>
        </w:rPr>
        <w:tab/>
      </w:r>
      <w:del w:id="910" w:author="svcMRProcess" w:date="2018-08-22T00:45:00Z">
        <w:r>
          <w:rPr>
            <w:b/>
          </w:rPr>
          <w:delText>“</w:delText>
        </w:r>
      </w:del>
      <w:r>
        <w:rPr>
          <w:rStyle w:val="CharDefText"/>
        </w:rPr>
        <w:t>family order</w:t>
      </w:r>
      <w:del w:id="911" w:author="svcMRProcess" w:date="2018-08-22T00:45:00Z">
        <w:r>
          <w:rPr>
            <w:b/>
          </w:rPr>
          <w:delText>”</w:delText>
        </w:r>
      </w:del>
      <w:r>
        <w:t xml:space="preserve"> has the meaning given to that term in the </w:t>
      </w:r>
      <w:r>
        <w:rPr>
          <w:i/>
        </w:rPr>
        <w:t xml:space="preserve">Restraining Orders Act 1997 </w:t>
      </w:r>
      <w:r>
        <w:t>section 5;</w:t>
      </w:r>
    </w:p>
    <w:p>
      <w:pPr>
        <w:pStyle w:val="Defstart"/>
      </w:pPr>
      <w:r>
        <w:rPr>
          <w:b/>
        </w:rPr>
        <w:tab/>
      </w:r>
      <w:del w:id="912" w:author="svcMRProcess" w:date="2018-08-22T00:45:00Z">
        <w:r>
          <w:rPr>
            <w:b/>
          </w:rPr>
          <w:delText>“</w:delText>
        </w:r>
      </w:del>
      <w:r>
        <w:rPr>
          <w:rStyle w:val="CharDefText"/>
        </w:rPr>
        <w:t>misconduct restraining order</w:t>
      </w:r>
      <w:del w:id="913" w:author="svcMRProcess" w:date="2018-08-22T00:45:00Z">
        <w:r>
          <w:rPr>
            <w:b/>
          </w:rPr>
          <w:delText>”</w:delText>
        </w:r>
        <w:r>
          <w:delText xml:space="preserve">, </w:delText>
        </w:r>
        <w:r>
          <w:rPr>
            <w:b/>
          </w:rPr>
          <w:delText>“</w:delText>
        </w:r>
      </w:del>
      <w:ins w:id="914" w:author="svcMRProcess" w:date="2018-08-22T00:45:00Z">
        <w:r>
          <w:t xml:space="preserve">, </w:t>
        </w:r>
      </w:ins>
      <w:r>
        <w:rPr>
          <w:rStyle w:val="CharDefText"/>
        </w:rPr>
        <w:t>police order</w:t>
      </w:r>
      <w:del w:id="915" w:author="svcMRProcess" w:date="2018-08-22T00:45:00Z">
        <w:r>
          <w:rPr>
            <w:b/>
          </w:rPr>
          <w:delText>”</w:delText>
        </w:r>
      </w:del>
      <w:r>
        <w:t xml:space="preserve"> and </w:t>
      </w:r>
      <w:del w:id="916" w:author="svcMRProcess" w:date="2018-08-22T00:45:00Z">
        <w:r>
          <w:rPr>
            <w:b/>
          </w:rPr>
          <w:delText>“</w:delText>
        </w:r>
      </w:del>
      <w:r>
        <w:rPr>
          <w:rStyle w:val="CharDefText"/>
        </w:rPr>
        <w:t>violence restraining order</w:t>
      </w:r>
      <w:del w:id="917" w:author="svcMRProcess" w:date="2018-08-22T00:45:00Z">
        <w:r>
          <w:rPr>
            <w:b/>
          </w:rPr>
          <w:delText>”</w:delText>
        </w:r>
      </w:del>
      <w:r>
        <w:t xml:space="preserve"> have the meanings given to those terms in the </w:t>
      </w:r>
      <w:r>
        <w:rPr>
          <w:i/>
        </w:rPr>
        <w:t>Restraining Orders Act 1997</w:t>
      </w:r>
      <w:r>
        <w:t xml:space="preserve"> section 3;</w:t>
      </w:r>
    </w:p>
    <w:p>
      <w:pPr>
        <w:pStyle w:val="Defstart"/>
      </w:pPr>
      <w:r>
        <w:rPr>
          <w:b/>
        </w:rPr>
        <w:tab/>
      </w:r>
      <w:del w:id="918" w:author="svcMRProcess" w:date="2018-08-22T00:45:00Z">
        <w:r>
          <w:rPr>
            <w:b/>
          </w:rPr>
          <w:delText>“</w:delText>
        </w:r>
      </w:del>
      <w:r>
        <w:rPr>
          <w:rStyle w:val="CharDefText"/>
        </w:rPr>
        <w:t>restraining order</w:t>
      </w:r>
      <w:del w:id="919" w:author="svcMRProcess" w:date="2018-08-22T00:45:00Z">
        <w:r>
          <w:rPr>
            <w:b/>
          </w:rPr>
          <w:delText>”</w:delText>
        </w:r>
      </w:del>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920" w:name="_Toc205284367"/>
      <w:bookmarkStart w:id="921" w:name="_Toc205284703"/>
      <w:bookmarkStart w:id="922" w:name="_Toc203538006"/>
      <w:r>
        <w:rPr>
          <w:rStyle w:val="CharSectno"/>
        </w:rPr>
        <w:t>108</w:t>
      </w:r>
      <w:r>
        <w:t>.</w:t>
      </w:r>
      <w:r>
        <w:tab/>
        <w:t>Recognition of prohibition orders made in other jurisdictions</w:t>
      </w:r>
      <w:bookmarkEnd w:id="920"/>
      <w:bookmarkEnd w:id="921"/>
      <w:bookmarkEnd w:id="922"/>
    </w:p>
    <w:p>
      <w:pPr>
        <w:pStyle w:val="Subsection"/>
      </w:pPr>
      <w:r>
        <w:tab/>
        <w:t>(1)</w:t>
      </w:r>
      <w:r>
        <w:tab/>
        <w:t>The regulations may provide for the recognition in Western Australia of corresponding prohibition orders.</w:t>
      </w:r>
    </w:p>
    <w:p>
      <w:pPr>
        <w:pStyle w:val="Subsection"/>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923" w:name="_Toc94433720"/>
      <w:bookmarkStart w:id="924" w:name="_Toc196103840"/>
      <w:bookmarkStart w:id="925" w:name="_Toc196195858"/>
      <w:bookmarkStart w:id="926" w:name="_Toc196789297"/>
      <w:bookmarkStart w:id="927" w:name="_Toc202764648"/>
      <w:bookmarkStart w:id="928" w:name="_Toc202764793"/>
      <w:bookmarkStart w:id="929" w:name="_Toc202849508"/>
      <w:bookmarkStart w:id="930" w:name="_Toc203538007"/>
      <w:bookmarkStart w:id="931" w:name="_Toc205284368"/>
      <w:bookmarkStart w:id="932" w:name="_Toc205284556"/>
      <w:bookmarkStart w:id="933" w:name="_Toc205284704"/>
      <w:r>
        <w:rPr>
          <w:rStyle w:val="CharPartNo"/>
        </w:rPr>
        <w:t>Part 6</w:t>
      </w:r>
      <w:r>
        <w:rPr>
          <w:rStyle w:val="CharDivNo"/>
        </w:rPr>
        <w:t> </w:t>
      </w:r>
      <w:r>
        <w:t>—</w:t>
      </w:r>
      <w:r>
        <w:rPr>
          <w:rStyle w:val="CharDivText"/>
        </w:rPr>
        <w:t> </w:t>
      </w:r>
      <w:r>
        <w:rPr>
          <w:rStyle w:val="CharPartText"/>
        </w:rPr>
        <w:t>Other matters</w:t>
      </w:r>
      <w:bookmarkEnd w:id="740"/>
      <w:bookmarkEnd w:id="741"/>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205284369"/>
      <w:bookmarkStart w:id="935" w:name="_Toc205284705"/>
      <w:bookmarkStart w:id="936" w:name="_Toc203538008"/>
      <w:r>
        <w:rPr>
          <w:rStyle w:val="CharSectno"/>
        </w:rPr>
        <w:t>109</w:t>
      </w:r>
      <w:r>
        <w:t>.</w:t>
      </w:r>
      <w:r>
        <w:tab/>
        <w:t>Protection from liability</w:t>
      </w:r>
      <w:bookmarkEnd w:id="934"/>
      <w:bookmarkEnd w:id="935"/>
      <w:bookmarkEnd w:id="93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937" w:name="_Toc205284370"/>
      <w:bookmarkStart w:id="938" w:name="_Toc205284706"/>
      <w:bookmarkStart w:id="939" w:name="_Toc203538009"/>
      <w:r>
        <w:rPr>
          <w:rStyle w:val="CharSectno"/>
        </w:rPr>
        <w:t>110</w:t>
      </w:r>
      <w:r>
        <w:t>.</w:t>
      </w:r>
      <w:r>
        <w:tab/>
        <w:t>Delegation by Commissioner</w:t>
      </w:r>
      <w:bookmarkEnd w:id="937"/>
      <w:bookmarkEnd w:id="938"/>
      <w:bookmarkEnd w:id="939"/>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940" w:name="_Toc205284371"/>
      <w:bookmarkStart w:id="941" w:name="_Toc205284707"/>
      <w:bookmarkStart w:id="942" w:name="_Toc203538010"/>
      <w:r>
        <w:rPr>
          <w:rStyle w:val="CharSectno"/>
        </w:rPr>
        <w:t>111</w:t>
      </w:r>
      <w:r>
        <w:t>.</w:t>
      </w:r>
      <w:r>
        <w:tab/>
        <w:t>Effect of spent convictions</w:t>
      </w:r>
      <w:bookmarkEnd w:id="940"/>
      <w:bookmarkEnd w:id="941"/>
      <w:bookmarkEnd w:id="942"/>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943" w:name="_Toc205284372"/>
      <w:bookmarkStart w:id="944" w:name="_Toc205284708"/>
      <w:bookmarkStart w:id="945" w:name="_Toc203538011"/>
      <w:r>
        <w:rPr>
          <w:rStyle w:val="CharSectno"/>
        </w:rPr>
        <w:t>112</w:t>
      </w:r>
      <w:r>
        <w:t>.</w:t>
      </w:r>
      <w:r>
        <w:tab/>
        <w:t>Civil standard of proof</w:t>
      </w:r>
      <w:bookmarkEnd w:id="943"/>
      <w:bookmarkEnd w:id="944"/>
      <w:bookmarkEnd w:id="945"/>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946" w:name="_Toc205284373"/>
      <w:bookmarkStart w:id="947" w:name="_Toc205284709"/>
      <w:bookmarkStart w:id="948" w:name="_Toc203538012"/>
      <w:r>
        <w:rPr>
          <w:rStyle w:val="CharSectno"/>
        </w:rPr>
        <w:t>113</w:t>
      </w:r>
      <w:r>
        <w:t>.</w:t>
      </w:r>
      <w:r>
        <w:tab/>
        <w:t>Certificate concerning evidence</w:t>
      </w:r>
      <w:bookmarkEnd w:id="946"/>
      <w:bookmarkEnd w:id="947"/>
      <w:bookmarkEnd w:id="948"/>
    </w:p>
    <w:p>
      <w:pPr>
        <w:pStyle w:val="Subsection"/>
      </w:pPr>
      <w:r>
        <w:tab/>
        <w:t>(1)</w:t>
      </w:r>
      <w:r>
        <w:tab/>
        <w:t xml:space="preserve">In this section — </w:t>
      </w:r>
    </w:p>
    <w:p>
      <w:pPr>
        <w:pStyle w:val="Defstart"/>
      </w:pPr>
      <w:r>
        <w:rPr>
          <w:b/>
        </w:rPr>
        <w:tab/>
      </w:r>
      <w:del w:id="949" w:author="svcMRProcess" w:date="2018-08-22T00:45:00Z">
        <w:r>
          <w:rPr>
            <w:b/>
          </w:rPr>
          <w:delText>“</w:delText>
        </w:r>
      </w:del>
      <w:r>
        <w:rPr>
          <w:rStyle w:val="CharDefText"/>
        </w:rPr>
        <w:t>specified</w:t>
      </w:r>
      <w:del w:id="950" w:author="svcMRProcess" w:date="2018-08-22T00:45:00Z">
        <w:r>
          <w:rPr>
            <w:b/>
          </w:rPr>
          <w:delText>”</w:delText>
        </w:r>
      </w:del>
      <w:r>
        <w:t xml:space="preserve"> means specified in the relevant certificate.</w:t>
      </w:r>
    </w:p>
    <w:p>
      <w:pPr>
        <w:pStyle w:val="Subsection"/>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951" w:name="_Toc205284374"/>
      <w:bookmarkStart w:id="952" w:name="_Toc205284710"/>
      <w:bookmarkStart w:id="953" w:name="_Toc203538013"/>
      <w:r>
        <w:rPr>
          <w:rStyle w:val="CharSectno"/>
        </w:rPr>
        <w:t>114</w:t>
      </w:r>
      <w:r>
        <w:t>.</w:t>
      </w:r>
      <w:r>
        <w:tab/>
        <w:t>Regulations</w:t>
      </w:r>
      <w:bookmarkEnd w:id="951"/>
      <w:bookmarkEnd w:id="952"/>
      <w:bookmarkEnd w:id="953"/>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954" w:name="_Toc205284375"/>
      <w:bookmarkStart w:id="955" w:name="_Toc205284711"/>
      <w:bookmarkStart w:id="956" w:name="_Toc203538014"/>
      <w:r>
        <w:rPr>
          <w:rStyle w:val="CharSectno"/>
        </w:rPr>
        <w:t>115</w:t>
      </w:r>
      <w:r>
        <w:t>.</w:t>
      </w:r>
      <w:r>
        <w:tab/>
        <w:t>Minister to review and report on Act</w:t>
      </w:r>
      <w:bookmarkEnd w:id="954"/>
      <w:bookmarkEnd w:id="955"/>
      <w:bookmarkEnd w:id="956"/>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957" w:name="_Toc201567712"/>
      <w:bookmarkStart w:id="958" w:name="_Toc202754859"/>
      <w:bookmarkStart w:id="959" w:name="_Toc202773836"/>
      <w:bookmarkStart w:id="960" w:name="_Toc205284376"/>
      <w:bookmarkStart w:id="961" w:name="_Toc205284712"/>
      <w:bookmarkStart w:id="962" w:name="_Toc203538015"/>
      <w:r>
        <w:rPr>
          <w:rStyle w:val="CharSectno"/>
        </w:rPr>
        <w:t>115A</w:t>
      </w:r>
      <w:r>
        <w:t>.</w:t>
      </w:r>
      <w:r>
        <w:tab/>
        <w:t>Transitional arrangements for certain offenders</w:t>
      </w:r>
      <w:bookmarkEnd w:id="957"/>
      <w:bookmarkEnd w:id="958"/>
      <w:bookmarkEnd w:id="959"/>
      <w:bookmarkEnd w:id="960"/>
      <w:bookmarkEnd w:id="961"/>
      <w:bookmarkEnd w:id="962"/>
    </w:p>
    <w:p>
      <w:pPr>
        <w:pStyle w:val="Subsection"/>
      </w:pPr>
      <w:r>
        <w:tab/>
        <w:t>(1)</w:t>
      </w:r>
      <w:r>
        <w:tab/>
        <w:t xml:space="preserve">A person who was sentenced for an offence against </w:t>
      </w:r>
      <w:r>
        <w:rPr>
          <w:i/>
          <w:iCs/>
        </w:rPr>
        <w:t>The Criminal Code</w:t>
      </w:r>
      <w:r>
        <w:t xml:space="preserve"> section 204B(2) or (3) (a </w:t>
      </w:r>
      <w:del w:id="963" w:author="svcMRProcess" w:date="2018-08-22T00:45:00Z">
        <w:r>
          <w:rPr>
            <w:b/>
          </w:rPr>
          <w:delText>“</w:delText>
        </w:r>
      </w:del>
      <w:r>
        <w:rPr>
          <w:rStyle w:val="CharDefText"/>
        </w:rPr>
        <w:t>relevant offence</w:t>
      </w:r>
      <w:del w:id="964" w:author="svcMRProcess" w:date="2018-08-22T00:45:00Z">
        <w:r>
          <w:rPr>
            <w:b/>
          </w:rPr>
          <w:delText>”</w:delText>
        </w:r>
        <w:r>
          <w:rPr>
            <w:bCs/>
          </w:rPr>
          <w:delText>)</w:delText>
        </w:r>
      </w:del>
      <w:ins w:id="965" w:author="svcMRProcess" w:date="2018-08-22T00:45:00Z">
        <w:r>
          <w:rPr>
            <w:bCs/>
          </w:rPr>
          <w:t>)</w:t>
        </w:r>
      </w:ins>
      <w:r>
        <w:rPr>
          <w:bCs/>
        </w:rPr>
        <w:t xml:space="preserve"> </w:t>
      </w:r>
      <w:r>
        <w:t xml:space="preserve">before the day on which the </w:t>
      </w:r>
      <w:r>
        <w:rPr>
          <w:i/>
          <w:iCs/>
        </w:rPr>
        <w:t>Community Protection (Offender Reporting) Amendment Act 2008</w:t>
      </w:r>
      <w:r>
        <w:t xml:space="preserve"> section 12 came into operation (the </w:t>
      </w:r>
      <w:del w:id="966" w:author="svcMRProcess" w:date="2018-08-22T00:45:00Z">
        <w:r>
          <w:rPr>
            <w:b/>
          </w:rPr>
          <w:delText>“</w:delText>
        </w:r>
      </w:del>
      <w:r>
        <w:rPr>
          <w:rStyle w:val="CharDefText"/>
        </w:rPr>
        <w:t>relevant day</w:t>
      </w:r>
      <w:del w:id="967" w:author="svcMRProcess" w:date="2018-08-22T00:45:00Z">
        <w:r>
          <w:rPr>
            <w:b/>
          </w:rPr>
          <w:delText>”</w:delText>
        </w:r>
        <w:r>
          <w:delText>)</w:delText>
        </w:r>
      </w:del>
      <w:ins w:id="968" w:author="svcMRProcess" w:date="2018-08-22T00:45:00Z">
        <w:r>
          <w:t>)</w:t>
        </w:r>
      </w:ins>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Heading5"/>
      </w:pPr>
      <w:bookmarkStart w:id="969" w:name="_Toc205284377"/>
      <w:bookmarkStart w:id="970" w:name="_Toc205284713"/>
      <w:bookmarkStart w:id="971" w:name="_Toc203538016"/>
      <w:r>
        <w:rPr>
          <w:rStyle w:val="CharSectno"/>
        </w:rPr>
        <w:t>116</w:t>
      </w:r>
      <w:r>
        <w:t>.</w:t>
      </w:r>
      <w:r>
        <w:tab/>
        <w:t xml:space="preserve">Consequential amendments to </w:t>
      </w:r>
      <w:r>
        <w:rPr>
          <w:i/>
        </w:rPr>
        <w:t>Sentencing Act 1995</w:t>
      </w:r>
      <w:bookmarkEnd w:id="969"/>
      <w:bookmarkEnd w:id="970"/>
      <w:bookmarkEnd w:id="971"/>
    </w:p>
    <w:p>
      <w:pPr>
        <w:pStyle w:val="Subsection"/>
        <w:keepNext/>
      </w:pPr>
      <w:r>
        <w:tab/>
        <w:t>(1)</w:t>
      </w:r>
      <w:r>
        <w:tab/>
        <w:t xml:space="preserve">The amendments in this section are to the </w:t>
      </w:r>
      <w:r>
        <w:rPr>
          <w:i/>
        </w:rPr>
        <w:t>Sentencing Act 1995</w:t>
      </w:r>
      <w:r>
        <w:t>.</w:t>
      </w:r>
    </w:p>
    <w:p>
      <w:pPr>
        <w:pStyle w:val="Subsection"/>
      </w:pPr>
      <w:r>
        <w:tab/>
        <w:t>(2)</w:t>
      </w:r>
      <w:r>
        <w:tab/>
        <w:t xml:space="preserve">After section 21(2) the following subsection is inserted — </w:t>
      </w:r>
    </w:p>
    <w:p>
      <w:pPr>
        <w:pStyle w:val="MiscOpen"/>
        <w:ind w:left="600"/>
      </w:pPr>
      <w:r>
        <w:t xml:space="preserve">“    </w:t>
      </w:r>
    </w:p>
    <w:p>
      <w:pPr>
        <w:pStyle w:val="z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MiscClose"/>
      </w:pPr>
      <w:r>
        <w:t xml:space="preserve">    ”.</w:t>
      </w:r>
    </w:p>
    <w:p>
      <w:pPr>
        <w:pStyle w:val="Subsection"/>
      </w:pPr>
      <w:r>
        <w:tab/>
        <w:t>(3)</w:t>
      </w:r>
      <w:r>
        <w:tab/>
        <w:t xml:space="preserve">After section 124 the following section is inserted in Part 17 — </w:t>
      </w:r>
    </w:p>
    <w:p>
      <w:pPr>
        <w:pStyle w:val="MiscOpen"/>
      </w:pPr>
      <w:r>
        <w:t xml:space="preserve">“    </w:t>
      </w:r>
    </w:p>
    <w:p>
      <w:pPr>
        <w:pStyle w:val="zHeading5"/>
      </w:pPr>
      <w:bookmarkStart w:id="972" w:name="_Toc205284714"/>
      <w:r>
        <w:t>124A.</w:t>
      </w:r>
      <w:r>
        <w:tab/>
        <w:t>Offender reporting orders</w:t>
      </w:r>
      <w:bookmarkEnd w:id="972"/>
    </w:p>
    <w:p>
      <w:pPr>
        <w:pStyle w:val="z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MiscClose"/>
      </w:pPr>
      <w: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73" w:name="_Toc205284378"/>
      <w:bookmarkStart w:id="974" w:name="_Toc205284567"/>
      <w:bookmarkStart w:id="975" w:name="_Toc205284715"/>
      <w:bookmarkStart w:id="976" w:name="_Toc203538017"/>
      <w:r>
        <w:rPr>
          <w:rStyle w:val="CharSchNo"/>
        </w:rPr>
        <w:t>Schedule 1</w:t>
      </w:r>
      <w:r>
        <w:t xml:space="preserve"> — </w:t>
      </w:r>
      <w:r>
        <w:rPr>
          <w:rStyle w:val="CharSchText"/>
        </w:rPr>
        <w:t>Class 1 offences</w:t>
      </w:r>
      <w:bookmarkEnd w:id="973"/>
      <w:bookmarkEnd w:id="974"/>
      <w:bookmarkEnd w:id="975"/>
      <w:bookmarkEnd w:id="976"/>
    </w:p>
    <w:p>
      <w:pPr>
        <w:pStyle w:val="yShoulderClause"/>
        <w:spacing w:after="60"/>
      </w:pPr>
      <w:r>
        <w:t>[s. 10]</w:t>
      </w:r>
    </w:p>
    <w:p>
      <w:pPr>
        <w:pStyle w:val="y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del w:id="977" w:author="svcMRProcess" w:date="2018-08-22T00:45:00Z"/>
        </w:trPr>
        <w:tc>
          <w:tcPr>
            <w:tcW w:w="3000" w:type="dxa"/>
          </w:tcPr>
          <w:p>
            <w:pPr>
              <w:pStyle w:val="yTable"/>
              <w:rPr>
                <w:del w:id="978" w:author="svcMRProcess" w:date="2018-08-22T00:45:00Z"/>
              </w:rPr>
            </w:pPr>
            <w:del w:id="979" w:author="svcMRProcess" w:date="2018-08-22T00:45:00Z">
              <w:r>
                <w:delText>s. 278 (as read with s. 282)</w:delText>
              </w:r>
            </w:del>
          </w:p>
        </w:tc>
        <w:tc>
          <w:tcPr>
            <w:tcW w:w="4088" w:type="dxa"/>
          </w:tcPr>
          <w:p>
            <w:pPr>
              <w:pStyle w:val="yTable"/>
              <w:rPr>
                <w:del w:id="980" w:author="svcMRProcess" w:date="2018-08-22T00:45:00Z"/>
              </w:rPr>
            </w:pPr>
            <w:del w:id="981" w:author="svcMRProcess" w:date="2018-08-22T00:45:00Z">
              <w:r>
                <w:delText>Wilful murder (if the person against whom the offence is committed is a child)</w:delText>
              </w:r>
            </w:del>
          </w:p>
        </w:tc>
      </w:tr>
      <w:tr>
        <w:tblPrEx>
          <w:tblBorders>
            <w:top w:val="none" w:sz="0" w:space="0" w:color="auto"/>
            <w:bottom w:val="none" w:sz="0" w:space="0" w:color="auto"/>
          </w:tblBorders>
        </w:tblPrEx>
        <w:trPr>
          <w:trHeight w:val="360"/>
        </w:trPr>
        <w:tc>
          <w:tcPr>
            <w:tcW w:w="3000" w:type="dxa"/>
          </w:tcPr>
          <w:p>
            <w:pPr>
              <w:pStyle w:val="yTable"/>
            </w:pPr>
            <w:r>
              <w:t>s. 279</w:t>
            </w:r>
            <w:del w:id="982" w:author="svcMRProcess" w:date="2018-08-22T00:45:00Z">
              <w:r>
                <w:delText xml:space="preserve"> (as read with s. 282)</w:delText>
              </w:r>
            </w:del>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del w:id="983" w:author="svcMRProcess" w:date="2018-08-22T00:45:00Z"/>
        </w:trPr>
        <w:tc>
          <w:tcPr>
            <w:tcW w:w="3000" w:type="dxa"/>
          </w:tcPr>
          <w:p>
            <w:pPr>
              <w:pStyle w:val="yTable"/>
              <w:rPr>
                <w:del w:id="984" w:author="svcMRProcess" w:date="2018-08-22T00:45:00Z"/>
              </w:rPr>
            </w:pPr>
            <w:del w:id="985" w:author="svcMRProcess" w:date="2018-08-22T00:45:00Z">
              <w:r>
                <w:delText>s. 281A (as read with s. 287A)</w:delText>
              </w:r>
            </w:del>
          </w:p>
        </w:tc>
        <w:tc>
          <w:tcPr>
            <w:tcW w:w="4088" w:type="dxa"/>
          </w:tcPr>
          <w:p>
            <w:pPr>
              <w:pStyle w:val="yTable"/>
              <w:rPr>
                <w:del w:id="986" w:author="svcMRProcess" w:date="2018-08-22T00:45:00Z"/>
              </w:rPr>
            </w:pPr>
            <w:del w:id="987" w:author="svcMRProcess" w:date="2018-08-22T00:45:00Z">
              <w:r>
                <w:delText>Infanticide</w:delText>
              </w:r>
            </w:del>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 amended by No. 2 of 2008 s. 58; No. 27 of 2008 s. </w:t>
      </w:r>
      <w:del w:id="988" w:author="svcMRProcess" w:date="2018-08-22T00:45:00Z">
        <w:r>
          <w:delText>11.]</w:delText>
        </w:r>
      </w:del>
      <w:ins w:id="989" w:author="svcMRProcess" w:date="2018-08-22T00:45:00Z">
        <w:r>
          <w:t>11; No. 29 of 2008 s. 25(2) and (3).]</w:t>
        </w:r>
      </w:ins>
    </w:p>
    <w:p>
      <w:pPr>
        <w:pStyle w:val="yScheduleHeading"/>
      </w:pPr>
      <w:bookmarkStart w:id="990" w:name="_Toc205284379"/>
      <w:bookmarkStart w:id="991" w:name="_Toc205284568"/>
      <w:bookmarkStart w:id="992" w:name="_Toc205284716"/>
      <w:bookmarkStart w:id="993" w:name="_Toc203538018"/>
      <w:r>
        <w:rPr>
          <w:rStyle w:val="CharSchNo"/>
        </w:rPr>
        <w:t>Schedule 2</w:t>
      </w:r>
      <w:r>
        <w:t> — </w:t>
      </w:r>
      <w:r>
        <w:rPr>
          <w:rStyle w:val="CharSchText"/>
        </w:rPr>
        <w:t>Class 2 offences</w:t>
      </w:r>
      <w:bookmarkEnd w:id="990"/>
      <w:bookmarkEnd w:id="991"/>
      <w:bookmarkEnd w:id="992"/>
      <w:bookmarkEnd w:id="993"/>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 204B(2)</w:t>
            </w:r>
          </w:p>
        </w:tc>
        <w:tc>
          <w:tcPr>
            <w:tcW w:w="4245" w:type="dxa"/>
          </w:tcPr>
          <w:p>
            <w:pPr>
              <w:pStyle w:val="yTable"/>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
            </w:pPr>
            <w:r>
              <w:t>s. 204B(3)</w:t>
            </w:r>
          </w:p>
        </w:tc>
        <w:tc>
          <w:tcPr>
            <w:tcW w:w="4245" w:type="dxa"/>
          </w:tcPr>
          <w:p>
            <w:pPr>
              <w:pStyle w:val="yTable"/>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557K(4)</w:t>
            </w:r>
          </w:p>
        </w:tc>
        <w:tc>
          <w:tcPr>
            <w:tcW w:w="4245" w:type="dxa"/>
          </w:tcPr>
          <w:p>
            <w:pPr>
              <w:pStyle w:val="yTable"/>
            </w:pPr>
            <w:r>
              <w:t>Child sex offender habitually consorting with another child sex offender</w:t>
            </w:r>
          </w:p>
        </w:tc>
      </w:tr>
      <w:tr>
        <w:tblPrEx>
          <w:tblBorders>
            <w:top w:val="none" w:sz="0" w:space="0" w:color="auto"/>
            <w:bottom w:val="none" w:sz="0" w:space="0" w:color="auto"/>
          </w:tblBorders>
        </w:tblPrEx>
        <w:trPr>
          <w:trHeight w:val="360"/>
        </w:trPr>
        <w:tc>
          <w:tcPr>
            <w:tcW w:w="2715" w:type="dxa"/>
          </w:tcPr>
          <w:p>
            <w:pPr>
              <w:pStyle w:val="yTable"/>
            </w:pPr>
            <w:r>
              <w:t>s. 557K(6)</w:t>
            </w:r>
          </w:p>
        </w:tc>
        <w:tc>
          <w:tcPr>
            <w:tcW w:w="4245" w:type="dxa"/>
          </w:tcPr>
          <w:p>
            <w:pPr>
              <w:pStyle w:val="yTable"/>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MiscClose"/>
        <w:rPr>
          <w:i/>
        </w:rPr>
      </w:pPr>
    </w:p>
    <w:p>
      <w:pPr>
        <w:pStyle w:val="yFootnotesection"/>
      </w:pPr>
      <w:r>
        <w:tab/>
        <w:t>[Schedule 2 amended by No. 27 of 2008 s. 12.]</w:t>
      </w:r>
    </w:p>
    <w:p>
      <w:pPr>
        <w:pStyle w:val="yEdnotesection"/>
      </w:pPr>
      <w:r>
        <w:t>[Schedule 3 has not come into operation </w:t>
      </w:r>
      <w:r>
        <w:rPr>
          <w:i w:val="0"/>
          <w:vertAlign w:val="superscript"/>
        </w:rPr>
        <w:t>2</w:t>
      </w:r>
      <w:r>
        <w:rPr>
          <w:i w:val="0"/>
        </w:rPr>
        <w:t>.</w:t>
      </w:r>
      <w:r>
        <w:t>]</w:t>
      </w:r>
      <w:bookmarkStart w:id="994" w:name="_Toc90696566"/>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995" w:name="_Toc90721090"/>
      <w:bookmarkStart w:id="996" w:name="_Toc91661602"/>
      <w:bookmarkStart w:id="997" w:name="_Toc91661626"/>
    </w:p>
    <w:p>
      <w:pPr>
        <w:pStyle w:val="nHeading2"/>
      </w:pPr>
      <w:bookmarkStart w:id="998" w:name="_Toc94433731"/>
      <w:bookmarkStart w:id="999" w:name="_Toc196103851"/>
      <w:bookmarkStart w:id="1000" w:name="_Toc196195869"/>
      <w:bookmarkStart w:id="1001" w:name="_Toc196789308"/>
      <w:bookmarkStart w:id="1002" w:name="_Toc202764659"/>
      <w:bookmarkStart w:id="1003" w:name="_Toc202764804"/>
      <w:bookmarkStart w:id="1004" w:name="_Toc202849520"/>
      <w:bookmarkStart w:id="1005" w:name="_Toc203538019"/>
      <w:bookmarkStart w:id="1006" w:name="_Toc205284380"/>
      <w:bookmarkStart w:id="1007" w:name="_Toc205284569"/>
      <w:bookmarkStart w:id="1008" w:name="_Toc205284717"/>
      <w:r>
        <w:t>Notes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009" w:name="_Toc512403484"/>
      <w:bookmarkStart w:id="1010" w:name="_Toc512403627"/>
      <w:bookmarkStart w:id="1011" w:name="_Toc205284381"/>
      <w:bookmarkStart w:id="1012" w:name="_Toc205284718"/>
      <w:bookmarkStart w:id="1013" w:name="_Toc203538020"/>
      <w:r>
        <w:rPr>
          <w:snapToGrid w:val="0"/>
        </w:rPr>
        <w:t>Compilation table</w:t>
      </w:r>
      <w:bookmarkEnd w:id="1009"/>
      <w:bookmarkEnd w:id="1010"/>
      <w:bookmarkEnd w:id="1011"/>
      <w:bookmarkEnd w:id="1012"/>
      <w:bookmarkEnd w:id="10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72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pacing w:val="-2"/>
                <w:sz w:val="19"/>
              </w:rPr>
              <w:t xml:space="preserve">Pt. 1, 4 and 6: 25 Dec 2004 (see s. 2 and </w:t>
            </w:r>
            <w:r>
              <w:rPr>
                <w:i/>
                <w:spacing w:val="-2"/>
                <w:sz w:val="19"/>
              </w:rPr>
              <w:t xml:space="preserve">Gazette </w:t>
            </w:r>
            <w:r>
              <w:rPr>
                <w:spacing w:val="-2"/>
                <w:sz w:val="19"/>
              </w:rPr>
              <w:t>24 Dec 2004 p. 6266);</w:t>
            </w:r>
            <w:r>
              <w:rPr>
                <w:spacing w:val="-2"/>
                <w:sz w:val="19"/>
              </w:rPr>
              <w:br/>
              <w:t xml:space="preserve">Pt. 2 (except s. 12) and Pt. 3 and 5 and Sch. 1 &amp;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before="10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before="100"/>
              <w:rPr>
                <w:sz w:val="19"/>
              </w:rPr>
            </w:pPr>
            <w:r>
              <w:rPr>
                <w:sz w:val="19"/>
              </w:rPr>
              <w:t>2 of 2008</w:t>
            </w:r>
          </w:p>
        </w:tc>
        <w:tc>
          <w:tcPr>
            <w:tcW w:w="1134" w:type="dxa"/>
          </w:tcPr>
          <w:p>
            <w:pPr>
              <w:pStyle w:val="nTable"/>
              <w:spacing w:before="100"/>
              <w:rPr>
                <w:sz w:val="19"/>
              </w:rPr>
            </w:pPr>
            <w:r>
              <w:rPr>
                <w:sz w:val="19"/>
              </w:rPr>
              <w:t>12 Mar 2008</w:t>
            </w:r>
          </w:p>
        </w:tc>
        <w:tc>
          <w:tcPr>
            <w:tcW w:w="2552" w:type="dxa"/>
          </w:tcPr>
          <w:p>
            <w:pPr>
              <w:pStyle w:val="nTable"/>
              <w:spacing w:before="10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Pr>
          <w:p>
            <w:pPr>
              <w:pStyle w:val="nTable"/>
              <w:spacing w:before="100"/>
              <w:rPr>
                <w:i/>
                <w:snapToGrid w:val="0"/>
                <w:sz w:val="19"/>
              </w:rPr>
            </w:pPr>
            <w:r>
              <w:rPr>
                <w:i/>
                <w:snapToGrid w:val="0"/>
                <w:sz w:val="19"/>
              </w:rPr>
              <w:t>Community Protection (Offender Reporting) Amendment Act 2008</w:t>
            </w:r>
          </w:p>
        </w:tc>
        <w:tc>
          <w:tcPr>
            <w:tcW w:w="1134" w:type="dxa"/>
          </w:tcPr>
          <w:p>
            <w:pPr>
              <w:pStyle w:val="nTable"/>
              <w:spacing w:before="100"/>
              <w:rPr>
                <w:sz w:val="19"/>
              </w:rPr>
            </w:pPr>
            <w:r>
              <w:rPr>
                <w:sz w:val="19"/>
              </w:rPr>
              <w:t>27 of 2008</w:t>
            </w:r>
          </w:p>
        </w:tc>
        <w:tc>
          <w:tcPr>
            <w:tcW w:w="1134" w:type="dxa"/>
          </w:tcPr>
          <w:p>
            <w:pPr>
              <w:pStyle w:val="nTable"/>
              <w:spacing w:before="100"/>
              <w:rPr>
                <w:sz w:val="19"/>
              </w:rPr>
            </w:pPr>
            <w:r>
              <w:rPr>
                <w:sz w:val="19"/>
              </w:rPr>
              <w:t>1 Jul 2008</w:t>
            </w:r>
          </w:p>
        </w:tc>
        <w:tc>
          <w:tcPr>
            <w:tcW w:w="2552" w:type="dxa"/>
          </w:tcPr>
          <w:p>
            <w:pPr>
              <w:pStyle w:val="nTable"/>
              <w:spacing w:before="100"/>
              <w:rPr>
                <w:snapToGrid w:val="0"/>
                <w:spacing w:val="-2"/>
                <w:sz w:val="19"/>
                <w:lang w:val="en-US"/>
              </w:rPr>
            </w:pPr>
            <w:r>
              <w:rPr>
                <w:snapToGrid w:val="0"/>
                <w:spacing w:val="-2"/>
                <w:sz w:val="19"/>
                <w:lang w:val="en-US"/>
              </w:rPr>
              <w:t>s. 1 and 2: 1 Jul 2008 (see s. 2(a));</w:t>
            </w:r>
            <w:r>
              <w:rPr>
                <w:snapToGrid w:val="0"/>
                <w:spacing w:val="-2"/>
                <w:sz w:val="19"/>
                <w:lang w:val="en-US"/>
              </w:rPr>
              <w:br/>
              <w:t>Act other than  s. 1 and 2: 2 Jul 2008 (see s. 2(b))</w:t>
            </w:r>
          </w:p>
        </w:tc>
      </w:tr>
      <w:tr>
        <w:trPr>
          <w:ins w:id="1014" w:author="svcMRProcess" w:date="2018-08-22T00:45:00Z"/>
        </w:trPr>
        <w:tc>
          <w:tcPr>
            <w:tcW w:w="2268" w:type="dxa"/>
            <w:tcBorders>
              <w:bottom w:val="single" w:sz="4" w:space="0" w:color="auto"/>
            </w:tcBorders>
          </w:tcPr>
          <w:p>
            <w:pPr>
              <w:pStyle w:val="nTable"/>
              <w:spacing w:before="100"/>
              <w:rPr>
                <w:ins w:id="1015" w:author="svcMRProcess" w:date="2018-08-22T00:45:00Z"/>
                <w:i/>
                <w:snapToGrid w:val="0"/>
                <w:sz w:val="19"/>
              </w:rPr>
            </w:pPr>
            <w:ins w:id="1016" w:author="svcMRProcess" w:date="2018-08-22T00:45:00Z">
              <w:r>
                <w:rPr>
                  <w:i/>
                  <w:snapToGrid w:val="0"/>
                </w:rPr>
                <w:t xml:space="preserve">Criminal Law Amendment (Homicide) Act 2008 </w:t>
              </w:r>
              <w:r>
                <w:rPr>
                  <w:iCs/>
                  <w:snapToGrid w:val="0"/>
                </w:rPr>
                <w:t>s. 25(1)-(3)</w:t>
              </w:r>
            </w:ins>
          </w:p>
        </w:tc>
        <w:tc>
          <w:tcPr>
            <w:tcW w:w="1134" w:type="dxa"/>
            <w:tcBorders>
              <w:bottom w:val="single" w:sz="4" w:space="0" w:color="auto"/>
            </w:tcBorders>
          </w:tcPr>
          <w:p>
            <w:pPr>
              <w:pStyle w:val="nTable"/>
              <w:spacing w:before="100"/>
              <w:rPr>
                <w:ins w:id="1017" w:author="svcMRProcess" w:date="2018-08-22T00:45:00Z"/>
                <w:sz w:val="19"/>
              </w:rPr>
            </w:pPr>
            <w:ins w:id="1018" w:author="svcMRProcess" w:date="2018-08-22T00:45:00Z">
              <w:r>
                <w:rPr>
                  <w:sz w:val="19"/>
                </w:rPr>
                <w:t>29 of 2008</w:t>
              </w:r>
            </w:ins>
          </w:p>
        </w:tc>
        <w:tc>
          <w:tcPr>
            <w:tcW w:w="1134" w:type="dxa"/>
            <w:tcBorders>
              <w:bottom w:val="single" w:sz="4" w:space="0" w:color="auto"/>
            </w:tcBorders>
          </w:tcPr>
          <w:p>
            <w:pPr>
              <w:pStyle w:val="nTable"/>
              <w:spacing w:before="100"/>
              <w:rPr>
                <w:ins w:id="1019" w:author="svcMRProcess" w:date="2018-08-22T00:45:00Z"/>
                <w:sz w:val="19"/>
              </w:rPr>
            </w:pPr>
            <w:ins w:id="1020" w:author="svcMRProcess" w:date="2018-08-22T00:45:00Z">
              <w:r>
                <w:rPr>
                  <w:sz w:val="19"/>
                </w:rPr>
                <w:t>27 Jun 2008</w:t>
              </w:r>
            </w:ins>
          </w:p>
        </w:tc>
        <w:tc>
          <w:tcPr>
            <w:tcW w:w="2552" w:type="dxa"/>
            <w:tcBorders>
              <w:bottom w:val="single" w:sz="4" w:space="0" w:color="auto"/>
            </w:tcBorders>
          </w:tcPr>
          <w:p>
            <w:pPr>
              <w:pStyle w:val="nTable"/>
              <w:spacing w:before="100"/>
              <w:rPr>
                <w:ins w:id="1021" w:author="svcMRProcess" w:date="2018-08-22T00:45:00Z"/>
                <w:snapToGrid w:val="0"/>
                <w:spacing w:val="-2"/>
                <w:sz w:val="19"/>
                <w:lang w:val="en-US"/>
              </w:rPr>
            </w:pPr>
            <w:ins w:id="1022" w:author="svcMRProcess" w:date="2018-08-22T00:45:00Z">
              <w:r>
                <w:rPr>
                  <w:snapToGrid w:val="0"/>
                  <w:sz w:val="19"/>
                  <w:lang w:val="en-US"/>
                </w:rPr>
                <w:t xml:space="preserve">1 Aug 2008 (see s. 2(b) and (d) and </w:t>
              </w:r>
              <w:r>
                <w:rPr>
                  <w:i/>
                  <w:iCs/>
                  <w:snapToGrid w:val="0"/>
                  <w:sz w:val="19"/>
                  <w:lang w:val="en-US"/>
                </w:rPr>
                <w:t>Gazette</w:t>
              </w:r>
              <w:r>
                <w:rPr>
                  <w:snapToGrid w:val="0"/>
                  <w:sz w:val="19"/>
                  <w:lang w:val="en-US"/>
                </w:rPr>
                <w:t xml:space="preserve"> 22 Jul 2008 p. 3353)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23" w:name="_Toc534778309"/>
      <w:bookmarkStart w:id="1024" w:name="_Toc7405063"/>
      <w:bookmarkStart w:id="1025" w:name="_Toc205284382"/>
      <w:bookmarkStart w:id="1026" w:name="_Toc205284719"/>
      <w:bookmarkStart w:id="1027" w:name="_Toc203538021"/>
      <w:r>
        <w:rPr>
          <w:snapToGrid w:val="0"/>
        </w:rPr>
        <w:t>Provisions that have not come into operation</w:t>
      </w:r>
      <w:bookmarkEnd w:id="1023"/>
      <w:bookmarkEnd w:id="1024"/>
      <w:bookmarkEnd w:id="1025"/>
      <w:bookmarkEnd w:id="1026"/>
      <w:bookmarkEnd w:id="102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320"/>
        <w:gridCol w:w="2400"/>
        <w:gridCol w:w="8"/>
      </w:tblGrid>
      <w:tr>
        <w:tc>
          <w:tcPr>
            <w:tcW w:w="2280" w:type="dxa"/>
            <w:tcBorders>
              <w:bottom w:val="single" w:sz="4" w:space="0" w:color="auto"/>
            </w:tcBorders>
          </w:tcPr>
          <w:p>
            <w:pPr>
              <w:pStyle w:val="nTable"/>
              <w:rPr>
                <w:b/>
                <w:snapToGrid w:val="0"/>
                <w:sz w:val="19"/>
                <w:lang w:val="en-US"/>
              </w:rPr>
            </w:pPr>
            <w:r>
              <w:rPr>
                <w:b/>
                <w:snapToGrid w:val="0"/>
                <w:sz w:val="19"/>
                <w:lang w:val="en-US"/>
              </w:rPr>
              <w:t>Short title</w:t>
            </w:r>
          </w:p>
        </w:tc>
        <w:tc>
          <w:tcPr>
            <w:tcW w:w="1080" w:type="dxa"/>
            <w:tcBorders>
              <w:bottom w:val="single" w:sz="4" w:space="0" w:color="auto"/>
            </w:tcBorders>
          </w:tcPr>
          <w:p>
            <w:pPr>
              <w:pStyle w:val="nTable"/>
              <w:rPr>
                <w:b/>
                <w:snapToGrid w:val="0"/>
                <w:sz w:val="19"/>
                <w:lang w:val="en-US"/>
              </w:rPr>
            </w:pPr>
            <w:r>
              <w:rPr>
                <w:b/>
                <w:snapToGrid w:val="0"/>
                <w:sz w:val="19"/>
                <w:lang w:val="en-US"/>
              </w:rPr>
              <w:t>Number and year</w:t>
            </w:r>
          </w:p>
        </w:tc>
        <w:tc>
          <w:tcPr>
            <w:tcW w:w="1320" w:type="dxa"/>
            <w:tcBorders>
              <w:bottom w:val="single" w:sz="4" w:space="0" w:color="auto"/>
            </w:tcBorders>
          </w:tcPr>
          <w:p>
            <w:pPr>
              <w:pStyle w:val="nTable"/>
              <w:rPr>
                <w:b/>
                <w:snapToGrid w:val="0"/>
                <w:sz w:val="19"/>
                <w:lang w:val="en-US"/>
              </w:rPr>
            </w:pPr>
            <w:r>
              <w:rPr>
                <w:b/>
                <w:snapToGrid w:val="0"/>
                <w:sz w:val="19"/>
                <w:lang w:val="en-US"/>
              </w:rPr>
              <w:t>Assent</w:t>
            </w:r>
          </w:p>
        </w:tc>
        <w:tc>
          <w:tcPr>
            <w:tcW w:w="2408" w:type="dxa"/>
            <w:gridSpan w:val="2"/>
            <w:tcBorders>
              <w:bottom w:val="single" w:sz="4" w:space="0" w:color="auto"/>
            </w:tcBorders>
          </w:tcPr>
          <w:p>
            <w:pPr>
              <w:pStyle w:val="nTable"/>
              <w:rPr>
                <w:b/>
                <w:snapToGrid w:val="0"/>
                <w:sz w:val="19"/>
                <w:lang w:val="en-US"/>
              </w:rPr>
            </w:pPr>
            <w:r>
              <w:rPr>
                <w:b/>
                <w:snapToGrid w:val="0"/>
                <w:sz w:val="19"/>
                <w:lang w:val="en-US"/>
              </w:rPr>
              <w:t>Commencement</w:t>
            </w:r>
          </w:p>
        </w:tc>
      </w:tr>
      <w:tr>
        <w:tc>
          <w:tcPr>
            <w:tcW w:w="2280" w:type="dxa"/>
            <w:tcBorders>
              <w:top w:val="single" w:sz="4" w:space="0" w:color="auto"/>
              <w:bottom w:val="nil"/>
            </w:tcBorders>
          </w:tcPr>
          <w:p>
            <w:pPr>
              <w:pStyle w:val="nTable"/>
              <w:spacing w:before="10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2</w:t>
            </w:r>
          </w:p>
        </w:tc>
        <w:tc>
          <w:tcPr>
            <w:tcW w:w="1080" w:type="dxa"/>
            <w:tcBorders>
              <w:top w:val="single" w:sz="4" w:space="0" w:color="auto"/>
              <w:bottom w:val="nil"/>
            </w:tcBorders>
          </w:tcPr>
          <w:p>
            <w:pPr>
              <w:pStyle w:val="nTable"/>
              <w:spacing w:before="100"/>
              <w:rPr>
                <w:sz w:val="19"/>
              </w:rPr>
            </w:pPr>
            <w:r>
              <w:rPr>
                <w:sz w:val="19"/>
              </w:rPr>
              <w:t>72 of 2004</w:t>
            </w:r>
            <w:ins w:id="1028" w:author="svcMRProcess" w:date="2018-08-22T00:45:00Z">
              <w:r>
                <w:rPr>
                  <w:sz w:val="19"/>
                </w:rPr>
                <w:t xml:space="preserve"> (as amended by No. 29 of 2008 s. 25(4))</w:t>
              </w:r>
            </w:ins>
          </w:p>
        </w:tc>
        <w:tc>
          <w:tcPr>
            <w:tcW w:w="1320" w:type="dxa"/>
            <w:tcBorders>
              <w:top w:val="single" w:sz="4" w:space="0" w:color="auto"/>
              <w:bottom w:val="nil"/>
            </w:tcBorders>
          </w:tcPr>
          <w:p>
            <w:pPr>
              <w:pStyle w:val="nTable"/>
              <w:spacing w:before="100"/>
              <w:rPr>
                <w:sz w:val="19"/>
              </w:rPr>
            </w:pPr>
            <w:r>
              <w:rPr>
                <w:sz w:val="19"/>
              </w:rPr>
              <w:t>8 Dec 2004</w:t>
            </w:r>
          </w:p>
        </w:tc>
        <w:tc>
          <w:tcPr>
            <w:tcW w:w="2408" w:type="dxa"/>
            <w:gridSpan w:val="2"/>
            <w:tcBorders>
              <w:top w:val="single" w:sz="4" w:space="0" w:color="auto"/>
              <w:bottom w:val="nil"/>
            </w:tcBorders>
          </w:tcPr>
          <w:p>
            <w:pPr>
              <w:pStyle w:val="nTable"/>
              <w:spacing w:before="100"/>
              <w:rPr>
                <w:snapToGrid w:val="0"/>
                <w:sz w:val="19"/>
                <w:lang w:val="en-US"/>
              </w:rPr>
            </w:pPr>
            <w:r>
              <w:rPr>
                <w:snapToGrid w:val="0"/>
                <w:sz w:val="19"/>
                <w:lang w:val="en-US"/>
              </w:rPr>
              <w:t>s. 12 and Sch. 3: to be proclaimed</w:t>
            </w:r>
          </w:p>
        </w:tc>
      </w:tr>
      <w:tr>
        <w:tc>
          <w:tcPr>
            <w:tcW w:w="2280" w:type="dxa"/>
            <w:tcBorders>
              <w:top w:val="nil"/>
              <w:bottom w:val="nil"/>
            </w:tcBorders>
          </w:tcPr>
          <w:p>
            <w:pPr>
              <w:pStyle w:val="nTable"/>
              <w:spacing w:before="100"/>
              <w:rPr>
                <w:iCs/>
                <w:snapToGrid w:val="0"/>
                <w:sz w:val="19"/>
              </w:rPr>
            </w:pPr>
            <w:r>
              <w:rPr>
                <w:i/>
                <w:snapToGrid w:val="0"/>
                <w:sz w:val="19"/>
              </w:rPr>
              <w:t>Acts Amendment (Justice) Act 2008</w:t>
            </w:r>
            <w:r>
              <w:rPr>
                <w:iCs/>
                <w:snapToGrid w:val="0"/>
                <w:sz w:val="19"/>
              </w:rPr>
              <w:t xml:space="preserve"> s. 127 </w:t>
            </w:r>
            <w:r>
              <w:rPr>
                <w:iCs/>
                <w:snapToGrid w:val="0"/>
                <w:sz w:val="19"/>
                <w:vertAlign w:val="superscript"/>
              </w:rPr>
              <w:t>4</w:t>
            </w:r>
          </w:p>
        </w:tc>
        <w:tc>
          <w:tcPr>
            <w:tcW w:w="1080" w:type="dxa"/>
            <w:tcBorders>
              <w:top w:val="nil"/>
              <w:bottom w:val="nil"/>
            </w:tcBorders>
          </w:tcPr>
          <w:p>
            <w:pPr>
              <w:pStyle w:val="nTable"/>
              <w:spacing w:before="100"/>
              <w:rPr>
                <w:sz w:val="19"/>
              </w:rPr>
            </w:pPr>
            <w:r>
              <w:rPr>
                <w:sz w:val="19"/>
              </w:rPr>
              <w:t>5 of 2008</w:t>
            </w:r>
          </w:p>
        </w:tc>
        <w:tc>
          <w:tcPr>
            <w:tcW w:w="1320" w:type="dxa"/>
            <w:tcBorders>
              <w:top w:val="nil"/>
              <w:bottom w:val="nil"/>
            </w:tcBorders>
          </w:tcPr>
          <w:p>
            <w:pPr>
              <w:pStyle w:val="nTable"/>
              <w:spacing w:before="100"/>
              <w:rPr>
                <w:sz w:val="19"/>
              </w:rPr>
            </w:pPr>
            <w:r>
              <w:rPr>
                <w:sz w:val="19"/>
              </w:rPr>
              <w:t>31 Mar 2008</w:t>
            </w:r>
          </w:p>
        </w:tc>
        <w:tc>
          <w:tcPr>
            <w:tcW w:w="2408" w:type="dxa"/>
            <w:gridSpan w:val="2"/>
            <w:tcBorders>
              <w:top w:val="nil"/>
              <w:bottom w:val="nil"/>
            </w:tcBorders>
          </w:tcPr>
          <w:p>
            <w:pPr>
              <w:pStyle w:val="nTable"/>
              <w:spacing w:before="10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bookmarkStart w:id="1029" w:name="UpToHere"/>
            <w:bookmarkEnd w:id="1029"/>
          </w:p>
        </w:tc>
      </w:tr>
      <w:tr>
        <w:tc>
          <w:tcPr>
            <w:tcW w:w="2280" w:type="dxa"/>
            <w:tcBorders>
              <w:top w:val="nil"/>
              <w:bottom w:val="single" w:sz="4" w:space="0" w:color="auto"/>
            </w:tcBorders>
          </w:tcPr>
          <w:p>
            <w:pPr>
              <w:pStyle w:val="nTable"/>
              <w:spacing w:before="10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080" w:type="dxa"/>
            <w:tcBorders>
              <w:top w:val="nil"/>
              <w:bottom w:val="single" w:sz="4" w:space="0" w:color="auto"/>
            </w:tcBorders>
          </w:tcPr>
          <w:p>
            <w:pPr>
              <w:pStyle w:val="nTable"/>
              <w:spacing w:before="100"/>
              <w:rPr>
                <w:sz w:val="19"/>
              </w:rPr>
            </w:pPr>
            <w:r>
              <w:rPr>
                <w:sz w:val="19"/>
              </w:rPr>
              <w:t>13 of 2008</w:t>
            </w:r>
          </w:p>
        </w:tc>
        <w:tc>
          <w:tcPr>
            <w:tcW w:w="1320" w:type="dxa"/>
            <w:tcBorders>
              <w:top w:val="nil"/>
              <w:bottom w:val="single" w:sz="4" w:space="0" w:color="auto"/>
            </w:tcBorders>
          </w:tcPr>
          <w:p>
            <w:pPr>
              <w:pStyle w:val="nTable"/>
              <w:spacing w:before="100"/>
              <w:rPr>
                <w:sz w:val="19"/>
              </w:rPr>
            </w:pPr>
            <w:r>
              <w:rPr>
                <w:sz w:val="19"/>
              </w:rPr>
              <w:t>14 Apr 2008</w:t>
            </w:r>
          </w:p>
        </w:tc>
        <w:tc>
          <w:tcPr>
            <w:tcW w:w="2408" w:type="dxa"/>
            <w:gridSpan w:val="2"/>
            <w:tcBorders>
              <w:top w:val="nil"/>
              <w:bottom w:val="single" w:sz="4" w:space="0" w:color="auto"/>
            </w:tcBorders>
          </w:tcPr>
          <w:p>
            <w:pPr>
              <w:pStyle w:val="nTable"/>
              <w:spacing w:before="100"/>
              <w:rPr>
                <w:snapToGrid w:val="0"/>
                <w:sz w:val="19"/>
                <w:lang w:val="en-US"/>
              </w:rPr>
            </w:pPr>
            <w:r>
              <w:rPr>
                <w:snapToGrid w:val="0"/>
                <w:sz w:val="19"/>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 w:type="dxa"/>
          <w:del w:id="1030" w:author="svcMRProcess" w:date="2018-08-22T00:45:00Z"/>
        </w:trPr>
        <w:tc>
          <w:tcPr>
            <w:tcW w:w="2280" w:type="dxa"/>
            <w:tcBorders>
              <w:top w:val="nil"/>
              <w:bottom w:val="single" w:sz="4" w:space="0" w:color="auto"/>
            </w:tcBorders>
          </w:tcPr>
          <w:p>
            <w:pPr>
              <w:pStyle w:val="nTable"/>
              <w:spacing w:after="40"/>
              <w:rPr>
                <w:del w:id="1031" w:author="svcMRProcess" w:date="2018-08-22T00:45:00Z"/>
                <w:iCs/>
                <w:snapToGrid w:val="0"/>
                <w:vertAlign w:val="superscript"/>
              </w:rPr>
            </w:pPr>
            <w:del w:id="1032" w:author="svcMRProcess" w:date="2018-08-22T00:45:00Z">
              <w:r>
                <w:rPr>
                  <w:i/>
                  <w:snapToGrid w:val="0"/>
                </w:rPr>
                <w:delText xml:space="preserve">Criminal Law Amendment (Homicide) Act 2008 </w:delText>
              </w:r>
              <w:r>
                <w:rPr>
                  <w:iCs/>
                  <w:snapToGrid w:val="0"/>
                </w:rPr>
                <w:delText>s. 25 </w:delText>
              </w:r>
              <w:r>
                <w:rPr>
                  <w:iCs/>
                  <w:snapToGrid w:val="0"/>
                  <w:vertAlign w:val="superscript"/>
                </w:rPr>
                <w:delText>6</w:delText>
              </w:r>
            </w:del>
          </w:p>
        </w:tc>
        <w:tc>
          <w:tcPr>
            <w:tcW w:w="1080" w:type="dxa"/>
            <w:tcBorders>
              <w:top w:val="nil"/>
              <w:bottom w:val="single" w:sz="4" w:space="0" w:color="auto"/>
            </w:tcBorders>
          </w:tcPr>
          <w:p>
            <w:pPr>
              <w:pStyle w:val="nTable"/>
              <w:spacing w:after="40"/>
              <w:rPr>
                <w:del w:id="1033" w:author="svcMRProcess" w:date="2018-08-22T00:45:00Z"/>
                <w:sz w:val="19"/>
              </w:rPr>
            </w:pPr>
            <w:del w:id="1034" w:author="svcMRProcess" w:date="2018-08-22T00:45:00Z">
              <w:r>
                <w:rPr>
                  <w:sz w:val="19"/>
                </w:rPr>
                <w:delText>29 of 2008</w:delText>
              </w:r>
            </w:del>
          </w:p>
        </w:tc>
        <w:tc>
          <w:tcPr>
            <w:tcW w:w="1320" w:type="dxa"/>
            <w:tcBorders>
              <w:top w:val="nil"/>
              <w:bottom w:val="single" w:sz="4" w:space="0" w:color="auto"/>
            </w:tcBorders>
          </w:tcPr>
          <w:p>
            <w:pPr>
              <w:pStyle w:val="nTable"/>
              <w:spacing w:after="40"/>
              <w:rPr>
                <w:del w:id="1035" w:author="svcMRProcess" w:date="2018-08-22T00:45:00Z"/>
                <w:sz w:val="19"/>
              </w:rPr>
            </w:pPr>
            <w:del w:id="1036" w:author="svcMRProcess" w:date="2018-08-22T00:45:00Z">
              <w:r>
                <w:rPr>
                  <w:sz w:val="19"/>
                </w:rPr>
                <w:delText>27 Jun 2008</w:delText>
              </w:r>
            </w:del>
          </w:p>
        </w:tc>
        <w:tc>
          <w:tcPr>
            <w:tcW w:w="2400" w:type="dxa"/>
            <w:tcBorders>
              <w:top w:val="nil"/>
              <w:bottom w:val="single" w:sz="4" w:space="0" w:color="auto"/>
            </w:tcBorders>
          </w:tcPr>
          <w:p>
            <w:pPr>
              <w:pStyle w:val="nTable"/>
              <w:spacing w:after="40"/>
              <w:rPr>
                <w:del w:id="1037" w:author="svcMRProcess" w:date="2018-08-22T00:45:00Z"/>
                <w:sz w:val="19"/>
              </w:rPr>
            </w:pPr>
            <w:del w:id="1038" w:author="svcMRProcess" w:date="2018-08-22T00:45:00Z">
              <w:r>
                <w:rPr>
                  <w:sz w:val="19"/>
                </w:rPr>
                <w:delText>To be proclaimed (see s. 2)</w:delText>
              </w:r>
            </w:del>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s. 12 and Sch. 3 had not come into operation.  They read as follows:</w:t>
      </w:r>
    </w:p>
    <w:p>
      <w:pPr>
        <w:pStyle w:val="MiscOpen"/>
        <w:rPr>
          <w:snapToGrid w:val="0"/>
        </w:rPr>
      </w:pPr>
      <w:r>
        <w:rPr>
          <w:snapToGrid w:val="0"/>
        </w:rPr>
        <w:t>“</w:t>
      </w:r>
    </w:p>
    <w:p>
      <w:pPr>
        <w:pStyle w:val="nzHeading5"/>
      </w:pPr>
      <w:bookmarkStart w:id="1039" w:name="_Toc82513231"/>
      <w:bookmarkStart w:id="1040" w:name="_Toc89512630"/>
      <w:r>
        <w:rPr>
          <w:rStyle w:val="CharSectno"/>
        </w:rPr>
        <w:t>12</w:t>
      </w:r>
      <w:r>
        <w:t>.</w:t>
      </w:r>
      <w:r>
        <w:tab/>
        <w:t>Class 3 offences</w:t>
      </w:r>
      <w:bookmarkEnd w:id="1039"/>
      <w:bookmarkEnd w:id="1040"/>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pPr>
      <w:bookmarkStart w:id="1041" w:name="_Toc82513360"/>
      <w:bookmarkStart w:id="1042" w:name="_Toc89512737"/>
      <w:r>
        <w:rPr>
          <w:rStyle w:val="CharSchNo"/>
        </w:rPr>
        <w:t>Schedule 3</w:t>
      </w:r>
      <w:r>
        <w:t> — </w:t>
      </w:r>
      <w:r>
        <w:rPr>
          <w:rStyle w:val="CharSchText"/>
        </w:rPr>
        <w:t>Class 3 offences</w:t>
      </w:r>
      <w:bookmarkEnd w:id="1041"/>
      <w:bookmarkEnd w:id="1042"/>
    </w:p>
    <w:p>
      <w:pPr>
        <w:pStyle w:val="nzMiscellaneousBody"/>
        <w:spacing w:after="40"/>
        <w:jc w:val="right"/>
      </w:pPr>
      <w:r>
        <w:t>[s. 12]</w:t>
      </w:r>
    </w:p>
    <w:p>
      <w:pPr>
        <w:pStyle w:val="nzMiscellaneousHeading"/>
        <w:rPr>
          <w:b/>
          <w:bCs/>
        </w:rPr>
      </w:pP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del w:id="1043" w:author="svcMRProcess" w:date="2018-08-22T00:45:00Z">
              <w:r>
                <w:delText>(as read with s. 282)</w:delText>
              </w:r>
            </w:del>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ns w:id="1044" w:author="svcMRProcess" w:date="2018-08-22T00:45:00Z"/>
          <w:i/>
          <w:iCs/>
          <w:sz w:val="20"/>
        </w:rPr>
      </w:pPr>
      <w:ins w:id="1045" w:author="svcMRProcess" w:date="2018-08-22T00:45:00Z">
        <w:r>
          <w:rPr>
            <w:i/>
            <w:iCs/>
            <w:sz w:val="20"/>
          </w:rPr>
          <w:t>[Schedule 3 amended by No. 29 of 2008 s. 25(4).]</w:t>
        </w:r>
      </w:ins>
    </w:p>
    <w:p>
      <w:pPr>
        <w:pStyle w:val="MiscClose"/>
      </w:pPr>
      <w:r>
        <w:t>”.</w:t>
      </w:r>
    </w:p>
    <w:p>
      <w:pPr>
        <w:pStyle w:val="nSubsection"/>
        <w:keepLines/>
        <w:rPr>
          <w:snapToGrid w:val="0"/>
        </w:rPr>
      </w:pPr>
      <w:r>
        <w:rPr>
          <w:snapToGrid w:val="0"/>
          <w:vertAlign w:val="superscript"/>
        </w:rPr>
        <w:t>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127 had not come into operation.  It reads as follows:</w:t>
      </w:r>
    </w:p>
    <w:p>
      <w:pPr>
        <w:pStyle w:val="MiscOpen"/>
      </w:pPr>
      <w:r>
        <w:t>“</w:t>
      </w:r>
    </w:p>
    <w:p>
      <w:pPr>
        <w:pStyle w:val="nzHeading5"/>
      </w:pPr>
      <w:bookmarkStart w:id="1046" w:name="_Toc178416290"/>
      <w:bookmarkStart w:id="1047" w:name="_Toc194814466"/>
      <w:r>
        <w:rPr>
          <w:rStyle w:val="CharSectno"/>
        </w:rPr>
        <w:t>127</w:t>
      </w:r>
      <w:r>
        <w:t>.</w:t>
      </w:r>
      <w:r>
        <w:tab/>
      </w:r>
      <w:r>
        <w:rPr>
          <w:i/>
        </w:rPr>
        <w:t>Community Protection (Offender Reporting) Act 2004</w:t>
      </w:r>
      <w:r>
        <w:t xml:space="preserve"> amended</w:t>
      </w:r>
      <w:bookmarkEnd w:id="1046"/>
      <w:bookmarkEnd w:id="1047"/>
    </w:p>
    <w:p>
      <w:pPr>
        <w:pStyle w:val="nzSubsection"/>
      </w:pPr>
      <w:r>
        <w:tab/>
        <w:t>(1)</w:t>
      </w:r>
      <w:r>
        <w:tab/>
        <w:t xml:space="preserve">The amendments in this section are to the </w:t>
      </w:r>
      <w:r>
        <w:rPr>
          <w:i/>
        </w:rPr>
        <w:t>Community Protection (Offender Reporting) Act 2004</w:t>
      </w:r>
      <w:r>
        <w:t>.</w:t>
      </w:r>
    </w:p>
    <w:p>
      <w:pPr>
        <w:pStyle w:val="nzSubsection"/>
      </w:pPr>
      <w:r>
        <w:tab/>
        <w:t>(2)</w:t>
      </w:r>
      <w:r>
        <w:tab/>
        <w:t xml:space="preserve">Section 22(2) is amended by deleting “Full Court” and inserting instead — </w:t>
      </w:r>
    </w:p>
    <w:p>
      <w:pPr>
        <w:pStyle w:val="nzSubsection"/>
      </w:pPr>
      <w:r>
        <w:tab/>
      </w:r>
      <w:r>
        <w:tab/>
        <w:t>“    Court of Appeal    ”.</w:t>
      </w:r>
    </w:p>
    <w:p>
      <w:pPr>
        <w:pStyle w:val="nzSubsection"/>
      </w:pPr>
      <w:r>
        <w:tab/>
        <w:t>(3)</w:t>
      </w:r>
      <w:r>
        <w:tab/>
        <w:t xml:space="preserve">Section 102(2) is amended by deleting “Full Court” and inserting instead — </w:t>
      </w:r>
    </w:p>
    <w:p>
      <w:pPr>
        <w:pStyle w:val="nzSubsection"/>
      </w:pPr>
      <w:r>
        <w:tab/>
      </w:r>
      <w:r>
        <w:tab/>
        <w:t>“    Court of Appeal    ”.</w:t>
      </w:r>
    </w:p>
    <w:p>
      <w:pPr>
        <w:pStyle w:val="MiscClose"/>
      </w:pPr>
      <w:r>
        <w:t>”.</w:t>
      </w:r>
    </w:p>
    <w:p>
      <w:pPr>
        <w:pStyle w:val="nSubsection"/>
        <w:keepLines/>
        <w:rPr>
          <w:snapToGrid w:val="0"/>
        </w:rPr>
      </w:pPr>
      <w:bookmarkStart w:id="1048" w:name="_Toc161123084"/>
      <w:bookmarkStart w:id="1049" w:name="_Toc161123945"/>
      <w:bookmarkStart w:id="1050" w:name="_Toc161124510"/>
      <w:bookmarkStart w:id="1051" w:name="_Toc161125002"/>
      <w:bookmarkStart w:id="1052" w:name="_Toc161125105"/>
      <w:bookmarkStart w:id="1053" w:name="_Toc161125144"/>
      <w:bookmarkStart w:id="1054" w:name="_Toc161126025"/>
      <w:bookmarkStart w:id="1055" w:name="_Toc161128009"/>
      <w:bookmarkStart w:id="1056" w:name="_Toc161131375"/>
      <w:bookmarkStart w:id="1057" w:name="_Toc161133937"/>
      <w:bookmarkStart w:id="1058" w:name="_Toc166475205"/>
      <w:bookmarkStart w:id="1059" w:name="_Toc166475271"/>
      <w:bookmarkStart w:id="1060" w:name="_Toc166477767"/>
      <w:bookmarkStart w:id="1061" w:name="_Toc166478883"/>
      <w:bookmarkStart w:id="1062" w:name="_Toc166480429"/>
      <w:bookmarkStart w:id="1063" w:name="_Toc170718376"/>
      <w:bookmarkStart w:id="1064" w:name="_Toc170718504"/>
      <w:bookmarkStart w:id="1065" w:name="_Toc170720457"/>
      <w:bookmarkStart w:id="1066" w:name="_Toc170720749"/>
      <w:bookmarkStart w:id="1067" w:name="_Toc170783768"/>
      <w:bookmarkStart w:id="1068" w:name="_Toc170784233"/>
      <w:bookmarkStart w:id="1069" w:name="_Toc170785116"/>
      <w:bookmarkStart w:id="1070" w:name="_Toc170787572"/>
      <w:bookmarkStart w:id="1071" w:name="_Toc170788397"/>
      <w:bookmarkStart w:id="1072" w:name="_Toc170789315"/>
      <w:bookmarkStart w:id="1073" w:name="_Toc170789654"/>
      <w:bookmarkStart w:id="1074" w:name="_Toc170789769"/>
      <w:bookmarkStart w:id="1075" w:name="_Toc170789856"/>
      <w:bookmarkStart w:id="1076" w:name="_Toc170867413"/>
      <w:bookmarkStart w:id="1077" w:name="_Toc170867974"/>
      <w:bookmarkStart w:id="1078" w:name="_Toc170868250"/>
      <w:bookmarkStart w:id="1079" w:name="_Toc170868563"/>
      <w:bookmarkStart w:id="1080" w:name="_Toc170868829"/>
      <w:bookmarkStart w:id="1081" w:name="_Toc170869005"/>
      <w:bookmarkStart w:id="1082" w:name="_Toc170869557"/>
      <w:bookmarkStart w:id="1083" w:name="_Toc170869653"/>
      <w:bookmarkStart w:id="1084" w:name="_Toc170869790"/>
      <w:bookmarkStart w:id="1085" w:name="_Toc170870356"/>
      <w:bookmarkStart w:id="1086" w:name="_Toc170870789"/>
      <w:bookmarkStart w:id="1087" w:name="_Toc170870949"/>
      <w:bookmarkStart w:id="1088" w:name="_Toc170871923"/>
      <w:bookmarkStart w:id="1089" w:name="_Toc170872140"/>
      <w:bookmarkStart w:id="1090" w:name="_Toc170872337"/>
      <w:bookmarkStart w:id="1091" w:name="_Toc170872635"/>
      <w:bookmarkStart w:id="1092" w:name="_Toc170872896"/>
      <w:bookmarkStart w:id="1093" w:name="_Toc170873016"/>
      <w:bookmarkStart w:id="1094" w:name="_Toc170873499"/>
      <w:bookmarkStart w:id="1095" w:name="_Toc171125247"/>
      <w:bookmarkStart w:id="1096" w:name="_Toc171131228"/>
      <w:bookmarkStart w:id="1097" w:name="_Toc171131395"/>
      <w:bookmarkStart w:id="1098" w:name="_Toc171132092"/>
      <w:bookmarkStart w:id="1099" w:name="_Toc171319543"/>
      <w:bookmarkStart w:id="1100" w:name="_Toc171320253"/>
      <w:bookmarkStart w:id="1101" w:name="_Toc171398212"/>
      <w:bookmarkStart w:id="1102" w:name="_Toc171406180"/>
      <w:bookmarkStart w:id="1103" w:name="_Toc171406267"/>
      <w:bookmarkStart w:id="1104" w:name="_Toc171406354"/>
      <w:bookmarkStart w:id="1105" w:name="_Toc171406441"/>
      <w:bookmarkStart w:id="1106" w:name="_Toc171407336"/>
      <w:bookmarkStart w:id="1107" w:name="_Toc171407423"/>
      <w:bookmarkStart w:id="1108" w:name="_Toc171418629"/>
      <w:bookmarkStart w:id="1109" w:name="_Toc171476676"/>
      <w:bookmarkStart w:id="1110" w:name="_Toc171477230"/>
      <w:bookmarkStart w:id="1111" w:name="_Toc171477317"/>
      <w:bookmarkStart w:id="1112" w:name="_Toc171477909"/>
      <w:bookmarkStart w:id="1113" w:name="_Toc172949597"/>
      <w:bookmarkStart w:id="1114" w:name="_Toc172967043"/>
      <w:bookmarkStart w:id="1115" w:name="_Toc173031844"/>
      <w:bookmarkStart w:id="1116" w:name="_Toc173032314"/>
      <w:bookmarkStart w:id="1117" w:name="_Toc173032804"/>
      <w:bookmarkStart w:id="1118" w:name="_Toc173034311"/>
      <w:bookmarkStart w:id="1119" w:name="_Toc173035024"/>
      <w:bookmarkStart w:id="1120" w:name="_Toc173036084"/>
      <w:bookmarkStart w:id="1121" w:name="_Toc173036337"/>
      <w:bookmarkStart w:id="1122" w:name="_Toc173036468"/>
      <w:bookmarkStart w:id="1123" w:name="_Toc173036648"/>
      <w:bookmarkStart w:id="1124" w:name="_Toc173051024"/>
      <w:bookmarkStart w:id="1125" w:name="_Toc173051948"/>
      <w:bookmarkStart w:id="1126" w:name="_Toc173052041"/>
      <w:bookmarkStart w:id="1127" w:name="_Toc173052157"/>
      <w:bookmarkStart w:id="1128" w:name="_Toc173118695"/>
      <w:bookmarkStart w:id="1129" w:name="_Toc173119113"/>
      <w:bookmarkStart w:id="1130" w:name="_Toc173119722"/>
      <w:bookmarkStart w:id="1131" w:name="_Toc173119811"/>
      <w:bookmarkStart w:id="1132" w:name="_Toc173120050"/>
      <w:bookmarkStart w:id="1133" w:name="_Toc173226174"/>
      <w:bookmarkStart w:id="1134" w:name="_Toc173285845"/>
      <w:bookmarkStart w:id="1135" w:name="_Toc173286980"/>
      <w:bookmarkStart w:id="1136" w:name="_Toc173288061"/>
      <w:bookmarkStart w:id="1137" w:name="_Toc173289945"/>
      <w:bookmarkStart w:id="1138" w:name="_Toc173290080"/>
      <w:bookmarkStart w:id="1139" w:name="_Toc173291348"/>
      <w:bookmarkStart w:id="1140" w:name="_Toc173295160"/>
      <w:bookmarkStart w:id="1141" w:name="_Toc173297667"/>
      <w:bookmarkStart w:id="1142" w:name="_Toc173298320"/>
      <w:bookmarkStart w:id="1143" w:name="_Toc173301323"/>
      <w:bookmarkStart w:id="1144" w:name="_Toc173301412"/>
      <w:bookmarkStart w:id="1145" w:name="_Toc173304493"/>
      <w:bookmarkStart w:id="1146" w:name="_Toc173306866"/>
      <w:bookmarkStart w:id="1147" w:name="_Toc173307157"/>
      <w:bookmarkStart w:id="1148" w:name="_Toc173307529"/>
      <w:bookmarkStart w:id="1149" w:name="_Toc173307618"/>
      <w:bookmarkStart w:id="1150" w:name="_Toc173307707"/>
      <w:bookmarkStart w:id="1151" w:name="_Toc174769510"/>
      <w:bookmarkStart w:id="1152" w:name="_Toc174865867"/>
      <w:bookmarkStart w:id="1153" w:name="_Toc195072959"/>
      <w:bookmarkStart w:id="1154" w:name="_Toc195331591"/>
      <w:bookmarkStart w:id="1155" w:name="_Toc195343640"/>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pPr>
      <w:bookmarkStart w:id="1156" w:name="_Toc195343641"/>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Pr>
          <w:rStyle w:val="CharSectno"/>
        </w:rPr>
        <w:t>29</w:t>
      </w:r>
      <w:r>
        <w:t>.</w:t>
      </w:r>
      <w:r>
        <w:tab/>
      </w:r>
      <w:r>
        <w:rPr>
          <w:i/>
        </w:rPr>
        <w:t>Community Protection (Offender Reporting) Act </w:t>
      </w:r>
      <w:r>
        <w:rPr>
          <w:i/>
          <w:iCs/>
        </w:rPr>
        <w:t>2004</w:t>
      </w:r>
      <w:r>
        <w:t xml:space="preserve"> amended</w:t>
      </w:r>
      <w:bookmarkEnd w:id="1156"/>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MiscClose"/>
      </w:pPr>
      <w:r>
        <w:t>”.</w:t>
      </w:r>
    </w:p>
    <w:p>
      <w:pPr>
        <w:pStyle w:val="nSubsection"/>
        <w:keepLines/>
        <w:rPr>
          <w:del w:id="1157" w:author="svcMRProcess" w:date="2018-08-22T00:45:00Z"/>
          <w:snapToGrid w:val="0"/>
        </w:rPr>
      </w:pPr>
      <w:bookmarkStart w:id="1158" w:name="_Toc201727492"/>
      <w:bookmarkStart w:id="1159" w:name="_Toc202597969"/>
      <w:bookmarkStart w:id="1160" w:name="_Toc202685299"/>
      <w:del w:id="1161" w:author="svcMRProcess" w:date="2018-08-22T00:45:00Z">
        <w:r>
          <w:rPr>
            <w:snapToGrid w:val="0"/>
            <w:vertAlign w:val="superscript"/>
          </w:rPr>
          <w:delText>6</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Criminal Law Amendment (Homicide) Act 2008 </w:delText>
        </w:r>
        <w:r>
          <w:rPr>
            <w:iCs/>
            <w:snapToGrid w:val="0"/>
          </w:rPr>
          <w:delText xml:space="preserve">s. 25 </w:delText>
        </w:r>
        <w:r>
          <w:rPr>
            <w:snapToGrid w:val="0"/>
          </w:rPr>
          <w:delText>had not come into operation.  It reads as follows:</w:delText>
        </w:r>
      </w:del>
    </w:p>
    <w:p>
      <w:pPr>
        <w:pStyle w:val="MiscOpen"/>
        <w:rPr>
          <w:del w:id="1162" w:author="svcMRProcess" w:date="2018-08-22T00:45:00Z"/>
        </w:rPr>
      </w:pPr>
      <w:del w:id="1163" w:author="svcMRProcess" w:date="2018-08-22T00:45:00Z">
        <w:r>
          <w:delText>“</w:delText>
        </w:r>
      </w:del>
    </w:p>
    <w:p>
      <w:pPr>
        <w:pStyle w:val="nzHeading5"/>
        <w:rPr>
          <w:del w:id="1164" w:author="svcMRProcess" w:date="2018-08-22T00:45:00Z"/>
          <w:rStyle w:val="CharSectno"/>
        </w:rPr>
      </w:pPr>
    </w:p>
    <w:p>
      <w:pPr>
        <w:pStyle w:val="nzHeading5"/>
        <w:rPr>
          <w:del w:id="1165" w:author="svcMRProcess" w:date="2018-08-22T00:45:00Z"/>
        </w:rPr>
      </w:pPr>
      <w:del w:id="1166" w:author="svcMRProcess" w:date="2018-08-22T00:45:00Z">
        <w:r>
          <w:rPr>
            <w:rStyle w:val="CharSectno"/>
          </w:rPr>
          <w:delText>25</w:delText>
        </w:r>
        <w:r>
          <w:delText>.</w:delText>
        </w:r>
        <w:r>
          <w:tab/>
        </w:r>
        <w:r>
          <w:rPr>
            <w:i/>
          </w:rPr>
          <w:delText>Community Protection (Offender Reporting) Act 2004</w:delText>
        </w:r>
        <w:bookmarkEnd w:id="1158"/>
        <w:bookmarkEnd w:id="1159"/>
        <w:bookmarkEnd w:id="1160"/>
      </w:del>
    </w:p>
    <w:p>
      <w:pPr>
        <w:pStyle w:val="nzSubsection"/>
        <w:rPr>
          <w:del w:id="1167" w:author="svcMRProcess" w:date="2018-08-22T00:45:00Z"/>
        </w:rPr>
      </w:pPr>
      <w:del w:id="1168" w:author="svcMRProcess" w:date="2018-08-22T00:45:00Z">
        <w:r>
          <w:tab/>
          <w:delText>(1)</w:delText>
        </w:r>
        <w:r>
          <w:tab/>
          <w:delText xml:space="preserve">The amendments in this section are to the </w:delText>
        </w:r>
        <w:r>
          <w:rPr>
            <w:i/>
          </w:rPr>
          <w:delText>Community Protection (Offender Reporting) Act 2004</w:delText>
        </w:r>
        <w:r>
          <w:delText>.</w:delText>
        </w:r>
      </w:del>
    </w:p>
    <w:p>
      <w:pPr>
        <w:pStyle w:val="nzSubsection"/>
        <w:rPr>
          <w:del w:id="1169" w:author="svcMRProcess" w:date="2018-08-22T00:45:00Z"/>
        </w:rPr>
      </w:pPr>
      <w:del w:id="1170" w:author="svcMRProcess" w:date="2018-08-22T00:45:00Z">
        <w:r>
          <w:tab/>
          <w:delText>(2)</w:delText>
        </w:r>
        <w:r>
          <w:tab/>
          <w:delText xml:space="preserve">Schedule 1 is amended by deleting the entry relating to </w:delText>
        </w:r>
        <w:r>
          <w:rPr>
            <w:i/>
            <w:iCs/>
          </w:rPr>
          <w:delText xml:space="preserve">The Criminal Code </w:delText>
        </w:r>
        <w:r>
          <w:delText>section 278.</w:delText>
        </w:r>
      </w:del>
    </w:p>
    <w:p>
      <w:pPr>
        <w:pStyle w:val="nzSubsection"/>
        <w:rPr>
          <w:del w:id="1171" w:author="svcMRProcess" w:date="2018-08-22T00:45:00Z"/>
        </w:rPr>
      </w:pPr>
      <w:del w:id="1172" w:author="svcMRProcess" w:date="2018-08-22T00:45:00Z">
        <w:r>
          <w:tab/>
          <w:delText>(3)</w:delText>
        </w:r>
        <w:r>
          <w:tab/>
          <w:delText>Schedule 1 is amended as follows:</w:delText>
        </w:r>
      </w:del>
    </w:p>
    <w:p>
      <w:pPr>
        <w:pStyle w:val="nzIndenta"/>
        <w:rPr>
          <w:del w:id="1173" w:author="svcMRProcess" w:date="2018-08-22T00:45:00Z"/>
        </w:rPr>
      </w:pPr>
      <w:del w:id="1174" w:author="svcMRProcess" w:date="2018-08-22T00:45:00Z">
        <w:r>
          <w:tab/>
          <w:delText>(a)</w:delText>
        </w:r>
        <w:r>
          <w:tab/>
          <w:delText xml:space="preserve">in the entry relating to </w:delText>
        </w:r>
        <w:r>
          <w:rPr>
            <w:i/>
          </w:rPr>
          <w:delText>The Criminal Code</w:delText>
        </w:r>
        <w:r>
          <w:delText xml:space="preserve"> section 279, by deleting “(as read with s. 282)”;</w:delText>
        </w:r>
      </w:del>
    </w:p>
    <w:p>
      <w:pPr>
        <w:pStyle w:val="nzIndenta"/>
        <w:rPr>
          <w:del w:id="1175" w:author="svcMRProcess" w:date="2018-08-22T00:45:00Z"/>
        </w:rPr>
      </w:pPr>
      <w:del w:id="1176" w:author="svcMRProcess" w:date="2018-08-22T00:45:00Z">
        <w:r>
          <w:tab/>
          <w:delText>(b)</w:delText>
        </w:r>
        <w:r>
          <w:tab/>
          <w:delText xml:space="preserve">by deleting the entry relating to </w:delText>
        </w:r>
        <w:r>
          <w:rPr>
            <w:i/>
          </w:rPr>
          <w:delText>The Criminal Code</w:delText>
        </w:r>
        <w:r>
          <w:delText xml:space="preserve"> section 281A.</w:delText>
        </w:r>
      </w:del>
    </w:p>
    <w:p>
      <w:pPr>
        <w:pStyle w:val="nzSubsection"/>
        <w:rPr>
          <w:del w:id="1177" w:author="svcMRProcess" w:date="2018-08-22T00:45:00Z"/>
        </w:rPr>
      </w:pPr>
      <w:del w:id="1178" w:author="svcMRProcess" w:date="2018-08-22T00:45:00Z">
        <w:r>
          <w:tab/>
          <w:delText>(4)</w:delText>
        </w:r>
        <w:r>
          <w:tab/>
          <w:delText xml:space="preserve">Schedule 3 is amended in the entry relating to </w:delText>
        </w:r>
        <w:r>
          <w:rPr>
            <w:i/>
          </w:rPr>
          <w:delText>The Criminal Code</w:delText>
        </w:r>
        <w:r>
          <w:delText xml:space="preserve"> section 279, by deleting “(as read with s. 282)”.</w:delText>
        </w:r>
      </w:del>
    </w:p>
    <w:p>
      <w:pPr>
        <w:pStyle w:val="MiscClose"/>
        <w:rPr>
          <w:del w:id="1179" w:author="svcMRProcess" w:date="2018-08-22T00:45:00Z"/>
        </w:rPr>
      </w:pPr>
      <w:del w:id="1180" w:author="svcMRProcess" w:date="2018-08-22T00:45:00Z">
        <w: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5CBB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EC89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8A2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A6469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0F87A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0C20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F891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E693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0AF6DA"/>
    <w:lvl w:ilvl="0">
      <w:start w:val="1"/>
      <w:numFmt w:val="decimal"/>
      <w:pStyle w:val="ListNumber"/>
      <w:lvlText w:val="%1."/>
      <w:lvlJc w:val="left"/>
      <w:pPr>
        <w:tabs>
          <w:tab w:val="num" w:pos="360"/>
        </w:tabs>
        <w:ind w:left="360" w:hanging="360"/>
      </w:pPr>
    </w:lvl>
  </w:abstractNum>
  <w:abstractNum w:abstractNumId="9">
    <w:nsid w:val="FFFFFF89"/>
    <w:multiLevelType w:val="singleLevel"/>
    <w:tmpl w:val="FE8CCF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A2816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7A2F3D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21631</Words>
  <Characters>104479</Characters>
  <Application>Microsoft Office Word</Application>
  <DocSecurity>0</DocSecurity>
  <Lines>2823</Lines>
  <Paragraphs>1519</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(Bills)</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vector>
  </TitlesOfParts>
  <Manager/>
  <Company/>
  <LinksUpToDate>false</LinksUpToDate>
  <CharactersWithSpaces>124591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00-h0-02 - 00-i0-04</dc:title>
  <dc:subject/>
  <dc:creator/>
  <cp:keywords/>
  <dc:description/>
  <cp:lastModifiedBy>svcMRProcess</cp:lastModifiedBy>
  <cp:revision>2</cp:revision>
  <cp:lastPrinted>2004-12-10T03:37:00Z</cp:lastPrinted>
  <dcterms:created xsi:type="dcterms:W3CDTF">2018-08-21T16:45:00Z</dcterms:created>
  <dcterms:modified xsi:type="dcterms:W3CDTF">2018-08-21T16:45:00Z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9275</vt:i4>
  </property>
  <property fmtid="{D5CDD505-2E9C-101B-9397-08002B2CF9AE}" pid="6" name="FromSuffix">
    <vt:lpwstr>00-h0-02</vt:lpwstr>
  </property>
  <property fmtid="{D5CDD505-2E9C-101B-9397-08002B2CF9AE}" pid="7" name="FromAsAtDate">
    <vt:lpwstr>11 Jul 2008</vt:lpwstr>
  </property>
  <property fmtid="{D5CDD505-2E9C-101B-9397-08002B2CF9AE}" pid="8" name="ToSuffix">
    <vt:lpwstr>00-i0-04</vt:lpwstr>
  </property>
  <property fmtid="{D5CDD505-2E9C-101B-9397-08002B2CF9AE}" pid="9" name="ToAsAtDate">
    <vt:lpwstr>01 Aug 2008</vt:lpwstr>
  </property>
</Properties>
</file>