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Home Building Contracts Act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Home Building Contracts Act 1991</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_Toc103066981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_Toc103066982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_Toc103066983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Home building work contracts</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Contracts to be in writing and statutory notice to be given</w:t>
      </w:r>
      <w:r>
        <w:rPr>
          <w:noProof/>
        </w:rPr>
        <w:tab/>
      </w:r>
      <w:r>
        <w:rPr>
          <w:noProof/>
        </w:rPr>
        <w:fldChar w:fldCharType="begin"/>
      </w:r>
      <w:r>
        <w:rPr>
          <w:noProof/>
        </w:rPr>
        <w:instrText xml:space="preserve"> PAGEREF _Toc103066985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Owner to be given copy of contract</w:t>
      </w:r>
      <w:r>
        <w:rPr>
          <w:noProof/>
        </w:rPr>
        <w:tab/>
      </w:r>
      <w:r>
        <w:rPr>
          <w:noProof/>
        </w:rPr>
        <w:fldChar w:fldCharType="begin"/>
      </w:r>
      <w:r>
        <w:rPr>
          <w:noProof/>
        </w:rPr>
        <w:instrText xml:space="preserve"> PAGEREF _Toc103066986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Proof of receipt of documents</w:t>
      </w:r>
      <w:r>
        <w:rPr>
          <w:noProof/>
        </w:rPr>
        <w:tab/>
      </w:r>
      <w:r>
        <w:rPr>
          <w:noProof/>
        </w:rPr>
        <w:fldChar w:fldCharType="begin"/>
      </w:r>
      <w:r>
        <w:rPr>
          <w:noProof/>
        </w:rPr>
        <w:instrText xml:space="preserve"> PAGEREF _Toc103066987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Variation of contract</w:t>
      </w:r>
      <w:r>
        <w:rPr>
          <w:noProof/>
        </w:rPr>
        <w:tab/>
      </w:r>
      <w:r>
        <w:rPr>
          <w:noProof/>
        </w:rPr>
        <w:fldChar w:fldCharType="begin"/>
      </w:r>
      <w:r>
        <w:rPr>
          <w:noProof/>
        </w:rPr>
        <w:instrText xml:space="preserve"> PAGEREF _Toc103066988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Exceptions to section 7 and related provisions</w:t>
      </w:r>
      <w:r>
        <w:rPr>
          <w:noProof/>
        </w:rPr>
        <w:tab/>
      </w:r>
      <w:r>
        <w:rPr>
          <w:noProof/>
        </w:rPr>
        <w:fldChar w:fldCharType="begin"/>
      </w:r>
      <w:r>
        <w:rPr>
          <w:noProof/>
        </w:rPr>
        <w:instrText xml:space="preserve"> PAGEREF _Toc103066989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Implied conditions as to necessary approvals</w:t>
      </w:r>
      <w:r>
        <w:rPr>
          <w:noProof/>
        </w:rPr>
        <w:tab/>
      </w:r>
      <w:r>
        <w:rPr>
          <w:noProof/>
        </w:rPr>
        <w:fldChar w:fldCharType="begin"/>
      </w:r>
      <w:r>
        <w:rPr>
          <w:noProof/>
        </w:rPr>
        <w:instrText xml:space="preserve"> PAGEREF _Toc103066990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Deposits and progress payments</w:t>
      </w:r>
      <w:r>
        <w:rPr>
          <w:noProof/>
        </w:rPr>
        <w:tab/>
      </w:r>
      <w:r>
        <w:rPr>
          <w:noProof/>
        </w:rPr>
        <w:fldChar w:fldCharType="begin"/>
      </w:r>
      <w:r>
        <w:rPr>
          <w:noProof/>
        </w:rPr>
        <w:instrText xml:space="preserve"> PAGEREF _Toc103066991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Minimum defects liability period</w:t>
      </w:r>
      <w:r>
        <w:rPr>
          <w:noProof/>
        </w:rPr>
        <w:tab/>
      </w:r>
      <w:r>
        <w:rPr>
          <w:noProof/>
        </w:rPr>
        <w:fldChar w:fldCharType="begin"/>
      </w:r>
      <w:r>
        <w:rPr>
          <w:noProof/>
        </w:rPr>
        <w:instrText xml:space="preserve"> PAGEREF _Toc103066992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Understatement of prime cost items etc.</w:t>
      </w:r>
      <w:r>
        <w:rPr>
          <w:noProof/>
        </w:rPr>
        <w:tab/>
      </w:r>
      <w:r>
        <w:rPr>
          <w:noProof/>
        </w:rPr>
        <w:fldChar w:fldCharType="begin"/>
      </w:r>
      <w:r>
        <w:rPr>
          <w:noProof/>
        </w:rPr>
        <w:instrText xml:space="preserve"> PAGEREF _Toc103066993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Rise</w:t>
      </w:r>
      <w:r>
        <w:rPr>
          <w:noProof/>
          <w:snapToGrid w:val="0"/>
          <w:szCs w:val="24"/>
        </w:rPr>
        <w:noBreakHyphen/>
        <w:t>and</w:t>
      </w:r>
      <w:r>
        <w:rPr>
          <w:noProof/>
          <w:snapToGrid w:val="0"/>
          <w:szCs w:val="24"/>
        </w:rPr>
        <w:noBreakHyphen/>
        <w:t>fall clause prohibited</w:t>
      </w:r>
      <w:r>
        <w:rPr>
          <w:noProof/>
        </w:rPr>
        <w:tab/>
      </w:r>
      <w:r>
        <w:rPr>
          <w:noProof/>
        </w:rPr>
        <w:fldChar w:fldCharType="begin"/>
      </w:r>
      <w:r>
        <w:rPr>
          <w:noProof/>
        </w:rPr>
        <w:instrText xml:space="preserve"> PAGEREF _Toc103066994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Cost plus contracts</w:t>
      </w:r>
      <w:r>
        <w:rPr>
          <w:noProof/>
        </w:rPr>
        <w:tab/>
      </w:r>
      <w:r>
        <w:rPr>
          <w:noProof/>
        </w:rPr>
        <w:fldChar w:fldCharType="begin"/>
      </w:r>
      <w:r>
        <w:rPr>
          <w:noProof/>
        </w:rPr>
        <w:instrText xml:space="preserve"> PAGEREF _Toc103066995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Conduct or terms of contract that are unconscionable etc.</w:t>
      </w:r>
      <w:r>
        <w:rPr>
          <w:noProof/>
        </w:rPr>
        <w:tab/>
      </w:r>
      <w:r>
        <w:rPr>
          <w:noProof/>
        </w:rPr>
        <w:fldChar w:fldCharType="begin"/>
      </w:r>
      <w:r>
        <w:rPr>
          <w:noProof/>
        </w:rPr>
        <w:instrText xml:space="preserve"> PAGEREF _Toc103066996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15A.</w:t>
      </w:r>
      <w:r>
        <w:rPr>
          <w:noProof/>
          <w:sz w:val="24"/>
          <w:szCs w:val="24"/>
        </w:rPr>
        <w:tab/>
      </w:r>
      <w:r>
        <w:rPr>
          <w:noProof/>
          <w:szCs w:val="24"/>
        </w:rPr>
        <w:t>Misleading or deceptive conduct</w:t>
      </w:r>
      <w:r>
        <w:rPr>
          <w:noProof/>
        </w:rPr>
        <w:tab/>
      </w:r>
      <w:r>
        <w:rPr>
          <w:noProof/>
        </w:rPr>
        <w:fldChar w:fldCharType="begin"/>
      </w:r>
      <w:r>
        <w:rPr>
          <w:noProof/>
        </w:rPr>
        <w:instrText xml:space="preserve"> PAGEREF _Toc103066997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3 — Remedies</w:t>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Disputes Tribunal’s jurisdiction limited</w:t>
      </w:r>
      <w:r>
        <w:rPr>
          <w:noProof/>
        </w:rPr>
        <w:tab/>
      </w:r>
      <w:r>
        <w:rPr>
          <w:noProof/>
        </w:rPr>
        <w:fldChar w:fldCharType="begin"/>
      </w:r>
      <w:r>
        <w:rPr>
          <w:noProof/>
        </w:rPr>
        <w:instrText xml:space="preserve"> PAGEREF _Toc103066999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Applications for relief, and orders</w:t>
      </w:r>
      <w:r>
        <w:rPr>
          <w:noProof/>
        </w:rPr>
        <w:tab/>
      </w:r>
      <w:r>
        <w:rPr>
          <w:noProof/>
        </w:rPr>
        <w:fldChar w:fldCharType="begin"/>
      </w:r>
      <w:r>
        <w:rPr>
          <w:noProof/>
        </w:rPr>
        <w:instrText xml:space="preserve"> PAGEREF _Toc103067000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Orders for payment while case pending</w:t>
      </w:r>
      <w:r>
        <w:rPr>
          <w:noProof/>
        </w:rPr>
        <w:tab/>
      </w:r>
      <w:r>
        <w:rPr>
          <w:noProof/>
        </w:rPr>
        <w:fldChar w:fldCharType="begin"/>
      </w:r>
      <w:r>
        <w:rPr>
          <w:noProof/>
        </w:rPr>
        <w:instrText xml:space="preserve"> PAGEREF _Toc103067001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How contract terminated</w:t>
      </w:r>
      <w:r>
        <w:rPr>
          <w:noProof/>
        </w:rPr>
        <w:tab/>
      </w:r>
      <w:r>
        <w:rPr>
          <w:noProof/>
        </w:rPr>
        <w:fldChar w:fldCharType="begin"/>
      </w:r>
      <w:r>
        <w:rPr>
          <w:noProof/>
        </w:rPr>
        <w:instrText xml:space="preserve"> PAGEREF _Toc103067002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Adjustment of rights in certain cases</w:t>
      </w:r>
      <w:r>
        <w:rPr>
          <w:noProof/>
        </w:rPr>
        <w:tab/>
      </w:r>
      <w:r>
        <w:rPr>
          <w:noProof/>
        </w:rPr>
        <w:fldChar w:fldCharType="begin"/>
      </w:r>
      <w:r>
        <w:rPr>
          <w:noProof/>
        </w:rPr>
        <w:instrText xml:space="preserve"> PAGEREF _Toc103067003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Remedy for breach of section 15</w:t>
      </w:r>
      <w:r>
        <w:rPr>
          <w:noProof/>
        </w:rPr>
        <w:tab/>
      </w:r>
      <w:r>
        <w:rPr>
          <w:noProof/>
        </w:rPr>
        <w:fldChar w:fldCharType="begin"/>
      </w:r>
      <w:r>
        <w:rPr>
          <w:noProof/>
        </w:rPr>
        <w:instrText xml:space="preserve"> PAGEREF _Toc103067004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Avoidance of concurrent proceedings</w:t>
      </w:r>
      <w:r>
        <w:rPr>
          <w:noProof/>
        </w:rPr>
        <w:tab/>
      </w:r>
      <w:r>
        <w:rPr>
          <w:noProof/>
        </w:rPr>
        <w:fldChar w:fldCharType="begin"/>
      </w:r>
      <w:r>
        <w:rPr>
          <w:noProof/>
        </w:rPr>
        <w:instrText xml:space="preserve"> PAGEREF _Toc103067005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Transfer of proceedings</w:t>
      </w:r>
      <w:r>
        <w:rPr>
          <w:noProof/>
        </w:rPr>
        <w:tab/>
      </w:r>
      <w:r>
        <w:rPr>
          <w:noProof/>
        </w:rPr>
        <w:fldChar w:fldCharType="begin"/>
      </w:r>
      <w:r>
        <w:rPr>
          <w:noProof/>
        </w:rPr>
        <w:instrText xml:space="preserve"> PAGEREF _Toc103067006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Settlement</w:t>
      </w:r>
      <w:r>
        <w:rPr>
          <w:noProof/>
        </w:rPr>
        <w:tab/>
      </w:r>
      <w:r>
        <w:rPr>
          <w:noProof/>
        </w:rPr>
        <w:fldChar w:fldCharType="begin"/>
      </w:r>
      <w:r>
        <w:rPr>
          <w:noProof/>
        </w:rPr>
        <w:instrText xml:space="preserve"> PAGEREF _Toc103067007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30"/>
        </w:rPr>
        <w:t>Part 3A — Home indemnity insurance and corresponding cover</w:t>
      </w:r>
    </w:p>
    <w:p>
      <w:pPr>
        <w:pStyle w:val="TOC3"/>
        <w:rPr>
          <w:b w:val="0"/>
          <w:noProof/>
          <w:sz w:val="24"/>
          <w:szCs w:val="24"/>
        </w:rPr>
      </w:pPr>
      <w:r>
        <w:rPr>
          <w:noProof/>
          <w:szCs w:val="26"/>
        </w:rPr>
        <w:t>Division 1</w:t>
      </w:r>
      <w:r>
        <w:rPr>
          <w:noProof/>
          <w:snapToGrid w:val="0"/>
          <w:szCs w:val="26"/>
        </w:rPr>
        <w:t> — </w:t>
      </w:r>
      <w:r>
        <w:rPr>
          <w:noProof/>
          <w:szCs w:val="26"/>
        </w:rPr>
        <w:t>Introduction</w:t>
      </w:r>
    </w:p>
    <w:p>
      <w:pPr>
        <w:pStyle w:val="TOC4"/>
        <w:rPr>
          <w:noProof/>
          <w:sz w:val="24"/>
          <w:szCs w:val="24"/>
        </w:rPr>
      </w:pPr>
      <w:r>
        <w:rPr>
          <w:noProof/>
          <w:szCs w:val="24"/>
        </w:rPr>
        <w:t>25A</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_Toc103067010 \h </w:instrText>
      </w:r>
      <w:r>
        <w:rPr>
          <w:noProof/>
        </w:rPr>
      </w:r>
      <w:r>
        <w:rPr>
          <w:noProof/>
        </w:rPr>
        <w:fldChar w:fldCharType="separate"/>
      </w:r>
      <w:r>
        <w:rPr>
          <w:noProof/>
        </w:rPr>
        <w:t>25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Builders</w:t>
      </w:r>
    </w:p>
    <w:p>
      <w:pPr>
        <w:pStyle w:val="TOC4"/>
        <w:rPr>
          <w:noProof/>
          <w:sz w:val="24"/>
          <w:szCs w:val="24"/>
        </w:rPr>
      </w:pPr>
      <w:r>
        <w:rPr>
          <w:noProof/>
          <w:szCs w:val="24"/>
        </w:rPr>
        <w:t>25B</w:t>
      </w:r>
      <w:r>
        <w:rPr>
          <w:noProof/>
          <w:snapToGrid w:val="0"/>
          <w:szCs w:val="24"/>
        </w:rPr>
        <w:t xml:space="preserve">. </w:t>
      </w:r>
      <w:r>
        <w:rPr>
          <w:noProof/>
          <w:sz w:val="24"/>
          <w:szCs w:val="24"/>
        </w:rPr>
        <w:tab/>
      </w:r>
      <w:r>
        <w:rPr>
          <w:noProof/>
          <w:snapToGrid w:val="0"/>
          <w:szCs w:val="24"/>
        </w:rPr>
        <w:t>Application of this Division</w:t>
      </w:r>
      <w:r>
        <w:rPr>
          <w:noProof/>
        </w:rPr>
        <w:tab/>
      </w:r>
      <w:r>
        <w:rPr>
          <w:noProof/>
        </w:rPr>
        <w:fldChar w:fldCharType="begin"/>
      </w:r>
      <w:r>
        <w:rPr>
          <w:noProof/>
        </w:rPr>
        <w:instrText xml:space="preserve"> PAGEREF _Toc103067012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25C</w:t>
      </w:r>
      <w:r>
        <w:rPr>
          <w:noProof/>
          <w:snapToGrid w:val="0"/>
          <w:szCs w:val="24"/>
        </w:rPr>
        <w:t xml:space="preserve">. </w:t>
      </w:r>
      <w:r>
        <w:rPr>
          <w:noProof/>
          <w:sz w:val="24"/>
          <w:szCs w:val="24"/>
        </w:rPr>
        <w:tab/>
      </w:r>
      <w:r>
        <w:rPr>
          <w:noProof/>
          <w:snapToGrid w:val="0"/>
          <w:szCs w:val="24"/>
        </w:rPr>
        <w:t>Offence if no insurance or no corresponding cover</w:t>
      </w:r>
      <w:r>
        <w:rPr>
          <w:noProof/>
        </w:rPr>
        <w:tab/>
      </w:r>
      <w:r>
        <w:rPr>
          <w:noProof/>
        </w:rPr>
        <w:fldChar w:fldCharType="begin"/>
      </w:r>
      <w:r>
        <w:rPr>
          <w:noProof/>
        </w:rPr>
        <w:instrText xml:space="preserve"> PAGEREF _Toc103067013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25D</w:t>
      </w:r>
      <w:r>
        <w:rPr>
          <w:noProof/>
          <w:snapToGrid w:val="0"/>
          <w:szCs w:val="24"/>
        </w:rPr>
        <w:t xml:space="preserve">. </w:t>
      </w:r>
      <w:r>
        <w:rPr>
          <w:noProof/>
          <w:sz w:val="24"/>
          <w:szCs w:val="24"/>
        </w:rPr>
        <w:tab/>
      </w:r>
      <w:r>
        <w:rPr>
          <w:noProof/>
          <w:snapToGrid w:val="0"/>
          <w:szCs w:val="24"/>
        </w:rPr>
        <w:t>Requirements of insurance policy</w:t>
      </w:r>
      <w:r>
        <w:rPr>
          <w:noProof/>
        </w:rPr>
        <w:tab/>
      </w:r>
      <w:r>
        <w:rPr>
          <w:noProof/>
        </w:rPr>
        <w:fldChar w:fldCharType="begin"/>
      </w:r>
      <w:r>
        <w:rPr>
          <w:noProof/>
        </w:rPr>
        <w:instrText xml:space="preserve"> PAGEREF _Toc103067014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25DA.</w:t>
      </w:r>
      <w:r>
        <w:rPr>
          <w:noProof/>
          <w:sz w:val="24"/>
          <w:szCs w:val="24"/>
        </w:rPr>
        <w:tab/>
      </w:r>
      <w:r>
        <w:rPr>
          <w:noProof/>
          <w:szCs w:val="24"/>
        </w:rPr>
        <w:t>Corresponding cover by an approved fund — builders</w:t>
      </w:r>
      <w:r>
        <w:rPr>
          <w:noProof/>
        </w:rPr>
        <w:tab/>
      </w:r>
      <w:r>
        <w:rPr>
          <w:noProof/>
        </w:rPr>
        <w:fldChar w:fldCharType="begin"/>
      </w:r>
      <w:r>
        <w:rPr>
          <w:noProof/>
        </w:rPr>
        <w:instrText xml:space="preserve"> PAGEREF _Toc103067015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Owner</w:t>
      </w:r>
      <w:r>
        <w:rPr>
          <w:noProof/>
          <w:szCs w:val="26"/>
        </w:rPr>
        <w:noBreakHyphen/>
        <w:t>builders</w:t>
      </w:r>
    </w:p>
    <w:p>
      <w:pPr>
        <w:pStyle w:val="TOC4"/>
        <w:rPr>
          <w:noProof/>
          <w:sz w:val="24"/>
          <w:szCs w:val="24"/>
        </w:rPr>
      </w:pPr>
      <w:r>
        <w:rPr>
          <w:noProof/>
          <w:szCs w:val="24"/>
        </w:rPr>
        <w:t>25E</w:t>
      </w:r>
      <w:r>
        <w:rPr>
          <w:noProof/>
          <w:snapToGrid w:val="0"/>
          <w:szCs w:val="24"/>
        </w:rPr>
        <w:t xml:space="preserve">. </w:t>
      </w:r>
      <w:r>
        <w:rPr>
          <w:noProof/>
          <w:sz w:val="24"/>
          <w:szCs w:val="24"/>
        </w:rPr>
        <w:tab/>
      </w:r>
      <w:r>
        <w:rPr>
          <w:noProof/>
          <w:snapToGrid w:val="0"/>
          <w:szCs w:val="24"/>
        </w:rPr>
        <w:t>Application of this Division</w:t>
      </w:r>
      <w:r>
        <w:rPr>
          <w:noProof/>
        </w:rPr>
        <w:tab/>
      </w:r>
      <w:r>
        <w:rPr>
          <w:noProof/>
        </w:rPr>
        <w:fldChar w:fldCharType="begin"/>
      </w:r>
      <w:r>
        <w:rPr>
          <w:noProof/>
        </w:rPr>
        <w:instrText xml:space="preserve"> PAGEREF _Toc103067017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25F.</w:t>
      </w:r>
      <w:r>
        <w:rPr>
          <w:noProof/>
          <w:sz w:val="24"/>
          <w:szCs w:val="24"/>
        </w:rPr>
        <w:tab/>
      </w:r>
      <w:r>
        <w:rPr>
          <w:noProof/>
          <w:szCs w:val="24"/>
        </w:rPr>
        <w:t>Restriction on sale by owner</w:t>
      </w:r>
      <w:r>
        <w:rPr>
          <w:noProof/>
          <w:szCs w:val="24"/>
        </w:rPr>
        <w:noBreakHyphen/>
        <w:t>builder</w:t>
      </w:r>
      <w:r>
        <w:rPr>
          <w:noProof/>
        </w:rPr>
        <w:tab/>
      </w:r>
      <w:r>
        <w:rPr>
          <w:noProof/>
        </w:rPr>
        <w:fldChar w:fldCharType="begin"/>
      </w:r>
      <w:r>
        <w:rPr>
          <w:noProof/>
        </w:rPr>
        <w:instrText xml:space="preserve"> PAGEREF _Toc103067018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25FA.</w:t>
      </w:r>
      <w:r>
        <w:rPr>
          <w:noProof/>
          <w:sz w:val="24"/>
          <w:szCs w:val="24"/>
        </w:rPr>
        <w:tab/>
      </w:r>
      <w:r>
        <w:rPr>
          <w:noProof/>
          <w:szCs w:val="24"/>
        </w:rPr>
        <w:t>Further restrictions on sale by certain owner-builders</w:t>
      </w:r>
      <w:r>
        <w:rPr>
          <w:noProof/>
        </w:rPr>
        <w:tab/>
      </w:r>
      <w:r>
        <w:rPr>
          <w:noProof/>
        </w:rPr>
        <w:fldChar w:fldCharType="begin"/>
      </w:r>
      <w:r>
        <w:rPr>
          <w:noProof/>
        </w:rPr>
        <w:instrText xml:space="preserve"> PAGEREF _Toc103067019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25G</w:t>
      </w:r>
      <w:r>
        <w:rPr>
          <w:noProof/>
          <w:snapToGrid w:val="0"/>
          <w:szCs w:val="24"/>
        </w:rPr>
        <w:t xml:space="preserve">. </w:t>
      </w:r>
      <w:r>
        <w:rPr>
          <w:noProof/>
          <w:sz w:val="24"/>
          <w:szCs w:val="24"/>
        </w:rPr>
        <w:tab/>
      </w:r>
      <w:r>
        <w:rPr>
          <w:noProof/>
          <w:snapToGrid w:val="0"/>
          <w:szCs w:val="24"/>
        </w:rPr>
        <w:t>Requirements of insurance policy</w:t>
      </w:r>
      <w:r>
        <w:rPr>
          <w:noProof/>
        </w:rPr>
        <w:tab/>
      </w:r>
      <w:r>
        <w:rPr>
          <w:noProof/>
        </w:rPr>
        <w:fldChar w:fldCharType="begin"/>
      </w:r>
      <w:r>
        <w:rPr>
          <w:noProof/>
        </w:rPr>
        <w:instrText xml:space="preserve"> PAGEREF _Toc103067020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25GA.</w:t>
      </w:r>
      <w:r>
        <w:rPr>
          <w:noProof/>
          <w:sz w:val="24"/>
          <w:szCs w:val="24"/>
        </w:rPr>
        <w:tab/>
      </w:r>
      <w:r>
        <w:rPr>
          <w:noProof/>
          <w:szCs w:val="24"/>
        </w:rPr>
        <w:t>Corresponding cover by an approved fund — owner</w:t>
      </w:r>
      <w:r>
        <w:rPr>
          <w:noProof/>
          <w:szCs w:val="24"/>
        </w:rPr>
        <w:noBreakHyphen/>
        <w:t>builders</w:t>
      </w:r>
      <w:r>
        <w:rPr>
          <w:noProof/>
        </w:rPr>
        <w:tab/>
      </w:r>
      <w:r>
        <w:rPr>
          <w:noProof/>
        </w:rPr>
        <w:fldChar w:fldCharType="begin"/>
      </w:r>
      <w:r>
        <w:rPr>
          <w:noProof/>
        </w:rPr>
        <w:instrText xml:space="preserve"> PAGEREF _Toc103067021 \h </w:instrText>
      </w:r>
      <w:r>
        <w:rPr>
          <w:noProof/>
        </w:rPr>
      </w:r>
      <w:r>
        <w:rPr>
          <w:noProof/>
        </w:rPr>
        <w:fldChar w:fldCharType="separate"/>
      </w:r>
      <w:r>
        <w:rPr>
          <w:noProof/>
        </w:rPr>
        <w:t>36</w:t>
      </w:r>
      <w:r>
        <w:rPr>
          <w:noProof/>
        </w:rPr>
        <w:fldChar w:fldCharType="end"/>
      </w:r>
    </w:p>
    <w:p>
      <w:pPr>
        <w:pStyle w:val="TOC3"/>
        <w:rPr>
          <w:b w:val="0"/>
          <w:noProof/>
          <w:sz w:val="24"/>
          <w:szCs w:val="24"/>
        </w:rPr>
      </w:pPr>
      <w:r>
        <w:rPr>
          <w:noProof/>
          <w:szCs w:val="26"/>
        </w:rPr>
        <w:t>Division 3A — Approved funds</w:t>
      </w:r>
    </w:p>
    <w:p>
      <w:pPr>
        <w:pStyle w:val="TOC4"/>
        <w:rPr>
          <w:noProof/>
          <w:sz w:val="24"/>
          <w:szCs w:val="24"/>
        </w:rPr>
      </w:pPr>
      <w:r>
        <w:rPr>
          <w:noProof/>
          <w:szCs w:val="24"/>
        </w:rPr>
        <w:t>25GB.</w:t>
      </w:r>
      <w:r>
        <w:rPr>
          <w:noProof/>
          <w:sz w:val="24"/>
          <w:szCs w:val="24"/>
        </w:rPr>
        <w:tab/>
      </w:r>
      <w:r>
        <w:rPr>
          <w:noProof/>
          <w:szCs w:val="24"/>
        </w:rPr>
        <w:t>Minister’s approval of a fund</w:t>
      </w:r>
      <w:r>
        <w:rPr>
          <w:noProof/>
        </w:rPr>
        <w:tab/>
      </w:r>
      <w:r>
        <w:rPr>
          <w:noProof/>
        </w:rPr>
        <w:fldChar w:fldCharType="begin"/>
      </w:r>
      <w:r>
        <w:rPr>
          <w:noProof/>
        </w:rPr>
        <w:instrText xml:space="preserve"> PAGEREF _Toc103067023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25GC.</w:t>
      </w:r>
      <w:r>
        <w:rPr>
          <w:noProof/>
          <w:sz w:val="24"/>
          <w:szCs w:val="24"/>
        </w:rPr>
        <w:tab/>
      </w:r>
      <w:r>
        <w:rPr>
          <w:noProof/>
          <w:szCs w:val="24"/>
        </w:rPr>
        <w:t>Minister’s consent to changes to an approved fund</w:t>
      </w:r>
      <w:r>
        <w:rPr>
          <w:noProof/>
        </w:rPr>
        <w:tab/>
      </w:r>
      <w:r>
        <w:rPr>
          <w:noProof/>
        </w:rPr>
        <w:fldChar w:fldCharType="begin"/>
      </w:r>
      <w:r>
        <w:rPr>
          <w:noProof/>
        </w:rPr>
        <w:instrText xml:space="preserve"> PAGEREF _Toc103067024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25GD.</w:t>
      </w:r>
      <w:r>
        <w:rPr>
          <w:noProof/>
          <w:sz w:val="24"/>
          <w:szCs w:val="24"/>
        </w:rPr>
        <w:tab/>
      </w:r>
      <w:r>
        <w:rPr>
          <w:noProof/>
          <w:szCs w:val="24"/>
        </w:rPr>
        <w:t>Revocation of Minister’s approval of a fund</w:t>
      </w:r>
      <w:r>
        <w:rPr>
          <w:noProof/>
        </w:rPr>
        <w:tab/>
      </w:r>
      <w:r>
        <w:rPr>
          <w:noProof/>
        </w:rPr>
        <w:fldChar w:fldCharType="begin"/>
      </w:r>
      <w:r>
        <w:rPr>
          <w:noProof/>
        </w:rPr>
        <w:instrText xml:space="preserve"> PAGEREF _Toc103067025 \h </w:instrText>
      </w:r>
      <w:r>
        <w:rPr>
          <w:noProof/>
        </w:rPr>
      </w:r>
      <w:r>
        <w:rPr>
          <w:noProof/>
        </w:rPr>
        <w:fldChar w:fldCharType="separate"/>
      </w:r>
      <w:r>
        <w:rPr>
          <w:noProof/>
        </w:rPr>
        <w:t>37</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Review</w:t>
      </w:r>
    </w:p>
    <w:p>
      <w:pPr>
        <w:pStyle w:val="TOC4"/>
        <w:rPr>
          <w:noProof/>
          <w:sz w:val="24"/>
          <w:szCs w:val="24"/>
        </w:rPr>
      </w:pPr>
      <w:r>
        <w:rPr>
          <w:noProof/>
          <w:szCs w:val="24"/>
        </w:rPr>
        <w:t>25H</w:t>
      </w:r>
      <w:r>
        <w:rPr>
          <w:noProof/>
          <w:snapToGrid w:val="0"/>
          <w:szCs w:val="24"/>
        </w:rPr>
        <w:t xml:space="preserve">. </w:t>
      </w:r>
      <w:r>
        <w:rPr>
          <w:noProof/>
          <w:sz w:val="24"/>
          <w:szCs w:val="24"/>
        </w:rPr>
        <w:tab/>
      </w:r>
      <w:r>
        <w:rPr>
          <w:noProof/>
          <w:snapToGrid w:val="0"/>
          <w:szCs w:val="24"/>
        </w:rPr>
        <w:t>Review of insurance scheme</w:t>
      </w:r>
      <w:r>
        <w:rPr>
          <w:noProof/>
        </w:rPr>
        <w:tab/>
      </w:r>
      <w:r>
        <w:rPr>
          <w:noProof/>
        </w:rPr>
        <w:fldChar w:fldCharType="begin"/>
      </w:r>
      <w:r>
        <w:rPr>
          <w:noProof/>
        </w:rPr>
        <w:instrText xml:space="preserve"> PAGEREF _Toc103067027 \h </w:instrText>
      </w:r>
      <w:r>
        <w:rPr>
          <w:noProof/>
        </w:rPr>
      </w:r>
      <w:r>
        <w:rPr>
          <w:noProof/>
        </w:rPr>
        <w:fldChar w:fldCharType="separate"/>
      </w:r>
      <w:r>
        <w:rPr>
          <w:noProof/>
        </w:rPr>
        <w:t>38</w:t>
      </w:r>
      <w:r>
        <w:rPr>
          <w:noProof/>
        </w:rPr>
        <w:fldChar w:fldCharType="end"/>
      </w:r>
    </w:p>
    <w:p>
      <w:pPr>
        <w:pStyle w:val="TOC3"/>
        <w:rPr>
          <w:b w:val="0"/>
          <w:noProof/>
          <w:sz w:val="24"/>
          <w:szCs w:val="24"/>
        </w:rPr>
      </w:pPr>
      <w:r>
        <w:rPr>
          <w:noProof/>
          <w:szCs w:val="26"/>
        </w:rPr>
        <w:t>Division 5 — Provisions about non</w:t>
      </w:r>
      <w:r>
        <w:rPr>
          <w:noProof/>
          <w:szCs w:val="26"/>
        </w:rPr>
        <w:noBreakHyphen/>
        <w:t>application of sections 25C(1) and (2) and 25F(1)</w:t>
      </w:r>
    </w:p>
    <w:p>
      <w:pPr>
        <w:pStyle w:val="TOC4"/>
        <w:rPr>
          <w:noProof/>
          <w:sz w:val="24"/>
          <w:szCs w:val="24"/>
        </w:rPr>
      </w:pPr>
      <w:r>
        <w:rPr>
          <w:noProof/>
          <w:szCs w:val="24"/>
        </w:rPr>
        <w:t>25I.</w:t>
      </w:r>
      <w:r>
        <w:rPr>
          <w:noProof/>
          <w:sz w:val="24"/>
          <w:szCs w:val="24"/>
        </w:rPr>
        <w:tab/>
      </w:r>
      <w:r>
        <w:rPr>
          <w:noProof/>
          <w:szCs w:val="24"/>
        </w:rPr>
        <w:t>Minister may make orders specifying periods</w:t>
      </w:r>
      <w:r>
        <w:rPr>
          <w:noProof/>
        </w:rPr>
        <w:tab/>
      </w:r>
      <w:r>
        <w:rPr>
          <w:noProof/>
        </w:rPr>
        <w:fldChar w:fldCharType="begin"/>
      </w:r>
      <w:r>
        <w:rPr>
          <w:noProof/>
        </w:rPr>
        <w:instrText xml:space="preserve"> PAGEREF _Toc103067029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25J.</w:t>
      </w:r>
      <w:r>
        <w:rPr>
          <w:noProof/>
          <w:sz w:val="24"/>
          <w:szCs w:val="24"/>
        </w:rPr>
        <w:tab/>
      </w:r>
      <w:r>
        <w:rPr>
          <w:noProof/>
          <w:szCs w:val="24"/>
        </w:rPr>
        <w:t>Notice requirements — builders</w:t>
      </w:r>
      <w:r>
        <w:rPr>
          <w:noProof/>
        </w:rPr>
        <w:tab/>
      </w:r>
      <w:r>
        <w:rPr>
          <w:noProof/>
        </w:rPr>
        <w:fldChar w:fldCharType="begin"/>
      </w:r>
      <w:r>
        <w:rPr>
          <w:noProof/>
        </w:rPr>
        <w:instrText xml:space="preserve"> PAGEREF _Toc103067030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25K.</w:t>
      </w:r>
      <w:r>
        <w:rPr>
          <w:noProof/>
          <w:sz w:val="24"/>
          <w:szCs w:val="24"/>
        </w:rPr>
        <w:tab/>
      </w:r>
      <w:r>
        <w:rPr>
          <w:noProof/>
          <w:szCs w:val="24"/>
        </w:rPr>
        <w:t>Notice requirements — owner</w:t>
      </w:r>
      <w:r>
        <w:rPr>
          <w:noProof/>
          <w:szCs w:val="24"/>
        </w:rPr>
        <w:noBreakHyphen/>
        <w:t>builders</w:t>
      </w:r>
      <w:r>
        <w:rPr>
          <w:noProof/>
        </w:rPr>
        <w:tab/>
      </w:r>
      <w:r>
        <w:rPr>
          <w:noProof/>
        </w:rPr>
        <w:fldChar w:fldCharType="begin"/>
      </w:r>
      <w:r>
        <w:rPr>
          <w:noProof/>
        </w:rPr>
        <w:instrText xml:space="preserve"> PAGEREF _Toc103067031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25L.</w:t>
      </w:r>
      <w:r>
        <w:rPr>
          <w:noProof/>
          <w:sz w:val="24"/>
          <w:szCs w:val="24"/>
        </w:rPr>
        <w:tab/>
      </w:r>
      <w:r>
        <w:rPr>
          <w:noProof/>
          <w:szCs w:val="24"/>
        </w:rPr>
        <w:t>Giving a copy of the notice to a subsequent purchaser</w:t>
      </w:r>
      <w:r>
        <w:rPr>
          <w:noProof/>
        </w:rPr>
        <w:tab/>
      </w:r>
      <w:r>
        <w:rPr>
          <w:noProof/>
        </w:rPr>
        <w:fldChar w:fldCharType="begin"/>
      </w:r>
      <w:r>
        <w:rPr>
          <w:noProof/>
        </w:rPr>
        <w:instrText xml:space="preserve"> PAGEREF _Toc103067032 \h </w:instrText>
      </w:r>
      <w:r>
        <w:rPr>
          <w:noProof/>
        </w:rPr>
      </w:r>
      <w:r>
        <w:rPr>
          <w:noProof/>
        </w:rPr>
        <w:fldChar w:fldCharType="separate"/>
      </w:r>
      <w:r>
        <w:rPr>
          <w:noProof/>
        </w:rPr>
        <w:t>40</w:t>
      </w:r>
      <w:r>
        <w:rPr>
          <w:noProof/>
        </w:rPr>
        <w:fldChar w:fldCharType="end"/>
      </w:r>
    </w:p>
    <w:p>
      <w:pPr>
        <w:pStyle w:val="TOC2"/>
        <w:tabs>
          <w:tab w:val="right" w:leader="dot" w:pos="7086"/>
        </w:tabs>
        <w:rPr>
          <w:b w:val="0"/>
          <w:noProof/>
          <w:sz w:val="24"/>
          <w:szCs w:val="24"/>
        </w:rPr>
      </w:pPr>
      <w:r>
        <w:rPr>
          <w:noProof/>
          <w:szCs w:val="30"/>
        </w:rPr>
        <w:t>Part 4 — General</w:t>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Access for inspection of building work</w:t>
      </w:r>
      <w:r>
        <w:rPr>
          <w:noProof/>
        </w:rPr>
        <w:tab/>
      </w:r>
      <w:r>
        <w:rPr>
          <w:noProof/>
        </w:rPr>
        <w:fldChar w:fldCharType="begin"/>
      </w:r>
      <w:r>
        <w:rPr>
          <w:noProof/>
        </w:rPr>
        <w:instrText xml:space="preserve"> PAGEREF _Toc103067034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Effect of breach of Act on contract</w:t>
      </w:r>
      <w:r>
        <w:rPr>
          <w:noProof/>
        </w:rPr>
        <w:tab/>
      </w:r>
      <w:r>
        <w:rPr>
          <w:noProof/>
        </w:rPr>
        <w:fldChar w:fldCharType="begin"/>
      </w:r>
      <w:r>
        <w:rPr>
          <w:noProof/>
        </w:rPr>
        <w:instrText xml:space="preserve"> PAGEREF _Toc103067035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Contracting out forbidden</w:t>
      </w:r>
      <w:r>
        <w:rPr>
          <w:noProof/>
        </w:rPr>
        <w:tab/>
      </w:r>
      <w:r>
        <w:rPr>
          <w:noProof/>
        </w:rPr>
        <w:fldChar w:fldCharType="begin"/>
      </w:r>
      <w:r>
        <w:rPr>
          <w:noProof/>
        </w:rPr>
        <w:instrText xml:space="preserve"> PAGEREF _Toc103067036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_Toc103067037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Liability of directors etc.</w:t>
      </w:r>
      <w:r>
        <w:rPr>
          <w:noProof/>
        </w:rPr>
        <w:tab/>
      </w:r>
      <w:r>
        <w:rPr>
          <w:noProof/>
        </w:rPr>
        <w:fldChar w:fldCharType="begin"/>
      </w:r>
      <w:r>
        <w:rPr>
          <w:noProof/>
        </w:rPr>
        <w:instrText xml:space="preserve"> PAGEREF _Toc103067038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Prosecutions</w:t>
      </w:r>
      <w:r>
        <w:rPr>
          <w:noProof/>
        </w:rPr>
        <w:tab/>
      </w:r>
      <w:r>
        <w:rPr>
          <w:noProof/>
        </w:rPr>
        <w:fldChar w:fldCharType="begin"/>
      </w:r>
      <w:r>
        <w:rPr>
          <w:noProof/>
        </w:rPr>
        <w:instrText xml:space="preserve"> PAGEREF _Toc103067039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31A</w:t>
      </w:r>
      <w:r>
        <w:rPr>
          <w:noProof/>
          <w:snapToGrid w:val="0"/>
          <w:szCs w:val="24"/>
        </w:rPr>
        <w:t>.</w:t>
      </w:r>
      <w:r>
        <w:rPr>
          <w:noProof/>
          <w:sz w:val="24"/>
          <w:szCs w:val="24"/>
        </w:rPr>
        <w:tab/>
      </w:r>
      <w:r>
        <w:rPr>
          <w:noProof/>
          <w:snapToGrid w:val="0"/>
          <w:szCs w:val="24"/>
        </w:rPr>
        <w:t>Penalties and costs</w:t>
      </w:r>
      <w:r>
        <w:rPr>
          <w:noProof/>
        </w:rPr>
        <w:tab/>
      </w:r>
      <w:r>
        <w:rPr>
          <w:noProof/>
        </w:rPr>
        <w:fldChar w:fldCharType="begin"/>
      </w:r>
      <w:r>
        <w:rPr>
          <w:noProof/>
        </w:rPr>
        <w:instrText xml:space="preserve"> PAGEREF _Toc103067040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31B.</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_Toc103067041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_Toc103067042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Application not retrospective</w:t>
      </w:r>
      <w:r>
        <w:rPr>
          <w:noProof/>
        </w:rPr>
        <w:tab/>
      </w:r>
      <w:r>
        <w:rPr>
          <w:noProof/>
        </w:rPr>
        <w:fldChar w:fldCharType="begin"/>
      </w:r>
      <w:r>
        <w:rPr>
          <w:noProof/>
        </w:rPr>
        <w:instrText xml:space="preserve"> PAGEREF _Toc103067043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_Toc103067044 \h </w:instrText>
      </w:r>
      <w:r>
        <w:rPr>
          <w:noProof/>
        </w:rPr>
      </w:r>
      <w:r>
        <w:rPr>
          <w:noProof/>
        </w:rPr>
        <w:fldChar w:fldCharType="separate"/>
      </w:r>
      <w:r>
        <w:rPr>
          <w:noProof/>
        </w:rPr>
        <w:t>47</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_Toc103067045 \h </w:instrText>
      </w:r>
      <w:r>
        <w:rPr>
          <w:b w:val="0"/>
          <w:noProof/>
          <w:sz w:val="22"/>
        </w:rPr>
      </w:r>
      <w:r>
        <w:rPr>
          <w:b w:val="0"/>
          <w:noProof/>
          <w:sz w:val="22"/>
        </w:rPr>
        <w:fldChar w:fldCharType="separate"/>
      </w:r>
      <w:r>
        <w:rPr>
          <w:b w:val="0"/>
          <w:noProof/>
          <w:sz w:val="22"/>
        </w:rPr>
        <w:t>49</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_Toc103067047 \h </w:instrText>
      </w:r>
      <w:r>
        <w:rPr>
          <w:noProof/>
        </w:rPr>
      </w:r>
      <w:r>
        <w:rPr>
          <w:noProof/>
        </w:rPr>
        <w:fldChar w:fldCharType="separate"/>
      </w:r>
      <w:r>
        <w:rPr>
          <w:noProof/>
        </w:rPr>
        <w:t>51</w:t>
      </w:r>
      <w:r>
        <w:rPr>
          <w:noProof/>
        </w:rPr>
        <w:fldChar w:fldCharType="end"/>
      </w:r>
    </w:p>
    <w:p>
      <w:pPr>
        <w:pStyle w:val="TOC4"/>
      </w:pPr>
      <w:r>
        <w:rPr>
          <w:noProof/>
          <w:snapToGrid w:val="0"/>
        </w:rPr>
        <w:tab/>
        <w:t>Provisions that have not come into operation</w:t>
      </w:r>
      <w:r>
        <w:rPr>
          <w:noProof/>
        </w:rPr>
        <w:tab/>
      </w:r>
      <w:r>
        <w:rPr>
          <w:noProof/>
        </w:rPr>
        <w:fldChar w:fldCharType="begin"/>
      </w:r>
      <w:r>
        <w:rPr>
          <w:noProof/>
        </w:rPr>
        <w:instrText xml:space="preserve"> PAGEREF _Toc103067048 \h </w:instrText>
      </w:r>
      <w:r>
        <w:rPr>
          <w:noProof/>
        </w:rPr>
      </w:r>
      <w:r>
        <w:rPr>
          <w:noProof/>
        </w:rPr>
        <w:fldChar w:fldCharType="separate"/>
      </w:r>
      <w:r>
        <w:rPr>
          <w:noProof/>
        </w:rPr>
        <w:t>52</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840"/>
      </w:pPr>
      <w:r>
        <w:t xml:space="preserve">Home Building Contracts Act 1991 </w:t>
      </w:r>
    </w:p>
    <w:p>
      <w:pPr>
        <w:pStyle w:val="LongTitle"/>
        <w:rPr>
          <w:snapToGrid w:val="0"/>
        </w:rPr>
      </w:pPr>
      <w:r>
        <w:rPr>
          <w:snapToGrid w:val="0"/>
        </w:rPr>
        <w:t>An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xml:space="preserve">, and for connected purposes. </w:t>
      </w:r>
    </w:p>
    <w:p>
      <w:pPr>
        <w:pStyle w:val="Footnotelongtitle"/>
      </w:pPr>
      <w:r>
        <w:tab/>
        <w:t xml:space="preserve">[Long title amended by No. 72 of 1996 s. 4; No. 37 of 2002 s. 4; No. 59 of 2004 s. 141.] </w:t>
      </w:r>
    </w:p>
    <w:p>
      <w:pPr>
        <w:pStyle w:val="Heading2"/>
      </w:pPr>
      <w:bookmarkStart w:id="1" w:name="_Toc89521524"/>
      <w:bookmarkStart w:id="2" w:name="_Toc89521593"/>
      <w:bookmarkStart w:id="3" w:name="_Toc96246639"/>
      <w:bookmarkStart w:id="4" w:name="_Toc97107108"/>
      <w:bookmarkStart w:id="5" w:name="_Toc102365957"/>
      <w:bookmarkStart w:id="6" w:name="_Toc1030669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521487139"/>
      <w:bookmarkStart w:id="8" w:name="_Toc522337167"/>
      <w:bookmarkStart w:id="9" w:name="_Toc527365385"/>
      <w:bookmarkStart w:id="10" w:name="_Toc530458593"/>
      <w:bookmarkStart w:id="11" w:name="_Toc530460455"/>
      <w:bookmarkStart w:id="12" w:name="_Toc103066981"/>
      <w:r>
        <w:rPr>
          <w:rStyle w:val="CharSectno"/>
        </w:rPr>
        <w:t>1</w:t>
      </w:r>
      <w:r>
        <w:rPr>
          <w:snapToGrid w:val="0"/>
        </w:rPr>
        <w:t>.</w:t>
      </w:r>
      <w:r>
        <w:rPr>
          <w:snapToGrid w:val="0"/>
        </w:rPr>
        <w:tab/>
        <w:t>Short title</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Home Building Contracts Act 1991 </w:t>
      </w:r>
      <w:r>
        <w:rPr>
          <w:snapToGrid w:val="0"/>
          <w:vertAlign w:val="superscript"/>
        </w:rPr>
        <w:t>1</w:t>
      </w:r>
      <w:r>
        <w:rPr>
          <w:snapToGrid w:val="0"/>
        </w:rPr>
        <w:t>.</w:t>
      </w:r>
    </w:p>
    <w:p>
      <w:pPr>
        <w:pStyle w:val="Heading5"/>
        <w:rPr>
          <w:snapToGrid w:val="0"/>
        </w:rPr>
      </w:pPr>
      <w:bookmarkStart w:id="13" w:name="_Toc521487140"/>
      <w:bookmarkStart w:id="14" w:name="_Toc522337168"/>
      <w:bookmarkStart w:id="15" w:name="_Toc527365386"/>
      <w:bookmarkStart w:id="16" w:name="_Toc530458594"/>
      <w:bookmarkStart w:id="17" w:name="_Toc530460456"/>
      <w:bookmarkStart w:id="18" w:name="_Toc103066982"/>
      <w:r>
        <w:rPr>
          <w:rStyle w:val="CharSectno"/>
        </w:rPr>
        <w:t>2</w:t>
      </w:r>
      <w:r>
        <w:rPr>
          <w:snapToGrid w:val="0"/>
        </w:rPr>
        <w:t>.</w:t>
      </w:r>
      <w:r>
        <w:rPr>
          <w:snapToGrid w:val="0"/>
        </w:rPr>
        <w:tab/>
        <w:t>Commencement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rPr>
          <w:snapToGrid w:val="0"/>
        </w:rPr>
      </w:pPr>
      <w:bookmarkStart w:id="19" w:name="_Toc521487141"/>
      <w:bookmarkStart w:id="20" w:name="_Toc522337169"/>
      <w:bookmarkStart w:id="21" w:name="_Toc527365387"/>
      <w:bookmarkStart w:id="22" w:name="_Toc530458595"/>
      <w:bookmarkStart w:id="23" w:name="_Toc530460457"/>
      <w:bookmarkStart w:id="24" w:name="_Toc103066983"/>
      <w:r>
        <w:rPr>
          <w:rStyle w:val="CharSectno"/>
        </w:rPr>
        <w:t>3</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associated work</w:t>
      </w:r>
      <w:r>
        <w:rPr>
          <w:b/>
        </w:rPr>
        <w:t>”</w:t>
      </w:r>
      <w:r>
        <w:t xml:space="preserve"> includes site works, swimming pools, spas, pergolas, carports, garages, sheds, fencing, retaining walls, paving, driveways, landscaping and other like works;</w:t>
      </w:r>
    </w:p>
    <w:p>
      <w:pPr>
        <w:pStyle w:val="Defstart"/>
      </w:pPr>
      <w:r>
        <w:rPr>
          <w:b/>
        </w:rPr>
        <w:tab/>
        <w:t>“</w:t>
      </w:r>
      <w:r>
        <w:rPr>
          <w:rStyle w:val="CharDefText"/>
        </w:rPr>
        <w:t>builder</w:t>
      </w:r>
      <w:r>
        <w:rPr>
          <w:b/>
        </w:rPr>
        <w:t>”</w:t>
      </w:r>
      <w:r>
        <w:t xml:space="preserve"> means a person who carries on, or 2 or more persons who together carry on, a business which consists of or includes the performing of home building work for others;</w:t>
      </w:r>
    </w:p>
    <w:p>
      <w:pPr>
        <w:pStyle w:val="Defstart"/>
      </w:pPr>
      <w:r>
        <w:tab/>
      </w:r>
      <w:r>
        <w:rPr>
          <w:b/>
        </w:rPr>
        <w:t>“</w:t>
      </w:r>
      <w:r>
        <w:rPr>
          <w:rStyle w:val="CharDefText"/>
        </w:rPr>
        <w:t>Builders’ Registration Board</w:t>
      </w:r>
      <w:r>
        <w:rPr>
          <w:b/>
        </w:rPr>
        <w:t>”</w:t>
      </w:r>
      <w:r>
        <w:t xml:space="preserve"> means the Builders’ Registration Board constituted under the </w:t>
      </w:r>
      <w:r>
        <w:rPr>
          <w:i/>
        </w:rPr>
        <w:t>Builders’ Registration Act 1939</w:t>
      </w:r>
      <w:r>
        <w:t>;</w:t>
      </w:r>
    </w:p>
    <w:p>
      <w:pPr>
        <w:pStyle w:val="Defstart"/>
      </w:pPr>
      <w:r>
        <w:tab/>
      </w:r>
      <w:r>
        <w:rPr>
          <w:b/>
        </w:rPr>
        <w:t>“</w:t>
      </w:r>
      <w:r>
        <w:rPr>
          <w:rStyle w:val="CharDefText"/>
        </w:rPr>
        <w:t>building licence</w:t>
      </w:r>
      <w:r>
        <w:rPr>
          <w:b/>
        </w:rPr>
        <w:t>”</w:t>
      </w:r>
      <w:r>
        <w:t xml:space="preserve"> means a building licence under section 374 of the </w:t>
      </w:r>
      <w:r>
        <w:rPr>
          <w:i/>
        </w:rPr>
        <w:t>Local Government (Miscellaneous Provisions) Act 1960</w:t>
      </w:r>
      <w:r>
        <w:t>;</w:t>
      </w:r>
    </w:p>
    <w:p>
      <w:pPr>
        <w:pStyle w:val="Defstart"/>
      </w:pPr>
      <w:r>
        <w:rPr>
          <w:b/>
        </w:rPr>
        <w:tab/>
        <w:t>“</w:t>
      </w:r>
      <w:r>
        <w:rPr>
          <w:rStyle w:val="CharDefText"/>
        </w:rPr>
        <w:t>construct</w:t>
      </w:r>
      <w:r>
        <w:rPr>
          <w:b/>
        </w:rPr>
        <w:t>”</w:t>
      </w:r>
      <w:r>
        <w:t xml:space="preserve"> in relation to a dwelling means perform any work commencing with the preparation of the site and ending with the completion of the dwelling (including any associated work) and includes — </w:t>
      </w:r>
    </w:p>
    <w:p>
      <w:pPr>
        <w:pStyle w:val="Defpara"/>
      </w:pPr>
      <w:r>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t>“</w:t>
      </w:r>
      <w:r>
        <w:rPr>
          <w:rStyle w:val="CharDefText"/>
        </w:rPr>
        <w:t>contract</w:t>
      </w:r>
      <w:r>
        <w:rPr>
          <w:b/>
        </w:rPr>
        <w:t>”</w:t>
      </w:r>
      <w:r>
        <w:t xml:space="preserve"> means a home building work contract;</w:t>
      </w:r>
    </w:p>
    <w:p>
      <w:pPr>
        <w:pStyle w:val="Defstart"/>
      </w:pPr>
      <w:r>
        <w:rPr>
          <w:b/>
        </w:rPr>
        <w:tab/>
        <w:t>“</w:t>
      </w:r>
      <w:r>
        <w:rPr>
          <w:rStyle w:val="CharDefText"/>
        </w:rPr>
        <w:t>cost plus contract</w:t>
      </w:r>
      <w:r>
        <w:rPr>
          <w:b/>
        </w:rPr>
        <w: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 </w:t>
      </w:r>
    </w:p>
    <w:p>
      <w:pPr>
        <w:pStyle w:val="Defpara"/>
      </w:pPr>
      <w:r>
        <w:tab/>
        <w:t>(a)</w:t>
      </w:r>
      <w:r>
        <w:tab/>
        <w:t>acquiring materials; and</w:t>
      </w:r>
    </w:p>
    <w:p>
      <w:pPr>
        <w:pStyle w:val="Defpara"/>
      </w:pPr>
      <w:r>
        <w:tab/>
        <w:t>(b)</w:t>
      </w:r>
      <w:r>
        <w:tab/>
        <w:t>performing work,</w:t>
      </w:r>
    </w:p>
    <w:p>
      <w:pPr>
        <w:pStyle w:val="Defstart"/>
      </w:pPr>
      <w:r>
        <w:tab/>
      </w:r>
      <w:r>
        <w:tab/>
        <w:t>specified in the contract, together with an additional amount that comprises either — </w:t>
      </w:r>
    </w:p>
    <w:p>
      <w:pPr>
        <w:pStyle w:val="Defpara"/>
      </w:pPr>
      <w:r>
        <w:tab/>
        <w:t>(c)</w:t>
      </w:r>
      <w:r>
        <w:tab/>
        <w:t>a sum calculated as a percentage of that cost; or</w:t>
      </w:r>
    </w:p>
    <w:p>
      <w:pPr>
        <w:pStyle w:val="Defpara"/>
      </w:pPr>
      <w:r>
        <w:tab/>
        <w:t>(d)</w:t>
      </w:r>
      <w:r>
        <w:tab/>
        <w:t>a specified sum,</w:t>
      </w:r>
    </w:p>
    <w:p>
      <w:pPr>
        <w:pStyle w:val="Defstart"/>
      </w:pPr>
      <w:r>
        <w:tab/>
      </w:r>
      <w:r>
        <w:tab/>
        <w:t>or both;</w:t>
      </w:r>
    </w:p>
    <w:p>
      <w:pPr>
        <w:pStyle w:val="Defstart"/>
      </w:pPr>
      <w:r>
        <w:rPr>
          <w:b/>
        </w:rPr>
        <w:tab/>
        <w:t>“</w:t>
      </w:r>
      <w:r>
        <w:rPr>
          <w:rStyle w:val="CharDefText"/>
        </w:rPr>
        <w:t>date of the contract</w:t>
      </w:r>
      <w:r>
        <w:rPr>
          <w:b/>
        </w:rPr>
        <w:t>”</w:t>
      </w:r>
      <w:r>
        <w:t xml:space="preserve"> or </w:t>
      </w:r>
      <w:r>
        <w:rPr>
          <w:b/>
        </w:rPr>
        <w:t>“</w:t>
      </w:r>
      <w:r>
        <w:rPr>
          <w:rStyle w:val="CharDefText"/>
        </w:rPr>
        <w:t>date of the variation</w:t>
      </w:r>
      <w:r>
        <w:rPr>
          <w:b/>
        </w:rPr>
        <w:t>”</w:t>
      </w:r>
      <w:r>
        <w:t xml:space="preserve"> means the day on which the contract or variation was signed by the last party to sign it;</w:t>
      </w:r>
    </w:p>
    <w:p>
      <w:pPr>
        <w:pStyle w:val="Defstart"/>
      </w:pPr>
      <w:r>
        <w:rPr>
          <w:b/>
        </w:rPr>
        <w:tab/>
        <w:t>“</w:t>
      </w:r>
      <w:r>
        <w:rPr>
          <w:rStyle w:val="CharDefText"/>
        </w:rPr>
        <w:t>Disputes Tribunal</w:t>
      </w:r>
      <w:r>
        <w:rPr>
          <w:b/>
        </w:rPr>
        <w:t>”</w:t>
      </w:r>
      <w:r>
        <w:t xml:space="preserve"> means the Building Disputes Tribunal established by section 26 of the </w:t>
      </w:r>
      <w:r>
        <w:rPr>
          <w:i/>
        </w:rPr>
        <w:t>Builders’ Registration Act 1939</w:t>
      </w:r>
      <w:r>
        <w:t>;</w:t>
      </w:r>
    </w:p>
    <w:p>
      <w:pPr>
        <w:pStyle w:val="Defstart"/>
      </w:pPr>
      <w:r>
        <w:rPr>
          <w:b/>
        </w:rPr>
        <w:tab/>
        <w:t>“</w:t>
      </w:r>
      <w:r>
        <w:rPr>
          <w:rStyle w:val="CharDefText"/>
        </w:rPr>
        <w:t>dwelling</w:t>
      </w:r>
      <w:r>
        <w:rPr>
          <w:b/>
        </w:rPr>
        <w:t>”</w:t>
      </w:r>
      <w:r>
        <w:t xml:space="preserve"> means a building occupied or intended for occupation solely or mainly as a place of residence;</w:t>
      </w:r>
    </w:p>
    <w:p>
      <w:pPr>
        <w:pStyle w:val="Defstart"/>
      </w:pPr>
      <w:r>
        <w:rPr>
          <w:b/>
        </w:rPr>
        <w:tab/>
        <w:t>“</w:t>
      </w:r>
      <w:r>
        <w:rPr>
          <w:rStyle w:val="CharDefText"/>
        </w:rPr>
        <w:t>home building work</w:t>
      </w:r>
      <w:r>
        <w:rPr>
          <w:b/>
        </w:rPr>
        <w:t>”</w:t>
      </w:r>
      <w:r>
        <w:t xml:space="preserve"> means the whole or part of the work of — </w:t>
      </w:r>
    </w:p>
    <w:p>
      <w:pPr>
        <w:pStyle w:val="Defpara"/>
      </w:pPr>
      <w:r>
        <w:tab/>
        <w:t>(a)</w:t>
      </w:r>
      <w:r>
        <w:tab/>
        <w:t>constructing or re</w:t>
      </w:r>
      <w:r>
        <w:noBreakHyphen/>
        <w:t>constructing a dwelling including an existing dwelling and/or strata</w:t>
      </w:r>
      <w:r>
        <w:noBreakHyphen/>
        <w:t>titled dwelling;</w:t>
      </w:r>
    </w:p>
    <w:p>
      <w:pPr>
        <w:pStyle w:val="Defpara"/>
      </w:pPr>
      <w:r>
        <w:tab/>
        <w:t>(b)</w:t>
      </w:r>
      <w:r>
        <w:tab/>
        <w:t>placing a dwelling on land;</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t>“</w:t>
      </w:r>
      <w:r>
        <w:rPr>
          <w:rStyle w:val="CharDefText"/>
        </w:rPr>
        <w:t>home building work contract</w:t>
      </w:r>
      <w:r>
        <w:rPr>
          <w:b/>
        </w:rPr>
        <w:t>”</w:t>
      </w:r>
      <w:r>
        <w:t xml:space="preserve"> means a contract between a builder and an owner for the performance by the builder of home building work, but does not include — </w:t>
      </w:r>
    </w:p>
    <w:p>
      <w:pPr>
        <w:pStyle w:val="Defpara"/>
      </w:pPr>
      <w:r>
        <w:tab/>
        <w:t>(a)</w:t>
      </w:r>
      <w:r>
        <w:tab/>
        <w:t>a cost plus contract;</w:t>
      </w:r>
    </w:p>
    <w:p>
      <w:pPr>
        <w:pStyle w:val="Defpara"/>
        <w:keepNext/>
      </w:pPr>
      <w:r>
        <w:tab/>
        <w:t>(b)</w:t>
      </w:r>
      <w:r>
        <w:tab/>
        <w:t>a contract for the performance of home building work — </w:t>
      </w:r>
    </w:p>
    <w:p>
      <w:pPr>
        <w:pStyle w:val="Defsubpara"/>
        <w:rPr>
          <w:snapToGrid w:val="0"/>
        </w:rPr>
      </w:pPr>
      <w:r>
        <w:rPr>
          <w:snapToGrid w:val="0"/>
        </w:rPr>
        <w:tab/>
        <w:t>(i)</w:t>
      </w:r>
      <w:r>
        <w:rPr>
          <w:snapToGrid w:val="0"/>
        </w:rPr>
        <w:tab/>
        <w:t>for a builder who is in turn obliged to perform the work under another contract;</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t>“</w:t>
      </w:r>
      <w:r>
        <w:rPr>
          <w:rStyle w:val="CharDefText"/>
        </w:rPr>
        <w:t>owner</w:t>
      </w:r>
      <w:r>
        <w:rPr>
          <w:b/>
        </w:rPr>
        <w:t>”</w:t>
      </w:r>
      <w:r>
        <w:t xml:space="preserve"> in relation to a contract means the person for whom or which home building work is to be performed under the contract;</w:t>
      </w:r>
    </w:p>
    <w:p>
      <w:pPr>
        <w:pStyle w:val="Defstart"/>
      </w:pPr>
      <w:r>
        <w:rPr>
          <w:b/>
        </w:rPr>
        <w:tab/>
        <w:t>“</w:t>
      </w:r>
      <w:r>
        <w:rPr>
          <w:rStyle w:val="CharDefText"/>
        </w:rPr>
        <w:t>perform</w:t>
      </w:r>
      <w:r>
        <w:rPr>
          <w:b/>
        </w:rPr>
        <w:t>”</w:t>
      </w:r>
      <w:r>
        <w:t xml:space="preserve"> in relation to home building work includes —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t>“</w:t>
      </w:r>
      <w:r>
        <w:rPr>
          <w:rStyle w:val="CharDefText"/>
        </w:rPr>
        <w:t>prescribed</w:t>
      </w:r>
      <w:r>
        <w:rPr>
          <w:b/>
        </w:rPr>
        <w:t>”</w:t>
      </w:r>
      <w:r>
        <w:t xml:space="preserve"> means prescribed by regulations;</w:t>
      </w:r>
    </w:p>
    <w:p>
      <w:pPr>
        <w:pStyle w:val="Defstart"/>
      </w:pPr>
      <w:r>
        <w:rPr>
          <w:b/>
        </w:rPr>
        <w:tab/>
        <w:t>“</w:t>
      </w:r>
      <w:r>
        <w:rPr>
          <w:rStyle w:val="CharDefText"/>
        </w:rPr>
        <w:t>strata</w:t>
      </w:r>
      <w:r>
        <w:rPr>
          <w:rStyle w:val="CharDefText"/>
        </w:rPr>
        <w:noBreakHyphen/>
        <w:t>titled dwelling</w:t>
      </w:r>
      <w:r>
        <w:rPr>
          <w:b/>
        </w:rPr>
        <w:t>”</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t>“</w:t>
      </w:r>
      <w:r>
        <w:rPr>
          <w:rStyle w:val="CharDefText"/>
        </w:rPr>
        <w:t>working days</w:t>
      </w:r>
      <w:r>
        <w:rPr>
          <w:b/>
        </w:rPr>
        <w:t>”</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It is immaterial, for the purposes of the definition of “home building work contract”, that a contract between a builder and an owner for the performance of home building work also includes work that is not home building work.</w:t>
      </w:r>
    </w:p>
    <w:p>
      <w:pPr>
        <w:pStyle w:val="Footnotesection"/>
      </w:pPr>
      <w:r>
        <w:tab/>
        <w:t xml:space="preserve">[Section 3 amended by No. 58 of 1995 s. 97; No. 76 of 2000 s. 44; No. 37 of 2002 s. 5.] </w:t>
      </w:r>
    </w:p>
    <w:p>
      <w:pPr>
        <w:pStyle w:val="Heading2"/>
      </w:pPr>
      <w:bookmarkStart w:id="25" w:name="_Toc89521528"/>
      <w:bookmarkStart w:id="26" w:name="_Toc89521597"/>
      <w:bookmarkStart w:id="27" w:name="_Toc96246643"/>
      <w:bookmarkStart w:id="28" w:name="_Toc97107112"/>
      <w:bookmarkStart w:id="29" w:name="_Toc102365961"/>
      <w:bookmarkStart w:id="30" w:name="_Toc103066984"/>
      <w:r>
        <w:rPr>
          <w:rStyle w:val="CharPartNo"/>
        </w:rPr>
        <w:t>Part 2</w:t>
      </w:r>
      <w:r>
        <w:rPr>
          <w:rStyle w:val="CharDivNo"/>
        </w:rPr>
        <w:t> </w:t>
      </w:r>
      <w:r>
        <w:t>—</w:t>
      </w:r>
      <w:r>
        <w:rPr>
          <w:rStyle w:val="CharDivText"/>
        </w:rPr>
        <w:t> </w:t>
      </w:r>
      <w:r>
        <w:rPr>
          <w:rStyle w:val="CharPartText"/>
        </w:rPr>
        <w:t>Home building work contracts</w:t>
      </w:r>
      <w:bookmarkEnd w:id="25"/>
      <w:bookmarkEnd w:id="26"/>
      <w:bookmarkEnd w:id="27"/>
      <w:bookmarkEnd w:id="28"/>
      <w:bookmarkEnd w:id="29"/>
      <w:bookmarkEnd w:id="30"/>
      <w:r>
        <w:rPr>
          <w:rStyle w:val="CharPartText"/>
        </w:rPr>
        <w:t xml:space="preserve"> </w:t>
      </w:r>
    </w:p>
    <w:p>
      <w:pPr>
        <w:pStyle w:val="Heading5"/>
        <w:spacing w:before="160"/>
        <w:rPr>
          <w:snapToGrid w:val="0"/>
        </w:rPr>
      </w:pPr>
      <w:bookmarkStart w:id="31" w:name="_Toc521487142"/>
      <w:bookmarkStart w:id="32" w:name="_Toc522337170"/>
      <w:bookmarkStart w:id="33" w:name="_Toc527365388"/>
      <w:bookmarkStart w:id="34" w:name="_Toc530458596"/>
      <w:bookmarkStart w:id="35" w:name="_Toc530460458"/>
      <w:bookmarkStart w:id="36" w:name="_Toc103066985"/>
      <w:r>
        <w:rPr>
          <w:rStyle w:val="CharSectno"/>
        </w:rPr>
        <w:t>4</w:t>
      </w:r>
      <w:r>
        <w:rPr>
          <w:snapToGrid w:val="0"/>
        </w:rPr>
        <w:t>.</w:t>
      </w:r>
      <w:r>
        <w:rPr>
          <w:snapToGrid w:val="0"/>
        </w:rPr>
        <w:tab/>
        <w:t>Contracts to be in writing and statutory notice to be given</w:t>
      </w:r>
      <w:bookmarkEnd w:id="31"/>
      <w:bookmarkEnd w:id="32"/>
      <w:bookmarkEnd w:id="33"/>
      <w:bookmarkEnd w:id="34"/>
      <w:bookmarkEnd w:id="35"/>
      <w:bookmarkEnd w:id="36"/>
    </w:p>
    <w:p>
      <w:pPr>
        <w:pStyle w:val="Subsection"/>
        <w:spacing w:before="120"/>
        <w:rPr>
          <w:snapToGrid w:val="0"/>
        </w:rPr>
      </w:pPr>
      <w:r>
        <w:rPr>
          <w:snapToGrid w:val="0"/>
        </w:rPr>
        <w:tab/>
        <w:t>(1)</w:t>
      </w:r>
      <w:r>
        <w:rPr>
          <w:snapToGrid w:val="0"/>
        </w:rPr>
        <w:tab/>
        <w:t>A contract — </w:t>
      </w:r>
    </w:p>
    <w:p>
      <w:pPr>
        <w:pStyle w:val="Indenta"/>
        <w:rPr>
          <w:snapToGrid w:val="0"/>
        </w:rPr>
      </w:pPr>
      <w:r>
        <w:rPr>
          <w:snapToGrid w:val="0"/>
        </w:rPr>
        <w:tab/>
        <w:t>(a)</w:t>
      </w:r>
      <w:r>
        <w:rPr>
          <w:snapToGrid w:val="0"/>
        </w:rPr>
        <w:tab/>
        <w:t>must be in writing — </w:t>
      </w:r>
    </w:p>
    <w:p>
      <w:pPr>
        <w:pStyle w:val="Indenti"/>
        <w:rPr>
          <w:snapToGrid w:val="0"/>
        </w:rPr>
      </w:pPr>
      <w:r>
        <w:rPr>
          <w:snapToGrid w:val="0"/>
        </w:rPr>
        <w:tab/>
        <w:t>(i)</w:t>
      </w:r>
      <w:r>
        <w:rPr>
          <w:snapToGrid w:val="0"/>
        </w:rPr>
        <w:tab/>
        <w:t>setting out all of the terms, conditions and provisions of the contract; and</w:t>
      </w:r>
    </w:p>
    <w:p>
      <w:pPr>
        <w:pStyle w:val="Indenti"/>
        <w:rPr>
          <w:snapToGrid w:val="0"/>
        </w:rPr>
      </w:pPr>
      <w:r>
        <w:rPr>
          <w:snapToGrid w:val="0"/>
        </w:rPr>
        <w:tab/>
        <w:t>(ii)</w:t>
      </w:r>
      <w:r>
        <w:rPr>
          <w:snapToGrid w:val="0"/>
        </w:rPr>
        <w:tab/>
        <w:t xml:space="preserve">showing the date of the contract;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spacing w:before="120"/>
        <w:rPr>
          <w:snapToGrid w:val="0"/>
        </w:rPr>
      </w:pPr>
      <w:r>
        <w:rPr>
          <w:snapToGrid w:val="0"/>
        </w:rPr>
        <w:tab/>
        <w:t>(2)</w:t>
      </w:r>
      <w:r>
        <w:rPr>
          <w:snapToGrid w:val="0"/>
        </w:rPr>
        <w:tab/>
        <w:t>A notice containing an explanation of the relevant provisions of this Act is to be prescribed.</w:t>
      </w:r>
    </w:p>
    <w:p>
      <w:pPr>
        <w:pStyle w:val="Subsection"/>
        <w:spacing w:before="120"/>
        <w:rPr>
          <w:snapToGrid w:val="0"/>
        </w:rPr>
      </w:pPr>
      <w:r>
        <w:rPr>
          <w:snapToGrid w:val="0"/>
        </w:rPr>
        <w:tab/>
        <w:t>(3)</w:t>
      </w:r>
      <w:r>
        <w:rPr>
          <w:snapToGrid w:val="0"/>
        </w:rPr>
        <w:tab/>
        <w:t>The owner must be given a notice referred to in subsection (2) before the owner signs a contract.</w:t>
      </w:r>
    </w:p>
    <w:p>
      <w:pPr>
        <w:pStyle w:val="Subsection"/>
        <w:spacing w:before="12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2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spacing w:before="120"/>
        <w:rPr>
          <w:snapToGrid w:val="0"/>
        </w:rPr>
      </w:pPr>
      <w:bookmarkStart w:id="37" w:name="_Toc521487143"/>
      <w:bookmarkStart w:id="38" w:name="_Toc522337171"/>
      <w:bookmarkStart w:id="39" w:name="_Toc527365389"/>
      <w:bookmarkStart w:id="40" w:name="_Toc530458597"/>
      <w:bookmarkStart w:id="41" w:name="_Toc530460459"/>
      <w:bookmarkStart w:id="42" w:name="_Toc103066986"/>
      <w:r>
        <w:rPr>
          <w:rStyle w:val="CharSectno"/>
        </w:rPr>
        <w:t>5</w:t>
      </w:r>
      <w:r>
        <w:rPr>
          <w:snapToGrid w:val="0"/>
        </w:rPr>
        <w:t>.</w:t>
      </w:r>
      <w:r>
        <w:rPr>
          <w:snapToGrid w:val="0"/>
        </w:rPr>
        <w:tab/>
        <w:t>Owner to be given copy of contract</w:t>
      </w:r>
      <w:bookmarkEnd w:id="37"/>
      <w:bookmarkEnd w:id="38"/>
      <w:bookmarkEnd w:id="39"/>
      <w:bookmarkEnd w:id="40"/>
      <w:bookmarkEnd w:id="41"/>
      <w:bookmarkEnd w:id="42"/>
      <w:r>
        <w:rPr>
          <w:snapToGrid w:val="0"/>
        </w:rPr>
        <w:t> </w:t>
      </w:r>
    </w:p>
    <w:p>
      <w:pPr>
        <w:pStyle w:val="Subsection"/>
        <w:spacing w:before="120"/>
        <w:rPr>
          <w:snapToGrid w:val="0"/>
        </w:rPr>
      </w:pPr>
      <w:r>
        <w:rPr>
          <w:snapToGrid w:val="0"/>
        </w:rPr>
        <w:tab/>
        <w:t>(1)</w:t>
      </w:r>
      <w:r>
        <w:rPr>
          <w:snapToGrid w:val="0"/>
        </w:rPr>
        <w:tab/>
        <w:t>The owner must be given a copy of the signed contract — </w:t>
      </w:r>
    </w:p>
    <w:p>
      <w:pPr>
        <w:pStyle w:val="Indenta"/>
        <w:rPr>
          <w:snapToGrid w:val="0"/>
        </w:rPr>
      </w:pPr>
      <w:r>
        <w:rPr>
          <w:snapToGrid w:val="0"/>
        </w:rPr>
        <w:tab/>
        <w:t>(a)</w:t>
      </w:r>
      <w:r>
        <w:rPr>
          <w:snapToGrid w:val="0"/>
        </w:rPr>
        <w:tab/>
        <w:t>as soon as is reasonably practicable after a contract has been signed by both parties; and</w:t>
      </w:r>
    </w:p>
    <w:p>
      <w:pPr>
        <w:pStyle w:val="Indenta"/>
        <w:rPr>
          <w:snapToGrid w:val="0"/>
        </w:rPr>
      </w:pPr>
      <w:r>
        <w:rPr>
          <w:snapToGrid w:val="0"/>
        </w:rPr>
        <w:tab/>
        <w:t>(b)</w:t>
      </w:r>
      <w:r>
        <w:rPr>
          <w:snapToGrid w:val="0"/>
        </w:rPr>
        <w:tab/>
        <w:t>before the home building work is commenced.</w:t>
      </w:r>
    </w:p>
    <w:p>
      <w:pPr>
        <w:pStyle w:val="Subsection"/>
        <w:spacing w:before="12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43" w:name="_Toc521487144"/>
      <w:bookmarkStart w:id="44" w:name="_Toc522337172"/>
      <w:bookmarkStart w:id="45" w:name="_Toc527365390"/>
      <w:bookmarkStart w:id="46" w:name="_Toc530458598"/>
      <w:bookmarkStart w:id="47" w:name="_Toc530460460"/>
      <w:bookmarkStart w:id="48" w:name="_Toc103066987"/>
      <w:r>
        <w:rPr>
          <w:rStyle w:val="CharSectno"/>
        </w:rPr>
        <w:t>6</w:t>
      </w:r>
      <w:r>
        <w:rPr>
          <w:snapToGrid w:val="0"/>
        </w:rPr>
        <w:t>.</w:t>
      </w:r>
      <w:r>
        <w:rPr>
          <w:snapToGrid w:val="0"/>
        </w:rPr>
        <w:tab/>
        <w:t>Proof of receipt of documents</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49" w:name="_Toc521487145"/>
      <w:bookmarkStart w:id="50" w:name="_Toc522337173"/>
      <w:bookmarkStart w:id="51" w:name="_Toc527365391"/>
      <w:bookmarkStart w:id="52" w:name="_Toc530458599"/>
      <w:bookmarkStart w:id="53" w:name="_Toc530460461"/>
      <w:bookmarkStart w:id="54" w:name="_Toc103066988"/>
      <w:r>
        <w:rPr>
          <w:rStyle w:val="CharSectno"/>
        </w:rPr>
        <w:t>7</w:t>
      </w:r>
      <w:r>
        <w:rPr>
          <w:snapToGrid w:val="0"/>
        </w:rPr>
        <w:t>.</w:t>
      </w:r>
      <w:r>
        <w:rPr>
          <w:snapToGrid w:val="0"/>
        </w:rPr>
        <w:tab/>
        <w:t>Variation of contract</w:t>
      </w:r>
      <w:bookmarkEnd w:id="49"/>
      <w:bookmarkEnd w:id="50"/>
      <w:bookmarkEnd w:id="51"/>
      <w:bookmarkEnd w:id="52"/>
      <w:bookmarkEnd w:id="53"/>
      <w:bookmarkEnd w:id="54"/>
      <w:r>
        <w:rPr>
          <w:snapToGrid w:val="0"/>
        </w:rPr>
        <w:t> </w:t>
      </w:r>
    </w:p>
    <w:p>
      <w:pPr>
        <w:pStyle w:val="Subsection"/>
        <w:rPr>
          <w:snapToGrid w:val="0"/>
        </w:rPr>
      </w:pPr>
      <w:r>
        <w:rPr>
          <w:snapToGrid w:val="0"/>
        </w:rPr>
        <w:tab/>
        <w:t>(1)</w:t>
      </w:r>
      <w:r>
        <w:rPr>
          <w:snapToGrid w:val="0"/>
        </w:rPr>
        <w:tab/>
        <w:t>A variation of a contract — </w:t>
      </w:r>
    </w:p>
    <w:p>
      <w:pPr>
        <w:pStyle w:val="Indenta"/>
        <w:rPr>
          <w:snapToGrid w:val="0"/>
        </w:rPr>
      </w:pPr>
      <w:r>
        <w:rPr>
          <w:snapToGrid w:val="0"/>
        </w:rPr>
        <w:tab/>
        <w:t>(a)</w:t>
      </w:r>
      <w:r>
        <w:rPr>
          <w:snapToGrid w:val="0"/>
        </w:rPr>
        <w:tab/>
        <w:t>must be in writing —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b/>
          <w:snapToGrid w:val="0"/>
        </w:rPr>
        <w:t>“</w:t>
      </w:r>
      <w:r>
        <w:rPr>
          <w:rStyle w:val="CharDefText"/>
        </w:rPr>
        <w:t>contract</w:t>
      </w:r>
      <w:r>
        <w:rPr>
          <w:b/>
          <w:snapToGrid w:val="0"/>
        </w:rPr>
        <w:t>”</w:t>
      </w:r>
      <w:r>
        <w:rPr>
          <w:snapToGrid w:val="0"/>
        </w:rPr>
        <w:t xml:space="preserve"> includes any previous variation of the contract.</w:t>
      </w:r>
    </w:p>
    <w:p>
      <w:pPr>
        <w:pStyle w:val="Heading5"/>
        <w:rPr>
          <w:snapToGrid w:val="0"/>
        </w:rPr>
      </w:pPr>
      <w:bookmarkStart w:id="55" w:name="_Toc521487146"/>
      <w:bookmarkStart w:id="56" w:name="_Toc522337174"/>
      <w:bookmarkStart w:id="57" w:name="_Toc527365392"/>
      <w:bookmarkStart w:id="58" w:name="_Toc530458600"/>
      <w:bookmarkStart w:id="59" w:name="_Toc530460462"/>
      <w:bookmarkStart w:id="60" w:name="_Toc103066989"/>
      <w:r>
        <w:rPr>
          <w:rStyle w:val="CharSectno"/>
        </w:rPr>
        <w:t>8</w:t>
      </w:r>
      <w:r>
        <w:rPr>
          <w:snapToGrid w:val="0"/>
        </w:rPr>
        <w:t>.</w:t>
      </w:r>
      <w:r>
        <w:rPr>
          <w:snapToGrid w:val="0"/>
        </w:rPr>
        <w:tab/>
        <w:t>Exceptions to section 7 and related provisions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Section 7(1) and (2) does not apply to a variation of a contract that is made necessary by — </w:t>
      </w:r>
    </w:p>
    <w:p>
      <w:pPr>
        <w:pStyle w:val="Indenta"/>
        <w:rPr>
          <w:snapToGrid w:val="0"/>
        </w:rPr>
      </w:pPr>
      <w:r>
        <w:rPr>
          <w:snapToGrid w:val="0"/>
        </w:rPr>
        <w:tab/>
        <w:t>(a)</w:t>
      </w:r>
      <w:r>
        <w:rPr>
          <w:snapToGrid w:val="0"/>
        </w:rPr>
        <w:tab/>
        <w:t>any written direction lawfully given by a building surveyor or other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rPr>
          <w:snapToGrid w:val="0"/>
        </w:rPr>
      </w:pPr>
      <w:r>
        <w:rPr>
          <w:snapToGrid w:val="0"/>
        </w:rPr>
        <w:tab/>
        <w:t>(3)</w:t>
      </w:r>
      <w:r>
        <w:rPr>
          <w:snapToGrid w:val="0"/>
        </w:rPr>
        <w:tab/>
        <w:t>Where a statement is given to the owner by the builder for the purposes of paragraph (b) of subsection (1) and the owner considers that the variation is not one to which that subsection applies the owner cannot apply for relief in that respect under section 17 unless, notwithstanding subsection (2) of that section, he or she makes the application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Subsection"/>
        <w:rPr>
          <w:snapToGrid w:val="0"/>
        </w:rPr>
      </w:pPr>
      <w:r>
        <w:rPr>
          <w:snapToGrid w:val="0"/>
        </w:rPr>
        <w:tab/>
        <w:t>(5)</w:t>
      </w:r>
      <w:r>
        <w:rPr>
          <w:snapToGrid w:val="0"/>
        </w:rPr>
        <w:tab/>
        <w:t>In subsection (1)(a) — </w:t>
      </w:r>
    </w:p>
    <w:p>
      <w:pPr>
        <w:pStyle w:val="Defstart"/>
      </w:pPr>
      <w:r>
        <w:rPr>
          <w:b/>
        </w:rPr>
        <w:tab/>
        <w:t>“</w:t>
      </w:r>
      <w:r>
        <w:rPr>
          <w:rStyle w:val="CharDefText"/>
        </w:rPr>
        <w:t>building surveyor</w:t>
      </w:r>
      <w:r>
        <w:rPr>
          <w:b/>
        </w:rPr>
        <w:t>”</w:t>
      </w:r>
      <w:r>
        <w:t xml:space="preserve"> means the employee of the local government who exercises the powers of building surveyor in the local government district.</w:t>
      </w:r>
    </w:p>
    <w:p>
      <w:pPr>
        <w:pStyle w:val="Footnotesection"/>
      </w:pPr>
      <w:r>
        <w:tab/>
        <w:t xml:space="preserve">[Section 8 amended by No. 14 of 1996 s. 4; No. 76 of 2000 s. 46.] </w:t>
      </w:r>
    </w:p>
    <w:p>
      <w:pPr>
        <w:pStyle w:val="Heading5"/>
        <w:rPr>
          <w:snapToGrid w:val="0"/>
        </w:rPr>
      </w:pPr>
      <w:bookmarkStart w:id="61" w:name="_Toc521487147"/>
      <w:bookmarkStart w:id="62" w:name="_Toc522337175"/>
      <w:bookmarkStart w:id="63" w:name="_Toc527365393"/>
      <w:bookmarkStart w:id="64" w:name="_Toc530458601"/>
      <w:bookmarkStart w:id="65" w:name="_Toc530460463"/>
      <w:bookmarkStart w:id="66" w:name="_Toc103066990"/>
      <w:r>
        <w:rPr>
          <w:rStyle w:val="CharSectno"/>
        </w:rPr>
        <w:t>9</w:t>
      </w:r>
      <w:r>
        <w:rPr>
          <w:snapToGrid w:val="0"/>
        </w:rPr>
        <w:t>.</w:t>
      </w:r>
      <w:r>
        <w:rPr>
          <w:snapToGrid w:val="0"/>
        </w:rPr>
        <w:tab/>
        <w:t>Implied conditions as to necessary approvals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Subject to subsection (5) every contract is conditional upon — </w:t>
      </w:r>
    </w:p>
    <w:p>
      <w:pPr>
        <w:pStyle w:val="Indenta"/>
        <w:rPr>
          <w:snapToGrid w:val="0"/>
        </w:rPr>
      </w:pPr>
      <w:r>
        <w:rPr>
          <w:snapToGrid w:val="0"/>
        </w:rPr>
        <w:tab/>
        <w:t>(a)</w:t>
      </w:r>
      <w:r>
        <w:rPr>
          <w:snapToGrid w:val="0"/>
        </w:rPr>
        <w:tab/>
      </w:r>
      <w:r>
        <w:rPr>
          <w:snapToGrid w:val="0"/>
          <w:spacing w:val="-4"/>
        </w:rPr>
        <w:t>a building licence being issued, in respect of the home building work included in the contract, within 45 working days from the date of the contract;</w:t>
      </w:r>
    </w:p>
    <w:p>
      <w:pPr>
        <w:pStyle w:val="Indenta"/>
        <w:rPr>
          <w:snapToGrid w:val="0"/>
        </w:rPr>
      </w:pPr>
      <w:r>
        <w:rPr>
          <w:snapToGrid w:val="0"/>
        </w:rPr>
        <w:tab/>
        <w:t>(b)</w:t>
      </w:r>
      <w:r>
        <w:rPr>
          <w:snapToGrid w:val="0"/>
        </w:rPr>
        <w:tab/>
      </w:r>
      <w:r>
        <w:t>where a condition is attached to the licence which will result in a variation of the contract, the owner and the builder acknowledging in writing within that period that each of them accepts that condition;</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rPr>
          <w:spacing w:val="-4"/>
        </w:rPr>
        <w:t xml:space="preserve">where a direction is given under the Water Act by the Water Corporation (established by the </w:t>
      </w:r>
      <w:r>
        <w:rPr>
          <w:i/>
          <w:spacing w:val="-4"/>
        </w:rPr>
        <w:t>Water Corporation Act 1995</w:t>
      </w:r>
      <w:r>
        <w:rPr>
          <w:spacing w:val="-4"/>
        </w:rP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 </w:t>
      </w:r>
    </w:p>
    <w:p>
      <w:pPr>
        <w:pStyle w:val="Indenta"/>
        <w:rPr>
          <w:snapToGrid w:val="0"/>
        </w:rPr>
      </w:pPr>
      <w:r>
        <w:rPr>
          <w:snapToGrid w:val="0"/>
        </w:rPr>
        <w:tab/>
        <w:t>(a)</w:t>
      </w:r>
      <w:r>
        <w:rPr>
          <w:snapToGrid w:val="0"/>
        </w:rPr>
        <w:tab/>
        <w:t>the builder will —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spacing w:before="120"/>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spacing w:before="120"/>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spacing w:before="120"/>
        <w:rPr>
          <w:snapToGrid w:val="0"/>
        </w:rPr>
      </w:pPr>
      <w:r>
        <w:rPr>
          <w:snapToGrid w:val="0"/>
        </w:rPr>
        <w:tab/>
        <w:t>(5)</w:t>
      </w:r>
      <w:r>
        <w:rPr>
          <w:snapToGrid w:val="0"/>
        </w:rPr>
        <w:tab/>
        <w:t>A condition referred to in a paragraph of subsection (1) does not apply to a contract — </w:t>
      </w:r>
    </w:p>
    <w:p>
      <w:pPr>
        <w:pStyle w:val="Indenta"/>
        <w:spacing w:before="60"/>
        <w:rPr>
          <w:snapToGrid w:val="0"/>
        </w:rPr>
      </w:pPr>
      <w:r>
        <w:rPr>
          <w:snapToGrid w:val="0"/>
        </w:rPr>
        <w:tab/>
        <w:t>(a)</w:t>
      </w:r>
      <w:r>
        <w:rPr>
          <w:snapToGrid w:val="0"/>
        </w:rPr>
        <w:tab/>
        <w:t>to the extent that the subject matter of the condition was completed before the contract was entered into;</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spacing w:before="120"/>
        <w:rPr>
          <w:snapToGrid w:val="0"/>
        </w:rPr>
      </w:pPr>
      <w:r>
        <w:rPr>
          <w:snapToGrid w:val="0"/>
        </w:rPr>
        <w:tab/>
        <w:t>(6)</w:t>
      </w:r>
      <w:r>
        <w:rPr>
          <w:snapToGrid w:val="0"/>
        </w:rPr>
        <w:tab/>
        <w:t>In this section </w:t>
      </w:r>
      <w:r>
        <w:rPr>
          <w:b/>
          <w:snapToGrid w:val="0"/>
        </w:rPr>
        <w:t>“</w:t>
      </w:r>
      <w:r>
        <w:rPr>
          <w:rStyle w:val="CharDefText"/>
        </w:rPr>
        <w:t>the Water Act</w:t>
      </w:r>
      <w:r>
        <w:rPr>
          <w:b/>
          <w:snapToGrid w:val="0"/>
        </w:rPr>
        <w: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80"/>
        <w:ind w:left="890" w:hanging="890"/>
        <w:rPr>
          <w:spacing w:val="-4"/>
        </w:rPr>
      </w:pPr>
      <w:r>
        <w:rPr>
          <w:spacing w:val="-4"/>
        </w:rPr>
        <w:tab/>
        <w:t xml:space="preserve">[Section 9 amended by No. 73 of 1995 s. 188; No. 14 of 1996 s. 4; No. 76 of 2000 s. 47; No. 37 of 2002 s. 6.] </w:t>
      </w:r>
    </w:p>
    <w:p>
      <w:pPr>
        <w:pStyle w:val="Heading5"/>
        <w:spacing w:before="240"/>
        <w:rPr>
          <w:snapToGrid w:val="0"/>
        </w:rPr>
      </w:pPr>
      <w:bookmarkStart w:id="67" w:name="_Toc521487148"/>
      <w:bookmarkStart w:id="68" w:name="_Toc522337176"/>
      <w:bookmarkStart w:id="69" w:name="_Toc527365394"/>
      <w:bookmarkStart w:id="70" w:name="_Toc530458602"/>
      <w:bookmarkStart w:id="71" w:name="_Toc530460464"/>
      <w:bookmarkStart w:id="72" w:name="_Toc103066991"/>
      <w:r>
        <w:rPr>
          <w:rStyle w:val="CharSectno"/>
        </w:rPr>
        <w:t>10</w:t>
      </w:r>
      <w:r>
        <w:rPr>
          <w:snapToGrid w:val="0"/>
        </w:rPr>
        <w:t>.</w:t>
      </w:r>
      <w:r>
        <w:rPr>
          <w:snapToGrid w:val="0"/>
        </w:rPr>
        <w:tab/>
        <w:t>Deposits and progress payments</w:t>
      </w:r>
      <w:bookmarkEnd w:id="67"/>
      <w:bookmarkEnd w:id="68"/>
      <w:bookmarkEnd w:id="69"/>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A builder must not enter into a contract which provides that the builder is entitled to demand or receive from the owner any payment — </w:t>
      </w:r>
    </w:p>
    <w:p>
      <w:pPr>
        <w:pStyle w:val="Indenta"/>
        <w:spacing w:before="60"/>
        <w:rPr>
          <w:snapToGrid w:val="0"/>
        </w:rPr>
      </w:pPr>
      <w:r>
        <w:rPr>
          <w:snapToGrid w:val="0"/>
        </w:rPr>
        <w:tab/>
        <w:t>(a)</w:t>
      </w:r>
      <w:r>
        <w:rPr>
          <w:snapToGrid w:val="0"/>
        </w:rPr>
        <w:tab/>
        <w:t>before the commencement of the home building work to which the contract relates unless the payment is — </w:t>
      </w:r>
    </w:p>
    <w:p>
      <w:pPr>
        <w:pStyle w:val="Indenti"/>
        <w:spacing w:before="60"/>
        <w:rPr>
          <w:snapToGrid w:val="0"/>
        </w:rPr>
      </w:pPr>
      <w:r>
        <w:rPr>
          <w:snapToGrid w:val="0"/>
        </w:rPr>
        <w:tab/>
        <w:t>(i)</w:t>
      </w:r>
      <w:r>
        <w:rPr>
          <w:snapToGrid w:val="0"/>
        </w:rPr>
        <w:tab/>
        <w:t>a deposit of not more than 6.5% of the total amount payable to the builder under the contract for the home building work; or</w:t>
      </w:r>
    </w:p>
    <w:p>
      <w:pPr>
        <w:pStyle w:val="Indenti"/>
        <w:spacing w:before="60"/>
        <w:rPr>
          <w:snapToGrid w:val="0"/>
        </w:rPr>
      </w:pPr>
      <w:r>
        <w:rPr>
          <w:snapToGrid w:val="0"/>
        </w:rPr>
        <w:tab/>
        <w:t>(ii)</w:t>
      </w:r>
      <w:r>
        <w:rPr>
          <w:snapToGrid w:val="0"/>
        </w:rPr>
        <w:tab/>
        <w:t>of a prescribed kind;</w:t>
      </w:r>
    </w:p>
    <w:p>
      <w:pPr>
        <w:pStyle w:val="Indenta"/>
        <w:spacing w:before="100"/>
        <w:rPr>
          <w:snapToGrid w:val="0"/>
        </w:rPr>
      </w:pPr>
      <w:r>
        <w:rPr>
          <w:snapToGrid w:val="0"/>
        </w:rPr>
        <w:tab/>
        <w:t>(b)</w:t>
      </w:r>
      <w:r>
        <w:rPr>
          <w:snapToGrid w:val="0"/>
        </w:rPr>
        <w:tab/>
        <w:t>after the commencement of the home building work unless the payment is — </w:t>
      </w:r>
    </w:p>
    <w:p>
      <w:pPr>
        <w:pStyle w:val="Indenti"/>
        <w:spacing w:before="60"/>
        <w:rPr>
          <w:snapToGrid w:val="0"/>
        </w:rPr>
      </w:pPr>
      <w:r>
        <w:rPr>
          <w:snapToGrid w:val="0"/>
        </w:rPr>
        <w:tab/>
        <w:t>(i)</w:t>
      </w:r>
      <w:r>
        <w:rPr>
          <w:snapToGrid w:val="0"/>
        </w:rPr>
        <w:tab/>
        <w:t>a genuine progress payment for work already performed or materials or services already supplied; or</w:t>
      </w:r>
    </w:p>
    <w:p>
      <w:pPr>
        <w:pStyle w:val="Indenti"/>
        <w:spacing w:before="60"/>
        <w:rPr>
          <w:snapToGrid w:val="0"/>
        </w:rPr>
      </w:pPr>
      <w:r>
        <w:rPr>
          <w:snapToGrid w:val="0"/>
        </w:rPr>
        <w:tab/>
        <w:t>(ii)</w:t>
      </w:r>
      <w:r>
        <w:rPr>
          <w:snapToGrid w:val="0"/>
        </w:rPr>
        <w:tab/>
        <w:t>is of a prescribed kind.</w:t>
      </w:r>
    </w:p>
    <w:p>
      <w:pPr>
        <w:pStyle w:val="Penstart"/>
        <w:spacing w:before="120"/>
        <w:rPr>
          <w:snapToGrid w:val="0"/>
        </w:rPr>
      </w:pPr>
      <w:r>
        <w:rPr>
          <w:snapToGrid w:val="0"/>
        </w:rPr>
        <w:tab/>
        <w:t>Penalty: $10 000.</w:t>
      </w:r>
    </w:p>
    <w:p>
      <w:pPr>
        <w:pStyle w:val="Subsection"/>
        <w:spacing w:before="12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spacing w:before="120"/>
        <w:rPr>
          <w:snapToGrid w:val="0"/>
        </w:rPr>
      </w:pPr>
      <w:bookmarkStart w:id="73" w:name="_Toc521487149"/>
      <w:bookmarkStart w:id="74" w:name="_Toc522337177"/>
      <w:bookmarkStart w:id="75" w:name="_Toc527365395"/>
      <w:bookmarkStart w:id="76" w:name="_Toc530458603"/>
      <w:bookmarkStart w:id="77" w:name="_Toc530460465"/>
      <w:bookmarkStart w:id="78" w:name="_Toc103066992"/>
      <w:r>
        <w:rPr>
          <w:rStyle w:val="CharSectno"/>
        </w:rPr>
        <w:t>11</w:t>
      </w:r>
      <w:r>
        <w:rPr>
          <w:snapToGrid w:val="0"/>
        </w:rPr>
        <w:t>.</w:t>
      </w:r>
      <w:r>
        <w:rPr>
          <w:snapToGrid w:val="0"/>
        </w:rPr>
        <w:tab/>
        <w:t>Minimum defects liability period</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defect</w:t>
      </w:r>
      <w:r>
        <w:rPr>
          <w:b/>
        </w:rPr>
        <w:t>”</w:t>
      </w:r>
      <w:r>
        <w:t xml:space="preserve"> means a failure —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r>
      <w:r>
        <w:tab/>
        <w:t>not being a failure for which the builder is specifically declared by the contract to be not liable;</w:t>
      </w:r>
    </w:p>
    <w:p>
      <w:pPr>
        <w:pStyle w:val="Defstart"/>
      </w:pPr>
      <w:r>
        <w:rPr>
          <w:b/>
        </w:rPr>
        <w:tab/>
        <w:t>“</w:t>
      </w:r>
      <w:r>
        <w:rPr>
          <w:rStyle w:val="CharDefText"/>
        </w:rPr>
        <w:t>practical completion</w:t>
      </w:r>
      <w:r>
        <w:rPr>
          <w:b/>
        </w:rPr>
        <w:t>”</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spacing w:before="120"/>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79" w:name="_Toc521487150"/>
      <w:bookmarkStart w:id="80" w:name="_Toc522337178"/>
      <w:bookmarkStart w:id="81" w:name="_Toc527365396"/>
      <w:bookmarkStart w:id="82" w:name="_Toc530458604"/>
      <w:bookmarkStart w:id="83" w:name="_Toc530460466"/>
      <w:bookmarkStart w:id="84" w:name="_Toc103066993"/>
      <w:r>
        <w:rPr>
          <w:rStyle w:val="CharSectno"/>
        </w:rPr>
        <w:t>12</w:t>
      </w:r>
      <w:r>
        <w:rPr>
          <w:snapToGrid w:val="0"/>
        </w:rPr>
        <w:t>.</w:t>
      </w:r>
      <w:r>
        <w:rPr>
          <w:snapToGrid w:val="0"/>
        </w:rPr>
        <w:tab/>
        <w:t>Understatement of prime cost items etc.</w:t>
      </w:r>
      <w:bookmarkEnd w:id="79"/>
      <w:bookmarkEnd w:id="80"/>
      <w:bookmarkEnd w:id="81"/>
      <w:bookmarkEnd w:id="82"/>
      <w:bookmarkEnd w:id="83"/>
      <w:bookmarkEnd w:id="84"/>
      <w:r>
        <w:rPr>
          <w:snapToGrid w:val="0"/>
        </w:rPr>
        <w:t xml:space="preserve"> </w:t>
      </w:r>
    </w:p>
    <w:p>
      <w:pPr>
        <w:pStyle w:val="Subsection"/>
        <w:spacing w:before="120"/>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85" w:name="_Toc521487151"/>
      <w:bookmarkStart w:id="86" w:name="_Toc522337179"/>
      <w:bookmarkStart w:id="87" w:name="_Toc527365397"/>
      <w:bookmarkStart w:id="88" w:name="_Toc530458605"/>
      <w:bookmarkStart w:id="89" w:name="_Toc530460467"/>
      <w:bookmarkStart w:id="90" w:name="_Toc103066994"/>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85"/>
      <w:bookmarkEnd w:id="86"/>
      <w:bookmarkEnd w:id="87"/>
      <w:bookmarkEnd w:id="88"/>
      <w:bookmarkEnd w:id="89"/>
      <w:bookmarkEnd w:id="90"/>
      <w:r>
        <w:rPr>
          <w:snapToGrid w:val="0"/>
        </w:rPr>
        <w:t xml:space="preserve"> </w:t>
      </w:r>
    </w:p>
    <w:p>
      <w:pPr>
        <w:pStyle w:val="Subsection"/>
        <w:spacing w:before="120"/>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spacing w:before="120"/>
        <w:rPr>
          <w:snapToGrid w:val="0"/>
        </w:rPr>
      </w:pPr>
      <w:r>
        <w:rPr>
          <w:snapToGrid w:val="0"/>
        </w:rPr>
        <w:tab/>
        <w:t>(3)</w:t>
      </w:r>
      <w:r>
        <w:rPr>
          <w:snapToGrid w:val="0"/>
        </w:rPr>
        <w:tab/>
        <w:t>In this section </w:t>
      </w:r>
      <w:r>
        <w:rPr>
          <w:b/>
          <w:snapToGrid w:val="0"/>
        </w:rPr>
        <w:t>“</w:t>
      </w:r>
      <w:r>
        <w:rPr>
          <w:rStyle w:val="CharDefText"/>
        </w:rPr>
        <w:t>rise</w:t>
      </w:r>
      <w:r>
        <w:rPr>
          <w:rStyle w:val="CharDefText"/>
        </w:rPr>
        <w:noBreakHyphen/>
        <w:t>and</w:t>
      </w:r>
      <w:r>
        <w:rPr>
          <w:rStyle w:val="CharDefText"/>
        </w:rPr>
        <w:noBreakHyphen/>
        <w:t>fall clause</w:t>
      </w:r>
      <w:r>
        <w:rPr>
          <w:b/>
          <w:snapToGrid w:val="0"/>
        </w:rPr>
        <w:t>”</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spacing w:before="120"/>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 </w:t>
      </w:r>
    </w:p>
    <w:p>
      <w:pPr>
        <w:pStyle w:val="Indenta"/>
        <w:rPr>
          <w:snapToGrid w:val="0"/>
        </w:rPr>
      </w:pPr>
      <w:r>
        <w:rPr>
          <w:snapToGrid w:val="0"/>
        </w:rPr>
        <w:tab/>
        <w:t>(a)</w:t>
      </w:r>
      <w:r>
        <w:rPr>
          <w:snapToGrid w:val="0"/>
        </w:rPr>
        <w:tab/>
        <w:t>as a direct consequence of a written law of the State or the Commonwealth;</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snapToGrid w:val="0"/>
          <w:spacing w:val="-6"/>
        </w:rPr>
      </w:pPr>
      <w:r>
        <w:rPr>
          <w:snapToGrid w:val="0"/>
          <w:spacing w:val="-6"/>
        </w:rPr>
        <w:tab/>
        <w:t>(5)</w:t>
      </w:r>
      <w:r>
        <w:rPr>
          <w:snapToGrid w:val="0"/>
          <w:spacing w:val="-6"/>
        </w:rPr>
        <w:tab/>
        <w:t>Where subsection (4)(c) applies the consequences to, and the rights and remedies of, the parties are as set out in clauses 4 and 5 of Schedule 1.</w:t>
      </w:r>
    </w:p>
    <w:p>
      <w:pPr>
        <w:pStyle w:val="Heading5"/>
        <w:rPr>
          <w:snapToGrid w:val="0"/>
        </w:rPr>
      </w:pPr>
      <w:bookmarkStart w:id="91" w:name="_Toc521487152"/>
      <w:bookmarkStart w:id="92" w:name="_Toc522337180"/>
      <w:bookmarkStart w:id="93" w:name="_Toc527365398"/>
      <w:bookmarkStart w:id="94" w:name="_Toc530458606"/>
      <w:bookmarkStart w:id="95" w:name="_Toc530460468"/>
      <w:bookmarkStart w:id="96" w:name="_Toc103066995"/>
      <w:r>
        <w:rPr>
          <w:rStyle w:val="CharSectno"/>
        </w:rPr>
        <w:t>14</w:t>
      </w:r>
      <w:r>
        <w:rPr>
          <w:snapToGrid w:val="0"/>
        </w:rPr>
        <w:t>.</w:t>
      </w:r>
      <w:r>
        <w:rPr>
          <w:snapToGrid w:val="0"/>
        </w:rPr>
        <w:tab/>
        <w:t>Cost plus contracts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a cost plus contract that comes within paragraph (b) of the definition of “home building work contract”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97" w:name="_Toc521487153"/>
      <w:bookmarkStart w:id="98" w:name="_Toc522337181"/>
      <w:bookmarkStart w:id="99" w:name="_Toc527365399"/>
      <w:bookmarkStart w:id="100" w:name="_Toc530458607"/>
      <w:bookmarkStart w:id="101" w:name="_Toc530460469"/>
      <w:bookmarkStart w:id="102" w:name="_Toc103066996"/>
      <w:r>
        <w:rPr>
          <w:rStyle w:val="CharSectno"/>
        </w:rPr>
        <w:t>15</w:t>
      </w:r>
      <w:r>
        <w:rPr>
          <w:snapToGrid w:val="0"/>
        </w:rPr>
        <w:t>.</w:t>
      </w:r>
      <w:r>
        <w:rPr>
          <w:snapToGrid w:val="0"/>
        </w:rPr>
        <w:tab/>
        <w:t>Conduct or terms of contract that are unconscionable etc.</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builder must not —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 </w:t>
      </w:r>
    </w:p>
    <w:p>
      <w:pPr>
        <w:pStyle w:val="Indenta"/>
        <w:rPr>
          <w:snapToGrid w:val="0"/>
        </w:rPr>
      </w:pPr>
      <w:r>
        <w:rPr>
          <w:snapToGrid w:val="0"/>
        </w:rPr>
        <w:tab/>
        <w:t>(a)</w:t>
      </w:r>
      <w:r>
        <w:rPr>
          <w:snapToGrid w:val="0"/>
        </w:rPr>
        <w:tab/>
        <w:t>the relative strengths of the bargaining positions of the builder and the owner;</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Disputes Tribunal may approve a form of contract submitted to it for its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This section is enforceable under section 21 and not otherwise.</w:t>
      </w:r>
    </w:p>
    <w:p>
      <w:pPr>
        <w:pStyle w:val="Footnotesection"/>
      </w:pPr>
      <w:r>
        <w:tab/>
        <w:t>[Section 15 amended by No. 76 of 2000 s. 50 and 57; No. 37 of 2002 s. 20.]</w:t>
      </w:r>
    </w:p>
    <w:p>
      <w:pPr>
        <w:pStyle w:val="Heading5"/>
      </w:pPr>
      <w:bookmarkStart w:id="103" w:name="_Toc521487154"/>
      <w:bookmarkStart w:id="104" w:name="_Toc522337182"/>
      <w:bookmarkStart w:id="105" w:name="_Toc527365400"/>
      <w:bookmarkStart w:id="106" w:name="_Toc530458608"/>
      <w:bookmarkStart w:id="107" w:name="_Toc530460470"/>
      <w:bookmarkStart w:id="108" w:name="_Toc103066997"/>
      <w:r>
        <w:rPr>
          <w:rStyle w:val="CharSectno"/>
        </w:rPr>
        <w:t>15A</w:t>
      </w:r>
      <w:r>
        <w:t>.</w:t>
      </w:r>
      <w:r>
        <w:tab/>
        <w:t>Misleading or deceptive conduct</w:t>
      </w:r>
      <w:bookmarkEnd w:id="103"/>
      <w:bookmarkEnd w:id="104"/>
      <w:bookmarkEnd w:id="105"/>
      <w:bookmarkEnd w:id="106"/>
      <w:bookmarkEnd w:id="107"/>
      <w:bookmarkEnd w:id="108"/>
    </w:p>
    <w:p>
      <w:pPr>
        <w:pStyle w:val="Subsection"/>
      </w:pPr>
      <w:r>
        <w:tab/>
      </w:r>
      <w:r>
        <w:tab/>
        <w:t>A person who is a builder or an owner must not, in connection with —</w:t>
      </w:r>
    </w:p>
    <w:p>
      <w:pPr>
        <w:pStyle w:val="Indenta"/>
      </w:pPr>
      <w:r>
        <w:tab/>
        <w:t>(a)</w:t>
      </w:r>
      <w:r>
        <w:tab/>
        <w:t>the formation or execution of a contract;</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109" w:name="_Toc89521542"/>
      <w:bookmarkStart w:id="110" w:name="_Toc89521611"/>
      <w:bookmarkStart w:id="111" w:name="_Toc96246657"/>
      <w:bookmarkStart w:id="112" w:name="_Toc97107126"/>
      <w:bookmarkStart w:id="113" w:name="_Toc102365975"/>
      <w:bookmarkStart w:id="114" w:name="_Toc103066998"/>
      <w:r>
        <w:rPr>
          <w:rStyle w:val="CharPartNo"/>
        </w:rPr>
        <w:t>Part 3</w:t>
      </w:r>
      <w:r>
        <w:rPr>
          <w:rStyle w:val="CharDivNo"/>
        </w:rPr>
        <w:t> </w:t>
      </w:r>
      <w:r>
        <w:t>—</w:t>
      </w:r>
      <w:r>
        <w:rPr>
          <w:rStyle w:val="CharDivText"/>
        </w:rPr>
        <w:t> </w:t>
      </w:r>
      <w:r>
        <w:rPr>
          <w:rStyle w:val="CharPartText"/>
        </w:rPr>
        <w:t>Remedies</w:t>
      </w:r>
      <w:bookmarkEnd w:id="109"/>
      <w:bookmarkEnd w:id="110"/>
      <w:bookmarkEnd w:id="111"/>
      <w:bookmarkEnd w:id="112"/>
      <w:bookmarkEnd w:id="113"/>
      <w:bookmarkEnd w:id="114"/>
      <w:r>
        <w:rPr>
          <w:rStyle w:val="CharPartText"/>
        </w:rPr>
        <w:t xml:space="preserve"> </w:t>
      </w:r>
    </w:p>
    <w:p>
      <w:pPr>
        <w:pStyle w:val="Heading5"/>
        <w:spacing w:before="120"/>
        <w:rPr>
          <w:snapToGrid w:val="0"/>
        </w:rPr>
      </w:pPr>
      <w:bookmarkStart w:id="115" w:name="_Toc521487155"/>
      <w:bookmarkStart w:id="116" w:name="_Toc522337183"/>
      <w:bookmarkStart w:id="117" w:name="_Toc527365401"/>
      <w:bookmarkStart w:id="118" w:name="_Toc530458609"/>
      <w:bookmarkStart w:id="119" w:name="_Toc530460471"/>
      <w:bookmarkStart w:id="120" w:name="_Toc103066999"/>
      <w:r>
        <w:rPr>
          <w:rStyle w:val="CharSectno"/>
        </w:rPr>
        <w:t>16</w:t>
      </w:r>
      <w:r>
        <w:rPr>
          <w:snapToGrid w:val="0"/>
        </w:rPr>
        <w:t>.</w:t>
      </w:r>
      <w:r>
        <w:rPr>
          <w:snapToGrid w:val="0"/>
        </w:rPr>
        <w:tab/>
        <w:t>Disputes Tribunal’s jurisdiction limited</w:t>
      </w:r>
      <w:bookmarkEnd w:id="115"/>
      <w:bookmarkEnd w:id="116"/>
      <w:bookmarkEnd w:id="117"/>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The Disputes Tribunal does not have jurisdiction under this Part to order — </w:t>
      </w:r>
    </w:p>
    <w:p>
      <w:pPr>
        <w:pStyle w:val="Indenta"/>
        <w:rPr>
          <w:snapToGrid w:val="0"/>
        </w:rPr>
      </w:pPr>
      <w:r>
        <w:rPr>
          <w:snapToGrid w:val="0"/>
        </w:rPr>
        <w:tab/>
        <w:t>(a)</w:t>
      </w:r>
      <w:r>
        <w:rPr>
          <w:snapToGrid w:val="0"/>
        </w:rPr>
        <w:tab/>
        <w:t>any work to be done of a value exceeding the prescribed amount; or</w:t>
      </w:r>
    </w:p>
    <w:p>
      <w:pPr>
        <w:pStyle w:val="Indenta"/>
        <w:rPr>
          <w:snapToGrid w:val="0"/>
        </w:rPr>
      </w:pPr>
      <w:r>
        <w:rPr>
          <w:snapToGrid w:val="0"/>
        </w:rPr>
        <w:tab/>
        <w:t>(b)</w:t>
      </w:r>
      <w:r>
        <w:rPr>
          <w:snapToGrid w:val="0"/>
        </w:rPr>
        <w:tab/>
        <w:t>any amount exceeding the prescribed amount to be paid,</w:t>
      </w:r>
    </w:p>
    <w:p>
      <w:pPr>
        <w:pStyle w:val="Subsection"/>
        <w:spacing w:before="120"/>
        <w:rPr>
          <w:snapToGrid w:val="0"/>
          <w:spacing w:val="-4"/>
        </w:rPr>
      </w:pPr>
      <w:r>
        <w:rPr>
          <w:snapToGrid w:val="0"/>
          <w:spacing w:val="-4"/>
        </w:rPr>
        <w:tab/>
      </w:r>
      <w:r>
        <w:rPr>
          <w:snapToGrid w:val="0"/>
          <w:spacing w:val="-4"/>
        </w:rPr>
        <w:tab/>
        <w:t>unless the party to be bound by the order consents to it being made.</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the prescribed amount</w:t>
      </w:r>
      <w:r>
        <w:rPr>
          <w:b/>
          <w:snapToGrid w:val="0"/>
        </w:rPr>
        <w:t>”</w:t>
      </w:r>
      <w:r>
        <w:rPr>
          <w:snapToGrid w:val="0"/>
        </w:rPr>
        <w:t xml:space="preserve"> is $100 000 or such greater amount as may be prescribed.</w:t>
      </w:r>
    </w:p>
    <w:p>
      <w:pPr>
        <w:pStyle w:val="Footnotesection"/>
        <w:ind w:left="890" w:hanging="890"/>
      </w:pPr>
      <w:r>
        <w:tab/>
        <w:t>[Section 16 amended by No. 76 of 2000 s. 57.]</w:t>
      </w:r>
    </w:p>
    <w:p>
      <w:pPr>
        <w:pStyle w:val="Heading5"/>
        <w:spacing w:before="180"/>
        <w:rPr>
          <w:snapToGrid w:val="0"/>
        </w:rPr>
      </w:pPr>
      <w:bookmarkStart w:id="121" w:name="_Toc521487156"/>
      <w:bookmarkStart w:id="122" w:name="_Toc522337184"/>
      <w:bookmarkStart w:id="123" w:name="_Toc527365402"/>
      <w:bookmarkStart w:id="124" w:name="_Toc530458610"/>
      <w:bookmarkStart w:id="125" w:name="_Toc530460472"/>
      <w:bookmarkStart w:id="126" w:name="_Toc103067000"/>
      <w:r>
        <w:rPr>
          <w:rStyle w:val="CharSectno"/>
        </w:rPr>
        <w:t>17</w:t>
      </w:r>
      <w:r>
        <w:rPr>
          <w:snapToGrid w:val="0"/>
        </w:rPr>
        <w:t>.</w:t>
      </w:r>
      <w:r>
        <w:rPr>
          <w:snapToGrid w:val="0"/>
        </w:rPr>
        <w:tab/>
        <w:t>Applications for relief, and orders</w:t>
      </w:r>
      <w:bookmarkEnd w:id="121"/>
      <w:bookmarkEnd w:id="122"/>
      <w:bookmarkEnd w:id="123"/>
      <w:bookmarkEnd w:id="124"/>
      <w:bookmarkEnd w:id="125"/>
      <w:bookmarkEnd w:id="126"/>
      <w:r>
        <w:rPr>
          <w:snapToGrid w:val="0"/>
        </w:rPr>
        <w:t xml:space="preserve"> </w:t>
      </w:r>
    </w:p>
    <w:p>
      <w:pPr>
        <w:pStyle w:val="Subsection"/>
        <w:spacing w:before="120"/>
        <w:rPr>
          <w:snapToGrid w:val="0"/>
        </w:rPr>
      </w:pPr>
      <w:r>
        <w:rPr>
          <w:snapToGrid w:val="0"/>
        </w:rPr>
        <w:tab/>
        <w:t>(1)</w:t>
      </w:r>
      <w:r>
        <w:rPr>
          <w:snapToGrid w:val="0"/>
        </w:rPr>
        <w:tab/>
        <w:t>Where an owner or a builder under a contract claims that — </w:t>
      </w:r>
    </w:p>
    <w:p>
      <w:pPr>
        <w:pStyle w:val="Indenta"/>
        <w:rPr>
          <w:snapToGrid w:val="0"/>
        </w:rPr>
      </w:pPr>
      <w:r>
        <w:rPr>
          <w:snapToGrid w:val="0"/>
        </w:rPr>
        <w:tab/>
        <w:t>(a)</w:t>
      </w:r>
      <w:r>
        <w:rPr>
          <w:snapToGrid w:val="0"/>
        </w:rPr>
        <w:tab/>
        <w:t>there has been a breach of — </w:t>
      </w:r>
    </w:p>
    <w:p>
      <w:pPr>
        <w:pStyle w:val="Indenti"/>
        <w:rPr>
          <w:snapToGrid w:val="0"/>
        </w:rPr>
      </w:pPr>
      <w:r>
        <w:rPr>
          <w:snapToGrid w:val="0"/>
        </w:rPr>
        <w:tab/>
        <w:t>(i)</w:t>
      </w:r>
      <w:r>
        <w:rPr>
          <w:snapToGrid w:val="0"/>
        </w:rPr>
        <w:tab/>
        <w:t xml:space="preserve">the contract, not being a breach in respect of which an order may be made under section 12A of the </w:t>
      </w:r>
      <w:r>
        <w:rPr>
          <w:i/>
          <w:snapToGrid w:val="0"/>
        </w:rPr>
        <w:t>Builders’ Registration Act 1939</w:t>
      </w:r>
      <w:r>
        <w:rPr>
          <w:snapToGrid w:val="0"/>
        </w:rPr>
        <w:t>; or</w:t>
      </w:r>
    </w:p>
    <w:p>
      <w:pPr>
        <w:pStyle w:val="Indenti"/>
        <w:rPr>
          <w:snapToGrid w:val="0"/>
        </w:rPr>
      </w:pPr>
      <w:r>
        <w:rPr>
          <w:snapToGrid w:val="0"/>
        </w:rPr>
        <w:tab/>
        <w:t>(ii)</w:t>
      </w:r>
      <w:r>
        <w:rPr>
          <w:snapToGrid w:val="0"/>
        </w:rPr>
        <w:tab/>
        <w:t>a provision in Part 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or the builder is entitled to compensation under Schedule 1,</w:t>
      </w:r>
    </w:p>
    <w:p>
      <w:pPr>
        <w:pStyle w:val="Subsection"/>
        <w:spacing w:before="120"/>
        <w:rPr>
          <w:snapToGrid w:val="0"/>
        </w:rPr>
      </w:pPr>
      <w:r>
        <w:rPr>
          <w:snapToGrid w:val="0"/>
        </w:rPr>
        <w:tab/>
      </w:r>
      <w:r>
        <w:rPr>
          <w:snapToGrid w:val="0"/>
        </w:rPr>
        <w:tab/>
        <w:t>he or she may apply to the Disputes Tribunal for relief.</w:t>
      </w:r>
    </w:p>
    <w:p>
      <w:pPr>
        <w:pStyle w:val="Subsection"/>
        <w:spacing w:before="120"/>
        <w:rPr>
          <w:snapToGrid w:val="0"/>
        </w:rPr>
      </w:pPr>
      <w:r>
        <w:rPr>
          <w:snapToGrid w:val="0"/>
        </w:rPr>
        <w:tab/>
        <w:t>(2)</w:t>
      </w:r>
      <w:r>
        <w:rPr>
          <w:snapToGrid w:val="0"/>
        </w:rPr>
        <w:tab/>
        <w:t>An application under subsection (1) cannot be made — </w:t>
      </w:r>
    </w:p>
    <w:p>
      <w:pPr>
        <w:pStyle w:val="Indenta"/>
        <w:rPr>
          <w:snapToGrid w:val="0"/>
        </w:rPr>
      </w:pPr>
      <w:r>
        <w:rPr>
          <w:snapToGrid w:val="0"/>
        </w:rPr>
        <w:tab/>
        <w:t>(a)</w:t>
      </w:r>
      <w:r>
        <w:rPr>
          <w:snapToGrid w:val="0"/>
        </w:rPr>
        <w:tab/>
        <w:t>before the applicant has given to the other party a preliminary notice under subsection (3); or</w:t>
      </w:r>
    </w:p>
    <w:p>
      <w:pPr>
        <w:pStyle w:val="Indenta"/>
        <w:rPr>
          <w:snapToGrid w:val="0"/>
        </w:rPr>
      </w:pPr>
      <w:r>
        <w:rPr>
          <w:snapToGrid w:val="0"/>
        </w:rPr>
        <w:tab/>
        <w:t>(b)</w:t>
      </w:r>
      <w:r>
        <w:rPr>
          <w:snapToGrid w:val="0"/>
        </w:rPr>
        <w:tab/>
        <w:t>after the expiry of 3 years from the time when the cause of action arose.</w:t>
      </w:r>
    </w:p>
    <w:p>
      <w:pPr>
        <w:pStyle w:val="Subsection"/>
        <w:spacing w:before="120"/>
        <w:rPr>
          <w:snapToGrid w:val="0"/>
        </w:rPr>
      </w:pPr>
      <w:r>
        <w:rPr>
          <w:snapToGrid w:val="0"/>
        </w:rPr>
        <w:tab/>
        <w:t>(3)</w:t>
      </w:r>
      <w:r>
        <w:rPr>
          <w:snapToGrid w:val="0"/>
        </w:rPr>
        <w:tab/>
        <w:t>A preliminary notice is a notice in writing</w:t>
      </w:r>
      <w:r>
        <w:t xml:space="preserve"> in the prescribed form</w:t>
      </w:r>
      <w:r>
        <w:rPr>
          <w:snapToGrid w:val="0"/>
        </w:rPr>
        <w:t xml:space="preserve"> setting out the matters of which the intending applicant complains and calling on the other party to — </w:t>
      </w:r>
    </w:p>
    <w:p>
      <w:pPr>
        <w:pStyle w:val="Indenta"/>
        <w:rPr>
          <w:snapToGrid w:val="0"/>
        </w:rPr>
      </w:pPr>
      <w:r>
        <w:rPr>
          <w:snapToGrid w:val="0"/>
        </w:rPr>
        <w:tab/>
        <w:t>(a)</w:t>
      </w:r>
      <w:r>
        <w:rPr>
          <w:snapToGrid w:val="0"/>
        </w:rPr>
        <w:tab/>
        <w:t>rectify them; or</w:t>
      </w:r>
    </w:p>
    <w:p>
      <w:pPr>
        <w:pStyle w:val="Indenta"/>
        <w:rPr>
          <w:snapToGrid w:val="0"/>
        </w:rPr>
      </w:pPr>
      <w:r>
        <w:rPr>
          <w:snapToGrid w:val="0"/>
        </w:rPr>
        <w:tab/>
        <w:t>(b)</w:t>
      </w:r>
      <w:r>
        <w:rPr>
          <w:snapToGrid w:val="0"/>
        </w:rPr>
        <w:tab/>
        <w:t>otherwise attempt to settle any matters that are in dispute.</w:t>
      </w:r>
    </w:p>
    <w:p>
      <w:pPr>
        <w:pStyle w:val="Subsection"/>
        <w:spacing w:before="100"/>
      </w:pPr>
      <w:r>
        <w:tab/>
        <w:t>(3a)</w:t>
      </w:r>
      <w:r>
        <w:tab/>
        <w:t>A copy of the preliminary notice is to be given to the Disputes Tribunal at the time an application is made under subsection (1).</w:t>
      </w:r>
    </w:p>
    <w:p>
      <w:pPr>
        <w:pStyle w:val="Subsection"/>
        <w:spacing w:before="100"/>
        <w:rPr>
          <w:snapToGrid w:val="0"/>
        </w:rPr>
      </w:pPr>
      <w:r>
        <w:rPr>
          <w:snapToGrid w:val="0"/>
        </w:rPr>
        <w:tab/>
        <w:t>(4)</w:t>
      </w:r>
      <w:r>
        <w:rPr>
          <w:snapToGrid w:val="0"/>
        </w:rPr>
        <w:tab/>
        <w:t>Upon the making of an application under subsection (1) the Disputes Tribunal may — </w:t>
      </w:r>
    </w:p>
    <w:p>
      <w:pPr>
        <w:pStyle w:val="Indenta"/>
        <w:rPr>
          <w:snapToGrid w:val="0"/>
        </w:rPr>
      </w:pPr>
      <w:r>
        <w:rPr>
          <w:snapToGrid w:val="0"/>
        </w:rPr>
        <w:tab/>
        <w:t>(a)</w:t>
      </w:r>
      <w:r>
        <w:rPr>
          <w:snapToGrid w:val="0"/>
        </w:rPr>
        <w:tab/>
        <w:t xml:space="preserve">by such order as it considers appropriate in the circumstances — </w:t>
      </w:r>
    </w:p>
    <w:p>
      <w:pPr>
        <w:pStyle w:val="Indenti"/>
        <w:rPr>
          <w:snapToGrid w:val="0"/>
        </w:rPr>
      </w:pPr>
      <w:r>
        <w:rPr>
          <w:snapToGrid w:val="0"/>
        </w:rPr>
        <w:tab/>
        <w:t>(i)</w:t>
      </w:r>
      <w:r>
        <w:rPr>
          <w:snapToGrid w:val="0"/>
        </w:rPr>
        <w:tab/>
        <w:t>restrain any action in breach of the contract or of a provision in Part 2; or</w:t>
      </w:r>
    </w:p>
    <w:p>
      <w:pPr>
        <w:pStyle w:val="Indenti"/>
        <w:rPr>
          <w:snapToGrid w:val="0"/>
        </w:rPr>
      </w:pPr>
      <w:r>
        <w:rPr>
          <w:snapToGrid w:val="0"/>
        </w:rPr>
        <w:tab/>
        <w:t>(ii)</w:t>
      </w:r>
      <w:r>
        <w:rPr>
          <w:snapToGrid w:val="0"/>
        </w:rPr>
        <w:tab/>
        <w:t>require any work to be done in performance of the contract or to ensure compliance with a provision of Part 2 or to remedy a breach of the contract or of a provision of Part 2;</w:t>
      </w:r>
    </w:p>
    <w:p>
      <w:pPr>
        <w:pStyle w:val="Indenta"/>
        <w:rPr>
          <w:snapToGrid w:val="0"/>
        </w:rPr>
      </w:pPr>
      <w:r>
        <w:rPr>
          <w:snapToGrid w:val="0"/>
        </w:rPr>
        <w:tab/>
        <w:t>(b)</w:t>
      </w:r>
      <w:r>
        <w:rPr>
          <w:snapToGrid w:val="0"/>
        </w:rPr>
        <w:tab/>
        <w:t>order the payment of any amount payable under the contract;</w:t>
      </w:r>
    </w:p>
    <w:p>
      <w:pPr>
        <w:pStyle w:val="Indenta"/>
        <w:spacing w:before="60"/>
      </w:pPr>
      <w:r>
        <w:tab/>
        <w:t>(ba)</w:t>
      </w:r>
      <w:r>
        <w:tab/>
        <w:t xml:space="preserve">by order declare that an amount is not payable to a person under the contract and, if already paid, order the repayment of that </w:t>
      </w:r>
      <w:r>
        <w:rPr>
          <w:snapToGrid w:val="0"/>
        </w:rPr>
        <w:t>amount</w:t>
      </w:r>
      <w:r>
        <w:t>;</w:t>
      </w:r>
    </w:p>
    <w:p>
      <w:pPr>
        <w:pStyle w:val="Indenta"/>
        <w:spacing w:before="60"/>
        <w:rPr>
          <w:snapToGrid w:val="0"/>
        </w:rPr>
      </w:pPr>
      <w:r>
        <w:rPr>
          <w:snapToGrid w:val="0"/>
        </w:rPr>
        <w:tab/>
        <w:t>(c)</w:t>
      </w:r>
      <w:r>
        <w:rPr>
          <w:snapToGrid w:val="0"/>
        </w:rPr>
        <w:tab/>
        <w:t>order the payment of compensation for loss or damage — </w:t>
      </w:r>
    </w:p>
    <w:p>
      <w:pPr>
        <w:pStyle w:val="Indenti"/>
        <w:rPr>
          <w:snapToGrid w:val="0"/>
        </w:rPr>
      </w:pPr>
      <w:r>
        <w:rPr>
          <w:snapToGrid w:val="0"/>
        </w:rPr>
        <w:tab/>
        <w:t>(i)</w:t>
      </w:r>
      <w:r>
        <w:rPr>
          <w:snapToGrid w:val="0"/>
        </w:rPr>
        <w:tab/>
        <w:t>caused by any breach of the contract or of a provision of Part 2; or</w:t>
      </w:r>
    </w:p>
    <w:p>
      <w:pPr>
        <w:pStyle w:val="Indenti"/>
        <w:rPr>
          <w:snapToGrid w:val="0"/>
        </w:rPr>
      </w:pPr>
      <w:r>
        <w:rPr>
          <w:snapToGrid w:val="0"/>
        </w:rPr>
        <w:tab/>
        <w:t>(ii)</w:t>
      </w:r>
      <w:r>
        <w:rPr>
          <w:snapToGrid w:val="0"/>
        </w:rPr>
        <w:tab/>
        <w:t>referred to in Schedule 1;</w:t>
      </w:r>
    </w:p>
    <w:p>
      <w:pPr>
        <w:pStyle w:val="Indenta"/>
        <w:spacing w:before="60"/>
        <w:rPr>
          <w:snapToGrid w:val="0"/>
        </w:rPr>
      </w:pPr>
      <w:r>
        <w:rPr>
          <w:snapToGrid w:val="0"/>
        </w:rPr>
        <w:tab/>
        <w:t>(d)</w:t>
      </w:r>
      <w:r>
        <w:rPr>
          <w:snapToGrid w:val="0"/>
        </w:rPr>
        <w:tab/>
        <w:t>by order declare that a specified amount of money claimed or money claimed for specified work is not payable by a person;</w:t>
      </w:r>
    </w:p>
    <w:p>
      <w:pPr>
        <w:pStyle w:val="Indenta"/>
        <w:spacing w:before="60"/>
        <w:rPr>
          <w:snapToGrid w:val="0"/>
        </w:rPr>
      </w:pPr>
      <w:r>
        <w:rPr>
          <w:snapToGrid w:val="0"/>
        </w:rPr>
        <w:tab/>
        <w:t>(e)</w:t>
      </w:r>
      <w:r>
        <w:rPr>
          <w:snapToGrid w:val="0"/>
        </w:rPr>
        <w:tab/>
        <w:t>make such ancillary or incidental orders as the Disputes Tribunal considers appropriate.</w:t>
      </w:r>
    </w:p>
    <w:p>
      <w:pPr>
        <w:pStyle w:val="Subsection"/>
        <w:rPr>
          <w:snapToGrid w:val="0"/>
        </w:rPr>
      </w:pPr>
      <w:r>
        <w:rPr>
          <w:snapToGrid w:val="0"/>
        </w:rPr>
        <w:tab/>
        <w:t>(5)</w:t>
      </w:r>
      <w:r>
        <w:rPr>
          <w:snapToGrid w:val="0"/>
        </w:rPr>
        <w:tab/>
        <w:t>An order under subsection (4) may require that the terms of the order be complied with within a specified time.</w:t>
      </w:r>
    </w:p>
    <w:p>
      <w:pPr>
        <w:pStyle w:val="Subsection"/>
        <w:keepNext/>
        <w:rPr>
          <w:snapToGrid w:val="0"/>
        </w:rPr>
      </w:pPr>
      <w:r>
        <w:rPr>
          <w:snapToGrid w:val="0"/>
        </w:rPr>
        <w:tab/>
        <w:t>(6)</w:t>
      </w:r>
      <w:r>
        <w:rPr>
          <w:snapToGrid w:val="0"/>
        </w:rPr>
        <w:tab/>
        <w:t>A person must not, without reasonable excuse, fail to comply with an order under subsection (4).</w:t>
      </w:r>
    </w:p>
    <w:p>
      <w:pPr>
        <w:pStyle w:val="Penstart"/>
        <w:rPr>
          <w:snapToGrid w:val="0"/>
        </w:rPr>
      </w:pPr>
      <w:r>
        <w:rPr>
          <w:snapToGrid w:val="0"/>
        </w:rPr>
        <w:tab/>
        <w:t>Penalty: $10 000.</w:t>
      </w:r>
    </w:p>
    <w:p>
      <w:pPr>
        <w:pStyle w:val="Subsection"/>
        <w:rPr>
          <w:snapToGrid w:val="0"/>
        </w:rPr>
      </w:pPr>
      <w:r>
        <w:rPr>
          <w:snapToGrid w:val="0"/>
        </w:rPr>
        <w:tab/>
        <w:t>(7)</w:t>
      </w:r>
      <w:r>
        <w:rPr>
          <w:snapToGrid w:val="0"/>
        </w:rPr>
        <w:tab/>
        <w:t>If a person fails to comply with an order under subsection (4)(a) the Disputes Tribunal may, upon further application, make an order against the person for the payment of a sum of money as compensation for the failure.</w:t>
      </w:r>
    </w:p>
    <w:p>
      <w:pPr>
        <w:pStyle w:val="Footnotesection"/>
      </w:pPr>
      <w:r>
        <w:tab/>
        <w:t>[Section 17 amended by No. 76 of 2000 s. 52 and 57.]</w:t>
      </w:r>
    </w:p>
    <w:p>
      <w:pPr>
        <w:pStyle w:val="Heading5"/>
        <w:spacing w:before="160"/>
        <w:rPr>
          <w:snapToGrid w:val="0"/>
        </w:rPr>
      </w:pPr>
      <w:bookmarkStart w:id="127" w:name="_Toc521487157"/>
      <w:bookmarkStart w:id="128" w:name="_Toc522337185"/>
      <w:bookmarkStart w:id="129" w:name="_Toc527365403"/>
      <w:bookmarkStart w:id="130" w:name="_Toc530458611"/>
      <w:bookmarkStart w:id="131" w:name="_Toc530460473"/>
      <w:bookmarkStart w:id="132" w:name="_Toc103067001"/>
      <w:r>
        <w:rPr>
          <w:rStyle w:val="CharSectno"/>
        </w:rPr>
        <w:t>18</w:t>
      </w:r>
      <w:r>
        <w:rPr>
          <w:snapToGrid w:val="0"/>
        </w:rPr>
        <w:t>.</w:t>
      </w:r>
      <w:r>
        <w:rPr>
          <w:snapToGrid w:val="0"/>
        </w:rPr>
        <w:tab/>
        <w:t>Orders for payment while case pending</w:t>
      </w:r>
      <w:bookmarkEnd w:id="127"/>
      <w:bookmarkEnd w:id="128"/>
      <w:bookmarkEnd w:id="129"/>
      <w:bookmarkEnd w:id="130"/>
      <w:bookmarkEnd w:id="131"/>
      <w:bookmarkEnd w:id="132"/>
      <w:r>
        <w:rPr>
          <w:snapToGrid w:val="0"/>
        </w:rPr>
        <w:t xml:space="preserve"> </w:t>
      </w:r>
    </w:p>
    <w:p>
      <w:pPr>
        <w:pStyle w:val="Subsection"/>
      </w:pPr>
      <w:r>
        <w:tab/>
        <w:t>(1)</w:t>
      </w:r>
      <w:r>
        <w:tab/>
        <w:t>Where an owner or a builder has applied to the Disputes Tribunal for relief under this Act the Disputes Tribunal may, if it considers it just and expedient to do so, order an amount of money to be paid to the Disputes Tribunal by either the owner or the builder or by both of them.</w:t>
      </w:r>
    </w:p>
    <w:p>
      <w:pPr>
        <w:pStyle w:val="Subsection"/>
        <w:spacing w:before="120"/>
        <w:rPr>
          <w:snapToGrid w:val="0"/>
        </w:rPr>
      </w:pPr>
      <w:r>
        <w:rPr>
          <w:snapToGrid w:val="0"/>
        </w:rPr>
        <w:tab/>
        <w:t>(2)</w:t>
      </w:r>
      <w:r>
        <w:rPr>
          <w:snapToGrid w:val="0"/>
        </w:rPr>
        <w:tab/>
        <w:t xml:space="preserve">An order </w:t>
      </w:r>
      <w:r>
        <w:t>must</w:t>
      </w:r>
      <w:r>
        <w:rPr>
          <w:snapToGrid w:val="0"/>
        </w:rPr>
        <w:t xml:space="preserve"> not be made under subsection (1) against a party merely on account of the poor financial position of that party.</w:t>
      </w:r>
    </w:p>
    <w:p>
      <w:pPr>
        <w:pStyle w:val="Subsection"/>
      </w:pPr>
      <w:r>
        <w:tab/>
        <w:t>(2a)</w:t>
      </w:r>
      <w:r>
        <w:tab/>
        <w:t>The Disputes Tribunal may, at any time before a final decision is made on the application for relief, review and vary or cancel an order made under subsection (1).</w:t>
      </w:r>
    </w:p>
    <w:p>
      <w:pPr>
        <w:pStyle w:val="Subsection"/>
        <w:spacing w:before="120"/>
        <w:rPr>
          <w:snapToGrid w:val="0"/>
        </w:rPr>
      </w:pPr>
      <w:r>
        <w:rPr>
          <w:snapToGrid w:val="0"/>
        </w:rPr>
        <w:tab/>
        <w:t>(3)</w:t>
      </w:r>
      <w:r>
        <w:rPr>
          <w:snapToGrid w:val="0"/>
        </w:rPr>
        <w:tab/>
        <w:t>An amount paid to the Disputes Tribunal under this section</w:t>
      </w:r>
      <w:r>
        <w:t xml:space="preserve"> must</w:t>
      </w:r>
      <w:r>
        <w:rPr>
          <w:snapToGrid w:val="0"/>
        </w:rPr>
        <w:t xml:space="preserve"> be placed by it in an interest</w:t>
      </w:r>
      <w:r>
        <w:rPr>
          <w:snapToGrid w:val="0"/>
        </w:rPr>
        <w:noBreakHyphen/>
        <w:t>bearing account, as it thinks fit, and the amount and any interest</w:t>
      </w:r>
      <w:r>
        <w:t xml:space="preserve"> must</w:t>
      </w:r>
      <w:r>
        <w:rPr>
          <w:snapToGrid w:val="0"/>
        </w:rPr>
        <w:t>, on determination of the application for relief, be paid in accordance with the order of the Disputes Tribunal.</w:t>
      </w:r>
    </w:p>
    <w:p>
      <w:pPr>
        <w:pStyle w:val="Subsection"/>
      </w:pPr>
      <w:r>
        <w:tab/>
        <w:t>(4)</w:t>
      </w:r>
      <w:r>
        <w:tab/>
        <w:t>If a person fails to comply with an order under subsection (1) the Disputes Tribunal may strike out the application for relief or the defence, as the case requires, of that person.</w:t>
      </w:r>
    </w:p>
    <w:p>
      <w:pPr>
        <w:pStyle w:val="Footnotesection"/>
      </w:pPr>
      <w:r>
        <w:tab/>
        <w:t xml:space="preserve">[Section 18 amended by No. 1 of 1997 s. 18; No. 76 of 2000 s. 53 and 57; No. 37 of 2002 s. 20.] </w:t>
      </w:r>
    </w:p>
    <w:p>
      <w:pPr>
        <w:pStyle w:val="Heading5"/>
        <w:spacing w:before="160"/>
        <w:rPr>
          <w:snapToGrid w:val="0"/>
        </w:rPr>
      </w:pPr>
      <w:bookmarkStart w:id="133" w:name="_Toc521487158"/>
      <w:bookmarkStart w:id="134" w:name="_Toc522337186"/>
      <w:bookmarkStart w:id="135" w:name="_Toc527365404"/>
      <w:bookmarkStart w:id="136" w:name="_Toc530458612"/>
      <w:bookmarkStart w:id="137" w:name="_Toc530460474"/>
      <w:bookmarkStart w:id="138" w:name="_Toc103067002"/>
      <w:r>
        <w:rPr>
          <w:rStyle w:val="CharSectno"/>
        </w:rPr>
        <w:t>19</w:t>
      </w:r>
      <w:r>
        <w:rPr>
          <w:snapToGrid w:val="0"/>
        </w:rPr>
        <w:t>.</w:t>
      </w:r>
      <w:r>
        <w:rPr>
          <w:snapToGrid w:val="0"/>
        </w:rPr>
        <w:tab/>
        <w:t>How contract terminated</w:t>
      </w:r>
      <w:bookmarkEnd w:id="133"/>
      <w:bookmarkEnd w:id="134"/>
      <w:bookmarkEnd w:id="135"/>
      <w:bookmarkEnd w:id="136"/>
      <w:bookmarkEnd w:id="137"/>
      <w:bookmarkEnd w:id="138"/>
      <w:r>
        <w:rPr>
          <w:snapToGrid w:val="0"/>
        </w:rPr>
        <w:t xml:space="preserve"> </w:t>
      </w:r>
    </w:p>
    <w:p>
      <w:pPr>
        <w:pStyle w:val="Subsection"/>
        <w:spacing w:before="100"/>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spacing w:before="100"/>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spacing w:before="120"/>
        <w:rPr>
          <w:snapToGrid w:val="0"/>
        </w:rPr>
      </w:pPr>
      <w:bookmarkStart w:id="139" w:name="_Toc521487159"/>
      <w:bookmarkStart w:id="140" w:name="_Toc522337187"/>
      <w:bookmarkStart w:id="141" w:name="_Toc527365405"/>
      <w:bookmarkStart w:id="142" w:name="_Toc530458613"/>
      <w:bookmarkStart w:id="143" w:name="_Toc530460475"/>
      <w:bookmarkStart w:id="144" w:name="_Toc103067003"/>
      <w:r>
        <w:rPr>
          <w:rStyle w:val="CharSectno"/>
        </w:rPr>
        <w:t>20</w:t>
      </w:r>
      <w:r>
        <w:rPr>
          <w:snapToGrid w:val="0"/>
        </w:rPr>
        <w:t>.</w:t>
      </w:r>
      <w:r>
        <w:rPr>
          <w:snapToGrid w:val="0"/>
        </w:rPr>
        <w:tab/>
        <w:t>Adjustment of rights in certain cases</w:t>
      </w:r>
      <w:bookmarkEnd w:id="139"/>
      <w:bookmarkEnd w:id="140"/>
      <w:bookmarkEnd w:id="141"/>
      <w:bookmarkEnd w:id="142"/>
      <w:bookmarkEnd w:id="143"/>
      <w:bookmarkEnd w:id="144"/>
      <w:r>
        <w:rPr>
          <w:snapToGrid w:val="0"/>
        </w:rPr>
        <w:t xml:space="preserve"> </w:t>
      </w:r>
    </w:p>
    <w:p>
      <w:pPr>
        <w:pStyle w:val="Subsection"/>
        <w:spacing w:before="100"/>
        <w:rPr>
          <w:snapToGrid w:val="0"/>
        </w:rPr>
      </w:pPr>
      <w:r>
        <w:rPr>
          <w:snapToGrid w:val="0"/>
        </w:rPr>
        <w:tab/>
      </w:r>
      <w:r>
        <w:rPr>
          <w:snapToGrid w:val="0"/>
        </w:rPr>
        <w:tab/>
        <w:t>If a contract is terminated under section 4(5), 10(4) or 14(3) or Schedule 1, the Disputes Tribunal may, upon application by the owner or the builder, make such orders as it thinks just providing for — </w:t>
      </w:r>
    </w:p>
    <w:p>
      <w:pPr>
        <w:pStyle w:val="Indenta"/>
        <w:rPr>
          <w:snapToGrid w:val="0"/>
        </w:rPr>
      </w:pPr>
      <w:r>
        <w:rPr>
          <w:snapToGrid w:val="0"/>
        </w:rPr>
        <w:tab/>
        <w:t>(a)</w:t>
      </w:r>
      <w:r>
        <w:rPr>
          <w:snapToGrid w:val="0"/>
        </w:rPr>
        <w:tab/>
        <w:t>the return or repayment of the whole or part of any consideration, or the value of any consideration, given by the owner under or in relation to the contract; or</w:t>
      </w:r>
    </w:p>
    <w:p>
      <w:pPr>
        <w:pStyle w:val="Indenta"/>
      </w:pPr>
      <w:r>
        <w:tab/>
        <w:t>(b)</w:t>
      </w:r>
      <w:r>
        <w:tab/>
        <w:t>payment to the builder in respect of —</w:t>
      </w:r>
    </w:p>
    <w:p>
      <w:pPr>
        <w:pStyle w:val="Indenti"/>
      </w:pPr>
      <w:r>
        <w:tab/>
        <w:t>(i)</w:t>
      </w:r>
      <w:r>
        <w:tab/>
        <w:t>any materials supplied by the builder;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amended by No. 76 of 2000 s. 54 and 57.]</w:t>
      </w:r>
    </w:p>
    <w:p>
      <w:pPr>
        <w:pStyle w:val="Heading5"/>
        <w:spacing w:before="240"/>
        <w:rPr>
          <w:snapToGrid w:val="0"/>
        </w:rPr>
      </w:pPr>
      <w:bookmarkStart w:id="145" w:name="_Toc521487160"/>
      <w:bookmarkStart w:id="146" w:name="_Toc522337188"/>
      <w:bookmarkStart w:id="147" w:name="_Toc527365406"/>
      <w:bookmarkStart w:id="148" w:name="_Toc530458614"/>
      <w:bookmarkStart w:id="149" w:name="_Toc530460476"/>
      <w:bookmarkStart w:id="150" w:name="_Toc103067004"/>
      <w:r>
        <w:rPr>
          <w:rStyle w:val="CharSectno"/>
        </w:rPr>
        <w:t>21</w:t>
      </w:r>
      <w:r>
        <w:rPr>
          <w:snapToGrid w:val="0"/>
        </w:rPr>
        <w:t>.</w:t>
      </w:r>
      <w:r>
        <w:rPr>
          <w:snapToGrid w:val="0"/>
        </w:rPr>
        <w:tab/>
        <w:t>Remedy for breach of section 15</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Where an owner claims that a builder has committed a breach of section 15, the owner may apply to the Disputes Tribunal for relief under this section.</w:t>
      </w:r>
    </w:p>
    <w:p>
      <w:pPr>
        <w:pStyle w:val="Subsection"/>
        <w:rPr>
          <w:snapToGrid w:val="0"/>
        </w:rPr>
      </w:pPr>
      <w:r>
        <w:rPr>
          <w:snapToGrid w:val="0"/>
        </w:rPr>
        <w:tab/>
        <w:t>(2)</w:t>
      </w:r>
      <w:r>
        <w:rPr>
          <w:snapToGrid w:val="0"/>
        </w:rPr>
        <w:tab/>
      </w:r>
      <w:r>
        <w:rPr>
          <w:snapToGrid w:val="0"/>
          <w:spacing w:val="-4"/>
        </w:rPr>
        <w:t>An application under subsection (1) in respect of a contract must be made within 3 years from the time when the contract was entered into or the breach first occurred, whichever is the later.</w:t>
      </w:r>
    </w:p>
    <w:p>
      <w:pPr>
        <w:pStyle w:val="Subsection"/>
        <w:keepNext/>
        <w:spacing w:before="100"/>
        <w:rPr>
          <w:snapToGrid w:val="0"/>
        </w:rPr>
      </w:pPr>
      <w:r>
        <w:rPr>
          <w:snapToGrid w:val="0"/>
        </w:rPr>
        <w:tab/>
        <w:t>(3)</w:t>
      </w:r>
      <w:r>
        <w:rPr>
          <w:snapToGrid w:val="0"/>
        </w:rPr>
        <w:tab/>
        <w:t>The Disputes Tribunal may, in granting relief under this section — </w:t>
      </w:r>
    </w:p>
    <w:p>
      <w:pPr>
        <w:pStyle w:val="Indenta"/>
        <w:rPr>
          <w:snapToGrid w:val="0"/>
        </w:rPr>
      </w:pPr>
      <w:r>
        <w:rPr>
          <w:snapToGrid w:val="0"/>
        </w:rPr>
        <w:tab/>
        <w:t>(a)</w:t>
      </w:r>
      <w:r>
        <w:rPr>
          <w:snapToGrid w:val="0"/>
        </w:rPr>
        <w:tab/>
        <w:t>declare the contract or any provision of the contract against which relief is sought to be void from the beginning;</w:t>
      </w:r>
    </w:p>
    <w:p>
      <w:pPr>
        <w:pStyle w:val="Indenta"/>
        <w:rPr>
          <w:snapToGrid w:val="0"/>
        </w:rPr>
      </w:pPr>
      <w:r>
        <w:rPr>
          <w:snapToGrid w:val="0"/>
        </w:rPr>
        <w:tab/>
        <w:t>(b)</w:t>
      </w:r>
      <w:r>
        <w:rPr>
          <w:snapToGrid w:val="0"/>
        </w:rPr>
        <w:tab/>
        <w:t>modify the provisions of the contract in such manner as it considers just;</w:t>
      </w:r>
    </w:p>
    <w:p>
      <w:pPr>
        <w:pStyle w:val="Indenta"/>
        <w:rPr>
          <w:snapToGrid w:val="0"/>
        </w:rPr>
      </w:pPr>
      <w:r>
        <w:rPr>
          <w:snapToGrid w:val="0"/>
        </w:rPr>
        <w:tab/>
        <w:t>(c)</w:t>
      </w:r>
      <w:r>
        <w:rPr>
          <w:snapToGrid w:val="0"/>
        </w:rPr>
        <w:tab/>
        <w:t>order the repayment to the owner of any amount paid by the owner under a contract or a provision that has been declared void or modified under this section,</w:t>
      </w:r>
    </w:p>
    <w:p>
      <w:pPr>
        <w:pStyle w:val="Subsection"/>
        <w:spacing w:before="100"/>
        <w:rPr>
          <w:snapToGrid w:val="0"/>
        </w:rPr>
      </w:pPr>
      <w:r>
        <w:rPr>
          <w:snapToGrid w:val="0"/>
        </w:rPr>
        <w:tab/>
      </w:r>
      <w:r>
        <w:rPr>
          <w:snapToGrid w:val="0"/>
        </w:rPr>
        <w:tab/>
        <w:t>and for the purposes of carrying out this section may make such orders and give such directions as the Disputes Tribunal considers necessary or expedient.</w:t>
      </w:r>
    </w:p>
    <w:p>
      <w:pPr>
        <w:pStyle w:val="Subsection"/>
        <w:spacing w:before="100"/>
        <w:rPr>
          <w:snapToGrid w:val="0"/>
        </w:rPr>
      </w:pPr>
      <w:r>
        <w:rPr>
          <w:snapToGrid w:val="0"/>
        </w:rPr>
        <w:tab/>
        <w:t>(4)</w:t>
      </w:r>
      <w:r>
        <w:rPr>
          <w:snapToGrid w:val="0"/>
        </w:rPr>
        <w:tab/>
        <w:t>Where it appears to the Disputes Tribunal in any proceedings, that any person is an associate of a party to the proceedings and has or may have — </w:t>
      </w:r>
    </w:p>
    <w:p>
      <w:pPr>
        <w:pStyle w:val="Indenta"/>
        <w:rPr>
          <w:snapToGrid w:val="0"/>
        </w:rPr>
      </w:pPr>
      <w:r>
        <w:rPr>
          <w:snapToGrid w:val="0"/>
        </w:rPr>
        <w:tab/>
        <w:t>(a)</w:t>
      </w:r>
      <w:r>
        <w:rPr>
          <w:snapToGrid w:val="0"/>
        </w:rPr>
        <w:tab/>
        <w:t>shared in the profits of; or</w:t>
      </w:r>
    </w:p>
    <w:p>
      <w:pPr>
        <w:pStyle w:val="Indenta"/>
        <w:rPr>
          <w:snapToGrid w:val="0"/>
        </w:rPr>
      </w:pPr>
      <w:r>
        <w:rPr>
          <w:snapToGrid w:val="0"/>
        </w:rPr>
        <w:tab/>
        <w:t>(b)</w:t>
      </w:r>
      <w:r>
        <w:rPr>
          <w:snapToGrid w:val="0"/>
        </w:rPr>
        <w:tab/>
        <w:t>a beneficial interest in,</w:t>
      </w:r>
    </w:p>
    <w:p>
      <w:pPr>
        <w:pStyle w:val="Subsection"/>
        <w:spacing w:before="100"/>
        <w:rPr>
          <w:snapToGrid w:val="0"/>
        </w:rPr>
      </w:pPr>
      <w:r>
        <w:rPr>
          <w:snapToGrid w:val="0"/>
        </w:rPr>
        <w:tab/>
      </w:r>
      <w:r>
        <w:rPr>
          <w:snapToGrid w:val="0"/>
        </w:rPr>
        <w:tab/>
        <w:t>the transaction in question, the person may be joined as a party to the proceedings and the Disputes Tribunal may make such orders against, or in respect of, that person as it considers just.</w:t>
      </w:r>
    </w:p>
    <w:p>
      <w:pPr>
        <w:pStyle w:val="Subsection"/>
        <w:rPr>
          <w:snapToGrid w:val="0"/>
        </w:rPr>
      </w:pPr>
      <w:r>
        <w:rPr>
          <w:snapToGrid w:val="0"/>
        </w:rPr>
        <w:tab/>
        <w:t>(5)</w:t>
      </w:r>
      <w:r>
        <w:rPr>
          <w:snapToGrid w:val="0"/>
        </w:rPr>
        <w:tab/>
        <w:t>For the purposes of subsection (4), a person is an associate of another person if — </w:t>
      </w:r>
    </w:p>
    <w:p>
      <w:pPr>
        <w:pStyle w:val="Indenta"/>
        <w:rPr>
          <w:snapToGrid w:val="0"/>
        </w:rPr>
      </w:pPr>
      <w:r>
        <w:rPr>
          <w:snapToGrid w:val="0"/>
        </w:rPr>
        <w:tab/>
        <w:t>(a)</w:t>
      </w:r>
      <w:r>
        <w:rPr>
          <w:snapToGrid w:val="0"/>
        </w:rPr>
        <w:tab/>
        <w:t>the person is a partner of the latter person; or</w:t>
      </w:r>
    </w:p>
    <w:p>
      <w:pPr>
        <w:pStyle w:val="Indenta"/>
        <w:rPr>
          <w:snapToGrid w:val="0"/>
        </w:rPr>
      </w:pPr>
      <w:r>
        <w:rPr>
          <w:snapToGrid w:val="0"/>
        </w:rPr>
        <w:tab/>
        <w:t>(b)</w:t>
      </w:r>
      <w:r>
        <w:rPr>
          <w:snapToGrid w:val="0"/>
        </w:rPr>
        <w:tab/>
        <w:t>where the latter person is a company, the person is a shareholder or officer of the company.</w:t>
      </w:r>
    </w:p>
    <w:p>
      <w:pPr>
        <w:pStyle w:val="Subsection"/>
        <w:rPr>
          <w:snapToGrid w:val="0"/>
        </w:rPr>
      </w:pPr>
      <w:r>
        <w:rPr>
          <w:snapToGrid w:val="0"/>
        </w:rPr>
        <w:tab/>
        <w:t>(6)</w:t>
      </w:r>
      <w:r>
        <w:rPr>
          <w:snapToGrid w:val="0"/>
        </w:rPr>
        <w:tab/>
        <w:t xml:space="preserve">In subsection (5)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 </w:t>
      </w:r>
      <w:r>
        <w:rPr>
          <w:snapToGrid w:val="0"/>
        </w:rPr>
        <w:t>but does not include an employee of the company unless he or she was concerned in the management of the company.</w:t>
      </w:r>
    </w:p>
    <w:p>
      <w:pPr>
        <w:pStyle w:val="Footnotesection"/>
        <w:spacing w:before="100"/>
        <w:ind w:left="890" w:hanging="890"/>
      </w:pPr>
      <w:r>
        <w:tab/>
        <w:t>[Section 21 amended by No. 76 of 2000 s. 57; No. 10 of 2001 s. 220.]</w:t>
      </w:r>
    </w:p>
    <w:p>
      <w:pPr>
        <w:pStyle w:val="Heading5"/>
        <w:spacing w:before="180"/>
        <w:rPr>
          <w:snapToGrid w:val="0"/>
        </w:rPr>
      </w:pPr>
      <w:bookmarkStart w:id="151" w:name="_Toc521487161"/>
      <w:bookmarkStart w:id="152" w:name="_Toc522337189"/>
      <w:bookmarkStart w:id="153" w:name="_Toc527365407"/>
      <w:bookmarkStart w:id="154" w:name="_Toc530458615"/>
      <w:bookmarkStart w:id="155" w:name="_Toc530460477"/>
      <w:bookmarkStart w:id="156" w:name="_Toc103067005"/>
      <w:r>
        <w:rPr>
          <w:rStyle w:val="CharSectno"/>
        </w:rPr>
        <w:t>22</w:t>
      </w:r>
      <w:r>
        <w:rPr>
          <w:snapToGrid w:val="0"/>
        </w:rPr>
        <w:t>.</w:t>
      </w:r>
      <w:r>
        <w:rPr>
          <w:snapToGrid w:val="0"/>
        </w:rPr>
        <w:tab/>
        <w:t>Avoidance of concurrent proceedings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Subject to section 23, where an application is made to the Disputes Tribunal claiming, under section 17(1)(a)(i) that there has been a breach of a contract, the matter to which the application relates (whether as shown in the application or as emerging in the course of the determination of the application) is not justiciable by a court unless — </w:t>
      </w:r>
    </w:p>
    <w:p>
      <w:pPr>
        <w:pStyle w:val="Indenta"/>
        <w:rPr>
          <w:snapToGrid w:val="0"/>
        </w:rPr>
      </w:pPr>
      <w:r>
        <w:rPr>
          <w:snapToGrid w:val="0"/>
        </w:rPr>
        <w:tab/>
        <w:t>(a)</w:t>
      </w:r>
      <w:r>
        <w:rPr>
          <w:snapToGrid w:val="0"/>
        </w:rPr>
        <w:tab/>
        <w:t>that matter was before that court at the time when the application was made to the Disputes Tribunal; or</w:t>
      </w:r>
    </w:p>
    <w:p>
      <w:pPr>
        <w:pStyle w:val="Indenta"/>
        <w:rPr>
          <w:snapToGrid w:val="0"/>
        </w:rPr>
      </w:pPr>
      <w:r>
        <w:rPr>
          <w:snapToGrid w:val="0"/>
        </w:rPr>
        <w:tab/>
        <w:t>(b)</w:t>
      </w:r>
      <w:r>
        <w:rPr>
          <w:snapToGrid w:val="0"/>
        </w:rPr>
        <w:tab/>
        <w:t>the application to the Disputes Tribunal is withdrawn or not pursued.</w:t>
      </w:r>
    </w:p>
    <w:p>
      <w:pPr>
        <w:pStyle w:val="Footnotesection"/>
        <w:spacing w:before="100"/>
        <w:ind w:left="890" w:hanging="890"/>
      </w:pPr>
      <w:r>
        <w:tab/>
        <w:t>[Section 22 amended by No. 76 of 2000 s. 57.]</w:t>
      </w:r>
    </w:p>
    <w:p>
      <w:pPr>
        <w:pStyle w:val="Heading5"/>
        <w:spacing w:before="180"/>
        <w:rPr>
          <w:snapToGrid w:val="0"/>
        </w:rPr>
      </w:pPr>
      <w:bookmarkStart w:id="157" w:name="_Toc521487162"/>
      <w:bookmarkStart w:id="158" w:name="_Toc522337190"/>
      <w:bookmarkStart w:id="159" w:name="_Toc527365408"/>
      <w:bookmarkStart w:id="160" w:name="_Toc530458616"/>
      <w:bookmarkStart w:id="161" w:name="_Toc530460478"/>
      <w:bookmarkStart w:id="162" w:name="_Toc103067006"/>
      <w:r>
        <w:rPr>
          <w:rStyle w:val="CharSectno"/>
        </w:rPr>
        <w:t>23</w:t>
      </w:r>
      <w:r>
        <w:rPr>
          <w:snapToGrid w:val="0"/>
        </w:rPr>
        <w:t>.</w:t>
      </w:r>
      <w:r>
        <w:rPr>
          <w:snapToGrid w:val="0"/>
        </w:rPr>
        <w:tab/>
        <w:t>Transfer of proceedings</w:t>
      </w:r>
      <w:bookmarkEnd w:id="157"/>
      <w:bookmarkEnd w:id="158"/>
      <w:bookmarkEnd w:id="159"/>
      <w:bookmarkEnd w:id="160"/>
      <w:bookmarkEnd w:id="161"/>
      <w:bookmarkEnd w:id="162"/>
      <w:r>
        <w:rPr>
          <w:snapToGrid w:val="0"/>
        </w:rPr>
        <w:t xml:space="preserve"> </w:t>
      </w:r>
    </w:p>
    <w:p>
      <w:pPr>
        <w:pStyle w:val="Subsection"/>
        <w:spacing w:before="120"/>
        <w:rPr>
          <w:snapToGrid w:val="0"/>
        </w:rPr>
      </w:pPr>
      <w:r>
        <w:rPr>
          <w:snapToGrid w:val="0"/>
        </w:rPr>
        <w:tab/>
        <w:t>(1)</w:t>
      </w:r>
      <w:r>
        <w:rPr>
          <w:snapToGrid w:val="0"/>
        </w:rPr>
        <w:tab/>
        <w:t>Where a matter that the Disputes Tribunal has jurisdiction to determine under this Act is before a court, the court may order that the matter be transferred to and determined by the Disputes Tribunal.</w:t>
      </w:r>
    </w:p>
    <w:p>
      <w:pPr>
        <w:pStyle w:val="Subsection"/>
        <w:spacing w:before="120"/>
        <w:rPr>
          <w:snapToGrid w:val="0"/>
        </w:rPr>
      </w:pPr>
      <w:r>
        <w:rPr>
          <w:snapToGrid w:val="0"/>
        </w:rPr>
        <w:tab/>
        <w:t>(2)</w:t>
      </w:r>
      <w:r>
        <w:rPr>
          <w:snapToGrid w:val="0"/>
        </w:rPr>
        <w:tab/>
        <w:t>Where a matter that a court has jurisdiction to determine is before the Disputes Tribunal that Tribunal may order that the matter be transferred to and determined by that court.</w:t>
      </w:r>
    </w:p>
    <w:p>
      <w:pPr>
        <w:pStyle w:val="Footnotesection"/>
        <w:spacing w:before="100"/>
        <w:ind w:left="890" w:hanging="890"/>
      </w:pPr>
      <w:r>
        <w:tab/>
        <w:t>[Section 23 amended by No. 76 of 2000 s. 57.]</w:t>
      </w:r>
    </w:p>
    <w:p>
      <w:pPr>
        <w:pStyle w:val="Heading5"/>
        <w:spacing w:before="180"/>
        <w:rPr>
          <w:snapToGrid w:val="0"/>
        </w:rPr>
      </w:pPr>
      <w:bookmarkStart w:id="163" w:name="_Toc521487163"/>
      <w:bookmarkStart w:id="164" w:name="_Toc522337191"/>
      <w:bookmarkStart w:id="165" w:name="_Toc527365409"/>
      <w:bookmarkStart w:id="166" w:name="_Toc530458617"/>
      <w:bookmarkStart w:id="167" w:name="_Toc530460479"/>
      <w:bookmarkStart w:id="168" w:name="_Toc103067007"/>
      <w:r>
        <w:rPr>
          <w:rStyle w:val="CharSectno"/>
        </w:rPr>
        <w:t>24</w:t>
      </w:r>
      <w:r>
        <w:rPr>
          <w:snapToGrid w:val="0"/>
        </w:rPr>
        <w:t>.</w:t>
      </w:r>
      <w:r>
        <w:rPr>
          <w:snapToGrid w:val="0"/>
        </w:rPr>
        <w:tab/>
        <w:t>Settlement</w:t>
      </w:r>
      <w:bookmarkEnd w:id="163"/>
      <w:bookmarkEnd w:id="164"/>
      <w:bookmarkEnd w:id="165"/>
      <w:bookmarkEnd w:id="166"/>
      <w:bookmarkEnd w:id="167"/>
      <w:bookmarkEnd w:id="168"/>
      <w:r>
        <w:rPr>
          <w:snapToGrid w:val="0"/>
        </w:rPr>
        <w:t xml:space="preserve"> </w:t>
      </w:r>
    </w:p>
    <w:p>
      <w:pPr>
        <w:pStyle w:val="Subsection"/>
        <w:spacing w:before="120"/>
        <w:rPr>
          <w:snapToGrid w:val="0"/>
        </w:rPr>
      </w:pPr>
      <w:r>
        <w:rPr>
          <w:snapToGrid w:val="0"/>
        </w:rPr>
        <w:tab/>
        <w:t>(1)</w:t>
      </w:r>
      <w:r>
        <w:rPr>
          <w:snapToGrid w:val="0"/>
        </w:rPr>
        <w:tab/>
        <w:t>If before or during the hearing of any proceedings under this Part it appears to the Disputes Tribunal either from the nature of the case or from the attitude of the parties that — </w:t>
      </w:r>
    </w:p>
    <w:p>
      <w:pPr>
        <w:pStyle w:val="Indenta"/>
        <w:rPr>
          <w:snapToGrid w:val="0"/>
        </w:rPr>
      </w:pPr>
      <w:r>
        <w:rPr>
          <w:snapToGrid w:val="0"/>
        </w:rPr>
        <w:tab/>
        <w:t>(a)</w:t>
      </w:r>
      <w:r>
        <w:rPr>
          <w:snapToGrid w:val="0"/>
        </w:rPr>
        <w:tab/>
        <w:t>one or each of the parties has not made sufficient attempt to settle the matters in dispute; or</w:t>
      </w:r>
    </w:p>
    <w:p>
      <w:pPr>
        <w:pStyle w:val="Indenta"/>
        <w:keepNext/>
        <w:rPr>
          <w:snapToGrid w:val="0"/>
        </w:rPr>
      </w:pPr>
      <w:r>
        <w:rPr>
          <w:snapToGrid w:val="0"/>
        </w:rPr>
        <w:tab/>
        <w:t>(b)</w:t>
      </w:r>
      <w:r>
        <w:rPr>
          <w:snapToGrid w:val="0"/>
        </w:rPr>
        <w:tab/>
        <w:t>there is a reasonable possibility of the matters in dispute being settled,</w:t>
      </w:r>
    </w:p>
    <w:p>
      <w:pPr>
        <w:pStyle w:val="Subsection"/>
        <w:keepNext/>
        <w:rPr>
          <w:snapToGrid w:val="0"/>
        </w:rPr>
      </w:pPr>
      <w:r>
        <w:rPr>
          <w:snapToGrid w:val="0"/>
        </w:rPr>
        <w:tab/>
      </w:r>
      <w:r>
        <w:rPr>
          <w:snapToGrid w:val="0"/>
        </w:rPr>
        <w:tab/>
        <w:t>the Disputes Tribunal may — </w:t>
      </w:r>
    </w:p>
    <w:p>
      <w:pPr>
        <w:pStyle w:val="Indenta"/>
        <w:rPr>
          <w:snapToGrid w:val="0"/>
        </w:rPr>
      </w:pPr>
      <w:r>
        <w:rPr>
          <w:snapToGrid w:val="0"/>
        </w:rPr>
        <w:tab/>
        <w:t>(c)</w:t>
      </w:r>
      <w:r>
        <w:rPr>
          <w:snapToGrid w:val="0"/>
        </w:rPr>
        <w:tab/>
        <w:t>interview the parties in private (either with or without a person who may be representing any party) and endeavour to bring about a settlement of the matters in dispute on terms that are fair to all parties; or</w:t>
      </w:r>
    </w:p>
    <w:p>
      <w:pPr>
        <w:pStyle w:val="Indenta"/>
        <w:rPr>
          <w:snapToGrid w:val="0"/>
        </w:rPr>
      </w:pPr>
      <w:r>
        <w:rPr>
          <w:snapToGrid w:val="0"/>
        </w:rPr>
        <w:tab/>
        <w:t>(d)</w:t>
      </w:r>
      <w:r>
        <w:rPr>
          <w:snapToGrid w:val="0"/>
        </w:rPr>
        <w:tab/>
        <w:t>require the parties themselves to attempt to bring about a settlement of the matters in dispute.</w:t>
      </w:r>
    </w:p>
    <w:p>
      <w:pPr>
        <w:pStyle w:val="Subsection"/>
        <w:spacing w:before="120"/>
        <w:rPr>
          <w:snapToGrid w:val="0"/>
        </w:rPr>
      </w:pPr>
      <w:r>
        <w:rPr>
          <w:snapToGrid w:val="0"/>
        </w:rPr>
        <w:tab/>
        <w:t>(2)</w:t>
      </w:r>
      <w:r>
        <w:rPr>
          <w:snapToGrid w:val="0"/>
        </w:rPr>
        <w:tab/>
        <w:t>Nothing said or done in the course of any attempt to settle proceedings under this section may subsequently be given in evidence in any proceedings under this Part.</w:t>
      </w:r>
    </w:p>
    <w:p>
      <w:pPr>
        <w:pStyle w:val="Subsection"/>
        <w:spacing w:before="120"/>
        <w:rPr>
          <w:snapToGrid w:val="0"/>
        </w:rPr>
      </w:pPr>
      <w:r>
        <w:rPr>
          <w:snapToGrid w:val="0"/>
        </w:rPr>
        <w:tab/>
        <w:t>(3)</w:t>
      </w:r>
      <w:r>
        <w:rPr>
          <w:snapToGrid w:val="0"/>
        </w:rPr>
        <w:tab/>
        <w:t>Subject to the rules of natural justice, neither the Disputes Tribunal or any member is disqualified, by reason of anything done under subsection (1), from hearing or continuing to hear the proceedings if the Disputes Tribunal thinks fit to do so.</w:t>
      </w:r>
    </w:p>
    <w:p>
      <w:pPr>
        <w:pStyle w:val="Subsection"/>
        <w:spacing w:before="120"/>
        <w:rPr>
          <w:snapToGrid w:val="0"/>
        </w:rPr>
      </w:pPr>
      <w:r>
        <w:rPr>
          <w:snapToGrid w:val="0"/>
        </w:rPr>
        <w:tab/>
        <w:t>(4)</w:t>
      </w:r>
      <w:r>
        <w:rPr>
          <w:snapToGrid w:val="0"/>
        </w:rPr>
        <w:tab/>
        <w:t>Where proceedings are settled under this section, the Disputes Tribunal may embody the terms of the settlement in an order.</w:t>
      </w:r>
    </w:p>
    <w:p>
      <w:pPr>
        <w:pStyle w:val="Subsection"/>
        <w:spacing w:before="120"/>
        <w:rPr>
          <w:snapToGrid w:val="0"/>
        </w:rPr>
      </w:pPr>
      <w:r>
        <w:rPr>
          <w:snapToGrid w:val="0"/>
        </w:rPr>
        <w:tab/>
        <w:t>(5)</w:t>
      </w:r>
      <w:r>
        <w:rPr>
          <w:snapToGrid w:val="0"/>
        </w:rPr>
        <w:tab/>
        <w:t>Where proceedings are settled under this section, the Disputes Tribunal may not impose any penalty provided for by this Act.</w:t>
      </w:r>
    </w:p>
    <w:p>
      <w:pPr>
        <w:pStyle w:val="Footnotesection"/>
      </w:pPr>
      <w:r>
        <w:tab/>
        <w:t>[Section 24 amended by No. 76 of 2000 s. 57.]</w:t>
      </w:r>
    </w:p>
    <w:p>
      <w:pPr>
        <w:pStyle w:val="Ednotesection"/>
      </w:pPr>
      <w:r>
        <w:t>[</w:t>
      </w:r>
      <w:r>
        <w:rPr>
          <w:b/>
        </w:rPr>
        <w:t>25.</w:t>
      </w:r>
      <w:r>
        <w:tab/>
        <w:t>Repealed by No. 76 of 2000 s. 55.]</w:t>
      </w:r>
    </w:p>
    <w:p>
      <w:pPr>
        <w:pStyle w:val="Heading2"/>
      </w:pPr>
      <w:bookmarkStart w:id="169" w:name="_Toc89521552"/>
      <w:bookmarkStart w:id="170" w:name="_Toc89521621"/>
      <w:bookmarkStart w:id="171" w:name="_Toc96246667"/>
      <w:bookmarkStart w:id="172" w:name="_Toc97107136"/>
      <w:bookmarkStart w:id="173" w:name="_Toc102365985"/>
      <w:bookmarkStart w:id="174" w:name="_Toc103067008"/>
      <w:r>
        <w:rPr>
          <w:rStyle w:val="CharPartNo"/>
        </w:rPr>
        <w:t>Part 3A</w:t>
      </w:r>
      <w:r>
        <w:t> — </w:t>
      </w:r>
      <w:r>
        <w:rPr>
          <w:rStyle w:val="CharPartText"/>
        </w:rPr>
        <w:t>Home indemnity insurance and corresponding cover</w:t>
      </w:r>
      <w:bookmarkEnd w:id="169"/>
      <w:bookmarkEnd w:id="170"/>
      <w:bookmarkEnd w:id="171"/>
      <w:bookmarkEnd w:id="172"/>
      <w:bookmarkEnd w:id="173"/>
      <w:bookmarkEnd w:id="174"/>
      <w:r>
        <w:rPr>
          <w:rStyle w:val="CharPartText"/>
        </w:rPr>
        <w:t xml:space="preserve"> </w:t>
      </w:r>
    </w:p>
    <w:p>
      <w:pPr>
        <w:pStyle w:val="Footnoteheading"/>
        <w:rPr>
          <w:snapToGrid w:val="0"/>
        </w:rPr>
      </w:pPr>
      <w:r>
        <w:rPr>
          <w:snapToGrid w:val="0"/>
        </w:rPr>
        <w:tab/>
        <w:t>[Heading inserted by No. 72 of 1996 s. 5; amended by No. 37 of 2002 s. 8.]</w:t>
      </w:r>
    </w:p>
    <w:p>
      <w:pPr>
        <w:pStyle w:val="Heading3"/>
        <w:rPr>
          <w:snapToGrid w:val="0"/>
        </w:rPr>
      </w:pPr>
      <w:bookmarkStart w:id="175" w:name="_Toc89521553"/>
      <w:bookmarkStart w:id="176" w:name="_Toc89521622"/>
      <w:bookmarkStart w:id="177" w:name="_Toc96246668"/>
      <w:bookmarkStart w:id="178" w:name="_Toc97107137"/>
      <w:bookmarkStart w:id="179" w:name="_Toc102365986"/>
      <w:bookmarkStart w:id="180" w:name="_Toc103067009"/>
      <w:r>
        <w:rPr>
          <w:rStyle w:val="CharDivNo"/>
        </w:rPr>
        <w:t>Division 1</w:t>
      </w:r>
      <w:r>
        <w:rPr>
          <w:snapToGrid w:val="0"/>
        </w:rPr>
        <w:t> — </w:t>
      </w:r>
      <w:r>
        <w:rPr>
          <w:rStyle w:val="CharDivText"/>
        </w:rPr>
        <w:t>Introduction</w:t>
      </w:r>
      <w:bookmarkEnd w:id="175"/>
      <w:bookmarkEnd w:id="176"/>
      <w:bookmarkEnd w:id="177"/>
      <w:bookmarkEnd w:id="178"/>
      <w:bookmarkEnd w:id="179"/>
      <w:bookmarkEnd w:id="180"/>
      <w:r>
        <w:rPr>
          <w:rStyle w:val="CharDivText"/>
        </w:rPr>
        <w:t xml:space="preserve"> </w:t>
      </w:r>
    </w:p>
    <w:p>
      <w:pPr>
        <w:pStyle w:val="Footnoteheading"/>
        <w:rPr>
          <w:snapToGrid w:val="0"/>
        </w:rPr>
      </w:pPr>
      <w:r>
        <w:rPr>
          <w:snapToGrid w:val="0"/>
        </w:rPr>
        <w:tab/>
        <w:t>[Heading inserted by No. 72 of 1996 s. 5.]</w:t>
      </w:r>
    </w:p>
    <w:p>
      <w:pPr>
        <w:pStyle w:val="Heading5"/>
        <w:rPr>
          <w:snapToGrid w:val="0"/>
        </w:rPr>
      </w:pPr>
      <w:bookmarkStart w:id="181" w:name="_Toc521487164"/>
      <w:bookmarkStart w:id="182" w:name="_Toc522337192"/>
      <w:bookmarkStart w:id="183" w:name="_Toc527365410"/>
      <w:bookmarkStart w:id="184" w:name="_Toc530458618"/>
      <w:bookmarkStart w:id="185" w:name="_Toc530460480"/>
      <w:bookmarkStart w:id="186" w:name="_Toc103067010"/>
      <w:r>
        <w:rPr>
          <w:rStyle w:val="CharSectno"/>
        </w:rPr>
        <w:t>25A</w:t>
      </w:r>
      <w:r>
        <w:rPr>
          <w:snapToGrid w:val="0"/>
        </w:rPr>
        <w:t xml:space="preserve">. </w:t>
      </w:r>
      <w:r>
        <w:rPr>
          <w:snapToGrid w:val="0"/>
        </w:rPr>
        <w:tab/>
        <w:t>Interpretation</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approved fund</w:t>
      </w:r>
      <w:r>
        <w:rPr>
          <w:b/>
        </w:rPr>
        <w:t>”</w:t>
      </w:r>
      <w:r>
        <w:t xml:space="preserve"> means a fund that is approved under section 25GB;</w:t>
      </w:r>
    </w:p>
    <w:p>
      <w:pPr>
        <w:pStyle w:val="Defstart"/>
      </w:pPr>
      <w:r>
        <w:rPr>
          <w:b/>
        </w:rPr>
        <w:tab/>
        <w:t xml:space="preserve">“builder” </w:t>
      </w:r>
      <w:r>
        <w:t xml:space="preserve">includes, in addition to the meaning given by the definition in section 3(1), a person who is registered under the </w:t>
      </w:r>
      <w:r>
        <w:rPr>
          <w:i/>
        </w:rPr>
        <w:t>Builders’ Registration Act 1939</w:t>
      </w:r>
      <w:r>
        <w:t>, whether or not the person carries on a business referred to in that definition;</w:t>
      </w:r>
    </w:p>
    <w:p>
      <w:pPr>
        <w:pStyle w:val="Defstart"/>
      </w:pPr>
      <w:r>
        <w:tab/>
        <w:t>“</w:t>
      </w:r>
      <w:r>
        <w:rPr>
          <w:rStyle w:val="CharDefText"/>
        </w:rPr>
        <w:t>building contract</w:t>
      </w:r>
      <w:r>
        <w:t xml:space="preserve">” means — </w:t>
      </w:r>
    </w:p>
    <w:p>
      <w:pPr>
        <w:pStyle w:val="Defpara"/>
      </w:pPr>
      <w:r>
        <w:tab/>
        <w:t>(a)</w:t>
      </w:r>
      <w:r>
        <w:tab/>
        <w:t>a residential building work contract; or</w:t>
      </w:r>
    </w:p>
    <w:p>
      <w:pPr>
        <w:pStyle w:val="Defpara"/>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b/>
        </w:rPr>
        <w:t>“</w:t>
      </w:r>
      <w:r>
        <w:rPr>
          <w:rStyle w:val="CharDefText"/>
        </w:rPr>
        <w:t>corresponding cover</w:t>
      </w:r>
      <w:r>
        <w:rPr>
          <w:b/>
        </w:rPr>
        <w:t>”</w:t>
      </w:r>
      <w:r>
        <w:t xml:space="preserve"> — </w:t>
      </w:r>
    </w:p>
    <w:p>
      <w:pPr>
        <w:pStyle w:val="Defpara"/>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pPr>
      <w:r>
        <w:rPr>
          <w:b/>
        </w:rPr>
        <w:tab/>
        <w:t>“</w:t>
      </w:r>
      <w:r>
        <w:rPr>
          <w:rStyle w:val="CharDefText"/>
        </w:rPr>
        <w:t>cost of the building work</w:t>
      </w:r>
      <w:r>
        <w:rPr>
          <w:b/>
        </w:rPr>
        <w:t>”</w:t>
      </w:r>
      <w:r>
        <w:t xml:space="preserve"> means —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 </w:t>
      </w:r>
    </w:p>
    <w:p>
      <w:pPr>
        <w:pStyle w:val="Defsubpara"/>
        <w:rPr>
          <w:snapToGrid w:val="0"/>
        </w:rPr>
      </w:pPr>
      <w:r>
        <w:rPr>
          <w:snapToGrid w:val="0"/>
        </w:rPr>
        <w:tab/>
        <w:t>(i)</w:t>
      </w:r>
      <w:r>
        <w:rPr>
          <w:snapToGrid w:val="0"/>
        </w:rPr>
        <w:tab/>
        <w:t>by a builder on behalf of another person where the work is not performed under a residential building work contract;</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start"/>
      </w:pPr>
      <w:r>
        <w:tab/>
      </w:r>
      <w:r>
        <w:tab/>
        <w:t xml:space="preserve">the estimated cost of construction specified in the application for a building licence under Part XV of the </w:t>
      </w:r>
      <w:r>
        <w:rPr>
          <w:i/>
        </w:rPr>
        <w:t>Local Government (Miscellaneous Provisions) Act 1960</w:t>
      </w:r>
      <w:r>
        <w:t>;</w:t>
      </w:r>
    </w:p>
    <w:p>
      <w:pPr>
        <w:pStyle w:val="Defstart"/>
      </w:pPr>
      <w:r>
        <w:tab/>
      </w:r>
      <w:r>
        <w:rPr>
          <w:b/>
        </w:rPr>
        <w:t>“</w:t>
      </w:r>
      <w:r>
        <w:rPr>
          <w:rStyle w:val="CharDefText"/>
        </w:rPr>
        <w:t>developer</w:t>
      </w:r>
      <w:r>
        <w:rPr>
          <w:b/>
        </w:rPr>
        <w:t>”</w:t>
      </w:r>
      <w:r>
        <w:t xml:space="preserve"> means a person for whom residential building work is performed under a building contract in relation to 4 or more dwellings;</w:t>
      </w:r>
    </w:p>
    <w:p>
      <w:pPr>
        <w:pStyle w:val="Defstart"/>
      </w:pPr>
      <w:r>
        <w:rPr>
          <w:b/>
        </w:rPr>
        <w:tab/>
        <w:t>“</w:t>
      </w:r>
      <w:r>
        <w:rPr>
          <w:rStyle w:val="CharDefText"/>
        </w:rPr>
        <w:t>insolvency</w:t>
      </w:r>
      <w:r>
        <w:rPr>
          <w:b/>
        </w:rPr>
        <w:t>”</w:t>
      </w:r>
      <w:r>
        <w:t xml:space="preserve"> means —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t>“</w:t>
      </w:r>
      <w:r>
        <w:rPr>
          <w:rStyle w:val="CharDefText"/>
        </w:rPr>
        <w:t>minimum amount</w:t>
      </w:r>
      <w:r>
        <w:rPr>
          <w:b/>
        </w:rPr>
        <w:t>”</w:t>
      </w:r>
      <w:r>
        <w:t xml:space="preserve"> means $10 000 or such other amount as is prescribed to be the minimum amount for the purposes of this section;</w:t>
      </w:r>
    </w:p>
    <w:p>
      <w:pPr>
        <w:pStyle w:val="Defstart"/>
      </w:pPr>
      <w:r>
        <w:tab/>
      </w:r>
      <w:r>
        <w:rPr>
          <w:b/>
        </w:rPr>
        <w:t>“</w:t>
      </w:r>
      <w:r>
        <w:rPr>
          <w:rStyle w:val="CharDefText"/>
        </w:rPr>
        <w:t>owner-builder</w:t>
      </w:r>
      <w:r>
        <w:rPr>
          <w:b/>
        </w:rPr>
        <w:t>”</w:t>
      </w:r>
      <w:r>
        <w:t>, in relation to a dwelling, means —</w:t>
      </w:r>
    </w:p>
    <w:p>
      <w:pPr>
        <w:pStyle w:val="Defpara"/>
      </w:pPr>
      <w:r>
        <w:tab/>
        <w:t>(a)</w:t>
      </w:r>
      <w:r>
        <w:tab/>
        <w:t xml:space="preserve">a person who constructs the dwelling under a building licence issued to that person in accordance with section 4A(1)(c) of the </w:t>
      </w:r>
      <w:r>
        <w:rPr>
          <w:i/>
        </w:rPr>
        <w:t>Builders’ Registration Act 1939</w:t>
      </w:r>
      <w:r>
        <w:t>; or</w:t>
      </w:r>
    </w:p>
    <w:p>
      <w:pPr>
        <w:pStyle w:val="Defpara"/>
      </w:pPr>
      <w:r>
        <w:tab/>
        <w:t>(b)</w:t>
      </w:r>
      <w:r>
        <w:tab/>
        <w:t>a person who —</w:t>
      </w:r>
    </w:p>
    <w:p>
      <w:pPr>
        <w:pStyle w:val="Defsubpara"/>
      </w:pPr>
      <w:r>
        <w:tab/>
        <w:t>(i)</w:t>
      </w:r>
      <w:r>
        <w:tab/>
        <w:t xml:space="preserve">is registered under the </w:t>
      </w:r>
      <w:r>
        <w:rPr>
          <w:i/>
        </w:rPr>
        <w:t>Builders’ Registration Act 1939</w:t>
      </w:r>
      <w:r>
        <w:t>;</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rPr>
          <w:b/>
        </w:rPr>
        <w:tab/>
        <w:t>“</w:t>
      </w:r>
      <w:r>
        <w:rPr>
          <w:rStyle w:val="CharDefText"/>
        </w:rPr>
        <w:t>rescind</w:t>
      </w:r>
      <w:r>
        <w:rPr>
          <w:b/>
        </w:rPr>
        <w:t>”</w:t>
      </w:r>
      <w:r>
        <w:t>, in relation to a contract, means to avoid the contract as from its beginning;</w:t>
      </w:r>
    </w:p>
    <w:p>
      <w:pPr>
        <w:pStyle w:val="Defstart"/>
      </w:pPr>
      <w:r>
        <w:rPr>
          <w:b/>
        </w:rPr>
        <w:tab/>
        <w:t>“</w:t>
      </w:r>
      <w:r>
        <w:rPr>
          <w:rStyle w:val="CharDefText"/>
        </w:rPr>
        <w:t>residential building work</w:t>
      </w:r>
      <w:r>
        <w:rPr>
          <w:b/>
        </w:rPr>
        <w:t>”</w:t>
      </w:r>
      <w:r>
        <w:t xml:space="preserve"> means home building work that is —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 </w:t>
      </w:r>
    </w:p>
    <w:p>
      <w:pPr>
        <w:pStyle w:val="Defsubpara"/>
        <w:rPr>
          <w:snapToGrid w:val="0"/>
        </w:rPr>
      </w:pPr>
      <w:r>
        <w:rPr>
          <w:snapToGrid w:val="0"/>
        </w:rPr>
        <w:tab/>
        <w:t>(i)</w:t>
      </w:r>
      <w:r>
        <w:rPr>
          <w:snapToGrid w:val="0"/>
        </w:rPr>
        <w:tab/>
        <w:t>it is to be performed under a contract which also includes the performance of home building work described in paragraph (a), (b) or (c) of that definition; or</w:t>
      </w:r>
    </w:p>
    <w:p>
      <w:pPr>
        <w:pStyle w:val="Defsubpara"/>
        <w:rPr>
          <w:snapToGrid w:val="0"/>
        </w:rPr>
      </w:pPr>
      <w:r>
        <w:rPr>
          <w:snapToGrid w:val="0"/>
        </w:rPr>
        <w:tab/>
        <w:t>(ii)</w:t>
      </w:r>
      <w:r>
        <w:rPr>
          <w:snapToGrid w:val="0"/>
        </w:rPr>
        <w:tab/>
        <w:t xml:space="preserve">it is associated work of a prescribed kind; </w:t>
      </w:r>
    </w:p>
    <w:p>
      <w:pPr>
        <w:pStyle w:val="Defstart"/>
      </w:pPr>
      <w:r>
        <w:tab/>
      </w:r>
      <w:r>
        <w:tab/>
        <w:t>but does not include home building work where the cost of the building work is the minimum amount or less;</w:t>
      </w:r>
    </w:p>
    <w:p>
      <w:pPr>
        <w:pStyle w:val="Defstart"/>
      </w:pPr>
      <w:r>
        <w:rPr>
          <w:b/>
        </w:rPr>
        <w:tab/>
        <w:t>“</w:t>
      </w:r>
      <w:r>
        <w:rPr>
          <w:rStyle w:val="CharDefText"/>
        </w:rPr>
        <w:t>residential building work contract</w:t>
      </w:r>
      <w:r>
        <w:rPr>
          <w:b/>
        </w:rPr>
        <w: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b/>
        </w:rPr>
        <w:t>“</w:t>
      </w:r>
      <w:r>
        <w:rPr>
          <w:rStyle w:val="CharDefText"/>
        </w:rPr>
        <w:t>sale contract</w:t>
      </w:r>
      <w:r>
        <w:rPr>
          <w:b/>
        </w:rPr>
        <w:t>”</w:t>
      </w:r>
      <w:r>
        <w:t>, in respect of residential building work performed by a builder or owner</w:t>
      </w:r>
      <w:r>
        <w:noBreakHyphen/>
        <w:t xml:space="preserve">builder, means a contract to sell or otherwise dispose of —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b/>
        </w:rPr>
        <w:t>“</w:t>
      </w:r>
      <w:r>
        <w:rPr>
          <w:rStyle w:val="CharDefText"/>
        </w:rPr>
        <w:t>settlement</w:t>
      </w:r>
      <w:r>
        <w:rPr>
          <w:b/>
        </w:rPr>
        <w: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 xml:space="preserve">[Section 25A inserted by No. 72 of 1996 s. 5; amended by No. 10 of 2001 s. 220; No. 37 of 2002 s. 9.] </w:t>
      </w:r>
    </w:p>
    <w:p>
      <w:pPr>
        <w:pStyle w:val="Heading3"/>
        <w:rPr>
          <w:snapToGrid w:val="0"/>
        </w:rPr>
      </w:pPr>
      <w:bookmarkStart w:id="187" w:name="_Toc89521555"/>
      <w:bookmarkStart w:id="188" w:name="_Toc89521624"/>
      <w:bookmarkStart w:id="189" w:name="_Toc96246670"/>
      <w:bookmarkStart w:id="190" w:name="_Toc97107139"/>
      <w:bookmarkStart w:id="191" w:name="_Toc102365988"/>
      <w:bookmarkStart w:id="192" w:name="_Toc103067011"/>
      <w:r>
        <w:rPr>
          <w:rStyle w:val="CharDivNo"/>
        </w:rPr>
        <w:t>Division 2</w:t>
      </w:r>
      <w:r>
        <w:rPr>
          <w:snapToGrid w:val="0"/>
        </w:rPr>
        <w:t> — </w:t>
      </w:r>
      <w:r>
        <w:rPr>
          <w:rStyle w:val="CharDivText"/>
        </w:rPr>
        <w:t>Builders</w:t>
      </w:r>
      <w:bookmarkEnd w:id="187"/>
      <w:bookmarkEnd w:id="188"/>
      <w:bookmarkEnd w:id="189"/>
      <w:bookmarkEnd w:id="190"/>
      <w:bookmarkEnd w:id="191"/>
      <w:bookmarkEnd w:id="192"/>
      <w:r>
        <w:rPr>
          <w:rStyle w:val="CharDivText"/>
        </w:rPr>
        <w:t xml:space="preserve"> </w:t>
      </w:r>
    </w:p>
    <w:p>
      <w:pPr>
        <w:pStyle w:val="Footnoteheading"/>
        <w:rPr>
          <w:snapToGrid w:val="0"/>
        </w:rPr>
      </w:pPr>
      <w:r>
        <w:rPr>
          <w:snapToGrid w:val="0"/>
        </w:rPr>
        <w:tab/>
        <w:t>[Heading inserted by No. 72 of 1996 s. 5.]</w:t>
      </w:r>
    </w:p>
    <w:p>
      <w:pPr>
        <w:pStyle w:val="Heading5"/>
        <w:rPr>
          <w:snapToGrid w:val="0"/>
        </w:rPr>
      </w:pPr>
      <w:bookmarkStart w:id="193" w:name="_Toc521487165"/>
      <w:bookmarkStart w:id="194" w:name="_Toc522337193"/>
      <w:bookmarkStart w:id="195" w:name="_Toc527365411"/>
      <w:bookmarkStart w:id="196" w:name="_Toc530458619"/>
      <w:bookmarkStart w:id="197" w:name="_Toc530460481"/>
      <w:bookmarkStart w:id="198" w:name="_Toc103067012"/>
      <w:r>
        <w:rPr>
          <w:rStyle w:val="CharSectno"/>
        </w:rPr>
        <w:t>25B</w:t>
      </w:r>
      <w:r>
        <w:rPr>
          <w:snapToGrid w:val="0"/>
        </w:rPr>
        <w:t xml:space="preserve">. </w:t>
      </w:r>
      <w:r>
        <w:rPr>
          <w:snapToGrid w:val="0"/>
        </w:rPr>
        <w:tab/>
        <w:t>Application of this Division</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r>
        <w:rPr>
          <w:i/>
          <w:snapToGrid w:val="0"/>
        </w:rPr>
        <w:t>Home Building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the builder has given the Builders’ Registration Board a statutory declaration verifying that he or she has not, within the last 6 years, obtained a building licence for residential building work 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t>“</w:t>
      </w:r>
      <w:r>
        <w:rPr>
          <w:rStyle w:val="CharDefText"/>
        </w:rPr>
        <w:t>insurance</w:t>
      </w:r>
      <w:r>
        <w:rPr>
          <w:b/>
        </w:rPr>
        <w:t>”</w:t>
      </w:r>
      <w:r>
        <w:t xml:space="preserve"> means a policy of insurance that complies with Division 2, or corresponding cover provided by an approved fund.</w:t>
      </w:r>
    </w:p>
    <w:p>
      <w:pPr>
        <w:pStyle w:val="Footnotesection"/>
      </w:pPr>
      <w:r>
        <w:tab/>
        <w:t xml:space="preserve">[Section 25B inserted by No. 72 of 1996 s. 5; amended by No. 37 of 2002 s. 10.] </w:t>
      </w:r>
    </w:p>
    <w:p>
      <w:pPr>
        <w:pStyle w:val="Heading5"/>
        <w:rPr>
          <w:snapToGrid w:val="0"/>
        </w:rPr>
      </w:pPr>
      <w:bookmarkStart w:id="199" w:name="_Toc521487166"/>
      <w:bookmarkStart w:id="200" w:name="_Toc522337194"/>
      <w:bookmarkStart w:id="201" w:name="_Toc527365412"/>
      <w:bookmarkStart w:id="202" w:name="_Toc530458620"/>
      <w:bookmarkStart w:id="203" w:name="_Toc530460482"/>
      <w:bookmarkStart w:id="204" w:name="_Toc103067013"/>
      <w:r>
        <w:rPr>
          <w:rStyle w:val="CharSectno"/>
        </w:rPr>
        <w:t>25C</w:t>
      </w:r>
      <w:r>
        <w:rPr>
          <w:snapToGrid w:val="0"/>
        </w:rPr>
        <w:t xml:space="preserve">. </w:t>
      </w:r>
      <w:r>
        <w:rPr>
          <w:snapToGrid w:val="0"/>
        </w:rPr>
        <w:tab/>
        <w:t>Offence if no insurance</w:t>
      </w:r>
      <w:bookmarkEnd w:id="199"/>
      <w:bookmarkEnd w:id="200"/>
      <w:bookmarkEnd w:id="201"/>
      <w:bookmarkEnd w:id="202"/>
      <w:bookmarkEnd w:id="203"/>
      <w:r>
        <w:rPr>
          <w:snapToGrid w:val="0"/>
        </w:rPr>
        <w:t xml:space="preserve"> or no corresponding cover</w:t>
      </w:r>
      <w:bookmarkEnd w:id="204"/>
      <w:r>
        <w:rPr>
          <w:snapToGrid w:val="0"/>
        </w:rPr>
        <w:t xml:space="preserve"> </w:t>
      </w:r>
    </w:p>
    <w:p>
      <w:pPr>
        <w:pStyle w:val="Subsection"/>
      </w:pPr>
      <w:r>
        <w:tab/>
        <w:t>(1)</w:t>
      </w:r>
      <w:r>
        <w:tab/>
        <w:t xml:space="preserve">A builder must not perform residential building work to which this Division applies unless —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 xml:space="preserve"> 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 xml:space="preserve">Subsections (1) and (2) do not apply to a builder who performs residential building work to which this Division applies if — </w:t>
      </w:r>
    </w:p>
    <w:p>
      <w:pPr>
        <w:pStyle w:val="Indenta"/>
      </w:pPr>
      <w:r>
        <w:tab/>
        <w:t>(a)</w:t>
      </w:r>
      <w:r>
        <w:tab/>
        <w:t>the builder performs the residential building work during a period specified in an order made under section 25I for the purposes of this subsection; or</w:t>
      </w:r>
    </w:p>
    <w:p>
      <w:pPr>
        <w:pStyle w:val="Indenta"/>
      </w:pPr>
      <w:r>
        <w:tab/>
        <w:t>(b)</w:t>
      </w:r>
      <w:r>
        <w:tab/>
        <w:t xml:space="preserve">the builder performs the residential building work — </w:t>
      </w:r>
    </w:p>
    <w:p>
      <w:pPr>
        <w:pStyle w:val="Indenti"/>
      </w:pPr>
      <w:r>
        <w:tab/>
        <w:t>(i)</w:t>
      </w:r>
      <w:r>
        <w:tab/>
        <w:t>after the end of a period specified in an order made under section 25I for the purposes of this subsection; and</w:t>
      </w:r>
    </w:p>
    <w:p>
      <w:pPr>
        <w:pStyle w:val="Indenti"/>
      </w:pPr>
      <w:r>
        <w:tab/>
        <w:t>(ii)</w:t>
      </w:r>
      <w:r>
        <w:tab/>
        <w:t>under a building licence issued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 xml:space="preserve">[Section 25C inserted by No. 72 of 1996 s. 5; amended by No. 37 of 2002 s. 11 and 20.] </w:t>
      </w:r>
    </w:p>
    <w:p>
      <w:pPr>
        <w:pStyle w:val="Heading5"/>
        <w:rPr>
          <w:snapToGrid w:val="0"/>
        </w:rPr>
      </w:pPr>
      <w:bookmarkStart w:id="205" w:name="_Toc521487167"/>
      <w:bookmarkStart w:id="206" w:name="_Toc522337195"/>
      <w:bookmarkStart w:id="207" w:name="_Toc527365413"/>
      <w:bookmarkStart w:id="208" w:name="_Toc530458621"/>
      <w:bookmarkStart w:id="209" w:name="_Toc530460483"/>
      <w:bookmarkStart w:id="210" w:name="_Toc103067014"/>
      <w:r>
        <w:rPr>
          <w:rStyle w:val="CharSectno"/>
        </w:rPr>
        <w:t>25D</w:t>
      </w:r>
      <w:r>
        <w:rPr>
          <w:snapToGrid w:val="0"/>
        </w:rPr>
        <w:t xml:space="preserve">. </w:t>
      </w:r>
      <w:r>
        <w:rPr>
          <w:snapToGrid w:val="0"/>
        </w:rPr>
        <w:tab/>
        <w:t>Requirements of insurance policy</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 policy of insurance complies with this Division if — </w:t>
      </w:r>
    </w:p>
    <w:p>
      <w:pPr>
        <w:pStyle w:val="Indenta"/>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 </w:t>
      </w:r>
    </w:p>
    <w:p>
      <w:pPr>
        <w:pStyle w:val="Indenti"/>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w:t>
      </w:r>
    </w:p>
    <w:p>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builder or by reason of the fact that, after due search and enquiry, the builder cannot be found;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w:t>
      </w:r>
    </w:p>
    <w:p>
      <w:pPr>
        <w:pStyle w:val="Indenta"/>
        <w:rPr>
          <w:snapToGrid w:val="0"/>
        </w:rPr>
      </w:pPr>
      <w:r>
        <w:rPr>
          <w:snapToGrid w:val="0"/>
        </w:rPr>
        <w:tab/>
        <w:t>(e)</w:t>
      </w:r>
      <w:r>
        <w:rPr>
          <w:snapToGrid w:val="0"/>
        </w:rPr>
        <w:tab/>
        <w:t>it provides for insurance cover of —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w:t>
      </w:r>
    </w:p>
    <w:p>
      <w:pPr>
        <w:pStyle w:val="Indenta"/>
        <w:rPr>
          <w:snapToGrid w:val="0"/>
        </w:rPr>
      </w:pPr>
      <w:r>
        <w:rPr>
          <w:snapToGrid w:val="0"/>
        </w:rPr>
        <w:tab/>
        <w:t>(f)</w:t>
      </w:r>
      <w:r>
        <w:rPr>
          <w:snapToGrid w:val="0"/>
        </w:rPr>
        <w:tab/>
        <w:t>it is issued by or on behalf of an insurer who is —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rPr>
          <w:snapToGrid w:val="0"/>
        </w:rPr>
      </w:pPr>
      <w:r>
        <w:rPr>
          <w:snapToGrid w:val="0"/>
        </w:rPr>
        <w:tab/>
        <w:t>(ii)</w:t>
      </w:r>
      <w:r>
        <w:rPr>
          <w:snapToGrid w:val="0"/>
        </w:rPr>
        <w:tab/>
        <w:t xml:space="preserve">approved in writing by the Minister;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Subject to subsection (3), where the policy of insurance relates to work described in paragraph (b) of the definition of “home building work”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 </w:t>
      </w:r>
    </w:p>
    <w:p>
      <w:pPr>
        <w:pStyle w:val="Indenta"/>
        <w:rPr>
          <w:snapToGrid w:val="0"/>
        </w:rPr>
      </w:pPr>
      <w:r>
        <w:rPr>
          <w:snapToGrid w:val="0"/>
        </w:rPr>
        <w:tab/>
        <w:t>(a)</w:t>
      </w:r>
      <w:r>
        <w:rPr>
          <w:snapToGrid w:val="0"/>
        </w:rPr>
        <w:tab/>
        <w:t>the dwelling;</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 xml:space="preserve">[Section 25D inserted by No. 72 of 1996 s. 5; amended by No. 37 of 2002 s. 12.] </w:t>
      </w:r>
    </w:p>
    <w:p>
      <w:pPr>
        <w:pStyle w:val="Heading5"/>
      </w:pPr>
      <w:bookmarkStart w:id="211" w:name="_Toc103067015"/>
      <w:r>
        <w:rPr>
          <w:rStyle w:val="CharSectno"/>
        </w:rPr>
        <w:t>25DA</w:t>
      </w:r>
      <w:r>
        <w:t>.</w:t>
      </w:r>
      <w:r>
        <w:tab/>
        <w:t>Corresponding cover by an approved fund — builders</w:t>
      </w:r>
      <w:bookmarkEnd w:id="211"/>
    </w:p>
    <w:p>
      <w:pPr>
        <w:pStyle w:val="Subsection"/>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rPr>
          <w:snapToGrid w:val="0"/>
        </w:rPr>
      </w:pPr>
      <w:bookmarkStart w:id="212" w:name="_Toc89521560"/>
      <w:bookmarkStart w:id="213" w:name="_Toc89521629"/>
      <w:bookmarkStart w:id="214" w:name="_Toc96246675"/>
      <w:bookmarkStart w:id="215" w:name="_Toc97107144"/>
      <w:bookmarkStart w:id="216" w:name="_Toc102365993"/>
      <w:bookmarkStart w:id="217" w:name="_Toc103067016"/>
      <w:r>
        <w:rPr>
          <w:rStyle w:val="CharDivNo"/>
        </w:rPr>
        <w:t>Division 3</w:t>
      </w:r>
      <w:r>
        <w:rPr>
          <w:snapToGrid w:val="0"/>
        </w:rPr>
        <w:t> — </w:t>
      </w:r>
      <w:r>
        <w:rPr>
          <w:rStyle w:val="CharDivText"/>
        </w:rPr>
        <w:t>Owner</w:t>
      </w:r>
      <w:r>
        <w:rPr>
          <w:rStyle w:val="CharDivText"/>
        </w:rPr>
        <w:noBreakHyphen/>
        <w:t>builders</w:t>
      </w:r>
      <w:bookmarkEnd w:id="212"/>
      <w:bookmarkEnd w:id="213"/>
      <w:bookmarkEnd w:id="214"/>
      <w:bookmarkEnd w:id="215"/>
      <w:bookmarkEnd w:id="216"/>
      <w:bookmarkEnd w:id="217"/>
      <w:r>
        <w:rPr>
          <w:rStyle w:val="CharDivText"/>
        </w:rPr>
        <w:t xml:space="preserve"> </w:t>
      </w:r>
    </w:p>
    <w:p>
      <w:pPr>
        <w:pStyle w:val="Footnoteheading"/>
        <w:keepNext/>
        <w:rPr>
          <w:snapToGrid w:val="0"/>
        </w:rPr>
      </w:pPr>
      <w:r>
        <w:rPr>
          <w:snapToGrid w:val="0"/>
        </w:rPr>
        <w:tab/>
        <w:t>[Heading inserted by No. 72 of 1996 s. 5.]</w:t>
      </w:r>
    </w:p>
    <w:p>
      <w:pPr>
        <w:pStyle w:val="Heading5"/>
        <w:spacing w:before="160"/>
        <w:rPr>
          <w:snapToGrid w:val="0"/>
        </w:rPr>
      </w:pPr>
      <w:bookmarkStart w:id="218" w:name="_Toc521487168"/>
      <w:bookmarkStart w:id="219" w:name="_Toc522337196"/>
      <w:bookmarkStart w:id="220" w:name="_Toc527365414"/>
      <w:bookmarkStart w:id="221" w:name="_Toc530458622"/>
      <w:bookmarkStart w:id="222" w:name="_Toc530460484"/>
      <w:bookmarkStart w:id="223" w:name="_Toc103067017"/>
      <w:r>
        <w:rPr>
          <w:rStyle w:val="CharSectno"/>
        </w:rPr>
        <w:t>25E</w:t>
      </w:r>
      <w:r>
        <w:rPr>
          <w:snapToGrid w:val="0"/>
        </w:rPr>
        <w:t xml:space="preserve">. </w:t>
      </w:r>
      <w:r>
        <w:rPr>
          <w:snapToGrid w:val="0"/>
        </w:rPr>
        <w:tab/>
        <w:t>Application of this Division</w:t>
      </w:r>
      <w:bookmarkEnd w:id="218"/>
      <w:bookmarkEnd w:id="219"/>
      <w:bookmarkEnd w:id="220"/>
      <w:bookmarkEnd w:id="221"/>
      <w:bookmarkEnd w:id="222"/>
      <w:bookmarkEnd w:id="223"/>
      <w:r>
        <w:rPr>
          <w:snapToGrid w:val="0"/>
        </w:rPr>
        <w:t xml:space="preserve"> </w:t>
      </w:r>
    </w:p>
    <w:p>
      <w:pPr>
        <w:pStyle w:val="Subsection"/>
        <w:spacing w:before="120"/>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spacing w:before="120"/>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before the commencement of the </w:t>
      </w:r>
      <w:r>
        <w:rPr>
          <w:i/>
          <w:snapToGrid w:val="0"/>
        </w:rPr>
        <w:t>Home Building Contracts Amendment Act 1996</w:t>
      </w:r>
      <w:r>
        <w:rPr>
          <w:snapToGrid w:val="0"/>
        </w:rPr>
        <w:t>.</w:t>
      </w:r>
    </w:p>
    <w:p>
      <w:pPr>
        <w:pStyle w:val="Footnotesection"/>
      </w:pPr>
      <w:r>
        <w:tab/>
        <w:t xml:space="preserve">[Section 25E inserted by No. 72 of 1996 s. 5; amended by No. 74 of 2003 s. 66.] </w:t>
      </w:r>
    </w:p>
    <w:p>
      <w:pPr>
        <w:pStyle w:val="Heading5"/>
      </w:pPr>
      <w:bookmarkStart w:id="224" w:name="_Toc103067018"/>
      <w:bookmarkStart w:id="225" w:name="_Toc521487170"/>
      <w:bookmarkStart w:id="226" w:name="_Toc522337198"/>
      <w:bookmarkStart w:id="227" w:name="_Toc527365416"/>
      <w:bookmarkStart w:id="228" w:name="_Toc530458624"/>
      <w:bookmarkStart w:id="229" w:name="_Toc530460486"/>
      <w:r>
        <w:rPr>
          <w:rStyle w:val="CharSectno"/>
        </w:rPr>
        <w:t>25F</w:t>
      </w:r>
      <w:r>
        <w:t>.</w:t>
      </w:r>
      <w:r>
        <w:tab/>
        <w:t>Restriction on sale by owner</w:t>
      </w:r>
      <w:r>
        <w:noBreakHyphen/>
        <w:t>builder</w:t>
      </w:r>
      <w:bookmarkEnd w:id="224"/>
    </w:p>
    <w:p>
      <w:pPr>
        <w:pStyle w:val="Subsection"/>
      </w:pPr>
      <w:r>
        <w:tab/>
        <w:t>(1)</w:t>
      </w:r>
      <w:r>
        <w:tab/>
        <w:t>An owner</w:t>
      </w:r>
      <w:r>
        <w:noBreakHyphen/>
        <w:t>builder must not, within 7 years of the date of issue of the relevant building licence to the owner</w:t>
      </w:r>
      <w:r>
        <w:noBreakHyphen/>
        <w:t xml:space="preserve">builder, enter into a sale contract unless — </w:t>
      </w:r>
    </w:p>
    <w:p>
      <w:pPr>
        <w:pStyle w:val="Indenta"/>
      </w:pPr>
      <w:r>
        <w:tab/>
        <w:t>(a)</w:t>
      </w:r>
      <w:r>
        <w:tab/>
        <w:t xml:space="preserve">either — </w:t>
      </w:r>
    </w:p>
    <w:p>
      <w:pPr>
        <w:pStyle w:val="Indenti"/>
      </w:pPr>
      <w:r>
        <w:tab/>
        <w:t>(i)</w:t>
      </w:r>
      <w:r>
        <w:tab/>
        <w:t>a policy of insurance that complies with this Division is in force in relation to the residential building work; or</w:t>
      </w:r>
    </w:p>
    <w:p>
      <w:pPr>
        <w:pStyle w:val="Indenti"/>
      </w:pPr>
      <w:r>
        <w:tab/>
        <w:t>(ii)</w:t>
      </w:r>
      <w:r>
        <w:tab/>
        <w:t>corresponding cover is provided by an approved fund in relation to the residential building work;</w:t>
      </w:r>
    </w:p>
    <w:p>
      <w:pPr>
        <w:pStyle w:val="Indenta"/>
      </w:pPr>
      <w:r>
        <w:tab/>
      </w:r>
      <w:r>
        <w:tab/>
        <w:t>and</w:t>
      </w:r>
    </w:p>
    <w:p>
      <w:pPr>
        <w:pStyle w:val="Indenta"/>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w:t>
      </w:r>
    </w:p>
    <w:p>
      <w:pPr>
        <w:pStyle w:val="Heading5"/>
      </w:pPr>
      <w:bookmarkStart w:id="230" w:name="_Toc103067019"/>
      <w:r>
        <w:rPr>
          <w:rStyle w:val="CharSectno"/>
        </w:rPr>
        <w:t>25FA</w:t>
      </w:r>
      <w:r>
        <w:t>.</w:t>
      </w:r>
      <w:r>
        <w:tab/>
        <w:t>Further restrictions on sale by certain owner-builders</w:t>
      </w:r>
      <w:bookmarkEnd w:id="230"/>
    </w:p>
    <w:p>
      <w:pPr>
        <w:pStyle w:val="Subsection"/>
      </w:pPr>
      <w:r>
        <w:tab/>
        <w:t>(1)</w:t>
      </w:r>
      <w:r>
        <w:tab/>
        <w:t>A person to whom paragraph (b) of the definition of “owner</w:t>
      </w:r>
      <w:r>
        <w:noBreakHyphen/>
        <w:t>builder”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$10 000.</w:t>
      </w:r>
    </w:p>
    <w:p>
      <w:pPr>
        <w:pStyle w:val="Subsection"/>
      </w:pPr>
      <w:r>
        <w:tab/>
        <w:t>(2)</w:t>
      </w:r>
      <w:r>
        <w:tab/>
        <w:t>Before making an order under subsection (1),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Footnotesection"/>
      </w:pPr>
      <w:r>
        <w:tab/>
        <w:t>[Section 25FA inserted by No. 37 of 2002 s. 14.]</w:t>
      </w:r>
    </w:p>
    <w:p>
      <w:pPr>
        <w:pStyle w:val="Heading5"/>
        <w:spacing w:before="160"/>
        <w:rPr>
          <w:snapToGrid w:val="0"/>
        </w:rPr>
      </w:pPr>
      <w:bookmarkStart w:id="231" w:name="_Toc103067020"/>
      <w:r>
        <w:rPr>
          <w:rStyle w:val="CharSectno"/>
        </w:rPr>
        <w:t>25G</w:t>
      </w:r>
      <w:r>
        <w:rPr>
          <w:snapToGrid w:val="0"/>
        </w:rPr>
        <w:t xml:space="preserve">. </w:t>
      </w:r>
      <w:r>
        <w:rPr>
          <w:snapToGrid w:val="0"/>
        </w:rPr>
        <w:tab/>
        <w:t>Requirements of insurance policy</w:t>
      </w:r>
      <w:bookmarkEnd w:id="225"/>
      <w:bookmarkEnd w:id="226"/>
      <w:bookmarkEnd w:id="227"/>
      <w:bookmarkEnd w:id="228"/>
      <w:bookmarkEnd w:id="229"/>
      <w:bookmarkEnd w:id="231"/>
      <w:r>
        <w:rPr>
          <w:snapToGrid w:val="0"/>
        </w:rPr>
        <w:t xml:space="preserve"> </w:t>
      </w:r>
    </w:p>
    <w:p>
      <w:pPr>
        <w:pStyle w:val="Subsection"/>
        <w:spacing w:before="120"/>
        <w:rPr>
          <w:snapToGrid w:val="0"/>
        </w:rPr>
      </w:pPr>
      <w:r>
        <w:rPr>
          <w:snapToGrid w:val="0"/>
        </w:rPr>
        <w:tab/>
        <w:t>(1)</w:t>
      </w:r>
      <w:r>
        <w:rPr>
          <w:snapToGrid w:val="0"/>
        </w:rPr>
        <w:tab/>
        <w:t>A policy of insurance complies with this Division if —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owner</w:t>
      </w:r>
      <w:r>
        <w:rPr>
          <w:snapToGrid w:val="0"/>
        </w:rPr>
        <w:noBreakHyphen/>
        <w:t>builder or by reason of the fact that, after due search and enquiry, the owner</w:t>
      </w:r>
      <w:r>
        <w:rPr>
          <w:snapToGrid w:val="0"/>
        </w:rPr>
        <w:noBreakHyphen/>
        <w:t>builder cannot be found;</w:t>
      </w:r>
    </w:p>
    <w:p>
      <w:pPr>
        <w:pStyle w:val="Indenta"/>
        <w:rPr>
          <w:snapToGrid w:val="0"/>
        </w:rPr>
      </w:pPr>
      <w:r>
        <w:rPr>
          <w:snapToGrid w:val="0"/>
        </w:rPr>
        <w:tab/>
        <w:t>(b)</w:t>
      </w:r>
      <w:r>
        <w:rPr>
          <w:snapToGrid w:val="0"/>
        </w:rPr>
        <w:tab/>
        <w:t>it provides that claims may be made under it at any time before the expiration of a period of 7 years from the date of issue to the owner</w:t>
      </w:r>
      <w:r>
        <w:rPr>
          <w:snapToGrid w:val="0"/>
        </w:rPr>
        <w:noBreakHyphen/>
        <w:t>builder of the relevant building licence for the building work;</w:t>
      </w:r>
    </w:p>
    <w:p>
      <w:pPr>
        <w:pStyle w:val="Indenta"/>
        <w:rPr>
          <w:snapToGrid w:val="0"/>
        </w:rPr>
      </w:pPr>
      <w:r>
        <w:rPr>
          <w:snapToGrid w:val="0"/>
        </w:rPr>
        <w:tab/>
        <w:t>(c)</w:t>
      </w:r>
      <w:r>
        <w:rPr>
          <w:snapToGrid w:val="0"/>
        </w:rPr>
        <w:tab/>
        <w:t>it provides for insurance cover of —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w:t>
      </w:r>
    </w:p>
    <w:p>
      <w:pPr>
        <w:pStyle w:val="Indenta"/>
        <w:rPr>
          <w:snapToGrid w:val="0"/>
        </w:rPr>
      </w:pPr>
      <w:r>
        <w:rPr>
          <w:snapToGrid w:val="0"/>
        </w:rPr>
        <w:tab/>
        <w:t>(d)</w:t>
      </w:r>
      <w:r>
        <w:rPr>
          <w:snapToGrid w:val="0"/>
        </w:rPr>
        <w:tab/>
        <w:t>it is issued by or on behalf of an insurer who is —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Where the policy of insurance relates to work described in paragraph (b) of the definition of “</w:t>
      </w:r>
      <w:r>
        <w:rPr>
          <w:rStyle w:val="CharDefText"/>
          <w:b w:val="0"/>
        </w:rPr>
        <w:t>home building work</w:t>
      </w:r>
      <w:r>
        <w:rPr>
          <w:snapToGrid w:val="0"/>
        </w:rPr>
        <w:t>” in section 3, the cost of the building work for the purposes of subsection (1)(c) is only the cost of —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 xml:space="preserve">[Section 25G inserted by No. 72 of 1996 s. 5.] </w:t>
      </w:r>
    </w:p>
    <w:p>
      <w:pPr>
        <w:pStyle w:val="Heading5"/>
      </w:pPr>
      <w:bookmarkStart w:id="232" w:name="_Toc103067021"/>
      <w:r>
        <w:rPr>
          <w:rStyle w:val="CharSectno"/>
        </w:rPr>
        <w:t>25GA</w:t>
      </w:r>
      <w:r>
        <w:t>.</w:t>
      </w:r>
      <w:r>
        <w:tab/>
        <w:t>Corresponding cover by an approved fund — owner</w:t>
      </w:r>
      <w:r>
        <w:noBreakHyphen/>
        <w:t>builders</w:t>
      </w:r>
      <w:bookmarkEnd w:id="232"/>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233" w:name="_Toc89521566"/>
      <w:bookmarkStart w:id="234" w:name="_Toc89521635"/>
      <w:bookmarkStart w:id="235" w:name="_Toc96246681"/>
      <w:bookmarkStart w:id="236" w:name="_Toc97107150"/>
      <w:bookmarkStart w:id="237" w:name="_Toc102365999"/>
      <w:bookmarkStart w:id="238" w:name="_Toc103067022"/>
      <w:r>
        <w:rPr>
          <w:rStyle w:val="CharDivNo"/>
        </w:rPr>
        <w:t>Division 3A</w:t>
      </w:r>
      <w:r>
        <w:t> — </w:t>
      </w:r>
      <w:r>
        <w:rPr>
          <w:rStyle w:val="CharDivText"/>
        </w:rPr>
        <w:t>Approved funds</w:t>
      </w:r>
      <w:bookmarkEnd w:id="233"/>
      <w:bookmarkEnd w:id="234"/>
      <w:bookmarkEnd w:id="235"/>
      <w:bookmarkEnd w:id="236"/>
      <w:bookmarkEnd w:id="237"/>
      <w:bookmarkEnd w:id="238"/>
    </w:p>
    <w:p>
      <w:pPr>
        <w:pStyle w:val="Footnoteheading"/>
        <w:keepNext/>
        <w:rPr>
          <w:snapToGrid w:val="0"/>
        </w:rPr>
      </w:pPr>
      <w:r>
        <w:rPr>
          <w:snapToGrid w:val="0"/>
        </w:rPr>
        <w:tab/>
        <w:t>[Heading inserted by No. 37 of 2002 s. 16.]</w:t>
      </w:r>
    </w:p>
    <w:p>
      <w:pPr>
        <w:pStyle w:val="Heading5"/>
      </w:pPr>
      <w:bookmarkStart w:id="239" w:name="_Toc103067023"/>
      <w:r>
        <w:rPr>
          <w:rStyle w:val="CharSectno"/>
        </w:rPr>
        <w:t>25GB</w:t>
      </w:r>
      <w:r>
        <w:t>.</w:t>
      </w:r>
      <w:r>
        <w:tab/>
        <w:t>Minister’s approval of a fund</w:t>
      </w:r>
      <w:bookmarkEnd w:id="239"/>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 xml:space="preserve">The Minister is not to approve a fund unless — </w:t>
      </w:r>
    </w:p>
    <w:p>
      <w:pPr>
        <w:pStyle w:val="Indenta"/>
      </w:pPr>
      <w:r>
        <w:tab/>
        <w:t>(a)</w:t>
      </w:r>
      <w:r>
        <w:tab/>
        <w:t>the fund is, or is similar to, a mutual fund;</w:t>
      </w:r>
    </w:p>
    <w:p>
      <w:pPr>
        <w:pStyle w:val="Indenta"/>
      </w:pPr>
      <w:r>
        <w:tab/>
        <w:t>(b)</w:t>
      </w:r>
      <w:r>
        <w:tab/>
        <w:t>the rules of the fund (however described) are approved by the Minister;</w:t>
      </w:r>
    </w:p>
    <w:p>
      <w:pPr>
        <w:pStyle w:val="Indenta"/>
      </w:pPr>
      <w:r>
        <w:tab/>
        <w:t>(c)</w:t>
      </w:r>
      <w:r>
        <w:tab/>
        <w:t>each person responsible for the management of the fund is approved by the Minister in relation to the fund;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 xml:space="preserve">In deciding whether to approve a fund, the Minister may take into account — </w:t>
      </w:r>
    </w:p>
    <w:p>
      <w:pPr>
        <w:pStyle w:val="Indenta"/>
      </w:pPr>
      <w:r>
        <w:tab/>
        <w:t>(a)</w:t>
      </w:r>
      <w:r>
        <w:tab/>
        <w:t>the independence of the persons involved in, or responsible for, the management, provision for excess losses and auditing of the fund;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240" w:name="_Toc103067024"/>
      <w:r>
        <w:rPr>
          <w:rStyle w:val="CharSectno"/>
        </w:rPr>
        <w:t>25GC</w:t>
      </w:r>
      <w:r>
        <w:t>.</w:t>
      </w:r>
      <w:r>
        <w:tab/>
        <w:t>Minister’s consent to changes to an approved fund</w:t>
      </w:r>
      <w:bookmarkEnd w:id="240"/>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241" w:name="_Toc103067025"/>
      <w:r>
        <w:rPr>
          <w:rStyle w:val="CharSectno"/>
        </w:rPr>
        <w:t>25GD</w:t>
      </w:r>
      <w:r>
        <w:t>.</w:t>
      </w:r>
      <w:r>
        <w:tab/>
        <w:t>Revocation of Minister’s approval of a fund</w:t>
      </w:r>
      <w:bookmarkEnd w:id="241"/>
    </w:p>
    <w:p>
      <w:pPr>
        <w:pStyle w:val="Subsection"/>
      </w:pPr>
      <w:r>
        <w:tab/>
      </w:r>
      <w:r>
        <w:tab/>
        <w:t xml:space="preserve">The Minister may, by order published in the </w:t>
      </w:r>
      <w:r>
        <w:rPr>
          <w:i/>
        </w:rPr>
        <w:t>Gazette</w:t>
      </w:r>
      <w:r>
        <w:t xml:space="preserve">, revoke the Minister’s approval of a fund if — </w:t>
      </w:r>
    </w:p>
    <w:p>
      <w:pPr>
        <w:pStyle w:val="Indenta"/>
      </w:pPr>
      <w:r>
        <w:tab/>
        <w:t>(a)</w:t>
      </w:r>
      <w:r>
        <w:tab/>
        <w:t>a matter, as it applies to an approved fund, has changed in contravention of section 25GC;</w:t>
      </w:r>
    </w:p>
    <w:p>
      <w:pPr>
        <w:pStyle w:val="Indenta"/>
      </w:pPr>
      <w:r>
        <w:tab/>
        <w:t>(b)</w:t>
      </w:r>
      <w:r>
        <w:tab/>
        <w:t>the Minister is no longer satisfied that there is adequate insurance or other provision for excess losses of the fund as referred to in section 25GB(2)(d); or</w:t>
      </w:r>
    </w:p>
    <w:p>
      <w:pPr>
        <w:pStyle w:val="Indenta"/>
      </w:pPr>
      <w:r>
        <w:tab/>
        <w:t>(c)</w:t>
      </w:r>
      <w:r>
        <w:tab/>
        <w:t xml:space="preserve">an insurer referred to in section 25GB(2)(e) —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rPr>
          <w:snapToGrid w:val="0"/>
        </w:rPr>
      </w:pPr>
      <w:bookmarkStart w:id="242" w:name="_Toc89521570"/>
      <w:bookmarkStart w:id="243" w:name="_Toc89521639"/>
      <w:bookmarkStart w:id="244" w:name="_Toc96246685"/>
      <w:bookmarkStart w:id="245" w:name="_Toc97107154"/>
      <w:bookmarkStart w:id="246" w:name="_Toc102366003"/>
      <w:bookmarkStart w:id="247" w:name="_Toc103067026"/>
      <w:r>
        <w:rPr>
          <w:rStyle w:val="CharDivNo"/>
        </w:rPr>
        <w:t>Division 4</w:t>
      </w:r>
      <w:r>
        <w:rPr>
          <w:snapToGrid w:val="0"/>
        </w:rPr>
        <w:t> — </w:t>
      </w:r>
      <w:r>
        <w:rPr>
          <w:rStyle w:val="CharDivText"/>
        </w:rPr>
        <w:t>Review</w:t>
      </w:r>
      <w:bookmarkEnd w:id="242"/>
      <w:bookmarkEnd w:id="243"/>
      <w:bookmarkEnd w:id="244"/>
      <w:bookmarkEnd w:id="245"/>
      <w:bookmarkEnd w:id="246"/>
      <w:bookmarkEnd w:id="247"/>
      <w:r>
        <w:rPr>
          <w:rStyle w:val="CharDivText"/>
        </w:rPr>
        <w:t xml:space="preserve"> </w:t>
      </w:r>
    </w:p>
    <w:p>
      <w:pPr>
        <w:pStyle w:val="Footnoteheading"/>
        <w:keepNext/>
        <w:rPr>
          <w:snapToGrid w:val="0"/>
        </w:rPr>
      </w:pPr>
      <w:r>
        <w:rPr>
          <w:snapToGrid w:val="0"/>
        </w:rPr>
        <w:tab/>
        <w:t>[Heading inserted by No. 72 of 1996 s. 5.]</w:t>
      </w:r>
    </w:p>
    <w:p>
      <w:pPr>
        <w:pStyle w:val="Heading5"/>
        <w:rPr>
          <w:snapToGrid w:val="0"/>
        </w:rPr>
      </w:pPr>
      <w:bookmarkStart w:id="248" w:name="_Toc521487171"/>
      <w:bookmarkStart w:id="249" w:name="_Toc522337199"/>
      <w:bookmarkStart w:id="250" w:name="_Toc527365417"/>
      <w:bookmarkStart w:id="251" w:name="_Toc530458625"/>
      <w:bookmarkStart w:id="252" w:name="_Toc530460487"/>
      <w:bookmarkStart w:id="253" w:name="_Toc103067027"/>
      <w:r>
        <w:rPr>
          <w:rStyle w:val="CharSectno"/>
        </w:rPr>
        <w:t>25H</w:t>
      </w:r>
      <w:r>
        <w:rPr>
          <w:snapToGrid w:val="0"/>
        </w:rPr>
        <w:t xml:space="preserve">. </w:t>
      </w:r>
      <w:r>
        <w:rPr>
          <w:snapToGrid w:val="0"/>
        </w:rPr>
        <w:tab/>
        <w:t>Review of insurance scheme</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 xml:space="preserve">[Section 25H inserted by No. 72 of 1996 s. 5; amended by No. 37 of 2002 s. 20.] </w:t>
      </w:r>
    </w:p>
    <w:p>
      <w:pPr>
        <w:pStyle w:val="Heading3"/>
      </w:pPr>
      <w:bookmarkStart w:id="254" w:name="_Toc89521572"/>
      <w:bookmarkStart w:id="255" w:name="_Toc89521641"/>
      <w:bookmarkStart w:id="256" w:name="_Toc96246687"/>
      <w:bookmarkStart w:id="257" w:name="_Toc97107156"/>
      <w:bookmarkStart w:id="258" w:name="_Toc102366005"/>
      <w:bookmarkStart w:id="259" w:name="_Toc103067028"/>
      <w:r>
        <w:rPr>
          <w:rStyle w:val="CharDivNo"/>
        </w:rPr>
        <w:t>Division 5</w:t>
      </w:r>
      <w:r>
        <w:t> — </w:t>
      </w:r>
      <w:r>
        <w:rPr>
          <w:rStyle w:val="CharDivText"/>
        </w:rPr>
        <w:t>Provisions about non</w:t>
      </w:r>
      <w:r>
        <w:rPr>
          <w:rStyle w:val="CharDivText"/>
        </w:rPr>
        <w:noBreakHyphen/>
        <w:t>application of sections 25C(1) and (2) and 25F(1)</w:t>
      </w:r>
      <w:bookmarkEnd w:id="254"/>
      <w:bookmarkEnd w:id="255"/>
      <w:bookmarkEnd w:id="256"/>
      <w:bookmarkEnd w:id="257"/>
      <w:bookmarkEnd w:id="258"/>
      <w:bookmarkEnd w:id="259"/>
    </w:p>
    <w:p>
      <w:pPr>
        <w:pStyle w:val="Footnoteheading"/>
        <w:keepNext/>
        <w:rPr>
          <w:snapToGrid w:val="0"/>
        </w:rPr>
      </w:pPr>
      <w:r>
        <w:rPr>
          <w:snapToGrid w:val="0"/>
        </w:rPr>
        <w:tab/>
        <w:t>[Heading inserted by No. 37 of 2002 s. 17.]</w:t>
      </w:r>
    </w:p>
    <w:p>
      <w:pPr>
        <w:pStyle w:val="Heading5"/>
      </w:pPr>
      <w:bookmarkStart w:id="260" w:name="_Toc103067029"/>
      <w:r>
        <w:rPr>
          <w:rStyle w:val="CharSectno"/>
        </w:rPr>
        <w:t>25I</w:t>
      </w:r>
      <w:r>
        <w:t>.</w:t>
      </w:r>
      <w:r>
        <w:tab/>
        <w:t>Minister may make orders specifying periods</w:t>
      </w:r>
      <w:bookmarkEnd w:id="260"/>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261" w:name="_Toc103067030"/>
      <w:r>
        <w:rPr>
          <w:rStyle w:val="CharSectno"/>
        </w:rPr>
        <w:t>25J</w:t>
      </w:r>
      <w:r>
        <w:t>.</w:t>
      </w:r>
      <w:r>
        <w:tab/>
        <w:t>Notice requirements — builders</w:t>
      </w:r>
      <w:bookmarkEnd w:id="261"/>
    </w:p>
    <w:p>
      <w:pPr>
        <w:pStyle w:val="Subsection"/>
      </w:pPr>
      <w:r>
        <w:tab/>
        <w:t>(1)</w:t>
      </w:r>
      <w:r>
        <w:tab/>
        <w:t xml:space="preserve">In this section — </w:t>
      </w:r>
    </w:p>
    <w:p>
      <w:pPr>
        <w:pStyle w:val="Defstart"/>
      </w:pPr>
      <w:r>
        <w:tab/>
      </w:r>
      <w:r>
        <w:rPr>
          <w:b/>
        </w:rPr>
        <w:t>“</w:t>
      </w:r>
      <w:r>
        <w:rPr>
          <w:rStyle w:val="CharDefText"/>
        </w:rPr>
        <w:t>specified period</w:t>
      </w:r>
      <w:r>
        <w:rPr>
          <w:b/>
        </w:rPr>
        <w:t>”</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licence issued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 xml:space="preserve">If —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licence for the residential building work is issued,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 xml:space="preserve">To rescind the contract, the party must give notice of the exercise of the right to rescind to the builder before the earlier of —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w:t>
      </w:r>
    </w:p>
    <w:p>
      <w:pPr>
        <w:pStyle w:val="Heading5"/>
      </w:pPr>
      <w:bookmarkStart w:id="262" w:name="_Toc103067031"/>
      <w:r>
        <w:rPr>
          <w:rStyle w:val="CharSectno"/>
        </w:rPr>
        <w:t>25K</w:t>
      </w:r>
      <w:r>
        <w:t>.</w:t>
      </w:r>
      <w:r>
        <w:tab/>
        <w:t>Notice requirements — owner</w:t>
      </w:r>
      <w:r>
        <w:noBreakHyphen/>
        <w:t>builders</w:t>
      </w:r>
      <w:bookmarkEnd w:id="262"/>
    </w:p>
    <w:p>
      <w:pPr>
        <w:pStyle w:val="Subsection"/>
      </w:pPr>
      <w:r>
        <w:tab/>
        <w:t>(1)</w:t>
      </w:r>
      <w:r>
        <w:tab/>
        <w:t xml:space="preserve">In this section — </w:t>
      </w:r>
    </w:p>
    <w:p>
      <w:pPr>
        <w:pStyle w:val="Defstart"/>
      </w:pPr>
      <w:r>
        <w:tab/>
      </w:r>
      <w:r>
        <w:rPr>
          <w:b/>
        </w:rPr>
        <w:t>“</w:t>
      </w:r>
      <w:r>
        <w:rPr>
          <w:rStyle w:val="CharDefText"/>
        </w:rPr>
        <w:t>specified period</w:t>
      </w:r>
      <w:r>
        <w:rPr>
          <w:b/>
        </w:rPr>
        <w:t>”</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263"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264" w:name="_Toc103067032"/>
      <w:r>
        <w:rPr>
          <w:rStyle w:val="CharSectno"/>
        </w:rPr>
        <w:t>25L</w:t>
      </w:r>
      <w:r>
        <w:t>.</w:t>
      </w:r>
      <w:r>
        <w:tab/>
        <w:t>Giving a copy of the notice to a subsequent purchaser</w:t>
      </w:r>
      <w:bookmarkEnd w:id="263"/>
      <w:bookmarkEnd w:id="264"/>
    </w:p>
    <w:p>
      <w:pPr>
        <w:pStyle w:val="Subsection"/>
      </w:pPr>
      <w:r>
        <w:tab/>
        <w:t>(1)</w:t>
      </w:r>
      <w:r>
        <w:tab/>
        <w:t xml:space="preserve">If a person to whom a notice is given under section 25J is a developer in respect of the residential building work, the person (the </w:t>
      </w:r>
      <w:r>
        <w:rPr>
          <w:b/>
        </w:rPr>
        <w:t>“</w:t>
      </w:r>
      <w:r>
        <w:rPr>
          <w:rStyle w:val="CharDefText"/>
        </w:rPr>
        <w:t>developer</w:t>
      </w:r>
      <w:r>
        <w:rPr>
          <w:b/>
        </w:rPr>
        <w:t>”</w:t>
      </w:r>
      <w:r>
        <w:t xml:space="preserve">) must, before entering into a sale contract in respect of the residential building work, give a copy of the notice to the other party to the sale contract (the </w:t>
      </w:r>
      <w:r>
        <w:rPr>
          <w:b/>
        </w:rPr>
        <w:t>“</w:t>
      </w:r>
      <w:r>
        <w:rPr>
          <w:rStyle w:val="CharDefText"/>
        </w:rPr>
        <w:t>purchaser</w:t>
      </w:r>
      <w:r>
        <w:rPr>
          <w:b/>
        </w:rPr>
        <w:t>”</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265" w:name="_Toc89521577"/>
      <w:bookmarkStart w:id="266" w:name="_Toc89521646"/>
      <w:bookmarkStart w:id="267" w:name="_Toc96246692"/>
      <w:bookmarkStart w:id="268" w:name="_Toc97107161"/>
      <w:bookmarkStart w:id="269" w:name="_Toc102366010"/>
      <w:bookmarkStart w:id="270" w:name="_Toc103067033"/>
      <w:r>
        <w:rPr>
          <w:rStyle w:val="CharPartNo"/>
        </w:rPr>
        <w:t>Part 4</w:t>
      </w:r>
      <w:r>
        <w:rPr>
          <w:rStyle w:val="CharDivNo"/>
        </w:rPr>
        <w:t> </w:t>
      </w:r>
      <w:r>
        <w:t>—</w:t>
      </w:r>
      <w:r>
        <w:rPr>
          <w:rStyle w:val="CharDivText"/>
        </w:rPr>
        <w:t> </w:t>
      </w:r>
      <w:r>
        <w:rPr>
          <w:rStyle w:val="CharPartText"/>
        </w:rPr>
        <w:t>General</w:t>
      </w:r>
      <w:bookmarkEnd w:id="265"/>
      <w:bookmarkEnd w:id="266"/>
      <w:bookmarkEnd w:id="267"/>
      <w:bookmarkEnd w:id="268"/>
      <w:bookmarkEnd w:id="269"/>
      <w:bookmarkEnd w:id="270"/>
      <w:r>
        <w:rPr>
          <w:rStyle w:val="CharPartText"/>
        </w:rPr>
        <w:t xml:space="preserve"> </w:t>
      </w:r>
    </w:p>
    <w:p>
      <w:pPr>
        <w:pStyle w:val="Heading5"/>
        <w:rPr>
          <w:snapToGrid w:val="0"/>
        </w:rPr>
      </w:pPr>
      <w:bookmarkStart w:id="271" w:name="_Toc521487172"/>
      <w:bookmarkStart w:id="272" w:name="_Toc522337200"/>
      <w:bookmarkStart w:id="273" w:name="_Toc527365418"/>
      <w:bookmarkStart w:id="274" w:name="_Toc530458626"/>
      <w:bookmarkStart w:id="275" w:name="_Toc530460488"/>
      <w:bookmarkStart w:id="276" w:name="_Toc103067034"/>
      <w:r>
        <w:rPr>
          <w:rStyle w:val="CharSectno"/>
        </w:rPr>
        <w:t>26</w:t>
      </w:r>
      <w:r>
        <w:rPr>
          <w:snapToGrid w:val="0"/>
        </w:rPr>
        <w:t>.</w:t>
      </w:r>
      <w:r>
        <w:rPr>
          <w:snapToGrid w:val="0"/>
        </w:rPr>
        <w:tab/>
        <w:t>Access for inspection of building work</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b/>
          <w:snapToGrid w:val="0"/>
        </w:rPr>
        <w:t>“</w:t>
      </w:r>
      <w:r>
        <w:rPr>
          <w:rStyle w:val="CharDefText"/>
        </w:rPr>
        <w:t>authorised person</w:t>
      </w:r>
      <w:r>
        <w:rPr>
          <w:b/>
          <w:snapToGrid w:val="0"/>
        </w:rPr>
        <w:t>”</w:t>
      </w:r>
      <w:r>
        <w:rPr>
          <w:snapToGrid w:val="0"/>
        </w:rPr>
        <w:t xml:space="preserve"> means —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277" w:name="_Toc521487173"/>
      <w:bookmarkStart w:id="278" w:name="_Toc522337201"/>
      <w:bookmarkStart w:id="279" w:name="_Toc527365419"/>
      <w:bookmarkStart w:id="280" w:name="_Toc530458627"/>
      <w:bookmarkStart w:id="281" w:name="_Toc530460489"/>
      <w:bookmarkStart w:id="282" w:name="_Toc103067035"/>
      <w:r>
        <w:rPr>
          <w:rStyle w:val="CharSectno"/>
        </w:rPr>
        <w:t>27</w:t>
      </w:r>
      <w:r>
        <w:rPr>
          <w:snapToGrid w:val="0"/>
        </w:rPr>
        <w:t>.</w:t>
      </w:r>
      <w:r>
        <w:rPr>
          <w:snapToGrid w:val="0"/>
        </w:rPr>
        <w:tab/>
        <w:t>Effect of breach of Act on contract</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Except as provided in section 13(2), 21(3)(a) or 26(2), a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Heading5"/>
        <w:rPr>
          <w:snapToGrid w:val="0"/>
        </w:rPr>
      </w:pPr>
      <w:bookmarkStart w:id="283" w:name="_Toc521487174"/>
      <w:bookmarkStart w:id="284" w:name="_Toc522337202"/>
      <w:bookmarkStart w:id="285" w:name="_Toc527365420"/>
      <w:bookmarkStart w:id="286" w:name="_Toc530458628"/>
      <w:bookmarkStart w:id="287" w:name="_Toc530460490"/>
      <w:bookmarkStart w:id="288" w:name="_Toc103067036"/>
      <w:r>
        <w:rPr>
          <w:rStyle w:val="CharSectno"/>
        </w:rPr>
        <w:t>28</w:t>
      </w:r>
      <w:r>
        <w:rPr>
          <w:snapToGrid w:val="0"/>
        </w:rPr>
        <w:t>.</w:t>
      </w:r>
      <w:r>
        <w:rPr>
          <w:snapToGrid w:val="0"/>
        </w:rPr>
        <w:tab/>
        <w:t>Contracting out forbidden</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rPr>
          <w:snapToGrid w:val="0"/>
        </w:rPr>
      </w:pPr>
      <w:r>
        <w:rPr>
          <w:snapToGrid w:val="0"/>
        </w:rPr>
        <w:tab/>
        <w:t>(2)</w:t>
      </w:r>
      <w:r>
        <w:rPr>
          <w:snapToGrid w:val="0"/>
        </w:rPr>
        <w:tab/>
        <w:t>A purported waiver of a right conferred by or under this Act is void.</w:t>
      </w:r>
    </w:p>
    <w:p>
      <w:pPr>
        <w:pStyle w:val="Subsection"/>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rPr>
          <w:snapToGrid w:val="0"/>
        </w:rPr>
      </w:pPr>
      <w:bookmarkStart w:id="289" w:name="_Toc521487175"/>
      <w:bookmarkStart w:id="290" w:name="_Toc522337203"/>
      <w:bookmarkStart w:id="291" w:name="_Toc527365421"/>
      <w:bookmarkStart w:id="292" w:name="_Toc530458629"/>
      <w:bookmarkStart w:id="293" w:name="_Toc530460491"/>
      <w:bookmarkStart w:id="294" w:name="_Toc103067037"/>
      <w:r>
        <w:rPr>
          <w:rStyle w:val="CharSectno"/>
        </w:rPr>
        <w:t>29</w:t>
      </w:r>
      <w:r>
        <w:rPr>
          <w:snapToGrid w:val="0"/>
        </w:rPr>
        <w:t>.</w:t>
      </w:r>
      <w:r>
        <w:rPr>
          <w:snapToGrid w:val="0"/>
        </w:rPr>
        <w:tab/>
        <w:t>Saving</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provisions of this Act are in addition to and do not derogate from the provisions of any other written law.</w:t>
      </w:r>
    </w:p>
    <w:p>
      <w:pPr>
        <w:pStyle w:val="Subsection"/>
        <w:rPr>
          <w:snapToGrid w:val="0"/>
        </w:rPr>
      </w:pPr>
      <w:r>
        <w:rPr>
          <w:snapToGrid w:val="0"/>
        </w:rPr>
        <w:tab/>
        <w:t>(2)</w:t>
      </w:r>
      <w:r>
        <w:rPr>
          <w:snapToGrid w:val="0"/>
        </w:rPr>
        <w:tab/>
        <w:t>This Act does not limit or derogate from any civil remedy at law or in equity.</w:t>
      </w:r>
    </w:p>
    <w:p>
      <w:pPr>
        <w:pStyle w:val="Heading5"/>
        <w:rPr>
          <w:snapToGrid w:val="0"/>
        </w:rPr>
      </w:pPr>
      <w:bookmarkStart w:id="295" w:name="_Toc521487176"/>
      <w:bookmarkStart w:id="296" w:name="_Toc522337204"/>
      <w:bookmarkStart w:id="297" w:name="_Toc527365422"/>
      <w:bookmarkStart w:id="298" w:name="_Toc530458630"/>
      <w:bookmarkStart w:id="299" w:name="_Toc530460492"/>
      <w:bookmarkStart w:id="300" w:name="_Toc103067038"/>
      <w:r>
        <w:rPr>
          <w:rStyle w:val="CharSectno"/>
        </w:rPr>
        <w:t>30</w:t>
      </w:r>
      <w:r>
        <w:rPr>
          <w:snapToGrid w:val="0"/>
        </w:rPr>
        <w:t>.</w:t>
      </w:r>
      <w:r>
        <w:rPr>
          <w:snapToGrid w:val="0"/>
        </w:rPr>
        <w:tab/>
        <w:t>Liability of directors etc.</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spacing w:before="160"/>
        <w:rPr>
          <w:snapToGrid w:val="0"/>
        </w:rPr>
      </w:pPr>
      <w:bookmarkStart w:id="301" w:name="_Toc521487177"/>
      <w:bookmarkStart w:id="302" w:name="_Toc522337205"/>
      <w:bookmarkStart w:id="303" w:name="_Toc527365423"/>
      <w:bookmarkStart w:id="304" w:name="_Toc530458631"/>
      <w:bookmarkStart w:id="305" w:name="_Toc530460493"/>
      <w:bookmarkStart w:id="306" w:name="_Toc103067039"/>
      <w:r>
        <w:rPr>
          <w:rStyle w:val="CharSectno"/>
        </w:rPr>
        <w:t>31</w:t>
      </w:r>
      <w:r>
        <w:rPr>
          <w:snapToGrid w:val="0"/>
        </w:rPr>
        <w:t>.</w:t>
      </w:r>
      <w:r>
        <w:rPr>
          <w:snapToGrid w:val="0"/>
        </w:rPr>
        <w:tab/>
        <w:t>Prosecutions</w:t>
      </w:r>
      <w:bookmarkEnd w:id="301"/>
      <w:bookmarkEnd w:id="302"/>
      <w:bookmarkEnd w:id="303"/>
      <w:bookmarkEnd w:id="304"/>
      <w:bookmarkEnd w:id="305"/>
      <w:bookmarkEnd w:id="306"/>
      <w:r>
        <w:rPr>
          <w:snapToGrid w:val="0"/>
        </w:rPr>
        <w:t xml:space="preserve"> </w:t>
      </w:r>
    </w:p>
    <w:p>
      <w:pPr>
        <w:pStyle w:val="Subsection"/>
        <w:keepNext/>
        <w:spacing w:before="120"/>
        <w:rPr>
          <w:snapToGrid w:val="0"/>
        </w:rPr>
      </w:pPr>
      <w:r>
        <w:rPr>
          <w:snapToGrid w:val="0"/>
        </w:rPr>
        <w:tab/>
        <w:t>(1)</w:t>
      </w:r>
      <w:r>
        <w:rPr>
          <w:snapToGrid w:val="0"/>
        </w:rPr>
        <w:tab/>
        <w:t>Prosecutions for offences against this Act — </w:t>
      </w:r>
    </w:p>
    <w:p>
      <w:pPr>
        <w:pStyle w:val="Indenta"/>
        <w:rPr>
          <w:snapToGrid w:val="0"/>
        </w:rPr>
      </w:pPr>
      <w:r>
        <w:rPr>
          <w:snapToGrid w:val="0"/>
        </w:rPr>
        <w:tab/>
        <w:t>(a)</w:t>
      </w:r>
      <w:r>
        <w:rPr>
          <w:snapToGrid w:val="0"/>
        </w:rPr>
        <w:tab/>
        <w:t xml:space="preserve">may be instituted by the Registrar of the Builders’ Registration Board appointed under the </w:t>
      </w:r>
      <w:r>
        <w:rPr>
          <w:i/>
          <w:snapToGrid w:val="0"/>
        </w:rPr>
        <w:t>Builders’ Registration Act 1939</w:t>
      </w:r>
      <w:r>
        <w:rPr>
          <w:snapToGrid w:val="0"/>
        </w:rPr>
        <w:t xml:space="preserve"> or a person authorised by that Board to do so, and may not be instituted by any other person;</w:t>
      </w:r>
    </w:p>
    <w:p>
      <w:pPr>
        <w:pStyle w:val="Indenta"/>
        <w:rPr>
          <w:snapToGrid w:val="0"/>
        </w:rPr>
      </w:pPr>
      <w:r>
        <w:rPr>
          <w:snapToGrid w:val="0"/>
        </w:rPr>
        <w:tab/>
        <w:t>(b)</w:t>
      </w:r>
      <w:r>
        <w:rPr>
          <w:snapToGrid w:val="0"/>
        </w:rPr>
        <w:tab/>
        <w:t>may be commenced within 3 years after the alleged commission of the offence.</w:t>
      </w:r>
    </w:p>
    <w:p>
      <w:pPr>
        <w:pStyle w:val="Subsection"/>
        <w:spacing w:before="120"/>
        <w:rPr>
          <w:snapToGrid w:val="0"/>
        </w:rPr>
      </w:pPr>
      <w:r>
        <w:rPr>
          <w:snapToGrid w:val="0"/>
        </w:rPr>
        <w:tab/>
        <w:t>(2)</w:t>
      </w:r>
      <w:r>
        <w:rPr>
          <w:snapToGrid w:val="0"/>
        </w:rPr>
        <w:tab/>
        <w:t>A statement in a prosecution notice that a person is the Registrar of the Builders’ Registration Board or is authorised by that Board under subsection (1)(a) is to be taken as proved in the absence of evidence to the contrary.</w:t>
      </w:r>
    </w:p>
    <w:p>
      <w:pPr>
        <w:pStyle w:val="Footnotesection"/>
      </w:pPr>
      <w:bookmarkStart w:id="307" w:name="_Toc521487178"/>
      <w:bookmarkStart w:id="308" w:name="_Toc522337206"/>
      <w:bookmarkStart w:id="309" w:name="_Toc527365424"/>
      <w:bookmarkStart w:id="310" w:name="_Toc530458632"/>
      <w:bookmarkStart w:id="311" w:name="_Toc530460494"/>
      <w:r>
        <w:tab/>
        <w:t xml:space="preserve">[Section 31 amended by No. 84 of 2004 s. 80.] </w:t>
      </w:r>
    </w:p>
    <w:p>
      <w:pPr>
        <w:pStyle w:val="Heading5"/>
      </w:pPr>
      <w:bookmarkStart w:id="312" w:name="_Toc103067040"/>
      <w:r>
        <w:rPr>
          <w:rStyle w:val="CharSectno"/>
        </w:rPr>
        <w:t>31A</w:t>
      </w:r>
      <w:r>
        <w:rPr>
          <w:snapToGrid w:val="0"/>
        </w:rPr>
        <w:t>.</w:t>
      </w:r>
      <w:r>
        <w:rPr>
          <w:snapToGrid w:val="0"/>
        </w:rPr>
        <w:tab/>
        <w:t>Penalties and costs</w:t>
      </w:r>
      <w:bookmarkEnd w:id="307"/>
      <w:bookmarkEnd w:id="308"/>
      <w:bookmarkEnd w:id="309"/>
      <w:bookmarkEnd w:id="310"/>
      <w:bookmarkEnd w:id="311"/>
      <w:bookmarkEnd w:id="312"/>
    </w:p>
    <w:p>
      <w:pPr>
        <w:pStyle w:val="Subsection"/>
      </w:pPr>
      <w:r>
        <w:tab/>
      </w:r>
      <w:r>
        <w:tab/>
        <w:t>All penalties or costs paid or recovered under this Act must be paid to the Builders’ Registration Board.</w:t>
      </w:r>
    </w:p>
    <w:p>
      <w:pPr>
        <w:pStyle w:val="Footnotesection"/>
      </w:pPr>
      <w:r>
        <w:tab/>
        <w:t>[Section 31A inserted by No. 76 of 2000 s. 56; No. 37 of 2002 s. 20.]</w:t>
      </w:r>
    </w:p>
    <w:p>
      <w:pPr>
        <w:pStyle w:val="Heading5"/>
        <w:rPr>
          <w:snapToGrid w:val="0"/>
        </w:rPr>
      </w:pPr>
      <w:bookmarkStart w:id="313" w:name="_Toc521487179"/>
      <w:bookmarkStart w:id="314" w:name="_Toc522337207"/>
      <w:bookmarkStart w:id="315" w:name="_Toc527365425"/>
      <w:bookmarkStart w:id="316" w:name="_Toc530458633"/>
      <w:bookmarkStart w:id="317" w:name="_Toc530460495"/>
      <w:bookmarkStart w:id="318" w:name="_Toc103067041"/>
      <w:r>
        <w:rPr>
          <w:rStyle w:val="CharSectno"/>
        </w:rPr>
        <w:t>31B</w:t>
      </w:r>
      <w:r>
        <w:t>.</w:t>
      </w:r>
      <w:r>
        <w:tab/>
      </w:r>
      <w:r>
        <w:rPr>
          <w:snapToGrid w:val="0"/>
        </w:rPr>
        <w:t>Infringement notices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Builders’ Registration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 xml:space="preserve">The Builders’ Registration Board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31B inserted by No. 76 of 2000 s. 56; amended by No. 37 of 2002 s. 20; No. 84 of 2004 s. 80.]</w:t>
      </w:r>
    </w:p>
    <w:p>
      <w:pPr>
        <w:pStyle w:val="Heading5"/>
        <w:spacing w:before="160"/>
        <w:rPr>
          <w:snapToGrid w:val="0"/>
        </w:rPr>
      </w:pPr>
      <w:bookmarkStart w:id="319" w:name="_Toc521487180"/>
      <w:bookmarkStart w:id="320" w:name="_Toc522337208"/>
      <w:bookmarkStart w:id="321" w:name="_Toc527365426"/>
      <w:bookmarkStart w:id="322" w:name="_Toc530458634"/>
      <w:bookmarkStart w:id="323" w:name="_Toc530460496"/>
      <w:bookmarkStart w:id="324" w:name="_Toc103067042"/>
      <w:r>
        <w:rPr>
          <w:rStyle w:val="CharSectno"/>
        </w:rPr>
        <w:t>32</w:t>
      </w:r>
      <w:r>
        <w:rPr>
          <w:snapToGrid w:val="0"/>
        </w:rPr>
        <w:t>.</w:t>
      </w:r>
      <w:r>
        <w:rPr>
          <w:snapToGrid w:val="0"/>
        </w:rPr>
        <w:tab/>
        <w:t>Regulations</w:t>
      </w:r>
      <w:bookmarkEnd w:id="319"/>
      <w:bookmarkEnd w:id="320"/>
      <w:bookmarkEnd w:id="321"/>
      <w:bookmarkEnd w:id="322"/>
      <w:bookmarkEnd w:id="323"/>
      <w:bookmarkEnd w:id="324"/>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 </w:t>
      </w:r>
    </w:p>
    <w:p>
      <w:pPr>
        <w:pStyle w:val="Indenta"/>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w:t>
      </w:r>
    </w:p>
    <w:p>
      <w:pPr>
        <w:pStyle w:val="Indenta"/>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pPr>
      <w:r>
        <w:tab/>
        <w:t>(3)</w:t>
      </w:r>
      <w:r>
        <w:tab/>
        <w:t>The regulations may provide that a contravention of a regulation or a provision of a regulation constitutes an offence and provide for penalties not exceeding a fine of $5 000.</w:t>
      </w:r>
    </w:p>
    <w:p>
      <w:pPr>
        <w:pStyle w:val="Footnotesection"/>
      </w:pPr>
      <w:r>
        <w:tab/>
        <w:t xml:space="preserve">[Section 32 amended by No. 72 of 1996 s. 6; No. 37 of 2002 s. 18.] </w:t>
      </w:r>
    </w:p>
    <w:p>
      <w:pPr>
        <w:pStyle w:val="Heading5"/>
        <w:rPr>
          <w:snapToGrid w:val="0"/>
        </w:rPr>
      </w:pPr>
      <w:bookmarkStart w:id="325" w:name="_Toc521487181"/>
      <w:bookmarkStart w:id="326" w:name="_Toc522337209"/>
      <w:bookmarkStart w:id="327" w:name="_Toc527365427"/>
      <w:bookmarkStart w:id="328" w:name="_Toc530458635"/>
      <w:bookmarkStart w:id="329" w:name="_Toc530460497"/>
      <w:bookmarkStart w:id="330" w:name="_Toc103067043"/>
      <w:r>
        <w:rPr>
          <w:rStyle w:val="CharSectno"/>
        </w:rPr>
        <w:t>33</w:t>
      </w:r>
      <w:r>
        <w:rPr>
          <w:snapToGrid w:val="0"/>
        </w:rPr>
        <w:t>.</w:t>
      </w:r>
      <w:r>
        <w:rPr>
          <w:snapToGrid w:val="0"/>
        </w:rPr>
        <w:tab/>
        <w:t>Application not retrospective</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rPr>
          <w:snapToGrid w:val="0"/>
        </w:rPr>
      </w:pPr>
      <w:bookmarkStart w:id="331" w:name="_Toc521487182"/>
      <w:bookmarkStart w:id="332" w:name="_Toc522337210"/>
      <w:bookmarkStart w:id="333" w:name="_Toc527365428"/>
      <w:bookmarkStart w:id="334" w:name="_Toc530458636"/>
      <w:bookmarkStart w:id="335" w:name="_Toc530460498"/>
      <w:bookmarkStart w:id="336" w:name="_Toc103067044"/>
      <w:r>
        <w:rPr>
          <w:rStyle w:val="CharSectno"/>
        </w:rPr>
        <w:t>34</w:t>
      </w:r>
      <w:r>
        <w:rPr>
          <w:snapToGrid w:val="0"/>
        </w:rPr>
        <w:t>.</w:t>
      </w:r>
      <w:r>
        <w:rPr>
          <w:snapToGrid w:val="0"/>
        </w:rPr>
        <w:tab/>
        <w:t>Review of Act</w:t>
      </w:r>
      <w:bookmarkEnd w:id="331"/>
      <w:bookmarkEnd w:id="332"/>
      <w:bookmarkEnd w:id="333"/>
      <w:bookmarkEnd w:id="334"/>
      <w:bookmarkEnd w:id="335"/>
      <w:bookmarkEnd w:id="336"/>
      <w:r>
        <w:rPr>
          <w:snapToGrid w:val="0"/>
        </w:rPr>
        <w:t> </w:t>
      </w:r>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pPr>
      <w:r>
        <w:t>[</w:t>
      </w:r>
      <w:r>
        <w:rPr>
          <w:b/>
        </w:rPr>
        <w:t>35.</w:t>
      </w:r>
      <w:r>
        <w:tab/>
        <w:t>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337" w:name="_Toc527365429"/>
      <w:bookmarkStart w:id="338" w:name="_Toc530458637"/>
      <w:bookmarkStart w:id="339" w:name="_Toc530460499"/>
      <w:bookmarkStart w:id="340" w:name="_Toc103067045"/>
      <w:r>
        <w:rPr>
          <w:rStyle w:val="CharSchNo"/>
        </w:rPr>
        <w:t>Schedule 1</w:t>
      </w:r>
      <w:bookmarkEnd w:id="337"/>
      <w:bookmarkEnd w:id="338"/>
      <w:bookmarkEnd w:id="339"/>
      <w:bookmarkEnd w:id="340"/>
      <w:r>
        <w:rPr>
          <w:rStyle w:val="CharSchText"/>
        </w:rPr>
        <w:t xml:space="preserve"> </w:t>
      </w:r>
    </w:p>
    <w:p>
      <w:pPr>
        <w:pStyle w:val="yShoulderClause"/>
        <w:rPr>
          <w:snapToGrid w:val="0"/>
        </w:rPr>
      </w:pPr>
      <w:r>
        <w:rPr>
          <w:snapToGrid w:val="0"/>
        </w:rPr>
        <w:t>(Sections 7(4), 8(4), 9(4), 13(5), 19 and 20)</w:t>
      </w:r>
    </w:p>
    <w:p>
      <w:pPr>
        <w:pStyle w:val="yMiscellaneousHeading"/>
        <w:rPr>
          <w:b/>
          <w:i/>
          <w:snapToGrid w:val="0"/>
        </w:rPr>
      </w:pPr>
      <w:r>
        <w:rPr>
          <w:b/>
          <w:i/>
          <w:snapToGrid w:val="0"/>
        </w:rPr>
        <w:t>Consequences of non</w:t>
      </w:r>
      <w:r>
        <w:rPr>
          <w:b/>
          <w:i/>
          <w:snapToGrid w:val="0"/>
        </w:rPr>
        <w:noBreakHyphen/>
        <w:t>fulfilment of conditions</w:t>
      </w:r>
    </w:p>
    <w:p>
      <w:pPr>
        <w:pStyle w:val="yHeading5"/>
        <w:outlineLvl w:val="9"/>
        <w:rPr>
          <w:snapToGrid w:val="0"/>
        </w:rPr>
      </w:pPr>
      <w:r>
        <w:rPr>
          <w:snapToGrid w:val="0"/>
        </w:rPr>
        <w:t>1.</w:t>
      </w:r>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Heading5"/>
        <w:outlineLvl w:val="9"/>
        <w:rPr>
          <w:snapToGrid w:val="0"/>
        </w:rPr>
      </w:pPr>
      <w:r>
        <w:rPr>
          <w:snapToGrid w:val="0"/>
        </w:rPr>
        <w:t>2.</w:t>
      </w:r>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Heading5"/>
        <w:outlineLvl w:val="9"/>
        <w:rPr>
          <w:snapToGrid w:val="0"/>
        </w:rPr>
      </w:pPr>
      <w:r>
        <w:rPr>
          <w:snapToGrid w:val="0"/>
        </w:rPr>
        <w:t>3.</w:t>
      </w:r>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Heading5"/>
        <w:outlineLvl w:val="9"/>
        <w:rPr>
          <w:snapToGrid w:val="0"/>
        </w:rPr>
      </w:pPr>
      <w:r>
        <w:rPr>
          <w:snapToGrid w:val="0"/>
        </w:rPr>
        <w:t>4.</w:t>
      </w:r>
    </w:p>
    <w:p>
      <w:pPr>
        <w:pStyle w:val="ySubsection"/>
        <w:rPr>
          <w:snapToGrid w:val="0"/>
        </w:rPr>
      </w:pPr>
      <w:r>
        <w:rPr>
          <w:snapToGrid w:val="0"/>
        </w:rPr>
        <w:tab/>
      </w:r>
      <w:r>
        <w:rPr>
          <w:snapToGrid w:val="0"/>
        </w:rPr>
        <w:tab/>
        <w:t>Where clause 2 or 3 or section 13(4)(c) applies — </w:t>
      </w:r>
    </w:p>
    <w:p>
      <w:pPr>
        <w:pStyle w:val="yIndenta"/>
        <w:rPr>
          <w:snapToGrid w:val="0"/>
        </w:rPr>
      </w:pPr>
      <w:r>
        <w:rPr>
          <w:snapToGrid w:val="0"/>
        </w:rPr>
        <w:tab/>
        <w:t>(a)</w:t>
      </w:r>
      <w:r>
        <w:rPr>
          <w:snapToGrid w:val="0"/>
        </w:rPr>
        <w:tab/>
        <w:t>the builder may by notice in writing to the owner —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Subsection"/>
        <w:rPr>
          <w:snapToGrid w:val="0"/>
        </w:rPr>
      </w:pPr>
      <w:r>
        <w:rPr>
          <w:snapToGrid w:val="0"/>
        </w:rPr>
        <w:t>5.</w:t>
      </w:r>
    </w:p>
    <w:p>
      <w:pPr>
        <w:pStyle w:val="ySubsection"/>
        <w:rPr>
          <w:snapToGrid w:val="0"/>
        </w:rPr>
      </w:pPr>
      <w:r>
        <w:rPr>
          <w:snapToGrid w:val="0"/>
        </w:rPr>
        <w:tab/>
        <w:t>(1)</w:t>
      </w:r>
      <w:r>
        <w:rPr>
          <w:snapToGrid w:val="0"/>
        </w:rPr>
        <w:tab/>
        <w:t>If the owner considers that the amount of a price increase notified under subclause (a) of clause 4 is excessive or unjustified the owner may apply to the Disputes Tribunal, within 10 working days after receipt of a notice under that subclause, for a review of that amount.</w:t>
      </w:r>
    </w:p>
    <w:p>
      <w:pPr>
        <w:pStyle w:val="ySubsection"/>
        <w:rPr>
          <w:snapToGrid w:val="0"/>
        </w:rPr>
      </w:pPr>
      <w:r>
        <w:rPr>
          <w:snapToGrid w:val="0"/>
        </w:rPr>
        <w:tab/>
        <w:t>(2)</w:t>
      </w:r>
      <w:r>
        <w:rPr>
          <w:snapToGrid w:val="0"/>
        </w:rPr>
        <w:tab/>
        <w:t>On a review under this clause the builder is required to show that the price has been increased to reflect actual increases in costs between the date of the contract and the date of the notice under clause 4(a).</w:t>
      </w:r>
    </w:p>
    <w:p>
      <w:pPr>
        <w:pStyle w:val="ySubsection"/>
        <w:rPr>
          <w:snapToGrid w:val="0"/>
        </w:rPr>
      </w:pPr>
      <w:r>
        <w:rPr>
          <w:snapToGrid w:val="0"/>
        </w:rPr>
        <w:tab/>
        <w:t>(3)</w:t>
      </w:r>
      <w:r>
        <w:rPr>
          <w:snapToGrid w:val="0"/>
        </w:rPr>
        <w:tab/>
        <w:t>On a review under this clause the Disputes Tribunal may confirm, vary or disallow the amount of the price increase, and the contract must have effect in accordance with the Disputes Tribunal’s decision.</w:t>
      </w:r>
    </w:p>
    <w:p>
      <w:pPr>
        <w:pStyle w:val="yFootnotesection"/>
      </w:pPr>
      <w:r>
        <w:tab/>
        <w:t>[Schedule 1 amended by No. 57 of 1997 s. 73; No. 76 of 2000 s. 57 and 58; No. 37 of 2002 s. 20.]</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41" w:name="_Toc89521590"/>
      <w:bookmarkStart w:id="342" w:name="_Toc89521659"/>
      <w:bookmarkStart w:id="343" w:name="_Toc96246705"/>
      <w:bookmarkStart w:id="344" w:name="_Toc97107174"/>
      <w:bookmarkStart w:id="345" w:name="_Toc102366023"/>
      <w:bookmarkStart w:id="346" w:name="_Toc103067046"/>
      <w:r>
        <w:t>Notes</w:t>
      </w:r>
      <w:bookmarkEnd w:id="341"/>
      <w:bookmarkEnd w:id="342"/>
      <w:bookmarkEnd w:id="343"/>
      <w:bookmarkEnd w:id="344"/>
      <w:bookmarkEnd w:id="345"/>
      <w:bookmarkEnd w:id="346"/>
    </w:p>
    <w:p>
      <w:pPr>
        <w:pStyle w:val="nSubsection"/>
        <w:rPr>
          <w:snapToGrid w:val="0"/>
        </w:rPr>
      </w:pPr>
      <w:r>
        <w:rPr>
          <w:snapToGrid w:val="0"/>
          <w:vertAlign w:val="superscript"/>
        </w:rPr>
        <w:t>1</w:t>
      </w:r>
      <w:r>
        <w:rPr>
          <w:snapToGrid w:val="0"/>
        </w:rPr>
        <w:tab/>
        <w:t xml:space="preserve">This is a compilation of the </w:t>
      </w:r>
      <w:r>
        <w:rPr>
          <w:i/>
          <w:snapToGrid w:val="0"/>
        </w:rPr>
        <w:t>Home Building Contracts Act 1991</w:t>
      </w:r>
      <w:r>
        <w:rPr>
          <w:snapToGrid w:val="0"/>
        </w:rPr>
        <w:t xml:space="preserve"> and includes the amendments made by the other written laws referred to in the following table</w:t>
      </w:r>
      <w:r>
        <w:rPr>
          <w:caps/>
          <w:snapToGrid w:val="0"/>
          <w:vertAlign w:val="superscript"/>
        </w:rPr>
        <w:t> 1</w:t>
      </w:r>
      <w:r>
        <w:rPr>
          <w:snapToGrid w:val="0"/>
          <w:vertAlign w:val="superscript"/>
        </w:rPr>
        <w:t>a</w:t>
      </w:r>
      <w:r>
        <w:rPr>
          <w:snapToGrid w:val="0"/>
        </w:rPr>
        <w:t>. The table also contains information about any reprint.</w:t>
      </w:r>
    </w:p>
    <w:p>
      <w:pPr>
        <w:pStyle w:val="nHeading3"/>
        <w:rPr>
          <w:snapToGrid w:val="0"/>
        </w:rPr>
      </w:pPr>
      <w:bookmarkStart w:id="347" w:name="_Toc527365430"/>
      <w:bookmarkStart w:id="348" w:name="_Toc530458638"/>
      <w:bookmarkStart w:id="349" w:name="_Toc530460500"/>
      <w:bookmarkStart w:id="350" w:name="_Toc103067047"/>
      <w:r>
        <w:rPr>
          <w:snapToGrid w:val="0"/>
        </w:rPr>
        <w:t>Compilation table</w:t>
      </w:r>
      <w:bookmarkEnd w:id="347"/>
      <w:bookmarkEnd w:id="348"/>
      <w:bookmarkEnd w:id="349"/>
      <w:bookmarkEnd w:id="3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Home Building Contracts Act 1991</w:t>
            </w:r>
          </w:p>
        </w:tc>
        <w:tc>
          <w:tcPr>
            <w:tcW w:w="1134" w:type="dxa"/>
          </w:tcPr>
          <w:p>
            <w:pPr>
              <w:pStyle w:val="nTable"/>
              <w:spacing w:before="120"/>
              <w:rPr>
                <w:sz w:val="19"/>
              </w:rPr>
            </w:pPr>
            <w:r>
              <w:rPr>
                <w:sz w:val="19"/>
              </w:rPr>
              <w:t>61 of 1991</w:t>
            </w:r>
          </w:p>
        </w:tc>
        <w:tc>
          <w:tcPr>
            <w:tcW w:w="1134" w:type="dxa"/>
          </w:tcPr>
          <w:p>
            <w:pPr>
              <w:pStyle w:val="nTable"/>
              <w:spacing w:before="120"/>
              <w:rPr>
                <w:sz w:val="19"/>
              </w:rPr>
            </w:pPr>
            <w:r>
              <w:rPr>
                <w:sz w:val="19"/>
              </w:rPr>
              <w:t>30 Dec 1991</w:t>
            </w:r>
          </w:p>
        </w:tc>
        <w:tc>
          <w:tcPr>
            <w:tcW w:w="2552" w:type="dxa"/>
          </w:tcPr>
          <w:p>
            <w:pPr>
              <w:pStyle w:val="nTable"/>
              <w:spacing w:before="120"/>
              <w:rPr>
                <w:sz w:val="19"/>
              </w:rPr>
            </w:pPr>
            <w:r>
              <w:rPr>
                <w:sz w:val="19"/>
              </w:rPr>
              <w:t xml:space="preserve">4 Apr 1992 (see s. 2 and </w:t>
            </w:r>
            <w:r>
              <w:rPr>
                <w:i/>
                <w:sz w:val="19"/>
              </w:rPr>
              <w:t>Gazette</w:t>
            </w:r>
            <w:r>
              <w:rPr>
                <w:sz w:val="19"/>
              </w:rPr>
              <w:t xml:space="preserve"> 3 Apr 1992 p. 1461)</w:t>
            </w:r>
          </w:p>
        </w:tc>
      </w:tr>
      <w:tr>
        <w:trPr>
          <w:cantSplit/>
        </w:trPr>
        <w:tc>
          <w:tcPr>
            <w:tcW w:w="2268" w:type="dxa"/>
          </w:tcPr>
          <w:p>
            <w:pPr>
              <w:pStyle w:val="nTable"/>
              <w:spacing w:before="120"/>
              <w:ind w:right="113"/>
              <w:rPr>
                <w:sz w:val="19"/>
              </w:rPr>
            </w:pPr>
            <w:r>
              <w:rPr>
                <w:i/>
                <w:sz w:val="19"/>
              </w:rPr>
              <w:t xml:space="preserve">Strata Titles Amendment Act 1995 </w:t>
            </w:r>
            <w:r>
              <w:rPr>
                <w:sz w:val="19"/>
              </w:rPr>
              <w:t>s. 97</w:t>
            </w:r>
          </w:p>
        </w:tc>
        <w:tc>
          <w:tcPr>
            <w:tcW w:w="1134" w:type="dxa"/>
          </w:tcPr>
          <w:p>
            <w:pPr>
              <w:pStyle w:val="nTable"/>
              <w:spacing w:before="120"/>
              <w:rPr>
                <w:sz w:val="19"/>
              </w:rPr>
            </w:pPr>
            <w:r>
              <w:rPr>
                <w:sz w:val="19"/>
              </w:rPr>
              <w:t>58 of 1995</w:t>
            </w:r>
          </w:p>
        </w:tc>
        <w:tc>
          <w:tcPr>
            <w:tcW w:w="1134" w:type="dxa"/>
          </w:tcPr>
          <w:p>
            <w:pPr>
              <w:pStyle w:val="nTable"/>
              <w:spacing w:before="120"/>
              <w:rPr>
                <w:sz w:val="19"/>
              </w:rPr>
            </w:pPr>
            <w:r>
              <w:rPr>
                <w:sz w:val="19"/>
              </w:rPr>
              <w:t>20 Dec 1995</w:t>
            </w:r>
          </w:p>
        </w:tc>
        <w:tc>
          <w:tcPr>
            <w:tcW w:w="2552" w:type="dxa"/>
          </w:tcPr>
          <w:p>
            <w:pPr>
              <w:pStyle w:val="nTable"/>
              <w:spacing w:before="12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before="12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before="120"/>
              <w:rPr>
                <w:sz w:val="19"/>
              </w:rPr>
            </w:pPr>
            <w:r>
              <w:rPr>
                <w:sz w:val="19"/>
              </w:rPr>
              <w:t>73 of 1995</w:t>
            </w:r>
          </w:p>
        </w:tc>
        <w:tc>
          <w:tcPr>
            <w:tcW w:w="1134" w:type="dxa"/>
          </w:tcPr>
          <w:p>
            <w:pPr>
              <w:pStyle w:val="nTable"/>
              <w:spacing w:before="120"/>
              <w:rPr>
                <w:sz w:val="19"/>
              </w:rPr>
            </w:pPr>
            <w:r>
              <w:rPr>
                <w:sz w:val="19"/>
              </w:rPr>
              <w:t>27 Dec 1995</w:t>
            </w:r>
          </w:p>
        </w:tc>
        <w:tc>
          <w:tcPr>
            <w:tcW w:w="2552" w:type="dxa"/>
          </w:tcPr>
          <w:p>
            <w:pPr>
              <w:pStyle w:val="nTable"/>
              <w:spacing w:before="120"/>
              <w:rPr>
                <w:sz w:val="19"/>
              </w:rPr>
            </w:pPr>
            <w:r>
              <w:rPr>
                <w:sz w:val="19"/>
              </w:rPr>
              <w:t xml:space="preserve">1 Jan 1996 (see s. 2 and </w:t>
            </w:r>
            <w:r>
              <w:rPr>
                <w:i/>
                <w:sz w:val="19"/>
              </w:rPr>
              <w:t>Gazette</w:t>
            </w:r>
            <w:r>
              <w:rPr>
                <w:sz w:val="19"/>
              </w:rPr>
              <w:t xml:space="preserve"> 29 Dec 1995 p. 6291)</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Home Building Contracts Amendment Act 1996</w:t>
            </w:r>
          </w:p>
        </w:tc>
        <w:tc>
          <w:tcPr>
            <w:tcW w:w="1134" w:type="dxa"/>
          </w:tcPr>
          <w:p>
            <w:pPr>
              <w:pStyle w:val="nTable"/>
              <w:spacing w:before="120"/>
              <w:rPr>
                <w:sz w:val="19"/>
              </w:rPr>
            </w:pPr>
            <w:r>
              <w:rPr>
                <w:sz w:val="19"/>
              </w:rPr>
              <w:t>72 of 1996</w:t>
            </w:r>
          </w:p>
        </w:tc>
        <w:tc>
          <w:tcPr>
            <w:tcW w:w="1134" w:type="dxa"/>
          </w:tcPr>
          <w:p>
            <w:pPr>
              <w:pStyle w:val="nTable"/>
              <w:spacing w:before="120"/>
              <w:rPr>
                <w:sz w:val="19"/>
              </w:rPr>
            </w:pPr>
            <w:r>
              <w:rPr>
                <w:sz w:val="19"/>
              </w:rPr>
              <w:t>13 Nov 1996</w:t>
            </w:r>
          </w:p>
        </w:tc>
        <w:tc>
          <w:tcPr>
            <w:tcW w:w="2552" w:type="dxa"/>
          </w:tcPr>
          <w:p>
            <w:pPr>
              <w:pStyle w:val="nTable"/>
              <w:spacing w:before="12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before="120"/>
              <w:ind w:right="113"/>
              <w:rPr>
                <w:sz w:val="19"/>
              </w:rPr>
            </w:pPr>
            <w:r>
              <w:rPr>
                <w:i/>
                <w:sz w:val="19"/>
              </w:rPr>
              <w:t xml:space="preserve">Trustees Amendment Act 1997 </w:t>
            </w:r>
            <w:r>
              <w:rPr>
                <w:sz w:val="19"/>
              </w:rPr>
              <w:t>s. 18</w:t>
            </w:r>
          </w:p>
        </w:tc>
        <w:tc>
          <w:tcPr>
            <w:tcW w:w="1134" w:type="dxa"/>
          </w:tcPr>
          <w:p>
            <w:pPr>
              <w:pStyle w:val="nTable"/>
              <w:spacing w:before="120"/>
              <w:rPr>
                <w:sz w:val="19"/>
              </w:rPr>
            </w:pPr>
            <w:r>
              <w:rPr>
                <w:sz w:val="19"/>
              </w:rPr>
              <w:t>1 of 1997</w:t>
            </w:r>
          </w:p>
        </w:tc>
        <w:tc>
          <w:tcPr>
            <w:tcW w:w="1134" w:type="dxa"/>
          </w:tcPr>
          <w:p>
            <w:pPr>
              <w:pStyle w:val="nTable"/>
              <w:spacing w:before="120"/>
              <w:rPr>
                <w:sz w:val="19"/>
              </w:rPr>
            </w:pPr>
            <w:r>
              <w:rPr>
                <w:sz w:val="19"/>
              </w:rPr>
              <w:t>6 May 1997</w:t>
            </w:r>
          </w:p>
        </w:tc>
        <w:tc>
          <w:tcPr>
            <w:tcW w:w="2552" w:type="dxa"/>
          </w:tcPr>
          <w:p>
            <w:pPr>
              <w:pStyle w:val="nTable"/>
              <w:spacing w:before="12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before="12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w:t>
            </w:r>
          </w:p>
        </w:tc>
      </w:tr>
      <w:tr>
        <w:trPr>
          <w:cantSplit/>
        </w:trPr>
        <w:tc>
          <w:tcPr>
            <w:tcW w:w="7088" w:type="dxa"/>
            <w:gridSpan w:val="4"/>
          </w:tcPr>
          <w:p>
            <w:pPr>
              <w:pStyle w:val="nTable"/>
              <w:spacing w:before="120"/>
              <w:rPr>
                <w:sz w:val="19"/>
              </w:rPr>
            </w:pPr>
            <w:r>
              <w:rPr>
                <w:b/>
                <w:sz w:val="19"/>
              </w:rPr>
              <w:t xml:space="preserve">Reprint of the </w:t>
            </w:r>
            <w:r>
              <w:rPr>
                <w:b/>
                <w:i/>
                <w:sz w:val="19"/>
              </w:rPr>
              <w:t>Home Building Contracts Act 1991</w:t>
            </w:r>
            <w:r>
              <w:rPr>
                <w:b/>
                <w:sz w:val="19"/>
              </w:rPr>
              <w:t xml:space="preserve"> as at 30 Oct 1998 </w:t>
            </w:r>
            <w:r>
              <w:rPr>
                <w:b/>
                <w:sz w:val="19"/>
              </w:rPr>
              <w:br/>
            </w:r>
            <w:r>
              <w:rPr>
                <w:sz w:val="19"/>
              </w:rPr>
              <w:t>(includes all amendments listed above)</w:t>
            </w:r>
          </w:p>
        </w:tc>
      </w:tr>
      <w:tr>
        <w:trPr>
          <w:cantSplit/>
        </w:trPr>
        <w:tc>
          <w:tcPr>
            <w:tcW w:w="2268" w:type="dxa"/>
          </w:tcPr>
          <w:p>
            <w:pPr>
              <w:pStyle w:val="nTable"/>
              <w:spacing w:before="120"/>
              <w:ind w:right="113"/>
              <w:rPr>
                <w:sz w:val="19"/>
                <w:vertAlign w:val="superscript"/>
              </w:rPr>
            </w:pPr>
            <w:r>
              <w:rPr>
                <w:i/>
                <w:sz w:val="19"/>
              </w:rPr>
              <w:t xml:space="preserve">Building Legislation Amendment Act 2000 </w:t>
            </w:r>
            <w:r>
              <w:rPr>
                <w:i/>
                <w:sz w:val="19"/>
              </w:rPr>
              <w:br/>
            </w:r>
            <w:r>
              <w:rPr>
                <w:sz w:val="19"/>
              </w:rPr>
              <w:t>Pt. 3 and s. 59 and 62 </w:t>
            </w:r>
            <w:r>
              <w:rPr>
                <w:sz w:val="19"/>
                <w:vertAlign w:val="superscript"/>
              </w:rPr>
              <w:t>2</w:t>
            </w:r>
          </w:p>
        </w:tc>
        <w:tc>
          <w:tcPr>
            <w:tcW w:w="1134" w:type="dxa"/>
          </w:tcPr>
          <w:p>
            <w:pPr>
              <w:pStyle w:val="nTable"/>
              <w:spacing w:before="120"/>
              <w:rPr>
                <w:sz w:val="19"/>
              </w:rPr>
            </w:pPr>
            <w:r>
              <w:rPr>
                <w:sz w:val="19"/>
              </w:rPr>
              <w:t>76 of 2000</w:t>
            </w:r>
          </w:p>
        </w:tc>
        <w:tc>
          <w:tcPr>
            <w:tcW w:w="1134" w:type="dxa"/>
          </w:tcPr>
          <w:p>
            <w:pPr>
              <w:pStyle w:val="nTable"/>
              <w:spacing w:before="120"/>
              <w:rPr>
                <w:sz w:val="19"/>
              </w:rPr>
            </w:pPr>
            <w:r>
              <w:rPr>
                <w:sz w:val="19"/>
              </w:rPr>
              <w:t>7 Dec 2000</w:t>
            </w:r>
          </w:p>
        </w:tc>
        <w:tc>
          <w:tcPr>
            <w:tcW w:w="2552" w:type="dxa"/>
          </w:tcPr>
          <w:p>
            <w:pPr>
              <w:pStyle w:val="nTable"/>
              <w:spacing w:before="120"/>
              <w:rPr>
                <w:sz w:val="19"/>
              </w:rPr>
            </w:pPr>
            <w:r>
              <w:rPr>
                <w:sz w:val="19"/>
              </w:rPr>
              <w:t xml:space="preserve">s. 43, 44, 48, 49(2), 50(1), </w:t>
            </w:r>
            <w:r>
              <w:rPr>
                <w:sz w:val="19"/>
              </w:rPr>
              <w:br/>
              <w:t xml:space="preserve">51-53,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before="120"/>
              <w:ind w:right="113"/>
              <w:rPr>
                <w:sz w:val="19"/>
              </w:rPr>
            </w:pPr>
            <w:r>
              <w:rPr>
                <w:i/>
                <w:sz w:val="19"/>
              </w:rPr>
              <w:t>Corporations (Consequential Amendments) Act 2001</w:t>
            </w:r>
            <w:r>
              <w:rPr>
                <w:sz w:val="19"/>
              </w:rPr>
              <w:br/>
              <w:t>s. 220</w:t>
            </w:r>
          </w:p>
        </w:tc>
        <w:tc>
          <w:tcPr>
            <w:tcW w:w="1134" w:type="dxa"/>
          </w:tcPr>
          <w:p>
            <w:pPr>
              <w:pStyle w:val="nTable"/>
              <w:keepNext/>
              <w:spacing w:before="120"/>
              <w:rPr>
                <w:sz w:val="19"/>
              </w:rPr>
            </w:pPr>
            <w:r>
              <w:rPr>
                <w:sz w:val="19"/>
              </w:rPr>
              <w:t>10 of 2001</w:t>
            </w:r>
          </w:p>
        </w:tc>
        <w:tc>
          <w:tcPr>
            <w:tcW w:w="1134" w:type="dxa"/>
          </w:tcPr>
          <w:p>
            <w:pPr>
              <w:pStyle w:val="nTable"/>
              <w:keepNext/>
              <w:spacing w:before="120"/>
              <w:rPr>
                <w:sz w:val="19"/>
              </w:rPr>
            </w:pPr>
            <w:r>
              <w:rPr>
                <w:sz w:val="19"/>
              </w:rPr>
              <w:t>28 Jun 2001</w:t>
            </w:r>
          </w:p>
        </w:tc>
        <w:tc>
          <w:tcPr>
            <w:tcW w:w="2552" w:type="dxa"/>
          </w:tcPr>
          <w:p>
            <w:pPr>
              <w:pStyle w:val="nTable"/>
              <w:keepNext/>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before="120"/>
              <w:rPr>
                <w:sz w:val="19"/>
              </w:rPr>
            </w:pPr>
            <w:r>
              <w:rPr>
                <w:b/>
                <w:sz w:val="19"/>
              </w:rPr>
              <w:t xml:space="preserve">Reprint of the </w:t>
            </w:r>
            <w:r>
              <w:rPr>
                <w:b/>
                <w:i/>
                <w:sz w:val="19"/>
              </w:rPr>
              <w:t>Home Building Contracts Act 1991</w:t>
            </w:r>
            <w:r>
              <w:rPr>
                <w:b/>
                <w:sz w:val="19"/>
              </w:rPr>
              <w:t xml:space="preserve"> as at 9 Nov 2001</w:t>
            </w:r>
            <w:r>
              <w:rPr>
                <w:sz w:val="19"/>
              </w:rPr>
              <w:br/>
              <w:t>(includes all amendment listed above)</w:t>
            </w:r>
          </w:p>
        </w:tc>
      </w:tr>
      <w:tr>
        <w:trPr>
          <w:cantSplit/>
        </w:trPr>
        <w:tc>
          <w:tcPr>
            <w:tcW w:w="2268" w:type="dxa"/>
          </w:tcPr>
          <w:p>
            <w:pPr>
              <w:pStyle w:val="nTable"/>
              <w:spacing w:before="120"/>
              <w:ind w:right="113"/>
              <w:rPr>
                <w:sz w:val="19"/>
              </w:rPr>
            </w:pPr>
            <w:r>
              <w:rPr>
                <w:i/>
                <w:sz w:val="19"/>
              </w:rPr>
              <w:t>Home Building Contracts Amendment Act 2002</w:t>
            </w:r>
          </w:p>
        </w:tc>
        <w:tc>
          <w:tcPr>
            <w:tcW w:w="1134" w:type="dxa"/>
          </w:tcPr>
          <w:p>
            <w:pPr>
              <w:pStyle w:val="nTable"/>
              <w:spacing w:before="120"/>
              <w:rPr>
                <w:sz w:val="19"/>
              </w:rPr>
            </w:pPr>
            <w:r>
              <w:rPr>
                <w:sz w:val="19"/>
              </w:rPr>
              <w:t>37 of 2002</w:t>
            </w:r>
          </w:p>
        </w:tc>
        <w:tc>
          <w:tcPr>
            <w:tcW w:w="1134" w:type="dxa"/>
          </w:tcPr>
          <w:p>
            <w:pPr>
              <w:pStyle w:val="nTable"/>
              <w:spacing w:before="120"/>
              <w:rPr>
                <w:sz w:val="19"/>
              </w:rPr>
            </w:pPr>
            <w:r>
              <w:rPr>
                <w:sz w:val="19"/>
              </w:rPr>
              <w:t>20 Nov 2002</w:t>
            </w:r>
          </w:p>
        </w:tc>
        <w:tc>
          <w:tcPr>
            <w:tcW w:w="2552" w:type="dxa"/>
          </w:tcPr>
          <w:p>
            <w:pPr>
              <w:pStyle w:val="nTable"/>
              <w:spacing w:before="120"/>
              <w:rPr>
                <w:sz w:val="19"/>
              </w:rPr>
            </w:pPr>
            <w:r>
              <w:rPr>
                <w:sz w:val="19"/>
              </w:rPr>
              <w:t>20 Nov 2002 (see s. 2)</w:t>
            </w:r>
          </w:p>
        </w:tc>
      </w:tr>
      <w:tr>
        <w:trPr>
          <w:cantSplit/>
        </w:trPr>
        <w:tc>
          <w:tcPr>
            <w:tcW w:w="2268" w:type="dxa"/>
          </w:tcPr>
          <w:p>
            <w:pPr>
              <w:pStyle w:val="nTable"/>
              <w:spacing w:before="120"/>
              <w:ind w:right="113"/>
              <w:rPr>
                <w:sz w:val="19"/>
              </w:rPr>
            </w:pPr>
            <w:r>
              <w:rPr>
                <w:i/>
                <w:sz w:val="19"/>
              </w:rPr>
              <w:t>Statutes (Repeals and Minor Amendments) Act 2003</w:t>
            </w:r>
            <w:r>
              <w:rPr>
                <w:sz w:val="19"/>
              </w:rPr>
              <w:t xml:space="preserve"> s. 66</w:t>
            </w:r>
          </w:p>
        </w:tc>
        <w:tc>
          <w:tcPr>
            <w:tcW w:w="1134" w:type="dxa"/>
          </w:tcPr>
          <w:p>
            <w:pPr>
              <w:pStyle w:val="nTable"/>
              <w:spacing w:before="120"/>
              <w:rPr>
                <w:sz w:val="19"/>
              </w:rPr>
            </w:pPr>
            <w:r>
              <w:rPr>
                <w:sz w:val="19"/>
              </w:rPr>
              <w:t>74 of 2003</w:t>
            </w:r>
          </w:p>
        </w:tc>
        <w:tc>
          <w:tcPr>
            <w:tcW w:w="1134" w:type="dxa"/>
          </w:tcPr>
          <w:p>
            <w:pPr>
              <w:pStyle w:val="nTable"/>
              <w:spacing w:before="120"/>
              <w:rPr>
                <w:sz w:val="19"/>
              </w:rPr>
            </w:pPr>
            <w:r>
              <w:rPr>
                <w:sz w:val="19"/>
              </w:rPr>
              <w:t>15 Dec 2003</w:t>
            </w:r>
          </w:p>
        </w:tc>
        <w:tc>
          <w:tcPr>
            <w:tcW w:w="2552" w:type="dxa"/>
          </w:tcPr>
          <w:p>
            <w:pPr>
              <w:pStyle w:val="nTable"/>
              <w:spacing w:before="120"/>
              <w:rPr>
                <w:sz w:val="19"/>
              </w:rPr>
            </w:pPr>
            <w:r>
              <w:rPr>
                <w:spacing w:val="-2"/>
                <w:sz w:val="19"/>
              </w:rPr>
              <w:t>15 Dec 2003 (see s. 2)</w:t>
            </w:r>
          </w:p>
        </w:tc>
      </w:tr>
      <w:tr>
        <w:trPr>
          <w:cantSplit/>
        </w:trPr>
        <w:tc>
          <w:tcPr>
            <w:tcW w:w="2268" w:type="dxa"/>
          </w:tcPr>
          <w:p>
            <w:pPr>
              <w:pStyle w:val="nTable"/>
              <w:spacing w:before="1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napToGrid w:val="0"/>
                <w:sz w:val="19"/>
                <w:lang w:val="en-US"/>
              </w:rPr>
              <w:t>23 Nov 2004</w:t>
            </w:r>
          </w:p>
        </w:tc>
        <w:tc>
          <w:tcPr>
            <w:tcW w:w="2552" w:type="dxa"/>
          </w:tcPr>
          <w:p>
            <w:pPr>
              <w:pStyle w:val="nTable"/>
              <w:spacing w:before="12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Borders>
              <w:bottom w:val="single" w:sz="4" w:space="0" w:color="auto"/>
            </w:tcBorders>
          </w:tcPr>
          <w:p>
            <w:pPr>
              <w:pStyle w:val="nTable"/>
              <w:spacing w:before="1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84 of 2004</w:t>
            </w:r>
          </w:p>
        </w:tc>
        <w:tc>
          <w:tcPr>
            <w:tcW w:w="1134" w:type="dxa"/>
            <w:tcBorders>
              <w:bottom w:val="single" w:sz="4" w:space="0" w:color="auto"/>
            </w:tcBorders>
          </w:tcPr>
          <w:p>
            <w:pPr>
              <w:pStyle w:val="nTable"/>
              <w:spacing w:before="120"/>
              <w:rPr>
                <w:snapToGrid w:val="0"/>
                <w:sz w:val="19"/>
                <w:lang w:val="en-US"/>
              </w:rPr>
            </w:pPr>
            <w:r>
              <w:rPr>
                <w:sz w:val="19"/>
              </w:rPr>
              <w:t>16 Dec 2004</w:t>
            </w:r>
          </w:p>
        </w:tc>
        <w:tc>
          <w:tcPr>
            <w:tcW w:w="2552" w:type="dxa"/>
            <w:tcBorders>
              <w:bottom w:val="single" w:sz="4" w:space="0" w:color="auto"/>
            </w:tcBorders>
          </w:tcPr>
          <w:p>
            <w:pPr>
              <w:pStyle w:val="nTable"/>
              <w:spacing w:before="1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spacing w:before="24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51" w:name="_Toc511102521"/>
      <w:bookmarkStart w:id="352" w:name="_Toc512327500"/>
      <w:bookmarkStart w:id="353" w:name="_Toc513346684"/>
      <w:bookmarkStart w:id="354" w:name="_Toc519996657"/>
      <w:bookmarkStart w:id="355" w:name="_Toc527365431"/>
      <w:bookmarkStart w:id="356" w:name="_Toc530458639"/>
      <w:bookmarkStart w:id="357" w:name="_Toc530460501"/>
      <w:bookmarkStart w:id="358" w:name="_Toc103067048"/>
      <w:r>
        <w:rPr>
          <w:snapToGrid w:val="0"/>
        </w:rPr>
        <w:t>Provisions that have not come into operation</w:t>
      </w:r>
      <w:bookmarkEnd w:id="351"/>
      <w:bookmarkEnd w:id="352"/>
      <w:bookmarkEnd w:id="353"/>
      <w:bookmarkEnd w:id="354"/>
      <w:bookmarkEnd w:id="355"/>
      <w:bookmarkEnd w:id="356"/>
      <w:bookmarkEnd w:id="357"/>
      <w:bookmarkEnd w:id="35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i/>
                <w:sz w:val="19"/>
              </w:rPr>
            </w:pPr>
            <w:r>
              <w:rPr>
                <w:i/>
              </w:rPr>
              <w:t xml:space="preserve">Caravans Parks and Camping Grounds Act 1995 </w:t>
            </w:r>
            <w:r>
              <w:t>s</w:t>
            </w:r>
            <w:r>
              <w:rPr>
                <w:i/>
              </w:rPr>
              <w:t>. </w:t>
            </w:r>
            <w:r>
              <w:rPr>
                <w:sz w:val="19"/>
              </w:rPr>
              <w:t xml:space="preserve">33 </w:t>
            </w:r>
            <w:r>
              <w:rPr>
                <w:sz w:val="19"/>
                <w:vertAlign w:val="superscript"/>
              </w:rPr>
              <w:t>3</w:t>
            </w:r>
          </w:p>
        </w:tc>
        <w:tc>
          <w:tcPr>
            <w:tcW w:w="1134" w:type="dxa"/>
            <w:tcBorders>
              <w:top w:val="single" w:sz="8" w:space="0" w:color="auto"/>
              <w:bottom w:val="single" w:sz="8" w:space="0" w:color="auto"/>
            </w:tcBorders>
          </w:tcPr>
          <w:p>
            <w:pPr>
              <w:pStyle w:val="nTable"/>
              <w:spacing w:before="120"/>
              <w:rPr>
                <w:sz w:val="19"/>
              </w:rPr>
            </w:pPr>
            <w:r>
              <w:rPr>
                <w:sz w:val="19"/>
              </w:rPr>
              <w:t>34 of 1995</w:t>
            </w:r>
          </w:p>
        </w:tc>
        <w:tc>
          <w:tcPr>
            <w:tcW w:w="1134" w:type="dxa"/>
            <w:tcBorders>
              <w:top w:val="single" w:sz="8" w:space="0" w:color="auto"/>
              <w:bottom w:val="single" w:sz="8" w:space="0" w:color="auto"/>
            </w:tcBorders>
          </w:tcPr>
          <w:p>
            <w:pPr>
              <w:pStyle w:val="nTable"/>
              <w:spacing w:before="120"/>
              <w:rPr>
                <w:sz w:val="19"/>
              </w:rPr>
            </w:pPr>
            <w:r>
              <w:rPr>
                <w:sz w:val="19"/>
              </w:rPr>
              <w:t>29 Sep 1995</w:t>
            </w:r>
          </w:p>
        </w:tc>
        <w:tc>
          <w:tcPr>
            <w:tcW w:w="2552" w:type="dxa"/>
            <w:tcBorders>
              <w:top w:val="single" w:sz="8" w:space="0" w:color="auto"/>
              <w:bottom w:val="single" w:sz="8" w:space="0" w:color="auto"/>
            </w:tcBorders>
          </w:tcPr>
          <w:p>
            <w:pPr>
              <w:pStyle w:val="nTable"/>
              <w:spacing w:before="120"/>
              <w:rPr>
                <w:sz w:val="19"/>
              </w:rPr>
            </w:pPr>
            <w:r>
              <w:rPr>
                <w:sz w:val="19"/>
              </w:rPr>
              <w:t>To be proclaimed (see s. 2)</w:t>
            </w:r>
          </w:p>
        </w:tc>
      </w:tr>
    </w:tbl>
    <w:p>
      <w:pPr>
        <w:pStyle w:val="nSubsection"/>
      </w:pPr>
      <w:r>
        <w:rPr>
          <w:vertAlign w:val="superscript"/>
        </w:rPr>
        <w:t>2</w:t>
      </w:r>
      <w:r>
        <w:tab/>
        <w:t xml:space="preserve">The </w:t>
      </w:r>
      <w:r>
        <w:rPr>
          <w:i/>
        </w:rPr>
        <w:t xml:space="preserve">Building Legislation Amendment Act 2000 </w:t>
      </w:r>
      <w:r>
        <w:t>s. 59 and 62 read as follows:</w:t>
      </w:r>
    </w:p>
    <w:p>
      <w:pPr>
        <w:pStyle w:val="MiscOpen"/>
      </w:pPr>
      <w:r>
        <w:t>“</w:t>
      </w:r>
    </w:p>
    <w:p>
      <w:pPr>
        <w:pStyle w:val="nzHeading5"/>
        <w:spacing w:before="60"/>
        <w:rPr>
          <w:snapToGrid w:val="0"/>
        </w:rPr>
      </w:pPr>
      <w:bookmarkStart w:id="359" w:name="_Toc450021088"/>
      <w:bookmarkStart w:id="360" w:name="_Toc482608244"/>
      <w:r>
        <w:rPr>
          <w:rStyle w:val="CharSectno"/>
        </w:rPr>
        <w:t>59</w:t>
      </w:r>
      <w:r>
        <w:rPr>
          <w:snapToGrid w:val="0"/>
        </w:rPr>
        <w:t>.</w:t>
      </w:r>
      <w:r>
        <w:rPr>
          <w:snapToGrid w:val="0"/>
        </w:rPr>
        <w:tab/>
        <w:t>References to Committee in other written laws</w:t>
      </w:r>
      <w:bookmarkEnd w:id="359"/>
      <w:bookmarkEnd w:id="360"/>
      <w:r>
        <w:rPr>
          <w:snapToGrid w:val="0"/>
        </w:rPr>
        <w:t xml:space="preserve"> </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361" w:name="_Toc482608247"/>
      <w:r>
        <w:rPr>
          <w:rStyle w:val="CharSectno"/>
        </w:rPr>
        <w:t>62</w:t>
      </w:r>
      <w:r>
        <w:t>.</w:t>
      </w:r>
      <w:r>
        <w:tab/>
        <w:t>Review</w:t>
      </w:r>
      <w:bookmarkEnd w:id="361"/>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keepNext/>
        <w:keepLines/>
      </w:pPr>
      <w:r>
        <w:rPr>
          <w:vertAlign w:val="superscript"/>
        </w:rPr>
        <w:t>3</w:t>
      </w:r>
      <w:r>
        <w:rPr>
          <w:vertAlign w:val="superscript"/>
        </w:rPr>
        <w:tab/>
      </w:r>
      <w:r>
        <w:t>On the date as at which this reprint was prepared the</w:t>
      </w:r>
      <w:r>
        <w:rPr>
          <w:i/>
        </w:rPr>
        <w:t xml:space="preserve"> Caravans Parks and Camping Grounds Act 1995 </w:t>
      </w:r>
      <w:r>
        <w:t>s. 33, which gives effect to Sch. 2, had not come into operation.  It reads:</w:t>
      </w:r>
    </w:p>
    <w:p>
      <w:pPr>
        <w:pStyle w:val="nSubsection"/>
        <w:keepNext/>
        <w:keepLines/>
        <w:rPr>
          <w:sz w:val="24"/>
        </w:rPr>
      </w:pPr>
      <w:r>
        <w:rPr>
          <w:sz w:val="24"/>
        </w:rPr>
        <w:t>“</w:t>
      </w:r>
    </w:p>
    <w:p>
      <w:pPr>
        <w:pStyle w:val="nzHeading5"/>
        <w:spacing w:before="0"/>
        <w:rPr>
          <w:snapToGrid w:val="0"/>
        </w:rPr>
      </w:pPr>
      <w:r>
        <w:rPr>
          <w:snapToGrid w:val="0"/>
        </w:rPr>
        <w:t>33.</w:t>
      </w:r>
      <w:r>
        <w:rPr>
          <w:snapToGrid w:val="0"/>
        </w:rPr>
        <w:tab/>
        <w:t xml:space="preserve">Consequential amendments </w:t>
      </w:r>
    </w:p>
    <w:p>
      <w:pPr>
        <w:pStyle w:val="nzSubsection"/>
        <w:spacing w:before="60"/>
      </w:pPr>
      <w:r>
        <w:rPr>
          <w:snapToGrid w:val="0"/>
        </w:rPr>
        <w:tab/>
      </w:r>
      <w:r>
        <w:tab/>
        <w:t>The Acts referred to in the first column of Schedule 2 are amended in the manner set out in the second column of that Schedule.</w:t>
      </w:r>
    </w:p>
    <w:p>
      <w:pPr>
        <w:pStyle w:val="MiscClose"/>
      </w:pPr>
      <w:r>
        <w:t>”.</w:t>
      </w:r>
    </w:p>
    <w:p>
      <w:pPr>
        <w:pStyle w:val="nSubsection"/>
        <w:keepNext/>
        <w:keepLines/>
        <w:spacing w:before="0"/>
      </w:pPr>
      <w:r>
        <w:tab/>
        <w:t>Schedule 2, item 3 reads:</w:t>
      </w:r>
    </w:p>
    <w:p>
      <w:pPr>
        <w:pStyle w:val="MiscOpen"/>
      </w:pPr>
      <w:r>
        <w:t>“</w:t>
      </w:r>
    </w:p>
    <w:tbl>
      <w:tblPr>
        <w:tblW w:w="0" w:type="auto"/>
        <w:tblInd w:w="434" w:type="dxa"/>
        <w:tblLayout w:type="fixed"/>
        <w:tblCellMar>
          <w:left w:w="0" w:type="dxa"/>
          <w:right w:w="0" w:type="dxa"/>
        </w:tblCellMar>
        <w:tblLook w:val="0000" w:firstRow="0" w:lastRow="0" w:firstColumn="0" w:lastColumn="0" w:noHBand="0" w:noVBand="0"/>
      </w:tblPr>
      <w:tblGrid>
        <w:gridCol w:w="425"/>
        <w:gridCol w:w="1843"/>
        <w:gridCol w:w="3827"/>
      </w:tblGrid>
      <w:tr>
        <w:tc>
          <w:tcPr>
            <w:tcW w:w="425"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s>
              <w:spacing w:line="190" w:lineRule="auto"/>
              <w:jc w:val="both"/>
              <w:rPr>
                <w:sz w:val="20"/>
              </w:rPr>
            </w:pPr>
            <w:r>
              <w:rPr>
                <w:sz w:val="20"/>
              </w:rPr>
              <w:t>3.</w:t>
            </w:r>
          </w:p>
        </w:tc>
        <w:tc>
          <w:tcPr>
            <w:tcW w:w="1843"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s>
              <w:spacing w:line="190" w:lineRule="auto"/>
              <w:jc w:val="both"/>
              <w:rPr>
                <w:i/>
                <w:sz w:val="20"/>
              </w:rPr>
            </w:pPr>
            <w:r>
              <w:rPr>
                <w:i/>
                <w:sz w:val="20"/>
              </w:rPr>
              <w:t>Home Building</w:t>
            </w: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s>
              <w:spacing w:line="190" w:lineRule="auto"/>
              <w:jc w:val="both"/>
              <w:rPr>
                <w:sz w:val="20"/>
              </w:rPr>
            </w:pPr>
            <w:r>
              <w:rPr>
                <w:i/>
                <w:sz w:val="20"/>
              </w:rPr>
              <w:t>Contracts Act 1991</w:t>
            </w:r>
          </w:p>
        </w:tc>
        <w:tc>
          <w:tcPr>
            <w:tcW w:w="3827"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s>
              <w:spacing w:line="190" w:lineRule="auto"/>
              <w:jc w:val="both"/>
              <w:rPr>
                <w:sz w:val="20"/>
              </w:rPr>
            </w:pPr>
            <w:r>
              <w:rPr>
                <w:sz w:val="20"/>
              </w:rPr>
              <w:t>In the definition of “dwelling” in section 3(1), insert after “residence” the following —  </w:t>
            </w: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s>
              <w:spacing w:line="190" w:lineRule="auto"/>
              <w:jc w:val="both"/>
              <w:rPr>
                <w:sz w:val="20"/>
              </w:rPr>
            </w:pPr>
          </w:p>
          <w:p>
            <w:pPr>
              <w:keepNext/>
              <w:keepLines/>
              <w:tabs>
                <w:tab w:val="left" w:pos="-1440"/>
                <w:tab w:val="left" w:pos="-720"/>
                <w:tab w:val="left" w:pos="0"/>
                <w:tab w:val="left" w:pos="566"/>
              </w:tabs>
              <w:spacing w:line="190" w:lineRule="auto"/>
              <w:ind w:left="569" w:right="142" w:hanging="569"/>
              <w:rPr>
                <w:sz w:val="20"/>
              </w:rPr>
            </w:pPr>
            <w:r>
              <w:rPr>
                <w:sz w:val="20"/>
              </w:rPr>
              <w:t>“</w:t>
            </w:r>
            <w:r>
              <w:rPr>
                <w:sz w:val="20"/>
              </w:rPr>
              <w:tab/>
              <w:t xml:space="preserve">, but does not include a park home, as defined in the </w:t>
            </w:r>
            <w:r>
              <w:rPr>
                <w:i/>
                <w:sz w:val="20"/>
              </w:rPr>
              <w:t xml:space="preserve">Caravan Parks and Camping Grounds Act 1995              </w:t>
            </w:r>
            <w:r>
              <w:rPr>
                <w:sz w:val="20"/>
              </w:rPr>
              <w:t>”.</w:t>
            </w:r>
          </w:p>
        </w:tc>
      </w:tr>
    </w:tbl>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Home Building Contracts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1842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2251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0474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8BC03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91A11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8802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5C69A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7024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36CFD6"/>
    <w:lvl w:ilvl="0">
      <w:start w:val="1"/>
      <w:numFmt w:val="decimal"/>
      <w:pStyle w:val="ListNumber"/>
      <w:lvlText w:val="%1."/>
      <w:lvlJc w:val="left"/>
      <w:pPr>
        <w:tabs>
          <w:tab w:val="num" w:pos="360"/>
        </w:tabs>
        <w:ind w:left="360" w:hanging="360"/>
      </w:pPr>
    </w:lvl>
  </w:abstractNum>
  <w:abstractNum w:abstractNumId="9">
    <w:nsid w:val="FFFFFF89"/>
    <w:multiLevelType w:val="singleLevel"/>
    <w:tmpl w:val="6576DC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28B6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900AF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13646</Words>
  <Characters>64002</Characters>
  <Application>Microsoft Office Word</Application>
  <DocSecurity>0</DocSecurity>
  <Lines>1777</Lines>
  <Paragraphs>982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1991 - 02-d0-04</dc:title>
  <dc:subject/>
  <dc:creator/>
  <cp:keywords/>
  <dc:description/>
  <cp:lastModifiedBy>svcMRProcess</cp:lastModifiedBy>
  <cp:revision>4</cp:revision>
  <cp:lastPrinted>2001-11-20T03:46:00Z</cp:lastPrinted>
  <dcterms:created xsi:type="dcterms:W3CDTF">2018-09-03T00:35:00Z</dcterms:created>
  <dcterms:modified xsi:type="dcterms:W3CDTF">2018-09-03T00:35:00Z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352</vt:i4>
  </property>
  <property fmtid="{D5CDD505-2E9C-101B-9397-08002B2CF9AE}" pid="6" name="AsAtDate">
    <vt:lpwstr>02 May 2005</vt:lpwstr>
  </property>
  <property fmtid="{D5CDD505-2E9C-101B-9397-08002B2CF9AE}" pid="7" name="Suffix">
    <vt:lpwstr>02-d0-04</vt:lpwstr>
  </property>
</Properties>
</file>