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Children’s Court of Western Australia Act 1988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September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_Toc209501427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_Toc209501428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_Toc209501429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_Toc209501430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_Toc209501431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_Toc209501432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_Toc209501433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_Toc209501434 \h </w:instrText>
      </w:r>
      <w:r>
        <w:fldChar w:fldCharType="separate"/>
      </w:r>
      <w:r>
        <w:t>4</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_Toc209501435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_Toc209501436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_Toc209501437 \h </w:instrText>
      </w:r>
      <w:r>
        <w:fldChar w:fldCharType="separate"/>
      </w:r>
      <w:r>
        <w:t>7</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_Toc209501443 \h </w:instrText>
      </w:r>
      <w:r>
        <w:fldChar w:fldCharType="separate"/>
      </w:r>
      <w:r>
        <w:t>12</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_Toc209501444 \h </w:instrText>
      </w:r>
      <w:r>
        <w:fldChar w:fldCharType="separate"/>
      </w:r>
      <w:r>
        <w:t>16</w:t>
      </w:r>
      <w:r>
        <w:fldChar w:fldCharType="end"/>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_Toc209501446 \h </w:instrText>
      </w:r>
      <w:r>
        <w:fldChar w:fldCharType="separate"/>
      </w:r>
      <w:r>
        <w:t>17</w:t>
      </w:r>
      <w:r>
        <w:fldChar w:fldCharType="end"/>
      </w:r>
    </w:p>
    <w:p>
      <w:pPr>
        <w:pStyle w:val="TOC2"/>
        <w:tabs>
          <w:tab w:val="right" w:leader="dot" w:pos="7086"/>
        </w:tabs>
        <w:rPr>
          <w:b w:val="0"/>
          <w:sz w:val="24"/>
          <w:szCs w:val="24"/>
        </w:rPr>
      </w:pPr>
      <w:r>
        <w:rPr>
          <w:szCs w:val="26"/>
        </w:rP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September 2008</w:t>
            </w:r>
          </w:p>
        </w:tc>
      </w:tr>
    </w:tbl>
    <w:p>
      <w:pPr>
        <w:pStyle w:val="WA"/>
        <w:spacing w:before="120"/>
      </w:pPr>
      <w:r>
        <w:t>Western Australia</w:t>
      </w:r>
    </w:p>
    <w:p>
      <w:pPr>
        <w:pStyle w:val="PrincipalActReg"/>
      </w:pPr>
      <w:r>
        <w:t>Children’s Court of Western Australia Act 1988</w:t>
      </w:r>
    </w:p>
    <w:p>
      <w:pPr>
        <w:pStyle w:val="NameofActReg"/>
      </w:pPr>
      <w:r>
        <w:t>Children’s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4711"/>
      <w:bookmarkStart w:id="9" w:name="_Toc138836650"/>
      <w:bookmarkStart w:id="10" w:name="_Toc209501427"/>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20950142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0" w:name="_Toc96402830"/>
      <w:bookmarkStart w:id="21" w:name="_Toc100634713"/>
      <w:bookmarkStart w:id="22" w:name="_Toc138836652"/>
      <w:bookmarkStart w:id="23" w:name="_Toc209501429"/>
      <w:r>
        <w:rPr>
          <w:rStyle w:val="CharSectno"/>
        </w:rPr>
        <w:t>3</w:t>
      </w:r>
      <w:r>
        <w:t>.</w:t>
      </w:r>
      <w:r>
        <w:tab/>
        <w:t>Terms used in these regulations</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4714"/>
      <w:bookmarkStart w:id="33" w:name="_Toc138836653"/>
      <w:bookmarkStart w:id="34" w:name="_Toc209501430"/>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 </w:t>
      </w:r>
      <w:bookmarkStart w:id="35" w:name="_Hlt533230123"/>
      <w:r>
        <w:rPr>
          <w:snapToGrid w:val="0"/>
        </w:rPr>
        <w:t>1</w:t>
      </w:r>
      <w:bookmarkEnd w:id="35"/>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6" w:name="_Toc437922207"/>
      <w:bookmarkStart w:id="37" w:name="_Toc483972642"/>
      <w:bookmarkStart w:id="38" w:name="_Toc506018773"/>
      <w:bookmarkStart w:id="39" w:name="_Toc519738592"/>
      <w:bookmarkStart w:id="40" w:name="_Toc520868380"/>
      <w:bookmarkStart w:id="41" w:name="_Toc533482757"/>
      <w:bookmarkStart w:id="42" w:name="_Toc61252560"/>
      <w:bookmarkStart w:id="43" w:name="_Toc96402832"/>
      <w:bookmarkStart w:id="44" w:name="_Toc96756225"/>
      <w:bookmarkStart w:id="45" w:name="_Toc100634715"/>
      <w:bookmarkStart w:id="46" w:name="_Toc138836654"/>
      <w:bookmarkStart w:id="47" w:name="_Toc209501431"/>
      <w:r>
        <w:rPr>
          <w:rStyle w:val="CharSectno"/>
        </w:rPr>
        <w:t>5</w:t>
      </w:r>
      <w:r>
        <w:t>.</w:t>
      </w:r>
      <w:r>
        <w:tab/>
      </w:r>
      <w:r>
        <w:rPr>
          <w:snapToGrid w:val="0"/>
        </w:rPr>
        <w:t>Exemptions</w:t>
      </w:r>
      <w:bookmarkEnd w:id="36"/>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8" w:name="_Toc96756226"/>
      <w:bookmarkStart w:id="49" w:name="_Toc100634716"/>
      <w:bookmarkStart w:id="50" w:name="_Toc138836655"/>
      <w:bookmarkStart w:id="51" w:name="_Toc209501432"/>
      <w:r>
        <w:rPr>
          <w:rStyle w:val="CharSectno"/>
        </w:rPr>
        <w:t>6</w:t>
      </w:r>
      <w:r>
        <w:t>.</w:t>
      </w:r>
      <w:r>
        <w:tab/>
        <w:t>Fees subject to conditions or waiver</w:t>
      </w:r>
      <w:bookmarkEnd w:id="48"/>
      <w:bookmarkEnd w:id="49"/>
      <w:bookmarkEnd w:id="50"/>
      <w:bookmarkEnd w:id="51"/>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2" w:name="_Toc437922208"/>
      <w:bookmarkStart w:id="53" w:name="_Toc483972643"/>
      <w:bookmarkStart w:id="54" w:name="_Toc506018774"/>
      <w:bookmarkStart w:id="55" w:name="_Toc519738593"/>
      <w:bookmarkStart w:id="56" w:name="_Toc520868381"/>
      <w:bookmarkStart w:id="57" w:name="_Toc533482758"/>
      <w:bookmarkStart w:id="58" w:name="_Toc61252561"/>
      <w:bookmarkStart w:id="59" w:name="_Toc96402833"/>
      <w:bookmarkStart w:id="60" w:name="_Toc100634717"/>
      <w:bookmarkStart w:id="61" w:name="_Toc138836656"/>
      <w:bookmarkStart w:id="62" w:name="_Toc209501433"/>
      <w:r>
        <w:rPr>
          <w:rStyle w:val="CharSectno"/>
        </w:rPr>
        <w:t>7</w:t>
      </w:r>
      <w:r>
        <w:t>.</w:t>
      </w:r>
      <w:r>
        <w:tab/>
      </w:r>
      <w:r>
        <w:rPr>
          <w:rStyle w:val="CharSectno"/>
        </w:rPr>
        <w:t>F</w:t>
      </w:r>
      <w:r>
        <w:rPr>
          <w:snapToGrid w:val="0"/>
        </w:rPr>
        <w:t>ees to be paid before documents etc. filed</w:t>
      </w:r>
      <w:bookmarkEnd w:id="52"/>
      <w:bookmarkEnd w:id="53"/>
      <w:bookmarkEnd w:id="54"/>
      <w:bookmarkEnd w:id="55"/>
      <w:bookmarkEnd w:id="56"/>
      <w:bookmarkEnd w:id="57"/>
      <w:bookmarkEnd w:id="58"/>
      <w:bookmarkEnd w:id="59"/>
      <w:bookmarkEnd w:id="60"/>
      <w:bookmarkEnd w:id="61"/>
      <w:bookmarkEnd w:id="62"/>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3" w:name="_Toc437922210"/>
      <w:bookmarkStart w:id="64" w:name="_Toc483972645"/>
      <w:bookmarkStart w:id="65" w:name="_Toc506018776"/>
      <w:bookmarkStart w:id="66" w:name="_Toc519738594"/>
      <w:bookmarkStart w:id="67" w:name="_Toc520868382"/>
      <w:bookmarkStart w:id="68" w:name="_Toc533482759"/>
      <w:bookmarkStart w:id="69" w:name="_Toc61252562"/>
      <w:bookmarkStart w:id="70" w:name="_Toc96402834"/>
      <w:bookmarkStart w:id="71" w:name="_Toc100634718"/>
      <w:bookmarkStart w:id="72" w:name="_Toc138836657"/>
      <w:bookmarkStart w:id="73" w:name="_Toc209501434"/>
      <w:r>
        <w:rPr>
          <w:rStyle w:val="CharSectno"/>
        </w:rPr>
        <w:t>8</w:t>
      </w:r>
      <w:r>
        <w:t>.</w:t>
      </w:r>
      <w:r>
        <w:tab/>
      </w:r>
      <w:r>
        <w:rPr>
          <w:snapToGrid w:val="0"/>
        </w:rPr>
        <w:t>Court, registrar or deputy registrar may remit fees</w:t>
      </w:r>
      <w:bookmarkEnd w:id="63"/>
      <w:bookmarkEnd w:id="64"/>
      <w:bookmarkEnd w:id="65"/>
      <w:bookmarkEnd w:id="66"/>
      <w:bookmarkEnd w:id="67"/>
      <w:bookmarkEnd w:id="68"/>
      <w:bookmarkEnd w:id="69"/>
      <w:bookmarkEnd w:id="70"/>
      <w:bookmarkEnd w:id="71"/>
      <w:bookmarkEnd w:id="72"/>
      <w:bookmarkEnd w:id="73"/>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4" w:name="_Toc437922211"/>
      <w:bookmarkStart w:id="75" w:name="_Toc483972646"/>
      <w:bookmarkStart w:id="76" w:name="_Toc506018777"/>
      <w:bookmarkStart w:id="77" w:name="_Toc519738595"/>
      <w:bookmarkStart w:id="78" w:name="_Toc520868383"/>
      <w:bookmarkStart w:id="79" w:name="_Toc533482760"/>
      <w:r>
        <w:tab/>
        <w:t>(12)</w:t>
      </w:r>
      <w:r>
        <w:tab/>
        <w:t>Despite the provisions of these regulations, a fee is not to be charged in respect of an application under subregulation (2).</w:t>
      </w:r>
    </w:p>
    <w:p>
      <w:pPr>
        <w:pStyle w:val="Heading5"/>
        <w:rPr>
          <w:snapToGrid w:val="0"/>
        </w:rPr>
      </w:pPr>
      <w:bookmarkStart w:id="80" w:name="_Toc61252563"/>
      <w:bookmarkStart w:id="81" w:name="_Toc96402835"/>
      <w:bookmarkStart w:id="82" w:name="_Toc100634719"/>
      <w:bookmarkStart w:id="83" w:name="_Toc138836658"/>
      <w:bookmarkStart w:id="84" w:name="_Toc209501435"/>
      <w:r>
        <w:rPr>
          <w:rStyle w:val="CharSectno"/>
        </w:rPr>
        <w:t>9</w:t>
      </w:r>
      <w:r>
        <w:t>.</w:t>
      </w:r>
      <w:r>
        <w:tab/>
      </w:r>
      <w:r>
        <w:rPr>
          <w:snapToGrid w:val="0"/>
        </w:rPr>
        <w:t>Conventions</w:t>
      </w:r>
      <w:bookmarkEnd w:id="74"/>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5" w:name="_Toc96398500"/>
      <w:bookmarkStart w:id="86" w:name="_Toc100634720"/>
      <w:bookmarkStart w:id="87" w:name="_Toc138836659"/>
      <w:bookmarkStart w:id="88" w:name="_Toc209501436"/>
      <w:r>
        <w:rPr>
          <w:rStyle w:val="CharSectno"/>
        </w:rPr>
        <w:t>10</w:t>
      </w:r>
      <w:r>
        <w:t>.</w:t>
      </w:r>
      <w:r>
        <w:tab/>
        <w:t>Resolution of disputes as to fees</w:t>
      </w:r>
      <w:bookmarkEnd w:id="85"/>
      <w:bookmarkEnd w:id="86"/>
      <w:bookmarkEnd w:id="87"/>
      <w:bookmarkEnd w:id="8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9" w:name="_Toc97609766"/>
      <w:bookmarkStart w:id="90" w:name="_Toc100634721"/>
      <w:bookmarkStart w:id="91" w:name="_Toc138836660"/>
      <w:bookmarkStart w:id="92" w:name="_Toc209501437"/>
      <w:r>
        <w:rPr>
          <w:rStyle w:val="CharSectno"/>
        </w:rPr>
        <w:t>11</w:t>
      </w:r>
      <w:r>
        <w:t>.</w:t>
      </w:r>
      <w:r>
        <w:tab/>
        <w:t>Recovery of unpaid fees</w:t>
      </w:r>
      <w:bookmarkEnd w:id="89"/>
      <w:bookmarkEnd w:id="90"/>
      <w:bookmarkEnd w:id="91"/>
      <w:bookmarkEnd w:id="92"/>
    </w:p>
    <w:p>
      <w:pPr>
        <w:pStyle w:val="Subsection"/>
      </w:pPr>
      <w:r>
        <w:tab/>
      </w:r>
      <w:r>
        <w:tab/>
        <w:t>Any unpaid fee is a debt due to the State and may be recovered by action in a court of competent jurisdiction.</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3" w:name="_Toc100634722"/>
    </w:p>
    <w:p>
      <w:pPr>
        <w:pStyle w:val="yScheduleHeading"/>
      </w:pPr>
      <w:bookmarkStart w:id="94" w:name="_Toc138836661"/>
      <w:bookmarkStart w:id="95" w:name="_Toc138836729"/>
      <w:bookmarkStart w:id="96" w:name="_Toc139270566"/>
      <w:bookmarkStart w:id="97" w:name="_Toc171051333"/>
      <w:bookmarkStart w:id="98" w:name="_Toc193167423"/>
      <w:bookmarkStart w:id="99" w:name="_Toc202585849"/>
      <w:bookmarkStart w:id="100" w:name="_Toc203278490"/>
      <w:bookmarkStart w:id="101" w:name="_Toc203278679"/>
      <w:bookmarkStart w:id="102" w:name="_Toc207427461"/>
      <w:bookmarkStart w:id="103" w:name="_Toc207512132"/>
      <w:bookmarkStart w:id="104" w:name="_Toc207513777"/>
      <w:bookmarkStart w:id="105" w:name="_Toc209501438"/>
      <w:r>
        <w:rPr>
          <w:rStyle w:val="CharSchNo"/>
        </w:rPr>
        <w:t>Schedule 1</w:t>
      </w:r>
      <w:r>
        <w:t> — </w:t>
      </w:r>
      <w:r>
        <w:rPr>
          <w:rStyle w:val="CharSchText"/>
        </w:rPr>
        <w:t>Fees</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4]</w:t>
      </w:r>
    </w:p>
    <w:p>
      <w:pPr>
        <w:pStyle w:val="yHeading3"/>
        <w:spacing w:after="120"/>
      </w:pPr>
      <w:bookmarkStart w:id="106" w:name="_Toc96756237"/>
      <w:bookmarkStart w:id="107" w:name="_Toc100634723"/>
      <w:bookmarkStart w:id="108" w:name="_Toc138836662"/>
      <w:bookmarkStart w:id="109" w:name="_Toc138836730"/>
      <w:bookmarkStart w:id="110" w:name="_Toc139270567"/>
      <w:bookmarkStart w:id="111" w:name="_Toc171051334"/>
      <w:bookmarkStart w:id="112" w:name="_Toc193167424"/>
      <w:bookmarkStart w:id="113" w:name="_Toc202585850"/>
      <w:bookmarkStart w:id="114" w:name="_Toc203278491"/>
      <w:bookmarkStart w:id="115" w:name="_Toc203278680"/>
      <w:bookmarkStart w:id="116" w:name="_Toc207427462"/>
      <w:bookmarkStart w:id="117" w:name="_Toc207512133"/>
      <w:bookmarkStart w:id="118" w:name="_Toc207513778"/>
      <w:bookmarkStart w:id="119" w:name="_Toc209501439"/>
      <w:r>
        <w:rPr>
          <w:rStyle w:val="CharSDivNo"/>
        </w:rPr>
        <w:t>Division 1</w:t>
      </w:r>
      <w:r>
        <w:rPr>
          <w:b w:val="0"/>
        </w:rPr>
        <w:t> — </w:t>
      </w:r>
      <w:r>
        <w:rPr>
          <w:rStyle w:val="CharSDivText"/>
        </w:rPr>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42.50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1.10</w:t>
            </w:r>
            <w:r>
              <w:rPr>
                <w:sz w:val="20"/>
              </w:rPr>
              <w:br/>
            </w:r>
            <w:r>
              <w:rPr>
                <w:sz w:val="20"/>
              </w:rPr>
              <w:br/>
              <w:t>1.20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25.00</w:t>
            </w:r>
          </w:p>
          <w:p>
            <w:pPr>
              <w:pStyle w:val="yTable"/>
              <w:spacing w:before="0"/>
              <w:jc w:val="center"/>
              <w:rPr>
                <w:sz w:val="20"/>
              </w:rPr>
            </w:pPr>
            <w:r>
              <w:rPr>
                <w:sz w:val="20"/>
              </w:rPr>
              <w:br/>
            </w:r>
            <w:r>
              <w:rPr>
                <w:sz w:val="20"/>
              </w:rPr>
              <w:br/>
              <w:t>25.00</w:t>
            </w:r>
          </w:p>
          <w:p>
            <w:pPr>
              <w:pStyle w:val="yTable"/>
              <w:jc w:val="center"/>
              <w:rPr>
                <w:sz w:val="20"/>
              </w:rPr>
            </w:pPr>
            <w:r>
              <w:rPr>
                <w:sz w:val="20"/>
              </w:rPr>
              <w:br/>
              <w:t>61.50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36.50</w:t>
            </w:r>
          </w:p>
          <w:p>
            <w:pPr>
              <w:pStyle w:val="yTable"/>
              <w:jc w:val="center"/>
              <w:rPr>
                <w:sz w:val="20"/>
              </w:rPr>
            </w:pP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8.65</w:t>
            </w:r>
          </w:p>
          <w:p>
            <w:pPr>
              <w:pStyle w:val="yTable"/>
              <w:jc w:val="center"/>
              <w:rPr>
                <w:sz w:val="20"/>
              </w:rPr>
            </w:pPr>
            <w:r>
              <w:rPr>
                <w:sz w:val="20"/>
              </w:rPr>
              <w:br/>
              <w:t>1.10</w:t>
            </w:r>
          </w:p>
          <w:p>
            <w:pPr>
              <w:pStyle w:val="yTable"/>
              <w:jc w:val="center"/>
              <w:rPr>
                <w:sz w:val="20"/>
              </w:rPr>
            </w:pPr>
            <w:r>
              <w:rPr>
                <w:sz w:val="20"/>
              </w:rPr>
              <w:br/>
              <w:t>12.00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4.85</w:t>
            </w:r>
          </w:p>
          <w:p>
            <w:pPr>
              <w:pStyle w:val="yTable"/>
              <w:jc w:val="center"/>
              <w:rPr>
                <w:sz w:val="20"/>
              </w:rPr>
            </w:pPr>
            <w:r>
              <w:rPr>
                <w:sz w:val="20"/>
              </w:rPr>
              <w:br/>
            </w:r>
            <w:r>
              <w:rPr>
                <w:sz w:val="20"/>
              </w:rPr>
              <w:br/>
            </w:r>
            <w:r>
              <w:rPr>
                <w:sz w:val="20"/>
              </w:rPr>
              <w:br/>
            </w:r>
            <w:r>
              <w:rPr>
                <w:sz w:val="20"/>
              </w:rPr>
              <w:br/>
              <w:t>12.00</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20" w:name="_Toc96756238"/>
      <w:bookmarkStart w:id="121" w:name="_Toc100634724"/>
      <w:r>
        <w:tab/>
        <w:t>[Division 1 amended in Gazette 23 Jun 2006 p. 2182; 26 Jun 2007 p. 3040</w:t>
      </w:r>
      <w:r>
        <w:noBreakHyphen/>
        <w:t>1; 27 Jun 2008 p. 3071.]</w:t>
      </w:r>
    </w:p>
    <w:p>
      <w:pPr>
        <w:pStyle w:val="yHeading3"/>
        <w:spacing w:after="240"/>
      </w:pPr>
      <w:bookmarkStart w:id="122" w:name="_Toc138836663"/>
      <w:bookmarkStart w:id="123" w:name="_Toc138836731"/>
      <w:bookmarkStart w:id="124" w:name="_Toc139270568"/>
      <w:bookmarkStart w:id="125" w:name="_Toc171051335"/>
      <w:bookmarkStart w:id="126" w:name="_Toc193167425"/>
      <w:bookmarkStart w:id="127" w:name="_Toc202585851"/>
      <w:bookmarkStart w:id="128" w:name="_Toc203278492"/>
      <w:bookmarkStart w:id="129" w:name="_Toc203278681"/>
      <w:bookmarkStart w:id="130" w:name="_Toc207427463"/>
      <w:bookmarkStart w:id="131" w:name="_Toc207512134"/>
      <w:bookmarkStart w:id="132" w:name="_Toc207513779"/>
      <w:bookmarkStart w:id="133" w:name="_Toc209501440"/>
      <w:r>
        <w:rPr>
          <w:rStyle w:val="CharSDivNo"/>
        </w:rPr>
        <w:t>Division 2</w:t>
      </w:r>
      <w:r>
        <w:rPr>
          <w:b w:val="0"/>
        </w:rPr>
        <w:t> — </w:t>
      </w:r>
      <w:r>
        <w:rPr>
          <w:rStyle w:val="CharSDivText"/>
        </w:rPr>
        <w:t>Civil jurisdiction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71.50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20.50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183.00</w:t>
            </w:r>
          </w:p>
        </w:tc>
      </w:tr>
    </w:tbl>
    <w:p>
      <w:pPr>
        <w:pStyle w:val="yFootnotesection"/>
      </w:pPr>
      <w:bookmarkStart w:id="134" w:name="_Toc96756239"/>
      <w:bookmarkStart w:id="135" w:name="_Toc100634725"/>
      <w:r>
        <w:tab/>
        <w:t>[Division 2 amended in Gazette 30 Aug 2005 p. 4054; 23 Jun 2006 p. 2183; 26 Jun 2007 p. 3041; 27 Jun 2008 p. 3071.]</w:t>
      </w:r>
    </w:p>
    <w:p>
      <w:pPr>
        <w:pStyle w:val="yHeading3"/>
        <w:keepLines/>
        <w:pageBreakBefore/>
        <w:spacing w:after="240"/>
      </w:pPr>
      <w:bookmarkStart w:id="136" w:name="_Toc138836664"/>
      <w:bookmarkStart w:id="137" w:name="_Toc138836732"/>
      <w:bookmarkStart w:id="138" w:name="_Toc139270569"/>
      <w:bookmarkStart w:id="139" w:name="_Toc171051336"/>
      <w:bookmarkStart w:id="140" w:name="_Toc193167426"/>
      <w:bookmarkStart w:id="141" w:name="_Toc202585852"/>
      <w:bookmarkStart w:id="142" w:name="_Toc203278493"/>
      <w:bookmarkStart w:id="143" w:name="_Toc203278682"/>
      <w:bookmarkStart w:id="144" w:name="_Toc207427464"/>
      <w:bookmarkStart w:id="145" w:name="_Toc207512135"/>
      <w:bookmarkStart w:id="146" w:name="_Toc207513780"/>
      <w:bookmarkStart w:id="147" w:name="_Toc209501441"/>
      <w:r>
        <w:rPr>
          <w:rStyle w:val="CharSDivNo"/>
        </w:rPr>
        <w:t>Division 3</w:t>
      </w:r>
      <w:r>
        <w:rPr>
          <w:b w:val="0"/>
        </w:rPr>
        <w:t> — </w:t>
      </w:r>
      <w:r>
        <w:rPr>
          <w:rStyle w:val="CharSDivText"/>
        </w:rPr>
        <w:t>Criminal jurisdiction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48" w:name="_Toc100634726"/>
      <w:r>
        <w:tab/>
        <w:t>[Division 3 amended in Gazette 23 Jun 2006 p. 2183; 26 Jun 2007 p. 3041; 27 Jun 2008 p. 3072.]</w:t>
      </w:r>
    </w:p>
    <w:p>
      <w:pPr>
        <w:pStyle w:val="yScheduleHeading"/>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bookmarkStart w:id="149" w:name="_Toc138836665"/>
      <w:bookmarkStart w:id="150" w:name="_Toc138836733"/>
      <w:bookmarkStart w:id="151" w:name="_Toc139270570"/>
      <w:bookmarkStart w:id="152" w:name="_Toc171051337"/>
    </w:p>
    <w:p>
      <w:pPr>
        <w:pStyle w:val="yScheduleHeading"/>
      </w:pPr>
      <w:bookmarkStart w:id="153" w:name="_Toc193167427"/>
      <w:bookmarkStart w:id="154" w:name="_Toc202585853"/>
      <w:bookmarkStart w:id="155" w:name="_Toc203278494"/>
      <w:bookmarkStart w:id="156" w:name="_Toc203278683"/>
      <w:bookmarkStart w:id="157" w:name="_Toc207427465"/>
      <w:bookmarkStart w:id="158" w:name="_Toc207512136"/>
      <w:bookmarkStart w:id="159" w:name="_Toc207513781"/>
      <w:bookmarkStart w:id="160" w:name="_Toc209501442"/>
      <w:r>
        <w:rPr>
          <w:rStyle w:val="CharSchNo"/>
        </w:rPr>
        <w:t>Schedule 2</w:t>
      </w:r>
      <w:r>
        <w:rPr>
          <w:rStyle w:val="CharSDivNo"/>
        </w:rPr>
        <w:t> </w:t>
      </w:r>
      <w:r>
        <w:t>—</w:t>
      </w:r>
      <w:r>
        <w:rPr>
          <w:rStyle w:val="CharSDivText"/>
        </w:rPr>
        <w:t> </w:t>
      </w:r>
      <w:r>
        <w:rPr>
          <w:rStyle w:val="CharSchText"/>
        </w:rPr>
        <w:t>Forms</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8(6), 10(2)]</w:t>
      </w:r>
    </w:p>
    <w:p>
      <w:pPr>
        <w:pStyle w:val="yHeading5"/>
        <w:spacing w:after="120"/>
      </w:pPr>
      <w:bookmarkStart w:id="161" w:name="_Toc96398511"/>
      <w:bookmarkStart w:id="162" w:name="_Toc100634727"/>
      <w:bookmarkStart w:id="163" w:name="_Toc138836666"/>
      <w:bookmarkStart w:id="164" w:name="_Toc207512137"/>
      <w:bookmarkStart w:id="165" w:name="_Toc209501443"/>
      <w:r>
        <w:t>1.</w:t>
      </w:r>
      <w:r>
        <w:tab/>
        <w:t>Application to remit fees</w:t>
      </w:r>
      <w:bookmarkEnd w:id="161"/>
      <w:bookmarkEnd w:id="162"/>
      <w:bookmarkEnd w:id="163"/>
      <w:bookmarkEnd w:id="164"/>
      <w:bookmarkEnd w:id="1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66" w:name="_Toc97609776"/>
      <w:bookmarkStart w:id="167" w:name="_Toc100634728"/>
      <w:bookmarkStart w:id="168" w:name="_Toc138836667"/>
      <w:bookmarkStart w:id="169" w:name="_Toc207512138"/>
      <w:bookmarkStart w:id="170" w:name="_Toc209501444"/>
      <w:r>
        <w:t>2.</w:t>
      </w:r>
      <w:r>
        <w:tab/>
        <w:t>Application for determination of dispute about fees</w:t>
      </w:r>
      <w:bookmarkEnd w:id="166"/>
      <w:bookmarkEnd w:id="167"/>
      <w:bookmarkEnd w:id="168"/>
      <w:bookmarkEnd w:id="169"/>
      <w:bookmarkEnd w:id="1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71" w:name="_Toc102453637"/>
      <w:bookmarkStart w:id="172" w:name="_Toc102453907"/>
      <w:bookmarkStart w:id="173" w:name="_Toc113162208"/>
      <w:bookmarkStart w:id="174" w:name="_Toc138836668"/>
      <w:bookmarkStart w:id="175" w:name="_Toc138836736"/>
      <w:bookmarkStart w:id="176" w:name="_Toc139270573"/>
      <w:bookmarkStart w:id="177" w:name="_Toc171051340"/>
      <w:bookmarkStart w:id="178" w:name="_Toc193167430"/>
      <w:bookmarkStart w:id="179" w:name="_Toc202585856"/>
      <w:bookmarkStart w:id="180" w:name="_Toc203278497"/>
      <w:bookmarkStart w:id="181" w:name="_Toc203278686"/>
      <w:bookmarkStart w:id="182" w:name="_Toc207427468"/>
      <w:bookmarkStart w:id="183" w:name="_Toc207512139"/>
      <w:bookmarkStart w:id="184" w:name="_Toc207513784"/>
      <w:bookmarkStart w:id="185" w:name="_Toc209501445"/>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reprint is a compilation as at 5 September 2008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86" w:name="_Toc209501446"/>
      <w:r>
        <w:t>Compilation table</w:t>
      </w:r>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87" w:name="_Toc203278688"/>
      <w:bookmarkStart w:id="188" w:name="_Toc207427470"/>
      <w:bookmarkStart w:id="189" w:name="_Toc207512141"/>
      <w:bookmarkStart w:id="190" w:name="_Toc207513786"/>
      <w:bookmarkStart w:id="191" w:name="_Toc209501447"/>
      <w:r>
        <w:rPr>
          <w:sz w:val="28"/>
        </w:rPr>
        <w:t>Defined Terms</w:t>
      </w:r>
      <w:bookmarkEnd w:id="187"/>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Pr>
        <w:pStyle w:val="DefinedTerms"/>
      </w:pP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45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9E1F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761C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E40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F09E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0833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0FF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904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262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EFE840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678B3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E643F2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3546</Words>
  <Characters>20571</Characters>
  <Application>Microsoft Office Word</Application>
  <DocSecurity>0</DocSecurity>
  <Lines>791</Lines>
  <Paragraphs>513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23604</CharactersWithSpaces>
  <SharedDoc>false</SharedDoc>
  <HLinks>
    <vt:vector size="18" baseType="variant">
      <vt:variant>
        <vt:i4>3014716</vt:i4>
      </vt:variant>
      <vt:variant>
        <vt:i4>2702</vt:i4>
      </vt:variant>
      <vt:variant>
        <vt:i4>1025</vt:i4>
      </vt:variant>
      <vt:variant>
        <vt:i4>1</vt:i4>
      </vt:variant>
      <vt:variant>
        <vt:lpwstr>C:\Program Files\PCO DLL\Support\Crest.wpg</vt:lpwstr>
      </vt:variant>
      <vt:variant>
        <vt:lpwstr/>
      </vt:variant>
      <vt:variant>
        <vt:i4>5439608</vt:i4>
      </vt:variant>
      <vt:variant>
        <vt:i4>23862</vt:i4>
      </vt:variant>
      <vt:variant>
        <vt:i4>1026</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2005 - 01-a0-02</dc:title>
  <dc:subject/>
  <dc:creator/>
  <cp:keywords/>
  <dc:description/>
  <cp:lastModifiedBy>svcMRProcess</cp:lastModifiedBy>
  <cp:revision>4</cp:revision>
  <cp:lastPrinted>2008-08-28T00:50:00Z</cp:lastPrinted>
  <dcterms:created xsi:type="dcterms:W3CDTF">2018-09-10T05:59:00Z</dcterms:created>
  <dcterms:modified xsi:type="dcterms:W3CDTF">2018-09-10T05:59:00Z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34705</vt:i4>
  </property>
  <property fmtid="{D5CDD505-2E9C-101B-9397-08002B2CF9AE}" pid="6" name="AsAtDate">
    <vt:lpwstr>05 Sep 2008</vt:lpwstr>
  </property>
  <property fmtid="{D5CDD505-2E9C-101B-9397-08002B2CF9AE}" pid="7" name="Suffix">
    <vt:lpwstr>01-a0-02</vt:lpwstr>
  </property>
  <property fmtid="{D5CDD505-2E9C-101B-9397-08002B2CF9AE}" pid="8" name="ReprintNo">
    <vt:lpwstr>1</vt:lpwstr>
  </property>
</Properties>
</file>