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Human Reproductive Technology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 November 2005</w:t>
            </w:r>
          </w:p>
        </w:tc>
      </w:tr>
    </w:tbl>
    <w:p>
      <w:pPr>
        <w:pStyle w:val="WA"/>
      </w:pPr>
      <w:r>
        <w:t>Western Australia</w:t>
      </w:r>
    </w:p>
    <w:p>
      <w:pPr>
        <w:pStyle w:val="NameofActRegPage1"/>
        <w:outlineLvl w:val="0"/>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_Toc120689206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_Toc120689207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 and application</w:t>
      </w:r>
      <w:r>
        <w:tab/>
      </w:r>
      <w:r>
        <w:fldChar w:fldCharType="begin"/>
      </w:r>
      <w:r>
        <w:instrText xml:space="preserve"> PAGEREF _Toc120689208 \h </w:instrText>
      </w:r>
      <w:r>
        <w:fldChar w:fldCharType="separate"/>
      </w:r>
      <w:r>
        <w:t>3</w:t>
      </w:r>
      <w:r>
        <w:fldChar w:fldCharType="end"/>
      </w:r>
    </w:p>
    <w:p>
      <w:pPr>
        <w:pStyle w:val="TOC8"/>
        <w:rPr>
          <w:sz w:val="24"/>
          <w:szCs w:val="24"/>
        </w:rPr>
      </w:pPr>
      <w:r>
        <w:rPr>
          <w:szCs w:val="24"/>
        </w:rPr>
        <w:t>3A.</w:t>
      </w:r>
      <w:r>
        <w:rPr>
          <w:szCs w:val="24"/>
        </w:rPr>
        <w:tab/>
        <w:t>Meaning of “human embryo”</w:t>
      </w:r>
      <w:r>
        <w:tab/>
      </w:r>
      <w:r>
        <w:fldChar w:fldCharType="begin"/>
      </w:r>
      <w:r>
        <w:instrText xml:space="preserve"> PAGEREF _Toc120689209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_Toc120689210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_Toc120689211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_Toc120689213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_Toc120689214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_Toc120689215 \h </w:instrText>
      </w:r>
      <w:r>
        <w:fldChar w:fldCharType="separate"/>
      </w:r>
      <w:r>
        <w:t>19</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_Toc120689217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_Toc120689218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_Toc120689219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_Toc120689220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_Toc120689221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Powers, and relationship to the Council, of the Commissioner of Health</w:t>
      </w:r>
      <w:r>
        <w:tab/>
      </w:r>
      <w:r>
        <w:fldChar w:fldCharType="begin"/>
      </w:r>
      <w:r>
        <w:instrText xml:space="preserve"> PAGEREF _Toc120689222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_Toc120689223 \h </w:instrText>
      </w:r>
      <w:r>
        <w:fldChar w:fldCharType="separate"/>
      </w:r>
      <w:r>
        <w:t>28</w:t>
      </w:r>
      <w:r>
        <w:fldChar w:fldCharType="end"/>
      </w:r>
    </w:p>
    <w:p>
      <w:pPr>
        <w:pStyle w:val="TOC2"/>
        <w:tabs>
          <w:tab w:val="right" w:leader="dot" w:pos="7086"/>
        </w:tabs>
        <w:rPr>
          <w:b w:val="0"/>
          <w:sz w:val="24"/>
          <w:szCs w:val="24"/>
        </w:rPr>
      </w:pPr>
      <w:r>
        <w:rPr>
          <w:szCs w:val="30"/>
        </w:rPr>
        <w:lastRenderedPageBreak/>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_Toc120689226 \h </w:instrText>
      </w:r>
      <w:r>
        <w:fldChar w:fldCharType="separate"/>
      </w:r>
      <w:r>
        <w:t>32</w:t>
      </w:r>
      <w:r>
        <w:fldChar w:fldCharType="end"/>
      </w:r>
    </w:p>
    <w:p>
      <w:pPr>
        <w:pStyle w:val="TOC8"/>
        <w:rPr>
          <w:sz w:val="24"/>
          <w:szCs w:val="24"/>
        </w:rPr>
      </w:pPr>
      <w:r>
        <w:rPr>
          <w:szCs w:val="24"/>
        </w:rPr>
        <w:t>16</w:t>
      </w:r>
      <w:r>
        <w:rPr>
          <w:snapToGrid w:val="0"/>
          <w:szCs w:val="24"/>
        </w:rPr>
        <w:t>.</w:t>
      </w:r>
      <w:r>
        <w:rPr>
          <w:snapToGrid w:val="0"/>
          <w:szCs w:val="24"/>
        </w:rPr>
        <w:tab/>
        <w:t>The implementation of the Code of Practice</w:t>
      </w:r>
      <w:r>
        <w:tab/>
      </w:r>
      <w:r>
        <w:fldChar w:fldCharType="begin"/>
      </w:r>
      <w:r>
        <w:instrText xml:space="preserve"> PAGEREF _Toc120689227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_Toc120689228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_Toc120689229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_Toc120689230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_Toc120689231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_Toc120689232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_Toc120689234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_Toc120689235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_Toc120689236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_Toc120689238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_Toc120689239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_Toc120689242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_Toc120689243 \h </w:instrText>
      </w:r>
      <w:r>
        <w:fldChar w:fldCharType="separate"/>
      </w:r>
      <w:r>
        <w:t>54</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_Toc120689244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_Toc120689245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_Toc120689246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_Toc120689248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_Toc120689249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_Toc120689250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_Toc120689251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_Toc120689252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_Toc120689254 \h </w:instrText>
      </w:r>
      <w:r>
        <w:fldChar w:fldCharType="separate"/>
      </w:r>
      <w:r>
        <w:t>67</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_Toc120689255 \h </w:instrText>
      </w:r>
      <w:r>
        <w:fldChar w:fldCharType="separate"/>
      </w:r>
      <w:r>
        <w:t>68</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_Toc120689256 \h </w:instrText>
      </w:r>
      <w:r>
        <w:fldChar w:fldCharType="separate"/>
      </w:r>
      <w:r>
        <w:t>68</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_Toc120689257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_Toc120689258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_Toc120689259 \h </w:instrText>
      </w:r>
      <w:r>
        <w:fldChar w:fldCharType="separate"/>
      </w:r>
      <w:r>
        <w:t>71</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_Toc120689260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_Toc120689262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_Toc120689263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_Toc120689265 \h </w:instrText>
      </w:r>
      <w:r>
        <w:fldChar w:fldCharType="separate"/>
      </w:r>
      <w:r>
        <w:t>77</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_Toc120689266 \h </w:instrText>
      </w:r>
      <w:r>
        <w:fldChar w:fldCharType="separate"/>
      </w:r>
      <w:r>
        <w:t>80</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_Toc120689267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_Toc120689268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_Toc120689269 \h </w:instrText>
      </w:r>
      <w:r>
        <w:fldChar w:fldCharType="separate"/>
      </w:r>
      <w:r>
        <w:t>83</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_Toc120689270 \h </w:instrText>
      </w:r>
      <w:r>
        <w:fldChar w:fldCharType="separate"/>
      </w:r>
      <w:r>
        <w:t>84</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_Toc120689271 \h </w:instrText>
      </w:r>
      <w:r>
        <w:fldChar w:fldCharType="separate"/>
      </w:r>
      <w:r>
        <w:t>87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_Toc120689273 \h </w:instrText>
      </w:r>
      <w:r>
        <w:fldChar w:fldCharType="separate"/>
      </w:r>
      <w:r>
        <w:t>88</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_Toc120689274 \h </w:instrText>
      </w:r>
      <w:r>
        <w:fldChar w:fldCharType="separate"/>
      </w:r>
      <w:r>
        <w:t>90</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_Toc120689275 \h </w:instrText>
      </w:r>
      <w:r>
        <w:fldChar w:fldCharType="separate"/>
      </w:r>
      <w:r>
        <w:t>91</w:t>
      </w:r>
      <w:r>
        <w:fldChar w:fldCharType="end"/>
      </w:r>
    </w:p>
    <w:p>
      <w:pPr>
        <w:pStyle w:val="TOC2"/>
        <w:tabs>
          <w:tab w:val="right" w:leader="dot" w:pos="7086"/>
        </w:tabs>
        <w:rPr>
          <w:b w:val="0"/>
          <w:sz w:val="24"/>
          <w:szCs w:val="24"/>
        </w:rPr>
      </w:pPr>
      <w:r>
        <w:rPr>
          <w:szCs w:val="30"/>
        </w:rPr>
        <w:t>Part 4A — Prohibited practices</w:t>
      </w:r>
    </w:p>
    <w:p>
      <w:pPr>
        <w:pStyle w:val="TOC6"/>
        <w:tabs>
          <w:tab w:val="right" w:leader="dot" w:pos="7086"/>
        </w:tabs>
        <w:rPr>
          <w:b w:val="0"/>
          <w:sz w:val="24"/>
          <w:szCs w:val="24"/>
        </w:rPr>
      </w:pPr>
      <w:r>
        <w:rPr>
          <w:szCs w:val="24"/>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_Toc120689278 \h </w:instrText>
      </w:r>
      <w:r>
        <w:fldChar w:fldCharType="separate"/>
      </w:r>
      <w:r>
        <w:t>93</w:t>
      </w:r>
      <w:r>
        <w:fldChar w:fldCharType="end"/>
      </w:r>
    </w:p>
    <w:p>
      <w:pPr>
        <w:pStyle w:val="TOC8"/>
        <w:rPr>
          <w:sz w:val="24"/>
          <w:szCs w:val="24"/>
        </w:rPr>
      </w:pPr>
      <w:r>
        <w:rPr>
          <w:szCs w:val="24"/>
        </w:rPr>
        <w:t>53B</w:t>
      </w:r>
      <w:r>
        <w:rPr>
          <w:snapToGrid w:val="0"/>
          <w:szCs w:val="24"/>
        </w:rPr>
        <w:t>.</w:t>
      </w:r>
      <w:r>
        <w:rPr>
          <w:snapToGrid w:val="0"/>
          <w:szCs w:val="24"/>
        </w:rPr>
        <w:tab/>
        <w:t>Definitions</w:t>
      </w:r>
      <w:r>
        <w:tab/>
      </w:r>
      <w:r>
        <w:fldChar w:fldCharType="begin"/>
      </w:r>
      <w:r>
        <w:instrText xml:space="preserve"> PAGEREF _Toc120689279 \h </w:instrText>
      </w:r>
      <w:r>
        <w:fldChar w:fldCharType="separate"/>
      </w:r>
      <w:r>
        <w:t>93</w:t>
      </w:r>
      <w:r>
        <w:fldChar w:fldCharType="end"/>
      </w:r>
    </w:p>
    <w:p>
      <w:pPr>
        <w:pStyle w:val="TOC6"/>
        <w:tabs>
          <w:tab w:val="right" w:leader="dot" w:pos="7086"/>
        </w:tabs>
        <w:rPr>
          <w:b w:val="0"/>
          <w:sz w:val="24"/>
          <w:szCs w:val="24"/>
        </w:rPr>
      </w:pPr>
      <w:r>
        <w:rPr>
          <w:szCs w:val="24"/>
        </w:rPr>
        <w:t>Division 2</w:t>
      </w:r>
      <w:r>
        <w:rPr>
          <w:snapToGrid w:val="0"/>
          <w:szCs w:val="24"/>
        </w:rPr>
        <w:t> — </w:t>
      </w:r>
      <w:r>
        <w:rPr>
          <w:szCs w:val="24"/>
        </w:rPr>
        <w:t>Human cloning</w:t>
      </w:r>
    </w:p>
    <w:p>
      <w:pPr>
        <w:pStyle w:val="TOC8"/>
        <w:rPr>
          <w:sz w:val="24"/>
          <w:szCs w:val="24"/>
        </w:rPr>
      </w:pPr>
      <w:r>
        <w:rPr>
          <w:szCs w:val="24"/>
        </w:rPr>
        <w:t>53C</w:t>
      </w:r>
      <w:r>
        <w:rPr>
          <w:snapToGrid w:val="0"/>
          <w:szCs w:val="24"/>
        </w:rPr>
        <w:t>.</w:t>
      </w:r>
      <w:r>
        <w:rPr>
          <w:i/>
          <w:snapToGrid w:val="0"/>
          <w:szCs w:val="24"/>
        </w:rPr>
        <w:tab/>
      </w:r>
      <w:r>
        <w:rPr>
          <w:snapToGrid w:val="0"/>
          <w:szCs w:val="24"/>
        </w:rPr>
        <w:t>Offence — creating a human embryo clone</w:t>
      </w:r>
      <w:r>
        <w:tab/>
      </w:r>
      <w:r>
        <w:fldChar w:fldCharType="begin"/>
      </w:r>
      <w:r>
        <w:instrText xml:space="preserve"> PAGEREF _Toc120689281 \h </w:instrText>
      </w:r>
      <w:r>
        <w:fldChar w:fldCharType="separate"/>
      </w:r>
      <w:r>
        <w:t>95</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_Toc120689282 \h </w:instrText>
      </w:r>
      <w:r>
        <w:fldChar w:fldCharType="separate"/>
      </w:r>
      <w:r>
        <w:t>95</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_Toc120689283 \h </w:instrText>
      </w:r>
      <w:r>
        <w:fldChar w:fldCharType="separate"/>
      </w:r>
      <w:r>
        <w:t>95</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_Toc120689284 \h </w:instrText>
      </w:r>
      <w:r>
        <w:fldChar w:fldCharType="separate"/>
      </w:r>
      <w:r>
        <w:t>96</w:t>
      </w:r>
      <w:r>
        <w:fldChar w:fldCharType="end"/>
      </w:r>
    </w:p>
    <w:p>
      <w:pPr>
        <w:pStyle w:val="TOC6"/>
        <w:tabs>
          <w:tab w:val="right" w:leader="dot" w:pos="7086"/>
        </w:tabs>
        <w:rPr>
          <w:b w:val="0"/>
          <w:sz w:val="24"/>
          <w:szCs w:val="24"/>
        </w:rPr>
      </w:pPr>
      <w:r>
        <w:rPr>
          <w:szCs w:val="24"/>
        </w:rPr>
        <w:t>Division 3</w:t>
      </w:r>
      <w:r>
        <w:rPr>
          <w:snapToGrid w:val="0"/>
          <w:szCs w:val="24"/>
        </w:rPr>
        <w:t> — </w:t>
      </w:r>
      <w:r>
        <w:rPr>
          <w:szCs w:val="24"/>
        </w:rPr>
        <w:t>Other prohibited practices</w:t>
      </w:r>
    </w:p>
    <w:p>
      <w:pPr>
        <w:pStyle w:val="TOC8"/>
        <w:rPr>
          <w:sz w:val="24"/>
          <w:szCs w:val="24"/>
        </w:rPr>
      </w:pPr>
      <w:r>
        <w:rPr>
          <w:szCs w:val="24"/>
        </w:rPr>
        <w:t>53G</w:t>
      </w:r>
      <w:r>
        <w:rPr>
          <w:snapToGrid w:val="0"/>
          <w:szCs w:val="24"/>
        </w:rPr>
        <w:t>.</w:t>
      </w:r>
      <w:r>
        <w:rPr>
          <w:i/>
          <w:snapToGrid w:val="0"/>
          <w:szCs w:val="24"/>
        </w:rPr>
        <w:tab/>
      </w:r>
      <w:r>
        <w:rPr>
          <w:snapToGrid w:val="0"/>
          <w:szCs w:val="24"/>
        </w:rPr>
        <w:t>Offence — creating a human embryo other than by fertilisation, or developing such an embryo</w:t>
      </w:r>
      <w:r>
        <w:tab/>
      </w:r>
      <w:r>
        <w:fldChar w:fldCharType="begin"/>
      </w:r>
      <w:r>
        <w:instrText xml:space="preserve"> PAGEREF _Toc120689286 \h </w:instrText>
      </w:r>
      <w:r>
        <w:fldChar w:fldCharType="separate"/>
      </w:r>
      <w:r>
        <w:t>96</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_Toc120689287 \h </w:instrText>
      </w:r>
      <w:r>
        <w:fldChar w:fldCharType="separate"/>
      </w:r>
      <w:r>
        <w:t>96</w:t>
      </w:r>
      <w:r>
        <w:fldChar w:fldCharType="end"/>
      </w:r>
    </w:p>
    <w:p>
      <w:pPr>
        <w:pStyle w:val="TOC8"/>
        <w:rPr>
          <w:sz w:val="24"/>
          <w:szCs w:val="24"/>
        </w:rPr>
      </w:pPr>
      <w:r>
        <w:rPr>
          <w:szCs w:val="24"/>
        </w:rPr>
        <w:t>53I</w:t>
      </w:r>
      <w:r>
        <w:rPr>
          <w:snapToGrid w:val="0"/>
          <w:szCs w:val="24"/>
        </w:rPr>
        <w:t>.</w:t>
      </w:r>
      <w:r>
        <w:rPr>
          <w:i/>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_Toc120689288 \h </w:instrText>
      </w:r>
      <w:r>
        <w:fldChar w:fldCharType="separate"/>
      </w:r>
      <w:r>
        <w:t>97</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_Toc120689289 \h </w:instrText>
      </w:r>
      <w:r>
        <w:fldChar w:fldCharType="separate"/>
      </w:r>
      <w:r>
        <w:t>97</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_Toc120689290 \h </w:instrText>
      </w:r>
      <w:r>
        <w:fldChar w:fldCharType="separate"/>
      </w:r>
      <w:r>
        <w:t>97</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_Toc120689291 \h </w:instrText>
      </w:r>
      <w:r>
        <w:fldChar w:fldCharType="separate"/>
      </w:r>
      <w:r>
        <w:t>98</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_Toc120689292 \h </w:instrText>
      </w:r>
      <w:r>
        <w:fldChar w:fldCharType="separate"/>
      </w:r>
      <w:r>
        <w:t>98</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_Toc120689293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_Toc120689294 \h </w:instrText>
      </w:r>
      <w:r>
        <w:fldChar w:fldCharType="separate"/>
      </w:r>
      <w:r>
        <w:t>99</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_Toc120689295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_Toc120689296 \h </w:instrText>
      </w:r>
      <w:r>
        <w:fldChar w:fldCharType="separate"/>
      </w:r>
      <w:r>
        <w:t>101</w:t>
      </w:r>
      <w:r>
        <w:fldChar w:fldCharType="end"/>
      </w:r>
    </w:p>
    <w:p>
      <w:pPr>
        <w:pStyle w:val="TOC6"/>
        <w:tabs>
          <w:tab w:val="right" w:leader="dot" w:pos="7086"/>
        </w:tabs>
        <w:rPr>
          <w:b w:val="0"/>
          <w:sz w:val="24"/>
          <w:szCs w:val="24"/>
        </w:rPr>
      </w:pPr>
      <w:r>
        <w:rPr>
          <w:szCs w:val="24"/>
        </w:rPr>
        <w:t>Division 4</w:t>
      </w:r>
      <w:r>
        <w:rPr>
          <w:snapToGrid w:val="0"/>
          <w:szCs w:val="24"/>
        </w:rPr>
        <w:t> — </w:t>
      </w:r>
      <w:r>
        <w:rPr>
          <w:szCs w:val="24"/>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_Toc120689298 \h </w:instrText>
      </w:r>
      <w:r>
        <w:fldChar w:fldCharType="separate"/>
      </w:r>
      <w:r>
        <w:t>102</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_Toc120689301 \h </w:instrText>
      </w:r>
      <w:r>
        <w:fldChar w:fldCharType="separate"/>
      </w:r>
      <w:r>
        <w:t>104</w:t>
      </w:r>
      <w:r>
        <w:fldChar w:fldCharType="end"/>
      </w:r>
    </w:p>
    <w:p>
      <w:pPr>
        <w:pStyle w:val="TOC8"/>
        <w:rPr>
          <w:sz w:val="24"/>
          <w:szCs w:val="24"/>
        </w:rPr>
      </w:pPr>
      <w:r>
        <w:rPr>
          <w:szCs w:val="24"/>
        </w:rPr>
        <w:t>53T.</w:t>
      </w:r>
      <w:r>
        <w:rPr>
          <w:szCs w:val="24"/>
        </w:rPr>
        <w:tab/>
        <w:t>Definitions</w:t>
      </w:r>
      <w:r>
        <w:tab/>
      </w:r>
      <w:r>
        <w:fldChar w:fldCharType="begin"/>
      </w:r>
      <w:r>
        <w:instrText xml:space="preserve"> PAGEREF _Toc120689302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_Toc120689304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_Toc120689305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_Toc120689307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_Toc120689308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_Toc120689310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_Toc120689311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_Toc120689313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_Toc120689314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_Toc120689315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_Toc120689316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_Toc120689317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_Toc120689318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_Toc120689319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_Toc120689320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_Toc120689321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_Toc120689323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_Toc120689324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_Toc120689325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Meaning of terms</w:t>
      </w:r>
      <w:r>
        <w:tab/>
      </w:r>
      <w:r>
        <w:fldChar w:fldCharType="begin"/>
      </w:r>
      <w:r>
        <w:instrText xml:space="preserve"> PAGEREF _Toc120689327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_Toc120689328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_Toc120689330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_Toc120689331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_Toc120689332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_Toc120689333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_Toc120689334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_Toc120689335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_Toc120689336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_Toc120689337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_Toc120689339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_Toc120689341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_Toc120689343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_Toc120689346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_Toc120689347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_Toc120689349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_Toc120689350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_Toc120689353 \h </w:instrText>
      </w:r>
      <w:r>
        <w:fldChar w:fldCharType="separate"/>
      </w:r>
      <w:r>
        <w:t>137</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_Toc120689354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_Toc120689356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_Toc120689358 \h </w:instrText>
      </w:r>
      <w:r>
        <w:fldChar w:fldCharType="separate"/>
      </w:r>
      <w:r>
        <w:t>140</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_Toc120689360 \h </w:instrText>
      </w:r>
      <w:r>
        <w:fldChar w:fldCharType="separate"/>
      </w:r>
      <w:r>
        <w:t>142</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_Toc120689361 \h </w:instrText>
      </w:r>
      <w:r>
        <w:fldChar w:fldCharType="separate"/>
      </w:r>
      <w:r>
        <w:t>142</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_Toc120689362 \h </w:instrText>
      </w:r>
      <w:r>
        <w:fldChar w:fldCharType="separate"/>
      </w:r>
      <w:r>
        <w:t>143</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_Toc120689363 \h </w:instrText>
      </w:r>
      <w:r>
        <w:fldChar w:fldCharType="separate"/>
      </w:r>
      <w:r>
        <w:t>144</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_Toc120689364 \h </w:instrText>
      </w:r>
      <w:r>
        <w:fldChar w:fldCharType="separate"/>
      </w:r>
      <w:r>
        <w:t>145</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_Toc120689365 \h </w:instrText>
      </w:r>
      <w:r>
        <w:fldChar w:fldCharType="separate"/>
      </w:r>
      <w:r>
        <w:t>146</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_Toc120689366 \h </w:instrText>
      </w:r>
      <w:r>
        <w:fldChar w:fldCharType="separate"/>
      </w:r>
      <w:r>
        <w:t>148</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_Toc120689367 \h </w:instrText>
      </w:r>
      <w:r>
        <w:fldChar w:fldCharType="separate"/>
      </w:r>
      <w:r>
        <w:t>149</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_Toc120689368 \h </w:instrText>
      </w:r>
      <w:r>
        <w:fldChar w:fldCharType="separate"/>
      </w:r>
      <w:r>
        <w:t>149</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_Toc120689369 \h </w:instrText>
      </w:r>
      <w:r>
        <w:fldChar w:fldCharType="separate"/>
      </w:r>
      <w:r>
        <w:t>150</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_Toc120689370 \h </w:instrText>
      </w:r>
      <w:r>
        <w:fldChar w:fldCharType="separate"/>
      </w:r>
      <w:r>
        <w:t>150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_Toc120689372 \h </w:instrText>
      </w:r>
      <w:r>
        <w:fldChar w:fldCharType="separate"/>
      </w:r>
      <w:r>
        <w:t>152</w:t>
      </w:r>
      <w:r>
        <w:fldChar w:fldCharType="end"/>
      </w:r>
    </w:p>
    <w:p>
      <w:pPr>
        <w:pStyle w:val="TOC8"/>
        <w:rPr>
          <w:sz w:val="24"/>
        </w:rPr>
      </w:pPr>
      <w:r>
        <w:tab/>
        <w:t>Provisions that have not come into operation</w:t>
      </w:r>
      <w:r>
        <w:tab/>
      </w:r>
      <w:r>
        <w:fldChar w:fldCharType="begin"/>
      </w:r>
      <w:r>
        <w:instrText xml:space="preserve"> PAGEREF _Toc120689373 \h </w:instrText>
      </w:r>
      <w:r>
        <w:fldChar w:fldCharType="separate"/>
      </w:r>
      <w:r>
        <w:t>153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w:t>
            </w:r>
            <w:r>
              <w:rPr>
                <w:b/>
                <w:snapToGrid w:val="0"/>
                <w:sz w:val="22"/>
              </w:rPr>
              <w:t xml:space="preserve"> November 2005</w:t>
            </w:r>
          </w:p>
        </w:tc>
      </w:tr>
    </w:tbl>
    <w:p>
      <w:pPr>
        <w:pStyle w:val="WA"/>
        <w:spacing w:before="120"/>
      </w:pPr>
      <w:r>
        <w:t>Western Australia</w:t>
      </w:r>
    </w:p>
    <w:p>
      <w:pPr>
        <w:pStyle w:val="NameofActReg"/>
        <w:outlineLvl w:val="0"/>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t xml:space="preserve">The Parliament of Western Australia enacts as follows: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3"/>
        <w:rPr>
          <w:snapToGrid w:val="0"/>
        </w:rPr>
      </w:pPr>
      <w:bookmarkStart w:id="16" w:name="_Toc78092219"/>
      <w:bookmarkStart w:id="17" w:name="_Toc78103438"/>
      <w:bookmarkStart w:id="18" w:name="_Toc78103541"/>
      <w:bookmarkStart w:id="19" w:name="_Toc89667687"/>
      <w:bookmarkStart w:id="20" w:name="_Toc89748807"/>
      <w:bookmarkStart w:id="21" w:name="_Toc90963646"/>
      <w:bookmarkStart w:id="22" w:name="_Toc92862166"/>
      <w:bookmarkStart w:id="23" w:name="_Toc97106939"/>
      <w:bookmarkStart w:id="24" w:name="_Toc102884028"/>
      <w:bookmarkStart w:id="25" w:name="_Toc114890259"/>
      <w:bookmarkStart w:id="26" w:name="_Toc118874760"/>
      <w:bookmarkStart w:id="27" w:name="_Toc118875042"/>
      <w:bookmarkStart w:id="28" w:name="_Toc119232922"/>
      <w:bookmarkStart w:id="29" w:name="_Toc119386160"/>
      <w:bookmarkStart w:id="30" w:name="_Toc120689205"/>
      <w:r>
        <w:rPr>
          <w:rStyle w:val="CharDivNo"/>
        </w:rPr>
        <w:t>Division 1</w:t>
      </w:r>
      <w:r>
        <w:rPr>
          <w:snapToGrid w:val="0"/>
        </w:rPr>
        <w:t> — </w:t>
      </w:r>
      <w:r>
        <w:rPr>
          <w:rStyle w:val="CharDivText"/>
        </w:rPr>
        <w:t>Introduction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DivText"/>
        </w:rPr>
        <w:t xml:space="preserve"> </w:t>
      </w:r>
    </w:p>
    <w:p>
      <w:pPr>
        <w:pStyle w:val="Heading5"/>
        <w:rPr>
          <w:snapToGrid w:val="0"/>
        </w:rPr>
      </w:pPr>
      <w:bookmarkStart w:id="31" w:name="_Toc403920007"/>
      <w:bookmarkStart w:id="32" w:name="_Toc520083410"/>
      <w:bookmarkStart w:id="33" w:name="_Toc7244892"/>
      <w:bookmarkStart w:id="34" w:name="_Toc9932931"/>
      <w:bookmarkStart w:id="35" w:name="_Toc120689206"/>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36" w:name="_Toc403920008"/>
      <w:bookmarkStart w:id="37" w:name="_Toc520083411"/>
      <w:bookmarkStart w:id="38" w:name="_Toc7244893"/>
      <w:bookmarkStart w:id="39" w:name="_Toc9932932"/>
      <w:bookmarkStart w:id="40" w:name="_Toc120689207"/>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41" w:name="_Toc403920009"/>
      <w:bookmarkStart w:id="42" w:name="_Toc520083412"/>
      <w:bookmarkStart w:id="43" w:name="_Toc7244894"/>
      <w:bookmarkStart w:id="44" w:name="_Toc9932933"/>
      <w:bookmarkStart w:id="45" w:name="_Toc120689208"/>
      <w:r>
        <w:rPr>
          <w:rStyle w:val="CharSectno"/>
        </w:rPr>
        <w:t>3</w:t>
      </w:r>
      <w:r>
        <w:rPr>
          <w:snapToGrid w:val="0"/>
        </w:rPr>
        <w:t>.</w:t>
      </w:r>
      <w:r>
        <w:rPr>
          <w:snapToGrid w:val="0"/>
        </w:rPr>
        <w:tab/>
        <w:t>Interpretation and application</w:t>
      </w:r>
      <w:bookmarkEnd w:id="41"/>
      <w:bookmarkEnd w:id="42"/>
      <w:bookmarkEnd w:id="43"/>
      <w:bookmarkEnd w:id="44"/>
      <w:bookmarkEnd w:id="45"/>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artificial fertilisation procedure</w:t>
      </w:r>
      <w:r>
        <w:rPr>
          <w:b/>
        </w:rPr>
        <w:t>”</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t>“</w:t>
      </w:r>
      <w:r>
        <w:rPr>
          <w:rStyle w:val="CharDefText"/>
        </w:rPr>
        <w:t>artificial insemination procedure</w:t>
      </w:r>
      <w:r>
        <w:rPr>
          <w:b/>
        </w:rPr>
        <w:t>”</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t>“</w:t>
      </w:r>
      <w:r>
        <w:rPr>
          <w:rStyle w:val="CharDefText"/>
        </w:rPr>
        <w:t>authorised officer</w:t>
      </w:r>
      <w:r>
        <w:rPr>
          <w:b/>
        </w:rPr>
        <w:t>”</w:t>
      </w:r>
      <w:r>
        <w:t xml:space="preserve"> means — </w:t>
      </w:r>
    </w:p>
    <w:p>
      <w:pPr>
        <w:pStyle w:val="Defpara"/>
        <w:spacing w:before="60"/>
      </w:pPr>
      <w:r>
        <w:tab/>
        <w:t>(a)</w:t>
      </w:r>
      <w:r>
        <w:tab/>
        <w:t>the Commissioner of Health; or</w:t>
      </w:r>
    </w:p>
    <w:p>
      <w:pPr>
        <w:pStyle w:val="Defpara"/>
        <w:spacing w:before="60"/>
      </w:pPr>
      <w:r>
        <w:tab/>
        <w:t>(b)</w:t>
      </w:r>
      <w:r>
        <w:tab/>
        <w:t xml:space="preserve">a person authorised by the Commissioner, generally or in relation to particular functions, circumstances, or purposes, as may be specified in the relevant certificate issued under section 59(2); </w:t>
      </w:r>
    </w:p>
    <w:p>
      <w:pPr>
        <w:pStyle w:val="Defpara"/>
        <w:spacing w:before="60"/>
      </w:pPr>
      <w:r>
        <w:tab/>
        <w:t>(c)</w:t>
      </w:r>
      <w:r>
        <w:tab/>
        <w:t>in relation to the powers referred to in section 44(3)(c) or section 49(4)(b), includes a reference to the Director</w:t>
      </w:r>
      <w:r>
        <w:noBreakHyphen/>
        <w:t xml:space="preserve">General, or an officer of the department established under section 4 of the </w:t>
      </w:r>
      <w:r>
        <w:rPr>
          <w:i/>
        </w:rPr>
        <w:t>Community Services Act 1972</w:t>
      </w:r>
      <w:r>
        <w:t xml:space="preserve"> whom the Director</w:t>
      </w:r>
      <w:r>
        <w:noBreakHyphen/>
        <w:t>General has authorised in writing; and</w:t>
      </w:r>
    </w:p>
    <w:p>
      <w:pPr>
        <w:pStyle w:val="Defpara"/>
      </w:pPr>
      <w:r>
        <w:tab/>
        <w:t>(d)</w:t>
      </w:r>
      <w:r>
        <w:tab/>
        <w:t>in relation to the powers referred to in section 54, a person on whom the powers are conferred by the Commissioner of Health under section 53ZQ(4);</w:t>
      </w:r>
    </w:p>
    <w:p>
      <w:pPr>
        <w:pStyle w:val="Defstart"/>
        <w:keepNext/>
        <w:spacing w:before="60"/>
      </w:pPr>
      <w:r>
        <w:rPr>
          <w:b/>
        </w:rPr>
        <w:tab/>
        <w:t>“</w:t>
      </w:r>
      <w:r>
        <w:rPr>
          <w:rStyle w:val="CharDefText"/>
        </w:rPr>
        <w:t>biological parent</w:t>
      </w:r>
      <w:r>
        <w:rPr>
          <w:b/>
        </w:rPr>
        <w: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spacing w:before="60"/>
      </w:pPr>
      <w:r>
        <w:rPr>
          <w:b/>
        </w:rPr>
        <w:tab/>
        <w:t>“</w:t>
      </w:r>
      <w:r>
        <w:rPr>
          <w:rStyle w:val="CharDefText"/>
        </w:rPr>
        <w:t>Chairperson</w:t>
      </w:r>
      <w:r>
        <w:rPr>
          <w:b/>
        </w:rPr>
        <w:t>”</w:t>
      </w:r>
      <w:r>
        <w:t xml:space="preserve"> means the member appointed to that office under clause 1(1) of the Schedule, and includes a reference to a person acting in that office;</w:t>
      </w:r>
    </w:p>
    <w:p>
      <w:pPr>
        <w:pStyle w:val="Defstart"/>
        <w:spacing w:before="60"/>
      </w:pPr>
      <w:r>
        <w:rPr>
          <w:b/>
        </w:rPr>
        <w:tab/>
        <w:t>“</w:t>
      </w:r>
      <w:r>
        <w:rPr>
          <w:rStyle w:val="CharDefText"/>
        </w:rPr>
        <w:t>Code of Practice</w:t>
      </w:r>
      <w:r>
        <w:rPr>
          <w:b/>
        </w:rPr>
        <w:t>”</w:t>
      </w:r>
      <w:r>
        <w:t xml:space="preserve"> or </w:t>
      </w:r>
      <w:r>
        <w:rPr>
          <w:b/>
        </w:rPr>
        <w:t>“</w:t>
      </w:r>
      <w:r>
        <w:rPr>
          <w:rStyle w:val="CharDefText"/>
        </w:rPr>
        <w:t>Code</w:t>
      </w:r>
      <w:r>
        <w:rPr>
          <w:b/>
        </w:rPr>
        <w:t>”</w:t>
      </w:r>
      <w:r>
        <w:t xml:space="preserve"> means the Code of Practice compiled under section 14(1)(c), as from time to time amended and in force;</w:t>
      </w:r>
    </w:p>
    <w:p>
      <w:pPr>
        <w:pStyle w:val="Defstart"/>
        <w:spacing w:before="60"/>
      </w:pPr>
      <w:r>
        <w:rPr>
          <w:b/>
        </w:rPr>
        <w:tab/>
        <w:t>“</w:t>
      </w:r>
      <w:r>
        <w:rPr>
          <w:rStyle w:val="CharDefText"/>
        </w:rPr>
        <w:t>Commissioner of Health</w:t>
      </w:r>
      <w:r>
        <w:rPr>
          <w:b/>
        </w:rPr>
        <w:t>”</w:t>
      </w:r>
      <w:r>
        <w:t xml:space="preserve"> or </w:t>
      </w:r>
      <w:r>
        <w:rPr>
          <w:b/>
        </w:rPr>
        <w:t>“</w:t>
      </w:r>
      <w:r>
        <w:rPr>
          <w:rStyle w:val="CharDefText"/>
        </w:rPr>
        <w:t>Commissioner</w:t>
      </w:r>
      <w:r>
        <w:rPr>
          <w:b/>
        </w:rPr>
        <w:t>”</w:t>
      </w:r>
      <w:r>
        <w:t xml:space="preserve"> means the person who holds or is acting in the office of ‘Commissioner’ within the meaning of section 3(1) of the </w:t>
      </w:r>
      <w:r>
        <w:rPr>
          <w:i/>
        </w:rPr>
        <w:t>Health Act 1911</w:t>
      </w:r>
      <w:r>
        <w:t>;</w:t>
      </w:r>
    </w:p>
    <w:p>
      <w:pPr>
        <w:pStyle w:val="Defstart"/>
        <w:spacing w:before="60"/>
      </w:pPr>
      <w:r>
        <w:rPr>
          <w:b/>
        </w:rPr>
        <w:tab/>
        <w:t>“</w:t>
      </w:r>
      <w:r>
        <w:rPr>
          <w:rStyle w:val="CharDefText"/>
        </w:rPr>
        <w:t>committee</w:t>
      </w:r>
      <w:r>
        <w:rPr>
          <w:b/>
        </w:rPr>
        <w:t>”</w:t>
      </w:r>
      <w:r>
        <w:t xml:space="preserve"> means a committee of the Council;</w:t>
      </w:r>
    </w:p>
    <w:p>
      <w:pPr>
        <w:pStyle w:val="Defstart"/>
      </w:pPr>
      <w:r>
        <w:rPr>
          <w:b/>
        </w:rPr>
        <w:tab/>
        <w:t>“</w:t>
      </w:r>
      <w:r>
        <w:rPr>
          <w:rStyle w:val="CharDefText"/>
        </w:rPr>
        <w:t>Commonwealth Human Embryo Act</w:t>
      </w:r>
      <w:r>
        <w:rPr>
          <w:b/>
        </w:rPr>
        <w:t>”</w:t>
      </w:r>
      <w:r>
        <w:t xml:space="preserve"> means the </w:t>
      </w:r>
      <w:r>
        <w:rPr>
          <w:i/>
        </w:rPr>
        <w:t>Research Involving Human Embryos Act 2002</w:t>
      </w:r>
      <w:r>
        <w:t xml:space="preserve"> of the Commonwealth;</w:t>
      </w:r>
    </w:p>
    <w:p>
      <w:pPr>
        <w:pStyle w:val="Defstart"/>
        <w:keepNext/>
        <w:spacing w:before="60"/>
      </w:pPr>
      <w:r>
        <w:rPr>
          <w:b/>
        </w:rPr>
        <w:tab/>
        <w:t>“</w:t>
      </w:r>
      <w:r>
        <w:rPr>
          <w:rStyle w:val="CharDefText"/>
        </w:rPr>
        <w:t>condition</w:t>
      </w:r>
      <w:r>
        <w:rPr>
          <w:b/>
        </w:rPr>
        <w:t>”</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r>
      <w:r>
        <w:tab/>
        <w:t>whether or not it purports to be expressed by way of a condition;</w:t>
      </w:r>
    </w:p>
    <w:p>
      <w:pPr>
        <w:pStyle w:val="Defstart"/>
      </w:pPr>
      <w:r>
        <w:rPr>
          <w:b/>
        </w:rPr>
        <w:tab/>
        <w:t>“</w:t>
      </w:r>
      <w:r>
        <w:rPr>
          <w:rStyle w:val="CharDefText"/>
        </w:rPr>
        <w:t>Council</w:t>
      </w:r>
      <w:r>
        <w:rPr>
          <w:b/>
        </w:rPr>
        <w:t>”</w:t>
      </w:r>
      <w:r>
        <w:t xml:space="preserve"> means the Western Australian Reproductive Technology Council established by section 8;</w:t>
      </w:r>
    </w:p>
    <w:p>
      <w:pPr>
        <w:pStyle w:val="Defstart"/>
        <w:keepNext/>
        <w:spacing w:before="60"/>
      </w:pPr>
      <w:r>
        <w:rPr>
          <w:b/>
        </w:rPr>
        <w:tab/>
        <w:t>“</w:t>
      </w:r>
      <w:r>
        <w:rPr>
          <w:rStyle w:val="CharDefText"/>
        </w:rPr>
        <w:t>counselling services</w:t>
      </w:r>
      <w:r>
        <w:rPr>
          <w:b/>
        </w:rPr>
        <w:t>”</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t>“</w:t>
      </w:r>
      <w:r>
        <w:rPr>
          <w:rStyle w:val="CharDefText"/>
        </w:rPr>
        <w:t>Deputy Chairperson</w:t>
      </w:r>
      <w:r>
        <w:rPr>
          <w:b/>
        </w:rPr>
        <w:t>”</w:t>
      </w:r>
      <w:r>
        <w:t xml:space="preserve"> means the member for the time being appointed or selected to that office under clause 1(3) of the Schedule, and includes a reference to a person acting in that office;</w:t>
      </w:r>
    </w:p>
    <w:p>
      <w:pPr>
        <w:pStyle w:val="Defstart"/>
        <w:spacing w:before="60"/>
      </w:pPr>
      <w:r>
        <w:rPr>
          <w:b/>
        </w:rPr>
        <w:tab/>
        <w:t>“</w:t>
      </w:r>
      <w:r>
        <w:rPr>
          <w:rStyle w:val="CharDefText"/>
        </w:rPr>
        <w:t>directions</w:t>
      </w:r>
      <w:r>
        <w:rPr>
          <w:b/>
        </w:rPr>
        <w:t>”</w:t>
      </w:r>
      <w:r>
        <w:t xml:space="preserve"> means directions given under Division 2 of Part 4;</w:t>
      </w:r>
    </w:p>
    <w:p>
      <w:pPr>
        <w:pStyle w:val="Defstart"/>
        <w:spacing w:before="60"/>
      </w:pPr>
      <w:r>
        <w:rPr>
          <w:b/>
        </w:rPr>
        <w:tab/>
        <w:t>“</w:t>
      </w:r>
      <w:r>
        <w:rPr>
          <w:rStyle w:val="CharDefText"/>
        </w:rPr>
        <w:t>director</w:t>
      </w:r>
      <w:r>
        <w:rPr>
          <w:b/>
        </w:rPr>
        <w:t>”</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t>“</w:t>
      </w:r>
      <w:r>
        <w:rPr>
          <w:rStyle w:val="CharDefText"/>
        </w:rPr>
        <w:t>Director</w:t>
      </w:r>
      <w:r>
        <w:rPr>
          <w:rStyle w:val="CharDefText"/>
        </w:rPr>
        <w:noBreakHyphen/>
        <w:t>General</w:t>
      </w:r>
      <w:r>
        <w:rPr>
          <w:b/>
        </w:rPr>
        <w:t>”</w:t>
      </w:r>
      <w:r>
        <w:t xml:space="preserve"> means the person who holds or is acting in the office of ‘Director</w:t>
      </w:r>
      <w:r>
        <w:noBreakHyphen/>
        <w:t xml:space="preserve">General’ within the meaning of section 7 of the </w:t>
      </w:r>
      <w:r>
        <w:rPr>
          <w:i/>
        </w:rPr>
        <w:t>Community Services Act 1972</w:t>
      </w:r>
      <w:r>
        <w:t>;</w:t>
      </w:r>
    </w:p>
    <w:p>
      <w:pPr>
        <w:pStyle w:val="Defstart"/>
        <w:spacing w:before="60"/>
      </w:pPr>
      <w:r>
        <w:rPr>
          <w:b/>
        </w:rPr>
        <w:tab/>
        <w:t>“</w:t>
      </w:r>
      <w:r>
        <w:rPr>
          <w:rStyle w:val="CharDefText"/>
        </w:rPr>
        <w:t>effective consent</w:t>
      </w:r>
      <w:r>
        <w:rPr>
          <w:b/>
        </w:rPr>
        <w:t>”</w:t>
      </w:r>
      <w:r>
        <w:t xml:space="preserve"> is to be construed in accordance with section 22(8);</w:t>
      </w:r>
    </w:p>
    <w:p>
      <w:pPr>
        <w:pStyle w:val="Defstart"/>
      </w:pPr>
      <w:r>
        <w:rPr>
          <w:b/>
        </w:rPr>
        <w:tab/>
        <w:t>“</w:t>
      </w:r>
      <w:r>
        <w:rPr>
          <w:rStyle w:val="CharDefText"/>
        </w:rPr>
        <w:t>excess ART embryo</w:t>
      </w:r>
      <w:r>
        <w:rPr>
          <w:b/>
        </w:rPr>
        <w:t>”</w:t>
      </w:r>
      <w:r>
        <w:t xml:space="preserve"> has the meaning given to that term in section 53T;</w:t>
      </w:r>
    </w:p>
    <w:p>
      <w:pPr>
        <w:pStyle w:val="Defstart"/>
      </w:pPr>
      <w:r>
        <w:rPr>
          <w:b/>
        </w:rPr>
        <w:tab/>
        <w:t>“</w:t>
      </w:r>
      <w:r>
        <w:rPr>
          <w:rStyle w:val="CharDefText"/>
        </w:rPr>
        <w:t>Executive Officer</w:t>
      </w:r>
      <w:r>
        <w:rPr>
          <w:b/>
        </w:rPr>
        <w:t>”</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t>“</w:t>
      </w:r>
      <w:r>
        <w:rPr>
          <w:rStyle w:val="CharDefText"/>
        </w:rPr>
        <w:t>exemption</w:t>
      </w:r>
      <w:r>
        <w:rPr>
          <w:b/>
        </w:rPr>
        <w:t>”</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t>“</w:t>
      </w:r>
      <w:r>
        <w:rPr>
          <w:rStyle w:val="CharDefText"/>
        </w:rPr>
        <w:t>fertilisation</w:t>
      </w:r>
      <w:r>
        <w:rPr>
          <w:b/>
        </w:rPr>
        <w:t>”</w:t>
      </w:r>
      <w:r>
        <w:t>, for the purposes of this Act, means the process that commences at the moment of inclusion of a sperm head within the plasma membrane of an egg, and is completed when an embryo is formed;</w:t>
      </w:r>
    </w:p>
    <w:p>
      <w:pPr>
        <w:pStyle w:val="Defstart"/>
      </w:pPr>
      <w:r>
        <w:rPr>
          <w:b/>
        </w:rPr>
        <w:tab/>
        <w:t>“</w:t>
      </w:r>
      <w:r>
        <w:rPr>
          <w:rStyle w:val="CharDefText"/>
        </w:rPr>
        <w:t>guidelines</w:t>
      </w:r>
      <w:r>
        <w:rPr>
          <w:b/>
        </w:rPr>
        <w:t>”</w:t>
      </w:r>
      <w:r>
        <w:t xml:space="preserve"> means, except in section 14(3), the information set out in Part 2 of the Code;</w:t>
      </w:r>
    </w:p>
    <w:p>
      <w:pPr>
        <w:pStyle w:val="Defstart"/>
      </w:pPr>
      <w:r>
        <w:rPr>
          <w:b/>
        </w:rPr>
        <w:tab/>
        <w:t>“</w:t>
      </w:r>
      <w:r>
        <w:rPr>
          <w:rStyle w:val="CharDefText"/>
        </w:rPr>
        <w:t>human egg</w:t>
      </w:r>
      <w:r>
        <w:rPr>
          <w:b/>
        </w:rPr>
        <w:t>”</w:t>
      </w:r>
      <w:r>
        <w:t xml:space="preserve"> means a live human egg;</w:t>
      </w:r>
    </w:p>
    <w:p>
      <w:pPr>
        <w:pStyle w:val="Defstart"/>
      </w:pPr>
      <w:r>
        <w:rPr>
          <w:b/>
        </w:rPr>
        <w:tab/>
        <w:t>“</w:t>
      </w:r>
      <w:r>
        <w:rPr>
          <w:rStyle w:val="CharDefText"/>
        </w:rPr>
        <w:t>human embryo</w:t>
      </w:r>
      <w:r>
        <w:rPr>
          <w:b/>
        </w:rPr>
        <w:t>”</w:t>
      </w:r>
      <w:r>
        <w:t xml:space="preserve"> has the meaning given to that term in section 3A;</w:t>
      </w:r>
    </w:p>
    <w:p>
      <w:pPr>
        <w:pStyle w:val="Defstart"/>
      </w:pPr>
      <w:r>
        <w:rPr>
          <w:b/>
        </w:rPr>
        <w:tab/>
        <w:t>“</w:t>
      </w:r>
      <w:r>
        <w:rPr>
          <w:rStyle w:val="CharDefText"/>
        </w:rPr>
        <w:t>human gamete</w:t>
      </w:r>
      <w:r>
        <w:rPr>
          <w:b/>
        </w:rPr>
        <w:t>”</w:t>
      </w:r>
      <w:r>
        <w:t xml:space="preserve"> means a human egg or a human sperm;</w:t>
      </w:r>
    </w:p>
    <w:p>
      <w:pPr>
        <w:pStyle w:val="Defstart"/>
      </w:pPr>
      <w:r>
        <w:rPr>
          <w:b/>
        </w:rPr>
        <w:tab/>
        <w:t>“</w:t>
      </w:r>
      <w:r>
        <w:rPr>
          <w:rStyle w:val="CharDefText"/>
        </w:rPr>
        <w:t>human sperm</w:t>
      </w:r>
      <w:r>
        <w:rPr>
          <w:b/>
        </w:rPr>
        <w:t>”</w:t>
      </w:r>
      <w:r>
        <w:t xml:space="preserve"> means live human sperm or spermatids;</w:t>
      </w:r>
    </w:p>
    <w:p>
      <w:pPr>
        <w:pStyle w:val="Defstart"/>
        <w:keepNext/>
      </w:pPr>
      <w:r>
        <w:rPr>
          <w:b/>
        </w:rPr>
        <w:tab/>
        <w:t>“</w:t>
      </w:r>
      <w:r>
        <w:rPr>
          <w:rStyle w:val="CharDefText"/>
        </w:rPr>
        <w:t>in vitro fertilisation procedure</w:t>
      </w:r>
      <w:r>
        <w:rPr>
          <w:b/>
        </w:rPr>
        <w:t>”</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t>“</w:t>
      </w:r>
      <w:r>
        <w:rPr>
          <w:rStyle w:val="CharDefText"/>
        </w:rPr>
        <w:t>Institutional Ethics Committee</w:t>
      </w:r>
      <w:r>
        <w:rPr>
          <w:b/>
        </w:rPr>
        <w:t>”</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t>“</w:t>
      </w:r>
      <w:r>
        <w:rPr>
          <w:rStyle w:val="CharDefText"/>
        </w:rPr>
        <w:t>licence</w:t>
      </w:r>
      <w:r>
        <w:rPr>
          <w:b/>
        </w:rPr>
        <w:t>”</w:t>
      </w:r>
      <w:r>
        <w:t xml:space="preserve"> means a licence granted under Part 4;</w:t>
      </w:r>
    </w:p>
    <w:p>
      <w:pPr>
        <w:pStyle w:val="Defstart"/>
      </w:pPr>
      <w:r>
        <w:rPr>
          <w:b/>
        </w:rPr>
        <w:tab/>
        <w:t>“</w:t>
      </w:r>
      <w:r>
        <w:rPr>
          <w:rStyle w:val="CharDefText"/>
        </w:rPr>
        <w:t>licence supervisor</w:t>
      </w:r>
      <w:r>
        <w:rPr>
          <w:b/>
        </w:rPr>
        <w:t>”</w:t>
      </w:r>
      <w:r>
        <w:t>, in relation to a licence or exemption, means the individual under whose supervision the storage or practice authorised is, or is to be, carried on;</w:t>
      </w:r>
    </w:p>
    <w:p>
      <w:pPr>
        <w:pStyle w:val="Defstart"/>
        <w:keepNext/>
      </w:pPr>
      <w:r>
        <w:rPr>
          <w:b/>
        </w:rPr>
        <w:tab/>
        <w:t>“</w:t>
      </w:r>
      <w:r>
        <w:rPr>
          <w:rStyle w:val="CharDefText"/>
        </w:rPr>
        <w:t>licensee</w:t>
      </w:r>
      <w:r>
        <w:rPr>
          <w:b/>
        </w:rPr>
        <w:t>”</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t>“</w:t>
      </w:r>
      <w:r>
        <w:rPr>
          <w:rStyle w:val="CharDefText"/>
        </w:rPr>
        <w:t>medical practitioner</w:t>
      </w:r>
      <w:r>
        <w:rPr>
          <w:b/>
        </w:rPr>
        <w:t>”</w:t>
      </w:r>
      <w:r>
        <w:t xml:space="preserve"> has the meaning given in the </w:t>
      </w:r>
      <w:r>
        <w:rPr>
          <w:i/>
        </w:rPr>
        <w:t>Medical Act 1894</w:t>
      </w:r>
      <w:r>
        <w:t>;</w:t>
      </w:r>
    </w:p>
    <w:p>
      <w:pPr>
        <w:pStyle w:val="Defstart"/>
      </w:pPr>
      <w:r>
        <w:rPr>
          <w:b/>
        </w:rPr>
        <w:tab/>
        <w:t>“</w:t>
      </w:r>
      <w:r>
        <w:rPr>
          <w:rStyle w:val="CharDefText"/>
        </w:rPr>
        <w:t>member</w:t>
      </w:r>
      <w:r>
        <w:rPr>
          <w:b/>
        </w:rPr>
        <w:t>”</w:t>
      </w:r>
      <w:r>
        <w:t xml:space="preserve"> means member of the Council, and includes a reference to a deputy or other person acting in the place of a member;</w:t>
      </w:r>
    </w:p>
    <w:p>
      <w:pPr>
        <w:pStyle w:val="Defstart"/>
      </w:pPr>
      <w:r>
        <w:rPr>
          <w:b/>
        </w:rPr>
        <w:tab/>
        <w:t>“</w:t>
      </w:r>
      <w:r>
        <w:rPr>
          <w:rStyle w:val="CharDefText"/>
        </w:rPr>
        <w:t>NHMRC</w:t>
      </w:r>
      <w:r>
        <w:rPr>
          <w:b/>
        </w:rPr>
        <w:t>”</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t>“</w:t>
      </w:r>
      <w:r>
        <w:rPr>
          <w:rStyle w:val="CharDefText"/>
        </w:rPr>
        <w:t>NHMRC licence</w:t>
      </w:r>
      <w:r>
        <w:rPr>
          <w:b/>
        </w:rPr>
        <w:t>”</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t>“</w:t>
      </w:r>
      <w:r>
        <w:rPr>
          <w:rStyle w:val="CharDefText"/>
        </w:rPr>
        <w:t>nominated member</w:t>
      </w:r>
      <w:r>
        <w:rPr>
          <w:b/>
        </w:rPr>
        <w:t>”</w:t>
      </w:r>
      <w:r>
        <w:t xml:space="preserve"> means a member of the Council, other than the Executive Officer;</w:t>
      </w:r>
    </w:p>
    <w:p>
      <w:pPr>
        <w:pStyle w:val="Defstart"/>
      </w:pPr>
      <w:r>
        <w:rPr>
          <w:b/>
        </w:rPr>
        <w:tab/>
        <w:t>“</w:t>
      </w:r>
      <w:r>
        <w:rPr>
          <w:rStyle w:val="CharDefText"/>
        </w:rPr>
        <w:t>participant</w:t>
      </w:r>
      <w:r>
        <w:rPr>
          <w:b/>
        </w:rPr>
        <w: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t>“</w:t>
      </w:r>
      <w:r>
        <w:rPr>
          <w:rStyle w:val="CharDefText"/>
        </w:rPr>
        <w:t>person to whom the licence applies</w:t>
      </w:r>
      <w:r>
        <w:rPr>
          <w:b/>
        </w:rPr>
        <w:t>”</w:t>
      </w:r>
      <w:r>
        <w:t xml:space="preserve"> is to be construed in accordance with subsection (5);</w:t>
      </w:r>
    </w:p>
    <w:p>
      <w:pPr>
        <w:pStyle w:val="Defstart"/>
        <w:spacing w:before="70"/>
      </w:pPr>
      <w:r>
        <w:rPr>
          <w:b/>
        </w:rPr>
        <w:tab/>
        <w:t>“</w:t>
      </w:r>
      <w:r>
        <w:rPr>
          <w:rStyle w:val="CharDefText"/>
        </w:rPr>
        <w:t>premises</w:t>
      </w:r>
      <w:r>
        <w:rPr>
          <w:b/>
        </w:rPr>
        <w:t>”</w:t>
      </w:r>
      <w:r>
        <w:t xml:space="preserve"> includes any land, any vehicle, vessel or aircraft, and any part of premises;</w:t>
      </w:r>
    </w:p>
    <w:p>
      <w:pPr>
        <w:pStyle w:val="Defstart"/>
        <w:spacing w:before="70"/>
      </w:pPr>
      <w:r>
        <w:rPr>
          <w:b/>
        </w:rPr>
        <w:tab/>
        <w:t>“</w:t>
      </w:r>
      <w:r>
        <w:rPr>
          <w:rStyle w:val="CharDefText"/>
        </w:rPr>
        <w:t>procedure</w:t>
      </w:r>
      <w:r>
        <w:rPr>
          <w:b/>
        </w:rPr>
        <w:t>”</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t>“</w:t>
      </w:r>
      <w:r>
        <w:rPr>
          <w:rStyle w:val="CharDefText"/>
        </w:rPr>
        <w:t>proprietary company</w:t>
      </w:r>
      <w:r>
        <w:rPr>
          <w:b/>
        </w:rPr>
        <w:t>”</w:t>
      </w:r>
      <w:r>
        <w:t xml:space="preserve"> means a proprietary company within the meaning of the</w:t>
      </w:r>
      <w:r>
        <w:rPr>
          <w:i/>
        </w:rPr>
        <w:t xml:space="preserve"> Corporations Act 2001</w:t>
      </w:r>
      <w:r>
        <w:t xml:space="preserve"> of the Commonwealth;</w:t>
      </w:r>
    </w:p>
    <w:p>
      <w:pPr>
        <w:pStyle w:val="Defstart"/>
        <w:spacing w:before="70"/>
      </w:pPr>
      <w:r>
        <w:rPr>
          <w:b/>
        </w:rPr>
        <w:tab/>
        <w:t>“</w:t>
      </w:r>
      <w:r>
        <w:rPr>
          <w:rStyle w:val="CharDefText"/>
        </w:rPr>
        <w:t>Public Health Official</w:t>
      </w:r>
      <w:r>
        <w:rPr>
          <w:b/>
        </w:rPr>
        <w:t>”</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t>“</w:t>
      </w:r>
      <w:r>
        <w:rPr>
          <w:rStyle w:val="CharDefText"/>
        </w:rPr>
        <w:t>related body corporate</w:t>
      </w:r>
      <w:r>
        <w:rPr>
          <w:b/>
        </w:rPr>
        <w:t>”</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t>“</w:t>
      </w:r>
      <w:r>
        <w:rPr>
          <w:rStyle w:val="CharDefText"/>
        </w:rPr>
        <w:t>reproductive technology</w:t>
      </w:r>
      <w:r>
        <w:rPr>
          <w:b/>
        </w:rPr>
        <w:t>”</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t>“</w:t>
      </w:r>
      <w:r>
        <w:rPr>
          <w:rStyle w:val="CharDefText"/>
        </w:rPr>
        <w:t>research</w:t>
      </w:r>
      <w:r>
        <w:rPr>
          <w:b/>
        </w:rPr>
        <w:t>”</w:t>
      </w:r>
      <w:r>
        <w:t xml:space="preserve"> means systematic investigations carried out for the primary purpose of adding to general knowledge but includes the carrying out of an experiment, and </w:t>
      </w:r>
      <w:r>
        <w:rPr>
          <w:b/>
        </w:rPr>
        <w:t>“</w:t>
      </w:r>
      <w:r>
        <w:rPr>
          <w:rStyle w:val="CharDefText"/>
        </w:rPr>
        <w:t>project of research</w:t>
      </w:r>
      <w:r>
        <w:rPr>
          <w:b/>
        </w:rPr>
        <w:t>”</w:t>
      </w:r>
      <w:r>
        <w:t xml:space="preserve"> shall be construed accordingly;</w:t>
      </w:r>
    </w:p>
    <w:p>
      <w:pPr>
        <w:pStyle w:val="Defstart"/>
      </w:pPr>
      <w:r>
        <w:rPr>
          <w:b/>
        </w:rPr>
        <w:tab/>
        <w:t>“</w:t>
      </w:r>
      <w:r>
        <w:rPr>
          <w:rStyle w:val="CharDefText"/>
        </w:rPr>
        <w:t>Rules</w:t>
      </w:r>
      <w:r>
        <w:rPr>
          <w:b/>
        </w:rPr>
        <w:t>”</w:t>
      </w:r>
      <w:r>
        <w:t xml:space="preserve"> means the rules contained in Part 1 of the Code;</w:t>
      </w:r>
    </w:p>
    <w:p>
      <w:pPr>
        <w:pStyle w:val="Defstart"/>
      </w:pPr>
      <w:r>
        <w:rPr>
          <w:b/>
        </w:rPr>
        <w:tab/>
        <w:t>“</w:t>
      </w:r>
      <w:r>
        <w:rPr>
          <w:rStyle w:val="CharDefText"/>
        </w:rPr>
        <w:t>storage procedure</w:t>
      </w:r>
      <w:r>
        <w:rPr>
          <w:b/>
        </w:rPr>
        <w:t>”</w:t>
      </w:r>
      <w:r>
        <w:t xml:space="preserve"> shall be construed in accordance with subsection (4);</w:t>
      </w:r>
    </w:p>
    <w:p>
      <w:pPr>
        <w:pStyle w:val="Defstart"/>
      </w:pPr>
      <w:r>
        <w:rPr>
          <w:b/>
        </w:rPr>
        <w:tab/>
        <w:t>“</w:t>
      </w:r>
      <w:r>
        <w:rPr>
          <w:rStyle w:val="CharDefText"/>
        </w:rPr>
        <w:t>subsidiary legislation</w:t>
      </w:r>
      <w:r>
        <w:rPr>
          <w:b/>
        </w:rPr>
        <w:t>”</w:t>
      </w:r>
      <w:r>
        <w:t xml:space="preserve"> includes the Rules and any direction having legislative effect;</w:t>
      </w:r>
    </w:p>
    <w:p>
      <w:pPr>
        <w:pStyle w:val="Defstart"/>
      </w:pPr>
      <w:r>
        <w:rPr>
          <w:b/>
        </w:rPr>
        <w:tab/>
        <w:t>“</w:t>
      </w:r>
      <w:r>
        <w:rPr>
          <w:rStyle w:val="CharDefText"/>
        </w:rPr>
        <w:t>summary conviction penalty</w:t>
      </w:r>
      <w:r>
        <w:rPr>
          <w:b/>
        </w:rPr>
        <w:t>”</w:t>
      </w:r>
      <w:r>
        <w:t xml:space="preserve">, in relation to a crime, has the same meaning as that term has in section 5 of </w:t>
      </w:r>
      <w:r>
        <w:rPr>
          <w:i/>
        </w:rPr>
        <w:t>The Criminal Code</w:t>
      </w:r>
      <w:r>
        <w:t>;</w:t>
      </w:r>
    </w:p>
    <w:p>
      <w:pPr>
        <w:pStyle w:val="Defstart"/>
        <w:keepNext/>
      </w:pPr>
      <w:r>
        <w:rPr>
          <w:b/>
        </w:rPr>
        <w:tab/>
        <w:t>“</w:t>
      </w:r>
      <w:r>
        <w:rPr>
          <w:rStyle w:val="CharDefText"/>
        </w:rPr>
        <w:t>this Act</w:t>
      </w:r>
      <w:r>
        <w:rPr>
          <w:b/>
        </w:rPr>
        <w: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t>“</w:t>
      </w:r>
      <w:r>
        <w:rPr>
          <w:rStyle w:val="CharDefText"/>
        </w:rPr>
        <w:t>treatment</w:t>
      </w:r>
      <w:r>
        <w:rPr>
          <w:b/>
        </w:rPr>
        <w:t>”</w:t>
      </w:r>
      <w:r>
        <w:t xml:space="preserve"> includes medical, surgical and obstetric services;</w:t>
      </w:r>
    </w:p>
    <w:p>
      <w:pPr>
        <w:pStyle w:val="Defstart"/>
      </w:pPr>
      <w:r>
        <w:rPr>
          <w:b/>
        </w:rPr>
        <w:tab/>
        <w:t>“</w:t>
      </w:r>
      <w:r>
        <w:rPr>
          <w:rStyle w:val="CharDefText"/>
        </w:rPr>
        <w:t>woman</w:t>
      </w:r>
      <w:r>
        <w:rPr>
          <w:b/>
        </w:rPr>
        <w:t>”</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b/>
          <w:snapToGrid w:val="0"/>
        </w:rPr>
        <w:t>“</w:t>
      </w:r>
      <w:r>
        <w:rPr>
          <w:rStyle w:val="CharDefText"/>
        </w:rPr>
        <w:t>reproductive technology practice</w:t>
      </w:r>
      <w:r>
        <w:rPr>
          <w:b/>
          <w:snapToGrid w:val="0"/>
        </w:rPr>
        <w:t>”</w:t>
      </w:r>
      <w:r>
        <w:rPr>
          <w:snapToGrid w:val="0"/>
        </w:rPr>
        <w:t xml:space="preserve"> or </w:t>
      </w:r>
      <w:r>
        <w:rPr>
          <w:b/>
          <w:snapToGrid w:val="0"/>
        </w:rPr>
        <w:t>“</w:t>
      </w:r>
      <w:r>
        <w:rPr>
          <w:rStyle w:val="CharDefText"/>
        </w:rPr>
        <w:t>practice</w:t>
      </w:r>
      <w:r>
        <w:rPr>
          <w:b/>
          <w:snapToGrid w:val="0"/>
        </w:rPr>
        <w:t>”</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b/>
          <w:snapToGrid w:val="0"/>
        </w:rPr>
        <w:t>“</w:t>
      </w:r>
      <w:r>
        <w:rPr>
          <w:rStyle w:val="CharDefText"/>
        </w:rPr>
        <w:t>stored</w:t>
      </w:r>
      <w:r>
        <w:rPr>
          <w:b/>
          <w:snapToGrid w:val="0"/>
        </w:rPr>
        <w:t>”</w:t>
      </w:r>
      <w:r>
        <w:rPr>
          <w:snapToGrid w:val="0"/>
        </w:rPr>
        <w:t>, means kept in such a state,</w:t>
      </w:r>
    </w:p>
    <w:p>
      <w:pPr>
        <w:pStyle w:val="Subsection"/>
        <w:spacing w:before="80"/>
        <w:rPr>
          <w:snapToGrid w:val="0"/>
        </w:rPr>
      </w:pPr>
      <w:r>
        <w:rPr>
          <w:snapToGrid w:val="0"/>
        </w:rPr>
        <w:tab/>
      </w:r>
      <w:r>
        <w:rPr>
          <w:snapToGrid w:val="0"/>
        </w:rPr>
        <w:tab/>
        <w:t xml:space="preserve">and </w:t>
      </w:r>
      <w:r>
        <w:rPr>
          <w:b/>
          <w:snapToGrid w:val="0"/>
        </w:rPr>
        <w:t>“</w:t>
      </w:r>
      <w:r>
        <w:rPr>
          <w:rStyle w:val="CharDefText"/>
        </w:rPr>
        <w:t>store</w:t>
      </w:r>
      <w:r>
        <w:rPr>
          <w:b/>
          <w:snapToGrid w:val="0"/>
        </w:rPr>
        <w:t>”</w:t>
      </w:r>
      <w:r>
        <w:rPr>
          <w:snapToGrid w:val="0"/>
        </w:rPr>
        <w:t xml:space="preserve"> and </w:t>
      </w:r>
      <w:r>
        <w:rPr>
          <w:b/>
          <w:snapToGrid w:val="0"/>
        </w:rPr>
        <w:t>“</w:t>
      </w:r>
      <w:r>
        <w:rPr>
          <w:rStyle w:val="CharDefText"/>
        </w:rPr>
        <w:t>storage</w:t>
      </w:r>
      <w:r>
        <w:rPr>
          <w:b/>
          <w:snapToGrid w:val="0"/>
        </w:rPr>
        <w:t>”</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Commissioner of Health</w:t>
      </w:r>
      <w:r>
        <w:rPr>
          <w:snapToGrid w:val="0"/>
        </w:rPr>
        <w:t xml:space="preserve"> 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[Section 3 amended by No. 57 of 1997 s. 75; No. 10 of 2001 s. 108; No. 17 of 2004 s. 5; No. 18 of 2004 s. 4; No. 55 of 2004 s. 522 and 540.]</w:t>
      </w:r>
    </w:p>
    <w:p>
      <w:pPr>
        <w:pStyle w:val="Heading5"/>
      </w:pPr>
      <w:bookmarkStart w:id="46" w:name="_Toc120689209"/>
      <w:bookmarkStart w:id="47" w:name="_Toc403920010"/>
      <w:bookmarkStart w:id="48" w:name="_Toc520083413"/>
      <w:bookmarkStart w:id="49" w:name="_Toc7244895"/>
      <w:bookmarkStart w:id="50" w:name="_Toc9932934"/>
      <w:r>
        <w:rPr>
          <w:rStyle w:val="CharSectno"/>
        </w:rPr>
        <w:t>3A</w:t>
      </w:r>
      <w:r>
        <w:t>.</w:t>
      </w:r>
      <w:r>
        <w:tab/>
        <w:t>Meaning of “human embryo”</w:t>
      </w:r>
      <w:bookmarkEnd w:id="46"/>
    </w:p>
    <w:p>
      <w:pPr>
        <w:pStyle w:val="Subsection"/>
      </w:pPr>
      <w:r>
        <w:tab/>
        <w:t>(1)</w:t>
      </w:r>
      <w:r>
        <w:tab/>
        <w:t>In this Act —</w:t>
      </w:r>
    </w:p>
    <w:p>
      <w:pPr>
        <w:pStyle w:val="Defstart"/>
      </w:pPr>
      <w:r>
        <w:rPr>
          <w:b/>
        </w:rPr>
        <w:tab/>
        <w:t>“</w:t>
      </w:r>
      <w:r>
        <w:rPr>
          <w:rStyle w:val="CharDefText"/>
        </w:rPr>
        <w:t>human embryo</w:t>
      </w:r>
      <w:r>
        <w:rPr>
          <w:b/>
        </w:rPr>
        <w:t>”</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51" w:name="_Toc120689210"/>
      <w:r>
        <w:rPr>
          <w:rStyle w:val="CharSectno"/>
        </w:rPr>
        <w:t>4</w:t>
      </w:r>
      <w:r>
        <w:rPr>
          <w:snapToGrid w:val="0"/>
        </w:rPr>
        <w:t>.</w:t>
      </w:r>
      <w:r>
        <w:rPr>
          <w:snapToGrid w:val="0"/>
        </w:rPr>
        <w:tab/>
        <w:t>The objects of this Act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52" w:name="_Toc403920011"/>
      <w:bookmarkStart w:id="53" w:name="_Toc520083414"/>
      <w:bookmarkStart w:id="54" w:name="_Toc7244896"/>
      <w:bookmarkStart w:id="55"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56" w:name="_Toc120689211"/>
      <w:r>
        <w:rPr>
          <w:rStyle w:val="CharSectno"/>
        </w:rPr>
        <w:t>5</w:t>
      </w:r>
      <w:r>
        <w:rPr>
          <w:snapToGrid w:val="0"/>
        </w:rPr>
        <w:t>.</w:t>
      </w:r>
      <w:r>
        <w:rPr>
          <w:snapToGrid w:val="0"/>
        </w:rPr>
        <w:tab/>
        <w:t>Administration of this Act</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the Minister, the administration of this Act is vested in the Commissioner of Health 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advise the Commissioner of Health on licensing and disciplinary matters,</w:t>
      </w:r>
    </w:p>
    <w:p>
      <w:pPr>
        <w:pStyle w:val="Subsection"/>
        <w:rPr>
          <w:snapToGrid w:val="0"/>
        </w:rPr>
      </w:pPr>
      <w:r>
        <w:rPr>
          <w:snapToGrid w:val="0"/>
        </w:rPr>
        <w:tab/>
      </w:r>
      <w:r>
        <w:rPr>
          <w:snapToGrid w:val="0"/>
        </w:rPr>
        <w:tab/>
        <w:t>but shall give effect to instructions given by the Minister under section 12(3) and, if the Commissioner of Health is empowered under section 13 to discharge functions of the Council, shall assist the Commissioner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Directions given by the Commissioner of Health shall have effect, except to the extent of any inconsistency with the regulations or the Code, in accordance with section 31.</w:t>
      </w:r>
    </w:p>
    <w:p>
      <w:pPr>
        <w:pStyle w:val="Subsection"/>
        <w:rPr>
          <w:snapToGrid w:val="0"/>
        </w:rPr>
      </w:pPr>
      <w:r>
        <w:rPr>
          <w:snapToGrid w:val="0"/>
        </w:rPr>
        <w:tab/>
        <w:t>(6)</w:t>
      </w:r>
      <w:r>
        <w:rPr>
          <w:snapToGrid w:val="0"/>
        </w:rPr>
        <w:tab/>
        <w:t>A report on the use of human reproductive technology in the State during the preceding financial year shall be furnished annually by the Council to the Commissioner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to be furnished by the Commissioner and the Council with — </w:t>
      </w:r>
    </w:p>
    <w:p>
      <w:pPr>
        <w:pStyle w:val="Indenti"/>
        <w:rPr>
          <w:snapToGrid w:val="0"/>
        </w:rPr>
      </w:pPr>
      <w:r>
        <w:rPr>
          <w:snapToGrid w:val="0"/>
        </w:rPr>
        <w:tab/>
        <w:t>(i)</w:t>
      </w:r>
      <w:r>
        <w:rPr>
          <w:snapToGrid w:val="0"/>
        </w:rPr>
        <w:tab/>
        <w:t>any report concerning the activities or proceedings of the Commissioner,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request the Commissioner or the Council to furnish, or to give the Minister access to, information, and to supply records; and</w:t>
      </w:r>
    </w:p>
    <w:p>
      <w:pPr>
        <w:pStyle w:val="Indenta"/>
        <w:rPr>
          <w:snapToGrid w:val="0"/>
        </w:rPr>
      </w:pPr>
      <w:r>
        <w:rPr>
          <w:snapToGrid w:val="0"/>
        </w:rPr>
        <w:tab/>
        <w:t>(b)</w:t>
      </w:r>
      <w:r>
        <w:rPr>
          <w:snapToGrid w:val="0"/>
        </w:rPr>
        <w:tab/>
        <w:t>make use of the services of any staff of the Commissioner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information</w:t>
      </w:r>
      <w:r>
        <w:rPr>
          <w:b/>
        </w:rPr>
        <w:t>”</w:t>
      </w:r>
      <w:r>
        <w:t xml:space="preserve"> means — </w:t>
      </w:r>
    </w:p>
    <w:p>
      <w:pPr>
        <w:pStyle w:val="Defpara"/>
      </w:pPr>
      <w:r>
        <w:tab/>
        <w:t>(a)</w:t>
      </w:r>
      <w:r>
        <w:tab/>
        <w:t>any record relating to the functions of the Commissioner or the Council;</w:t>
      </w:r>
    </w:p>
    <w:p>
      <w:pPr>
        <w:pStyle w:val="Defpara"/>
      </w:pPr>
      <w:r>
        <w:tab/>
        <w:t>(b)</w:t>
      </w:r>
      <w:r>
        <w:tab/>
        <w:t>any other document or information which relates to the Commissioner or the Council or to reproductive technology which is in the custody or control of the Commissioner or of the Council and is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t>“</w:t>
      </w:r>
      <w:r>
        <w:rPr>
          <w:rStyle w:val="CharDefText"/>
        </w:rPr>
        <w:t>record</w:t>
      </w:r>
      <w:r>
        <w:rPr>
          <w:b/>
        </w:rPr>
        <w:t>”</w:t>
      </w:r>
      <w:r>
        <w:t xml:space="preserve"> includes any data that is compiled, recorded, encoded or stored, and any film, tape, disc or other device or medium on which it can or may be found.</w:t>
      </w:r>
    </w:p>
    <w:p>
      <w:pPr>
        <w:pStyle w:val="Heading3"/>
        <w:rPr>
          <w:snapToGrid w:val="0"/>
        </w:rPr>
      </w:pPr>
      <w:bookmarkStart w:id="57" w:name="_Toc78092225"/>
      <w:bookmarkStart w:id="58" w:name="_Toc78103444"/>
      <w:bookmarkStart w:id="59" w:name="_Toc78103547"/>
      <w:bookmarkStart w:id="60" w:name="_Toc89667694"/>
      <w:bookmarkStart w:id="61" w:name="_Toc89748814"/>
      <w:bookmarkStart w:id="62" w:name="_Toc90963653"/>
      <w:bookmarkStart w:id="63" w:name="_Toc92862173"/>
      <w:bookmarkStart w:id="64" w:name="_Toc97106946"/>
      <w:bookmarkStart w:id="65" w:name="_Toc102884035"/>
      <w:bookmarkStart w:id="66" w:name="_Toc114890266"/>
      <w:bookmarkStart w:id="67" w:name="_Toc118874767"/>
      <w:bookmarkStart w:id="68" w:name="_Toc118875049"/>
      <w:bookmarkStart w:id="69" w:name="_Toc119232929"/>
      <w:bookmarkStart w:id="70" w:name="_Toc119386167"/>
      <w:bookmarkStart w:id="71" w:name="_Toc120689212"/>
      <w:r>
        <w:rPr>
          <w:rStyle w:val="CharDivNo"/>
        </w:rPr>
        <w:t>Division 2</w:t>
      </w:r>
      <w:r>
        <w:rPr>
          <w:snapToGrid w:val="0"/>
        </w:rPr>
        <w:t> — </w:t>
      </w:r>
      <w:r>
        <w:rPr>
          <w:rStyle w:val="CharDivText"/>
        </w:rPr>
        <w:t>Specific offences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Heading5"/>
      </w:pPr>
      <w:bookmarkStart w:id="72" w:name="_Toc120689213"/>
      <w:bookmarkStart w:id="73" w:name="_Toc403920012"/>
      <w:bookmarkStart w:id="74" w:name="_Toc520083415"/>
      <w:bookmarkStart w:id="75" w:name="_Toc7244897"/>
      <w:bookmarkStart w:id="76" w:name="_Toc9932936"/>
      <w:r>
        <w:rPr>
          <w:rStyle w:val="CharSectno"/>
        </w:rPr>
        <w:t>5A</w:t>
      </w:r>
      <w:r>
        <w:t>.</w:t>
      </w:r>
      <w:r>
        <w:tab/>
        <w:t>Application</w:t>
      </w:r>
      <w:bookmarkEnd w:id="72"/>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77" w:name="_Toc120689214"/>
      <w:r>
        <w:rPr>
          <w:rStyle w:val="CharSectno"/>
        </w:rPr>
        <w:t>6</w:t>
      </w:r>
      <w:r>
        <w:rPr>
          <w:snapToGrid w:val="0"/>
        </w:rPr>
        <w:t>.</w:t>
      </w:r>
      <w:r>
        <w:rPr>
          <w:snapToGrid w:val="0"/>
        </w:rPr>
        <w:tab/>
        <w:t>Unlicensed practices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If an offence referred to in subsection (1) is shown to have been committed after the service upon the alleged offender of a notice in the prescribed form signed by the Commissioner of Health 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w:t>
      </w:r>
    </w:p>
    <w:p>
      <w:pPr>
        <w:pStyle w:val="Heading5"/>
        <w:rPr>
          <w:snapToGrid w:val="0"/>
        </w:rPr>
      </w:pPr>
      <w:bookmarkStart w:id="78" w:name="_Toc403920013"/>
      <w:bookmarkStart w:id="79" w:name="_Toc520083416"/>
      <w:bookmarkStart w:id="80" w:name="_Toc7244898"/>
      <w:bookmarkStart w:id="81" w:name="_Toc9932937"/>
      <w:bookmarkStart w:id="82" w:name="_Toc120689215"/>
      <w:r>
        <w:rPr>
          <w:rStyle w:val="CharSectno"/>
        </w:rPr>
        <w:t>7</w:t>
      </w:r>
      <w:r>
        <w:rPr>
          <w:snapToGrid w:val="0"/>
        </w:rPr>
        <w:t>.</w:t>
      </w:r>
      <w:r>
        <w:rPr>
          <w:snapToGrid w:val="0"/>
        </w:rPr>
        <w:tab/>
        <w:t>Offences relating to reproductive technology</w:t>
      </w:r>
      <w:bookmarkEnd w:id="78"/>
      <w:bookmarkEnd w:id="79"/>
      <w:bookmarkEnd w:id="80"/>
      <w:bookmarkEnd w:id="81"/>
      <w:bookmarkEnd w:id="82"/>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83" w:name="_Toc78092228"/>
      <w:bookmarkStart w:id="84" w:name="_Toc78103447"/>
      <w:bookmarkStart w:id="85" w:name="_Toc78103550"/>
      <w:bookmarkStart w:id="86" w:name="_Toc89667698"/>
      <w:bookmarkStart w:id="87" w:name="_Toc89748818"/>
      <w:bookmarkStart w:id="88" w:name="_Toc90963657"/>
      <w:bookmarkStart w:id="89" w:name="_Toc92862177"/>
      <w:bookmarkStart w:id="90" w:name="_Toc97106950"/>
      <w:bookmarkStart w:id="91" w:name="_Toc102884039"/>
      <w:bookmarkStart w:id="92" w:name="_Toc114890270"/>
      <w:bookmarkStart w:id="93" w:name="_Toc118874771"/>
      <w:bookmarkStart w:id="94" w:name="_Toc118875053"/>
      <w:bookmarkStart w:id="95" w:name="_Toc119232933"/>
      <w:bookmarkStart w:id="96" w:name="_Toc119386171"/>
      <w:bookmarkStart w:id="97" w:name="_Toc120689216"/>
      <w:r>
        <w:rPr>
          <w:rStyle w:val="CharPartNo"/>
        </w:rPr>
        <w:t>Part 2</w:t>
      </w:r>
      <w:r>
        <w:rPr>
          <w:rStyle w:val="CharDivNo"/>
        </w:rPr>
        <w:t> </w:t>
      </w:r>
      <w:r>
        <w:t>—</w:t>
      </w:r>
      <w:r>
        <w:rPr>
          <w:rStyle w:val="CharDivText"/>
        </w:rPr>
        <w:t> </w:t>
      </w:r>
      <w:r>
        <w:rPr>
          <w:rStyle w:val="CharPartText"/>
        </w:rPr>
        <w:t>The Council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03920014"/>
      <w:bookmarkStart w:id="99" w:name="_Toc520083417"/>
      <w:bookmarkStart w:id="100" w:name="_Toc7244899"/>
      <w:bookmarkStart w:id="101" w:name="_Toc9932938"/>
      <w:bookmarkStart w:id="102" w:name="_Toc120689217"/>
      <w:r>
        <w:rPr>
          <w:rStyle w:val="CharSectno"/>
        </w:rPr>
        <w:t>8</w:t>
      </w:r>
      <w:r>
        <w:rPr>
          <w:snapToGrid w:val="0"/>
        </w:rPr>
        <w:t>.</w:t>
      </w:r>
      <w:r>
        <w:rPr>
          <w:snapToGrid w:val="0"/>
        </w:rPr>
        <w:tab/>
        <w:t>Establishment of Council</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 xml:space="preserve">the Minister charged with the administration of the </w:t>
      </w:r>
      <w:r>
        <w:rPr>
          <w:i/>
          <w:snapToGrid w:val="0"/>
        </w:rPr>
        <w:t>Community Services Act 1972</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p>
    <w:p>
      <w:pPr>
        <w:pStyle w:val="Heading5"/>
        <w:spacing w:before="240"/>
        <w:rPr>
          <w:snapToGrid w:val="0"/>
        </w:rPr>
      </w:pPr>
      <w:bookmarkStart w:id="103" w:name="_Toc403920015"/>
      <w:bookmarkStart w:id="104" w:name="_Toc520083418"/>
      <w:bookmarkStart w:id="105" w:name="_Toc7244900"/>
      <w:bookmarkStart w:id="106" w:name="_Toc9932939"/>
      <w:bookmarkStart w:id="107" w:name="_Toc120689218"/>
      <w:r>
        <w:rPr>
          <w:rStyle w:val="CharSectno"/>
        </w:rPr>
        <w:t>9</w:t>
      </w:r>
      <w:r>
        <w:rPr>
          <w:snapToGrid w:val="0"/>
        </w:rPr>
        <w:t>.</w:t>
      </w:r>
      <w:r>
        <w:rPr>
          <w:snapToGrid w:val="0"/>
        </w:rPr>
        <w:tab/>
        <w:t>Nominations, and recommendations, for membership</w:t>
      </w:r>
      <w:bookmarkEnd w:id="103"/>
      <w:bookmarkEnd w:id="104"/>
      <w:bookmarkEnd w:id="105"/>
      <w:bookmarkEnd w:id="106"/>
      <w:bookmarkEnd w:id="107"/>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08" w:name="_Toc403920016"/>
      <w:bookmarkStart w:id="109" w:name="_Toc520083419"/>
      <w:bookmarkStart w:id="110" w:name="_Toc7244901"/>
      <w:bookmarkStart w:id="111" w:name="_Toc9932940"/>
      <w:bookmarkStart w:id="112" w:name="_Toc120689219"/>
      <w:r>
        <w:rPr>
          <w:rStyle w:val="CharSectno"/>
        </w:rPr>
        <w:t>10</w:t>
      </w:r>
      <w:r>
        <w:rPr>
          <w:snapToGrid w:val="0"/>
        </w:rPr>
        <w:t>.</w:t>
      </w:r>
      <w:r>
        <w:rPr>
          <w:snapToGrid w:val="0"/>
        </w:rPr>
        <w:tab/>
        <w:t>Committees</w:t>
      </w:r>
      <w:bookmarkEnd w:id="108"/>
      <w:bookmarkEnd w:id="109"/>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The Minister or the Commissioner of Health may request the Council to furnish the advice of an appropriate committee on any matter related to the provisions or operation of this Act and, unless the Council otherwise requires, the committee may consider the matter and give to the Minister or the Commissioner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Heading5"/>
        <w:rPr>
          <w:snapToGrid w:val="0"/>
        </w:rPr>
      </w:pPr>
      <w:bookmarkStart w:id="113" w:name="_Toc403920017"/>
      <w:bookmarkStart w:id="114" w:name="_Toc520083420"/>
      <w:bookmarkStart w:id="115" w:name="_Toc7244902"/>
      <w:bookmarkStart w:id="116" w:name="_Toc9932941"/>
      <w:bookmarkStart w:id="117" w:name="_Toc120689220"/>
      <w:r>
        <w:rPr>
          <w:rStyle w:val="CharSectno"/>
        </w:rPr>
        <w:t>11</w:t>
      </w:r>
      <w:r>
        <w:rPr>
          <w:snapToGrid w:val="0"/>
        </w:rPr>
        <w:t>.</w:t>
      </w:r>
      <w:r>
        <w:rPr>
          <w:snapToGrid w:val="0"/>
        </w:rPr>
        <w:tab/>
        <w:t>Delegation by the Council</w:t>
      </w:r>
      <w:bookmarkEnd w:id="113"/>
      <w:bookmarkEnd w:id="114"/>
      <w:bookmarkEnd w:id="115"/>
      <w:bookmarkEnd w:id="116"/>
      <w:bookmarkEnd w:id="117"/>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 Commissioner of Health;</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any function vested in the Council, other than the function of advising the Commissioner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where the delegation is to a member or officer of a public authority, the Council has satisfied the Commissioner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Heading5"/>
        <w:rPr>
          <w:snapToGrid w:val="0"/>
        </w:rPr>
      </w:pPr>
      <w:bookmarkStart w:id="118" w:name="_Toc403920018"/>
      <w:bookmarkStart w:id="119" w:name="_Toc520083421"/>
      <w:bookmarkStart w:id="120" w:name="_Toc7244903"/>
      <w:bookmarkStart w:id="121" w:name="_Toc9932942"/>
      <w:bookmarkStart w:id="122" w:name="_Toc120689221"/>
      <w:r>
        <w:rPr>
          <w:rStyle w:val="CharSectno"/>
        </w:rPr>
        <w:t>12</w:t>
      </w:r>
      <w:r>
        <w:rPr>
          <w:snapToGrid w:val="0"/>
        </w:rPr>
        <w:t>.</w:t>
      </w:r>
      <w:r>
        <w:rPr>
          <w:snapToGrid w:val="0"/>
        </w:rPr>
        <w:tab/>
        <w:t>Relationship of the Council to the Minister</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 Commissioner of Health, consult the Minister before continuing with a proposed course of action that in the opinion of the Commissioner amounts to a major initiative; and</w:t>
      </w:r>
    </w:p>
    <w:p>
      <w:pPr>
        <w:pStyle w:val="Indenta"/>
        <w:rPr>
          <w:snapToGrid w:val="0"/>
        </w:rPr>
      </w:pPr>
      <w:r>
        <w:rPr>
          <w:snapToGrid w:val="0"/>
        </w:rPr>
        <w:tab/>
        <w:t>(c)</w:t>
      </w:r>
      <w:r>
        <w:rPr>
          <w:snapToGrid w:val="0"/>
        </w:rPr>
        <w:tab/>
        <w:t>if so requested, report to the Minister on any proposal, whether made by the Minister, the Commissioner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Heading5"/>
        <w:rPr>
          <w:snapToGrid w:val="0"/>
        </w:rPr>
      </w:pPr>
      <w:bookmarkStart w:id="123" w:name="_Toc403920019"/>
      <w:bookmarkStart w:id="124" w:name="_Toc520083422"/>
      <w:bookmarkStart w:id="125" w:name="_Toc7244904"/>
      <w:bookmarkStart w:id="126" w:name="_Toc9932943"/>
      <w:bookmarkStart w:id="127" w:name="_Toc120689222"/>
      <w:r>
        <w:rPr>
          <w:rStyle w:val="CharSectno"/>
        </w:rPr>
        <w:t>13</w:t>
      </w:r>
      <w:r>
        <w:rPr>
          <w:snapToGrid w:val="0"/>
        </w:rPr>
        <w:t>.</w:t>
      </w:r>
      <w:r>
        <w:rPr>
          <w:snapToGrid w:val="0"/>
        </w:rPr>
        <w:tab/>
        <w:t>Powers, and relationship to the Council, of the Commissioner of Health</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Commissioner of Health 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decision relevant to a function of the Council is, in the opinion of the Commissioner having regard to the objects of this Act, required to be taken in the interests of public health;</w:t>
      </w:r>
    </w:p>
    <w:p>
      <w:pPr>
        <w:pStyle w:val="Indenta"/>
        <w:rPr>
          <w:snapToGrid w:val="0"/>
        </w:rPr>
      </w:pPr>
      <w:r>
        <w:rPr>
          <w:snapToGrid w:val="0"/>
        </w:rPr>
        <w:tab/>
        <w:t>(b)</w:t>
      </w:r>
      <w:r>
        <w:rPr>
          <w:snapToGrid w:val="0"/>
        </w:rPr>
        <w:tab/>
        <w:t>that decision has not been, and in the opinion of the Commissioner is not likely promptly to be, taken by the Council and the Commissioner has so informed the Minister;</w:t>
      </w:r>
    </w:p>
    <w:p>
      <w:pPr>
        <w:pStyle w:val="Indenta"/>
        <w:rPr>
          <w:snapToGrid w:val="0"/>
        </w:rPr>
      </w:pPr>
      <w:r>
        <w:rPr>
          <w:snapToGrid w:val="0"/>
        </w:rPr>
        <w:tab/>
        <w:t>(c)</w:t>
      </w:r>
      <w:r>
        <w:rPr>
          <w:snapToGrid w:val="0"/>
        </w:rPr>
        <w:tab/>
        <w:t>the Commissioner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the Commissioner has thereafter made known to the Council the decision which the Commissioner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the Commissioner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Commissioner so acting as delegate.</w:t>
      </w:r>
    </w:p>
    <w:p>
      <w:pPr>
        <w:pStyle w:val="Subsection"/>
        <w:rPr>
          <w:snapToGrid w:val="0"/>
        </w:rPr>
      </w:pPr>
      <w:r>
        <w:rPr>
          <w:snapToGrid w:val="0"/>
        </w:rPr>
        <w:tab/>
        <w:t>(3)</w:t>
      </w:r>
      <w:r>
        <w:rPr>
          <w:snapToGrid w:val="0"/>
        </w:rPr>
        <w:tab/>
        <w:t>Any question arising between the Council, or any committee or member, and the Commissioner as to the operation of this section, or as to a conflict between instructions given by the Minister and requirements made known by the Commissioner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Commissioner of Health may, by an instrument in writing signed personally, delegate to a person who is an officer of, or who carries out duties in, the department of the Public Service of the State principally assisting the Minister in the administration of the </w:t>
      </w:r>
      <w:r>
        <w:rPr>
          <w:i/>
          <w:snapToGrid w:val="0"/>
        </w:rPr>
        <w:t>Health Act 1911</w:t>
      </w:r>
      <w:r>
        <w:rPr>
          <w:snapToGrid w:val="0"/>
        </w:rPr>
        <w:t>, either generally or as otherwise provided by that instrument, any function in the administration of this Act vested in or required to be discharged by the Commissioner.</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requirement under this section is made known by the Commissioner to the Council; or</w:t>
      </w:r>
    </w:p>
    <w:p>
      <w:pPr>
        <w:pStyle w:val="Indenta"/>
        <w:rPr>
          <w:snapToGrid w:val="0"/>
        </w:rPr>
      </w:pPr>
      <w:r>
        <w:rPr>
          <w:snapToGrid w:val="0"/>
        </w:rPr>
        <w:tab/>
        <w:t>(b)</w:t>
      </w:r>
      <w:r>
        <w:rPr>
          <w:snapToGrid w:val="0"/>
        </w:rPr>
        <w:tab/>
        <w:t>the Commissioner has been required to exercise any power under subsection (2)(c),</w:t>
      </w:r>
    </w:p>
    <w:p>
      <w:pPr>
        <w:pStyle w:val="Subsection"/>
        <w:spacing w:before="80"/>
        <w:rPr>
          <w:snapToGrid w:val="0"/>
        </w:rPr>
      </w:pPr>
      <w:r>
        <w:rPr>
          <w:snapToGrid w:val="0"/>
        </w:rPr>
        <w:tab/>
      </w:r>
      <w:r>
        <w:rPr>
          <w:snapToGrid w:val="0"/>
        </w:rPr>
        <w:tab/>
        <w:t>the Commissioner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Subject to sections 31 and 32, the Commissioner may impose conditions and give directions in relation to any licence or exemption.</w:t>
      </w:r>
    </w:p>
    <w:p>
      <w:pPr>
        <w:pStyle w:val="Subsection"/>
        <w:rPr>
          <w:snapToGrid w:val="0"/>
        </w:rPr>
      </w:pPr>
      <w:r>
        <w:rPr>
          <w:snapToGrid w:val="0"/>
        </w:rPr>
        <w:tab/>
        <w:t>(8)</w:t>
      </w:r>
      <w:r>
        <w:rPr>
          <w:snapToGrid w:val="0"/>
        </w:rPr>
        <w:tab/>
        <w:t>In the discharge of any function, or in imposing any condition, and in giving any direction under this Act the Commissioner shall, where practicable and requested, afford to an applicant or licensee reasons for any determination which may be made in relation to that person and a reasonable opportunity to show cause why the determination should not be given effect.</w:t>
      </w:r>
    </w:p>
    <w:p>
      <w:pPr>
        <w:pStyle w:val="Heading5"/>
        <w:rPr>
          <w:snapToGrid w:val="0"/>
        </w:rPr>
      </w:pPr>
      <w:bookmarkStart w:id="128" w:name="_Toc403920020"/>
      <w:bookmarkStart w:id="129" w:name="_Toc520083423"/>
      <w:bookmarkStart w:id="130" w:name="_Toc7244905"/>
      <w:bookmarkStart w:id="131" w:name="_Toc9932944"/>
      <w:bookmarkStart w:id="132" w:name="_Toc120689223"/>
      <w:r>
        <w:rPr>
          <w:rStyle w:val="CharSectno"/>
        </w:rPr>
        <w:t>14</w:t>
      </w:r>
      <w:r>
        <w:rPr>
          <w:snapToGrid w:val="0"/>
        </w:rPr>
        <w:t>.</w:t>
      </w:r>
      <w:r>
        <w:rPr>
          <w:snapToGrid w:val="0"/>
        </w:rPr>
        <w:tab/>
        <w:t>Functions of the Council</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 Commissioner of Health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 Commissioner,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33" w:name="_Toc78092236"/>
      <w:bookmarkStart w:id="134" w:name="_Toc78103455"/>
      <w:bookmarkStart w:id="135" w:name="_Toc78103558"/>
      <w:r>
        <w:tab/>
        <w:t>[Section 14 amended by No. 17 of 2004 s. 11; No. 55 of 2004 s. 523.]</w:t>
      </w:r>
    </w:p>
    <w:p>
      <w:pPr>
        <w:pStyle w:val="Heading2"/>
      </w:pPr>
      <w:bookmarkStart w:id="136" w:name="_Toc89667706"/>
      <w:bookmarkStart w:id="137" w:name="_Toc89748826"/>
      <w:bookmarkStart w:id="138" w:name="_Toc90963665"/>
      <w:bookmarkStart w:id="139" w:name="_Toc92862185"/>
      <w:bookmarkStart w:id="140" w:name="_Toc97106958"/>
      <w:bookmarkStart w:id="141" w:name="_Toc102884047"/>
      <w:bookmarkStart w:id="142" w:name="_Toc114890278"/>
      <w:bookmarkStart w:id="143" w:name="_Toc118874779"/>
      <w:bookmarkStart w:id="144" w:name="_Toc118875061"/>
      <w:bookmarkStart w:id="145" w:name="_Toc119232941"/>
      <w:bookmarkStart w:id="146" w:name="_Toc119386179"/>
      <w:bookmarkStart w:id="147" w:name="_Toc120689224"/>
      <w:r>
        <w:rPr>
          <w:rStyle w:val="CharPartNo"/>
        </w:rPr>
        <w:t>Part 3</w:t>
      </w:r>
      <w:r>
        <w:t> — </w:t>
      </w:r>
      <w:r>
        <w:rPr>
          <w:rStyle w:val="CharPartText"/>
        </w:rPr>
        <w:t>The Code of Practice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3"/>
        <w:rPr>
          <w:snapToGrid w:val="0"/>
        </w:rPr>
      </w:pPr>
      <w:bookmarkStart w:id="148" w:name="_Toc78092237"/>
      <w:bookmarkStart w:id="149" w:name="_Toc78103456"/>
      <w:bookmarkStart w:id="150" w:name="_Toc78103559"/>
      <w:bookmarkStart w:id="151" w:name="_Toc89667707"/>
      <w:bookmarkStart w:id="152" w:name="_Toc89748827"/>
      <w:bookmarkStart w:id="153" w:name="_Toc90963666"/>
      <w:bookmarkStart w:id="154" w:name="_Toc92862186"/>
      <w:bookmarkStart w:id="155" w:name="_Toc97106959"/>
      <w:bookmarkStart w:id="156" w:name="_Toc102884048"/>
      <w:bookmarkStart w:id="157" w:name="_Toc114890279"/>
      <w:bookmarkStart w:id="158" w:name="_Toc118874780"/>
      <w:bookmarkStart w:id="159" w:name="_Toc118875062"/>
      <w:bookmarkStart w:id="160" w:name="_Toc119232942"/>
      <w:bookmarkStart w:id="161" w:name="_Toc119386180"/>
      <w:bookmarkStart w:id="162" w:name="_Toc120689225"/>
      <w:r>
        <w:rPr>
          <w:rStyle w:val="CharDivNo"/>
        </w:rPr>
        <w:t>Division 1</w:t>
      </w:r>
      <w:r>
        <w:rPr>
          <w:snapToGrid w:val="0"/>
        </w:rPr>
        <w:t> — </w:t>
      </w:r>
      <w:r>
        <w:rPr>
          <w:rStyle w:val="CharDivText"/>
        </w:rPr>
        <w:t>Compilation of the Code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03920021"/>
      <w:bookmarkStart w:id="164" w:name="_Toc520083424"/>
      <w:bookmarkStart w:id="165" w:name="_Toc7244906"/>
      <w:bookmarkStart w:id="166" w:name="_Toc9932945"/>
      <w:bookmarkStart w:id="167" w:name="_Toc120689226"/>
      <w:r>
        <w:rPr>
          <w:rStyle w:val="CharSectno"/>
        </w:rPr>
        <w:t>15</w:t>
      </w:r>
      <w:r>
        <w:rPr>
          <w:snapToGrid w:val="0"/>
        </w:rPr>
        <w:t>.</w:t>
      </w:r>
      <w:r>
        <w:rPr>
          <w:snapToGrid w:val="0"/>
        </w:rPr>
        <w:tab/>
        <w:t>The concept of the Code of Practice</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Commissioner of Health</w:t>
      </w:r>
      <w:r>
        <w:rPr>
          <w:snapToGrid w:val="0"/>
        </w:rPr>
        <w:t xml:space="preserve"> in considering any application may, at discretion, take into account any alleged tendency on the part of the applicant not to have regard to the guidelines.</w:t>
      </w:r>
    </w:p>
    <w:p>
      <w:pPr>
        <w:pStyle w:val="Footnotesection"/>
      </w:pPr>
      <w:r>
        <w:tab/>
        <w:t>[Section 15 amended by No. 55 of 2004 s. 540.]</w:t>
      </w:r>
    </w:p>
    <w:p>
      <w:pPr>
        <w:pStyle w:val="Heading5"/>
        <w:rPr>
          <w:snapToGrid w:val="0"/>
        </w:rPr>
      </w:pPr>
      <w:bookmarkStart w:id="168" w:name="_Toc403920022"/>
      <w:bookmarkStart w:id="169" w:name="_Toc520083425"/>
      <w:bookmarkStart w:id="170" w:name="_Toc7244907"/>
      <w:bookmarkStart w:id="171" w:name="_Toc9932946"/>
      <w:bookmarkStart w:id="172" w:name="_Toc120689227"/>
      <w:r>
        <w:rPr>
          <w:rStyle w:val="CharSectno"/>
        </w:rPr>
        <w:t>16</w:t>
      </w:r>
      <w:r>
        <w:rPr>
          <w:snapToGrid w:val="0"/>
        </w:rPr>
        <w:t>.</w:t>
      </w:r>
      <w:r>
        <w:rPr>
          <w:snapToGrid w:val="0"/>
        </w:rPr>
        <w:tab/>
        <w:t>The implementation of the Code of Practice</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173" w:name="_Toc403920023"/>
      <w:bookmarkStart w:id="174" w:name="_Toc520083426"/>
      <w:bookmarkStart w:id="175" w:name="_Toc7244908"/>
      <w:bookmarkStart w:id="176" w:name="_Toc9932947"/>
      <w:bookmarkStart w:id="177" w:name="_Toc120689228"/>
      <w:r>
        <w:rPr>
          <w:rStyle w:val="CharSectno"/>
        </w:rPr>
        <w:t>17</w:t>
      </w:r>
      <w:r>
        <w:rPr>
          <w:snapToGrid w:val="0"/>
        </w:rPr>
        <w:t>.</w:t>
      </w:r>
      <w:r>
        <w:rPr>
          <w:snapToGrid w:val="0"/>
        </w:rPr>
        <w:tab/>
        <w:t>Matters which shall be dealt with by the Code, subject to exception by way of regulations</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178" w:name="_Toc403920024"/>
      <w:bookmarkStart w:id="179" w:name="_Toc520083427"/>
      <w:bookmarkStart w:id="180" w:name="_Toc7244909"/>
      <w:bookmarkStart w:id="181"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182" w:name="_Toc120689229"/>
      <w:r>
        <w:rPr>
          <w:rStyle w:val="CharSectno"/>
        </w:rPr>
        <w:t>18</w:t>
      </w:r>
      <w:r>
        <w:rPr>
          <w:snapToGrid w:val="0"/>
        </w:rPr>
        <w:t>.</w:t>
      </w:r>
      <w:r>
        <w:rPr>
          <w:snapToGrid w:val="0"/>
        </w:rPr>
        <w:tab/>
        <w:t>Matters which may be dealt with in the Code</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183" w:name="_Toc403920025"/>
      <w:bookmarkStart w:id="184" w:name="_Toc520083428"/>
      <w:bookmarkStart w:id="185" w:name="_Toc7244910"/>
      <w:bookmarkStart w:id="186" w:name="_Toc9932949"/>
      <w:bookmarkStart w:id="187" w:name="_Toc120689230"/>
      <w:r>
        <w:rPr>
          <w:rStyle w:val="CharSectno"/>
        </w:rPr>
        <w:t>19</w:t>
      </w:r>
      <w:r>
        <w:rPr>
          <w:snapToGrid w:val="0"/>
        </w:rPr>
        <w:t>.</w:t>
      </w:r>
      <w:r>
        <w:rPr>
          <w:snapToGrid w:val="0"/>
        </w:rPr>
        <w:tab/>
        <w:t>Principles to be embodied in the Code</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on any application or in disciplinary proceedings, the manner of observance of any such principle is a matter which the Commissioner of Health and the State Administrative Tribunal may take into account.</w:t>
      </w:r>
    </w:p>
    <w:p>
      <w:pPr>
        <w:pStyle w:val="Footnotesection"/>
      </w:pPr>
      <w:r>
        <w:tab/>
        <w:t>[Section 19 amended by No. 55 of 2004 s. 524.]</w:t>
      </w:r>
    </w:p>
    <w:p>
      <w:pPr>
        <w:pStyle w:val="Heading5"/>
        <w:rPr>
          <w:snapToGrid w:val="0"/>
        </w:rPr>
      </w:pPr>
      <w:bookmarkStart w:id="188" w:name="_Toc403920026"/>
      <w:bookmarkStart w:id="189" w:name="_Toc520083429"/>
      <w:bookmarkStart w:id="190" w:name="_Toc7244911"/>
      <w:bookmarkStart w:id="191" w:name="_Toc9932950"/>
      <w:bookmarkStart w:id="192" w:name="_Toc120689231"/>
      <w:r>
        <w:rPr>
          <w:rStyle w:val="CharSectno"/>
        </w:rPr>
        <w:t>20</w:t>
      </w:r>
      <w:r>
        <w:rPr>
          <w:snapToGrid w:val="0"/>
        </w:rPr>
        <w:t>.</w:t>
      </w:r>
      <w:r>
        <w:rPr>
          <w:snapToGrid w:val="0"/>
        </w:rPr>
        <w:tab/>
        <w:t>Principles applicable to projects of research</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 Commissioner;</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w:t>
      </w:r>
    </w:p>
    <w:p>
      <w:pPr>
        <w:pStyle w:val="Heading5"/>
        <w:rPr>
          <w:snapToGrid w:val="0"/>
        </w:rPr>
      </w:pPr>
      <w:bookmarkStart w:id="193" w:name="_Toc403920027"/>
      <w:bookmarkStart w:id="194" w:name="_Toc520083430"/>
      <w:bookmarkStart w:id="195" w:name="_Toc7244912"/>
      <w:bookmarkStart w:id="196" w:name="_Toc9932951"/>
      <w:bookmarkStart w:id="197" w:name="_Toc120689232"/>
      <w:r>
        <w:rPr>
          <w:rStyle w:val="CharSectno"/>
        </w:rPr>
        <w:t>21</w:t>
      </w:r>
      <w:r>
        <w:rPr>
          <w:snapToGrid w:val="0"/>
        </w:rPr>
        <w:t>.</w:t>
      </w:r>
      <w:r>
        <w:rPr>
          <w:snapToGrid w:val="0"/>
        </w:rPr>
        <w:tab/>
        <w:t>The Code and directions, generally</w:t>
      </w:r>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198" w:name="_Toc78092245"/>
      <w:bookmarkStart w:id="199" w:name="_Toc78103464"/>
      <w:bookmarkStart w:id="200" w:name="_Toc78103567"/>
      <w:bookmarkStart w:id="201" w:name="_Toc89667715"/>
      <w:bookmarkStart w:id="202" w:name="_Toc89748835"/>
      <w:bookmarkStart w:id="203" w:name="_Toc90963674"/>
      <w:bookmarkStart w:id="204" w:name="_Toc92862194"/>
      <w:bookmarkStart w:id="205" w:name="_Toc97106967"/>
      <w:bookmarkStart w:id="206" w:name="_Toc102884056"/>
      <w:bookmarkStart w:id="207" w:name="_Toc114890287"/>
      <w:bookmarkStart w:id="208" w:name="_Toc118874788"/>
      <w:bookmarkStart w:id="209" w:name="_Toc118875070"/>
      <w:bookmarkStart w:id="210" w:name="_Toc119232950"/>
      <w:bookmarkStart w:id="211" w:name="_Toc119386188"/>
      <w:bookmarkStart w:id="212" w:name="_Toc120689233"/>
      <w:r>
        <w:rPr>
          <w:rStyle w:val="CharDivNo"/>
        </w:rPr>
        <w:t>Division 2</w:t>
      </w:r>
      <w:r>
        <w:rPr>
          <w:snapToGrid w:val="0"/>
        </w:rPr>
        <w:t> — </w:t>
      </w:r>
      <w:r>
        <w:rPr>
          <w:rStyle w:val="CharDivText"/>
        </w:rPr>
        <w:t>Consents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03920028"/>
      <w:bookmarkStart w:id="214" w:name="_Toc520083431"/>
      <w:bookmarkStart w:id="215" w:name="_Toc7244913"/>
      <w:bookmarkStart w:id="216" w:name="_Toc9932952"/>
      <w:bookmarkStart w:id="217" w:name="_Toc120689234"/>
      <w:r>
        <w:rPr>
          <w:rStyle w:val="CharSectno"/>
        </w:rPr>
        <w:t>22</w:t>
      </w:r>
      <w:r>
        <w:rPr>
          <w:snapToGrid w:val="0"/>
        </w:rPr>
        <w:t>.</w:t>
      </w:r>
      <w:r>
        <w:rPr>
          <w:snapToGrid w:val="0"/>
        </w:rPr>
        <w:tab/>
        <w:t>Consents, generally</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18" w:name="_Toc403920029"/>
      <w:bookmarkStart w:id="219" w:name="_Toc520083432"/>
      <w:bookmarkStart w:id="220" w:name="_Toc7244914"/>
      <w:bookmarkStart w:id="221" w:name="_Toc9932953"/>
      <w:bookmarkStart w:id="222" w:name="_Toc120689235"/>
      <w:r>
        <w:rPr>
          <w:rStyle w:val="CharSectno"/>
        </w:rPr>
        <w:t>23</w:t>
      </w:r>
      <w:r>
        <w:rPr>
          <w:snapToGrid w:val="0"/>
        </w:rPr>
        <w:t>.</w:t>
      </w:r>
      <w:r>
        <w:rPr>
          <w:snapToGrid w:val="0"/>
        </w:rPr>
        <w:tab/>
        <w:t>When procedures may be carried out</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223" w:name="_Toc403920030"/>
      <w:bookmarkStart w:id="224" w:name="_Toc520083433"/>
      <w:bookmarkStart w:id="225" w:name="_Toc7244915"/>
      <w:bookmarkStart w:id="226" w:name="_Toc9932954"/>
      <w:bookmarkStart w:id="227" w:name="_Toc120689236"/>
      <w:r>
        <w:rPr>
          <w:rStyle w:val="CharSectno"/>
        </w:rPr>
        <w:t>24</w:t>
      </w:r>
      <w:r>
        <w:rPr>
          <w:snapToGrid w:val="0"/>
        </w:rPr>
        <w:t>.</w:t>
      </w:r>
      <w:r>
        <w:rPr>
          <w:snapToGrid w:val="0"/>
        </w:rPr>
        <w:tab/>
        <w:t>Storage</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t>“</w:t>
      </w:r>
      <w:r>
        <w:rPr>
          <w:rStyle w:val="CharDefText"/>
        </w:rPr>
        <w:t>eligible person</w:t>
      </w:r>
      <w:r>
        <w:rPr>
          <w:b/>
        </w:rPr>
        <w:t>”</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228" w:name="_Toc78092249"/>
      <w:bookmarkStart w:id="229" w:name="_Toc78103468"/>
      <w:bookmarkStart w:id="230" w:name="_Toc78103571"/>
      <w:bookmarkStart w:id="231" w:name="_Toc89667719"/>
      <w:bookmarkStart w:id="232" w:name="_Toc89748839"/>
      <w:bookmarkStart w:id="233" w:name="_Toc90963678"/>
      <w:bookmarkStart w:id="234" w:name="_Toc92862198"/>
      <w:bookmarkStart w:id="235" w:name="_Toc97106971"/>
      <w:bookmarkStart w:id="236" w:name="_Toc102884060"/>
      <w:bookmarkStart w:id="237" w:name="_Toc114890291"/>
      <w:bookmarkStart w:id="238" w:name="_Toc118874792"/>
      <w:bookmarkStart w:id="239" w:name="_Toc118875074"/>
      <w:bookmarkStart w:id="240" w:name="_Toc119232954"/>
      <w:bookmarkStart w:id="241" w:name="_Toc119386192"/>
      <w:bookmarkStart w:id="242" w:name="_Toc120689237"/>
      <w:r>
        <w:rPr>
          <w:rStyle w:val="CharDivNo"/>
        </w:rPr>
        <w:t>Division 3</w:t>
      </w:r>
      <w:r>
        <w:rPr>
          <w:snapToGrid w:val="0"/>
        </w:rPr>
        <w:t> — </w:t>
      </w:r>
      <w:r>
        <w:rPr>
          <w:rStyle w:val="CharDivText"/>
        </w:rPr>
        <w:t>Rights of control, etc.</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spacing w:before="120"/>
        <w:rPr>
          <w:snapToGrid w:val="0"/>
        </w:rPr>
      </w:pPr>
      <w:bookmarkStart w:id="243" w:name="_Toc403920031"/>
      <w:bookmarkStart w:id="244" w:name="_Toc520083434"/>
      <w:bookmarkStart w:id="245" w:name="_Toc7244916"/>
      <w:bookmarkStart w:id="246" w:name="_Toc9932955"/>
      <w:bookmarkStart w:id="247" w:name="_Toc120689238"/>
      <w:r>
        <w:rPr>
          <w:rStyle w:val="CharSectno"/>
        </w:rPr>
        <w:t>25</w:t>
      </w:r>
      <w:r>
        <w:rPr>
          <w:snapToGrid w:val="0"/>
        </w:rPr>
        <w:t>.</w:t>
      </w:r>
      <w:r>
        <w:rPr>
          <w:snapToGrid w:val="0"/>
        </w:rPr>
        <w:tab/>
        <w:t>Rights in relation to gametes</w:t>
      </w:r>
      <w:bookmarkEnd w:id="243"/>
      <w:bookmarkEnd w:id="244"/>
      <w:bookmarkEnd w:id="245"/>
      <w:bookmarkEnd w:id="246"/>
      <w:bookmarkEnd w:id="247"/>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 Commissioner of Health.</w:t>
      </w:r>
    </w:p>
    <w:p>
      <w:pPr>
        <w:pStyle w:val="Footnotesection"/>
      </w:pPr>
      <w:r>
        <w:tab/>
        <w:t>[Section 25 amended by No. 17 of 2004 s. 19; No. 18 of 2004 s. 6.]</w:t>
      </w:r>
    </w:p>
    <w:p>
      <w:pPr>
        <w:pStyle w:val="Heading5"/>
        <w:rPr>
          <w:snapToGrid w:val="0"/>
        </w:rPr>
      </w:pPr>
      <w:bookmarkStart w:id="248" w:name="_Toc403920032"/>
      <w:bookmarkStart w:id="249" w:name="_Toc520083435"/>
      <w:bookmarkStart w:id="250" w:name="_Toc7244917"/>
      <w:bookmarkStart w:id="251" w:name="_Toc9932956"/>
      <w:bookmarkStart w:id="252" w:name="_Toc120689239"/>
      <w:r>
        <w:rPr>
          <w:rStyle w:val="CharSectno"/>
        </w:rPr>
        <w:t>26</w:t>
      </w:r>
      <w:r>
        <w:rPr>
          <w:snapToGrid w:val="0"/>
        </w:rPr>
        <w:t>.</w:t>
      </w:r>
      <w:r>
        <w:rPr>
          <w:snapToGrid w:val="0"/>
        </w:rPr>
        <w:tab/>
        <w:t>Control, dealing and disposal in relation to an egg in the process of fertilisation or an embryo</w:t>
      </w:r>
      <w:bookmarkEnd w:id="248"/>
      <w:bookmarkEnd w:id="249"/>
      <w:bookmarkEnd w:id="250"/>
      <w:bookmarkEnd w:id="251"/>
      <w:bookmarkEnd w:id="252"/>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Commissioner of Health 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w:t>
      </w:r>
    </w:p>
    <w:p>
      <w:pPr>
        <w:pStyle w:val="Heading2"/>
      </w:pPr>
      <w:bookmarkStart w:id="253" w:name="_Toc78092252"/>
      <w:bookmarkStart w:id="254" w:name="_Toc78103471"/>
      <w:bookmarkStart w:id="255" w:name="_Toc78103574"/>
      <w:bookmarkStart w:id="256" w:name="_Toc89667722"/>
      <w:bookmarkStart w:id="257" w:name="_Toc89748842"/>
      <w:bookmarkStart w:id="258" w:name="_Toc90963681"/>
      <w:bookmarkStart w:id="259" w:name="_Toc92862201"/>
      <w:bookmarkStart w:id="260" w:name="_Toc97106974"/>
      <w:bookmarkStart w:id="261" w:name="_Toc102884063"/>
      <w:bookmarkStart w:id="262" w:name="_Toc114890294"/>
      <w:bookmarkStart w:id="263" w:name="_Toc118874795"/>
      <w:bookmarkStart w:id="264" w:name="_Toc118875077"/>
      <w:bookmarkStart w:id="265" w:name="_Toc119232957"/>
      <w:bookmarkStart w:id="266" w:name="_Toc119386195"/>
      <w:bookmarkStart w:id="267" w:name="_Toc120689240"/>
      <w:r>
        <w:rPr>
          <w:rStyle w:val="CharPartNo"/>
        </w:rPr>
        <w:t>Part 4</w:t>
      </w:r>
      <w:r>
        <w:t> — </w:t>
      </w:r>
      <w:r>
        <w:rPr>
          <w:rStyle w:val="CharPartText"/>
        </w:rPr>
        <w:t>Licensing, etc.</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3"/>
        <w:rPr>
          <w:snapToGrid w:val="0"/>
        </w:rPr>
      </w:pPr>
      <w:bookmarkStart w:id="268" w:name="_Toc78092253"/>
      <w:bookmarkStart w:id="269" w:name="_Toc78103472"/>
      <w:bookmarkStart w:id="270" w:name="_Toc78103575"/>
      <w:bookmarkStart w:id="271" w:name="_Toc89667723"/>
      <w:bookmarkStart w:id="272" w:name="_Toc89748843"/>
      <w:bookmarkStart w:id="273" w:name="_Toc90963682"/>
      <w:bookmarkStart w:id="274" w:name="_Toc92862202"/>
      <w:bookmarkStart w:id="275" w:name="_Toc97106975"/>
      <w:bookmarkStart w:id="276" w:name="_Toc102884064"/>
      <w:bookmarkStart w:id="277" w:name="_Toc114890295"/>
      <w:bookmarkStart w:id="278" w:name="_Toc118874796"/>
      <w:bookmarkStart w:id="279" w:name="_Toc118875078"/>
      <w:bookmarkStart w:id="280" w:name="_Toc119232958"/>
      <w:bookmarkStart w:id="281" w:name="_Toc119386196"/>
      <w:bookmarkStart w:id="282" w:name="_Toc120689241"/>
      <w:r>
        <w:rPr>
          <w:rStyle w:val="CharDivNo"/>
        </w:rPr>
        <w:t>Division 1</w:t>
      </w:r>
      <w:r>
        <w:rPr>
          <w:snapToGrid w:val="0"/>
        </w:rPr>
        <w:t> — </w:t>
      </w:r>
      <w:r>
        <w:rPr>
          <w:rStyle w:val="CharDivText"/>
        </w:rPr>
        <w:t>Licensing</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403920033"/>
      <w:bookmarkStart w:id="284" w:name="_Toc520083436"/>
      <w:bookmarkStart w:id="285" w:name="_Toc7244918"/>
      <w:bookmarkStart w:id="286" w:name="_Toc9932957"/>
      <w:bookmarkStart w:id="287" w:name="_Toc120689242"/>
      <w:r>
        <w:rPr>
          <w:rStyle w:val="CharSectno"/>
        </w:rPr>
        <w:t>27</w:t>
      </w:r>
      <w:r>
        <w:rPr>
          <w:snapToGrid w:val="0"/>
        </w:rPr>
        <w:t>.</w:t>
      </w:r>
      <w:r>
        <w:rPr>
          <w:snapToGrid w:val="0"/>
        </w:rPr>
        <w:tab/>
        <w:t>Licences, and the person responsible</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On application under section 29 the Commissioner of Health,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shall be granted in a form approved by the Commissioner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w:t>
      </w:r>
    </w:p>
    <w:p>
      <w:pPr>
        <w:pStyle w:val="Heading5"/>
        <w:rPr>
          <w:snapToGrid w:val="0"/>
        </w:rPr>
      </w:pPr>
      <w:bookmarkStart w:id="288" w:name="_Toc403920034"/>
      <w:bookmarkStart w:id="289" w:name="_Toc520083437"/>
      <w:bookmarkStart w:id="290" w:name="_Toc7244919"/>
      <w:bookmarkStart w:id="291" w:name="_Toc9932958"/>
      <w:bookmarkStart w:id="292" w:name="_Toc120689243"/>
      <w:r>
        <w:rPr>
          <w:rStyle w:val="CharSectno"/>
        </w:rPr>
        <w:t>28</w:t>
      </w:r>
      <w:r>
        <w:rPr>
          <w:snapToGrid w:val="0"/>
        </w:rPr>
        <w:t>.</w:t>
      </w:r>
      <w:r>
        <w:rPr>
          <w:snapToGrid w:val="0"/>
        </w:rPr>
        <w:tab/>
        <w:t>Exemptions relating to artificial insemination</w:t>
      </w:r>
      <w:bookmarkEnd w:id="288"/>
      <w:bookmarkEnd w:id="289"/>
      <w:bookmarkEnd w:id="290"/>
      <w:bookmarkEnd w:id="291"/>
      <w:bookmarkEnd w:id="292"/>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applied for exemption from the licensing requirement in the prescribed manner, notifying the Commissioner of the kind of procedures that will be carried out by that practitioner; and</w:t>
      </w:r>
    </w:p>
    <w:p>
      <w:pPr>
        <w:pStyle w:val="Indenti"/>
        <w:rPr>
          <w:snapToGrid w:val="0"/>
        </w:rPr>
      </w:pPr>
      <w:r>
        <w:rPr>
          <w:snapToGrid w:val="0"/>
        </w:rPr>
        <w:tab/>
        <w:t>(ii)</w:t>
      </w:r>
      <w:r>
        <w:rPr>
          <w:snapToGrid w:val="0"/>
        </w:rPr>
        <w:tab/>
        <w:t>lodged with the Commissioner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but where the Commissioner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w:t>
      </w:r>
    </w:p>
    <w:p>
      <w:pPr>
        <w:pStyle w:val="Heading5"/>
      </w:pPr>
      <w:bookmarkStart w:id="293" w:name="_Toc120689244"/>
      <w:bookmarkStart w:id="294" w:name="_Toc403920035"/>
      <w:bookmarkStart w:id="295" w:name="_Toc520083438"/>
      <w:bookmarkStart w:id="296" w:name="_Toc7244920"/>
      <w:bookmarkStart w:id="297" w:name="_Toc9932959"/>
      <w:r>
        <w:rPr>
          <w:rStyle w:val="CharSectno"/>
        </w:rPr>
        <w:t>28A</w:t>
      </w:r>
      <w:r>
        <w:t>.</w:t>
      </w:r>
      <w:r>
        <w:tab/>
        <w:t>Exemptions relating to storage of certain embryos</w:t>
      </w:r>
      <w:bookmarkEnd w:id="293"/>
    </w:p>
    <w:p>
      <w:pPr>
        <w:pStyle w:val="Subsection"/>
      </w:pPr>
      <w:r>
        <w:tab/>
        <w:t>(1)</w:t>
      </w:r>
      <w:r>
        <w:tab/>
        <w:t>The Commissioner of Health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w:t>
      </w:r>
    </w:p>
    <w:p>
      <w:pPr>
        <w:pStyle w:val="Heading5"/>
        <w:rPr>
          <w:snapToGrid w:val="0"/>
        </w:rPr>
      </w:pPr>
      <w:bookmarkStart w:id="298" w:name="_Toc120689245"/>
      <w:r>
        <w:rPr>
          <w:rStyle w:val="CharSectno"/>
        </w:rPr>
        <w:t>29</w:t>
      </w:r>
      <w:r>
        <w:rPr>
          <w:snapToGrid w:val="0"/>
        </w:rPr>
        <w:t>.</w:t>
      </w:r>
      <w:r>
        <w:rPr>
          <w:snapToGrid w:val="0"/>
        </w:rPr>
        <w:tab/>
        <w:t>Applications, generally</w:t>
      </w:r>
      <w:bookmarkEnd w:id="294"/>
      <w:bookmarkEnd w:id="295"/>
      <w:bookmarkEnd w:id="296"/>
      <w:bookmarkEnd w:id="297"/>
      <w:bookmarkEnd w:id="298"/>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 Commissioner of Health,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supported by such further or other information as the Commissioner may in a particular case require.</w:t>
      </w:r>
    </w:p>
    <w:p>
      <w:pPr>
        <w:pStyle w:val="Subsection"/>
        <w:rPr>
          <w:snapToGrid w:val="0"/>
        </w:rPr>
      </w:pPr>
      <w:r>
        <w:rPr>
          <w:snapToGrid w:val="0"/>
        </w:rPr>
        <w:tab/>
        <w:t>(2)</w:t>
      </w:r>
      <w:r>
        <w:rPr>
          <w:snapToGrid w:val="0"/>
        </w:rPr>
        <w:tab/>
        <w:t>The Commissioner, or a person authorised by the Commissioner,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Commissioner of Health</w:t>
      </w:r>
      <w:r>
        <w:rPr>
          <w:snapToGrid w:val="0"/>
        </w:rPr>
        <w:t xml:space="preserve"> is of the opinion that the information provided in relation to the application is insufficient to enable him or her to determine the application, the Commissioner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The Commissioner</w:t>
      </w:r>
      <w:r>
        <w:t xml:space="preserve"> of Health</w:t>
      </w:r>
      <w:r>
        <w:rPr>
          <w:snapToGrid w:val="0"/>
        </w:rPr>
        <w:t xml:space="preserve"> 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Commissioner of Health</w:t>
      </w:r>
      <w:r>
        <w:rPr>
          <w:snapToGrid w:val="0"/>
        </w:rPr>
        <w:t xml:space="preserve"> 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Commissioner of Health</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Commissioner of Health</w:t>
      </w:r>
      <w:r>
        <w:rPr>
          <w:snapToGrid w:val="0"/>
        </w:rPr>
        <w:t xml:space="preserve"> 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Commissioner of Health</w:t>
      </w:r>
      <w:r>
        <w:rPr>
          <w:snapToGrid w:val="0"/>
        </w:rPr>
        <w:t xml:space="preserve"> thinks fit, in a manner that the </w:t>
      </w:r>
      <w:r>
        <w:t>Commissioner of Health</w:t>
      </w:r>
      <w:r>
        <w:rPr>
          <w:snapToGrid w:val="0"/>
        </w:rPr>
        <w:t xml:space="preserve"> considers to be in the public interest.</w:t>
      </w:r>
    </w:p>
    <w:p>
      <w:pPr>
        <w:pStyle w:val="Subsection"/>
        <w:rPr>
          <w:snapToGrid w:val="0"/>
        </w:rPr>
      </w:pPr>
      <w:r>
        <w:rPr>
          <w:snapToGrid w:val="0"/>
        </w:rPr>
        <w:tab/>
        <w:t>(8)</w:t>
      </w:r>
      <w:r>
        <w:rPr>
          <w:snapToGrid w:val="0"/>
        </w:rPr>
        <w:tab/>
        <w:t xml:space="preserve">Where the </w:t>
      </w:r>
      <w:r>
        <w:t>Commissioner of Health</w:t>
      </w:r>
      <w:r>
        <w:rPr>
          <w:snapToGrid w:val="0"/>
        </w:rPr>
        <w:t xml:space="preserve"> 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w:t>
      </w:r>
    </w:p>
    <w:p>
      <w:pPr>
        <w:pStyle w:val="Heading5"/>
        <w:spacing w:before="280"/>
        <w:rPr>
          <w:snapToGrid w:val="0"/>
        </w:rPr>
      </w:pPr>
      <w:bookmarkStart w:id="299" w:name="_Toc403920036"/>
      <w:bookmarkStart w:id="300" w:name="_Toc520083439"/>
      <w:bookmarkStart w:id="301" w:name="_Toc7244921"/>
      <w:bookmarkStart w:id="302" w:name="_Toc9932960"/>
      <w:bookmarkStart w:id="303" w:name="_Toc120689246"/>
      <w:r>
        <w:rPr>
          <w:rStyle w:val="CharSectno"/>
        </w:rPr>
        <w:t>30</w:t>
      </w:r>
      <w:r>
        <w:rPr>
          <w:snapToGrid w:val="0"/>
        </w:rPr>
        <w:t>.</w:t>
      </w:r>
      <w:r>
        <w:rPr>
          <w:snapToGrid w:val="0"/>
        </w:rPr>
        <w:tab/>
        <w:t>Interim authorisations and transitional directions</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applies to the Commissioner of Health for approval so to carry on; and</w:t>
      </w:r>
    </w:p>
    <w:p>
      <w:pPr>
        <w:pStyle w:val="Indenta"/>
        <w:rPr>
          <w:snapToGrid w:val="0"/>
        </w:rPr>
      </w:pPr>
      <w:r>
        <w:rPr>
          <w:snapToGrid w:val="0"/>
        </w:rPr>
        <w:tab/>
        <w:t>(b)</w:t>
      </w:r>
      <w:r>
        <w:rPr>
          <w:snapToGrid w:val="0"/>
        </w:rPr>
        <w:tab/>
        <w:t>the Commissioner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the Commissioner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by notice in writing given by the Commissioner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Commissioner of Health</w:t>
      </w:r>
      <w:r>
        <w:rPr>
          <w:snapToGrid w:val="0"/>
        </w:rPr>
        <w:t xml:space="preserve"> 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w:t>
      </w:r>
    </w:p>
    <w:p>
      <w:pPr>
        <w:pStyle w:val="Heading3"/>
        <w:rPr>
          <w:snapToGrid w:val="0"/>
        </w:rPr>
      </w:pPr>
      <w:bookmarkStart w:id="304" w:name="_Toc78092258"/>
      <w:bookmarkStart w:id="305" w:name="_Toc78103477"/>
      <w:bookmarkStart w:id="306" w:name="_Toc78103580"/>
      <w:bookmarkStart w:id="307" w:name="_Toc89667729"/>
      <w:bookmarkStart w:id="308" w:name="_Toc89748849"/>
      <w:bookmarkStart w:id="309" w:name="_Toc90963688"/>
      <w:bookmarkStart w:id="310" w:name="_Toc92862208"/>
      <w:bookmarkStart w:id="311" w:name="_Toc97106981"/>
      <w:bookmarkStart w:id="312" w:name="_Toc102884070"/>
      <w:bookmarkStart w:id="313" w:name="_Toc114890301"/>
      <w:bookmarkStart w:id="314" w:name="_Toc118874802"/>
      <w:bookmarkStart w:id="315" w:name="_Toc118875084"/>
      <w:bookmarkStart w:id="316" w:name="_Toc119232964"/>
      <w:bookmarkStart w:id="317" w:name="_Toc119386202"/>
      <w:bookmarkStart w:id="318" w:name="_Toc120689247"/>
      <w:r>
        <w:rPr>
          <w:rStyle w:val="CharDivNo"/>
        </w:rPr>
        <w:t>Division 2</w:t>
      </w:r>
      <w:r>
        <w:rPr>
          <w:snapToGrid w:val="0"/>
        </w:rPr>
        <w:t> — </w:t>
      </w:r>
      <w:r>
        <w:rPr>
          <w:rStyle w:val="CharDivText"/>
        </w:rPr>
        <w:t>Directions and conditions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Heading5"/>
        <w:rPr>
          <w:snapToGrid w:val="0"/>
        </w:rPr>
      </w:pPr>
      <w:bookmarkStart w:id="319" w:name="_Toc403920037"/>
      <w:bookmarkStart w:id="320" w:name="_Toc520083440"/>
      <w:bookmarkStart w:id="321" w:name="_Toc7244922"/>
      <w:bookmarkStart w:id="322" w:name="_Toc9932961"/>
      <w:bookmarkStart w:id="323" w:name="_Toc120689248"/>
      <w:r>
        <w:rPr>
          <w:rStyle w:val="CharSectno"/>
        </w:rPr>
        <w:t>31</w:t>
      </w:r>
      <w:r>
        <w:rPr>
          <w:snapToGrid w:val="0"/>
        </w:rPr>
        <w:t>.</w:t>
      </w:r>
      <w:r>
        <w:rPr>
          <w:snapToGrid w:val="0"/>
        </w:rPr>
        <w:tab/>
        <w:t>Directions, generally</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Commissioner of Health 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Heading5"/>
        <w:rPr>
          <w:snapToGrid w:val="0"/>
        </w:rPr>
      </w:pPr>
      <w:bookmarkStart w:id="324" w:name="_Toc403920038"/>
      <w:bookmarkStart w:id="325" w:name="_Toc520083441"/>
      <w:bookmarkStart w:id="326" w:name="_Toc7244923"/>
      <w:bookmarkStart w:id="327" w:name="_Toc9932962"/>
      <w:bookmarkStart w:id="328" w:name="_Toc120689249"/>
      <w:r>
        <w:rPr>
          <w:rStyle w:val="CharSectno"/>
        </w:rPr>
        <w:t>32</w:t>
      </w:r>
      <w:r>
        <w:rPr>
          <w:snapToGrid w:val="0"/>
        </w:rPr>
        <w:t>.</w:t>
      </w:r>
      <w:r>
        <w:rPr>
          <w:snapToGrid w:val="0"/>
        </w:rPr>
        <w:tab/>
        <w:t>Terms, conditions and directions specifically applicable</w:t>
      </w:r>
      <w:bookmarkEnd w:id="324"/>
      <w:bookmarkEnd w:id="325"/>
      <w:bookmarkEnd w:id="326"/>
      <w:bookmarkEnd w:id="327"/>
      <w:bookmarkEnd w:id="328"/>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Commissioner of Health</w:t>
      </w:r>
      <w:r>
        <w:rPr>
          <w:snapToGrid w:val="0"/>
        </w:rPr>
        <w:t>, the Commissioner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Commissioner of Health</w:t>
      </w:r>
      <w:r>
        <w:rPr>
          <w:snapToGrid w:val="0"/>
        </w:rPr>
        <w:t xml:space="preserve"> 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as the Commissioner of Health 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The Commissioner</w:t>
      </w:r>
      <w:r>
        <w:t xml:space="preserve"> of Health</w:t>
      </w:r>
      <w:r>
        <w:rPr>
          <w:snapToGrid w:val="0"/>
        </w:rPr>
        <w:t xml:space="preserve"> 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w:t>
      </w:r>
    </w:p>
    <w:p>
      <w:pPr>
        <w:pStyle w:val="Heading5"/>
        <w:spacing w:before="120"/>
        <w:rPr>
          <w:snapToGrid w:val="0"/>
        </w:rPr>
      </w:pPr>
      <w:bookmarkStart w:id="329" w:name="_Toc403920039"/>
      <w:bookmarkStart w:id="330" w:name="_Toc520083442"/>
      <w:bookmarkStart w:id="331" w:name="_Toc7244924"/>
      <w:bookmarkStart w:id="332" w:name="_Toc9932963"/>
      <w:bookmarkStart w:id="333" w:name="_Toc120689250"/>
      <w:r>
        <w:rPr>
          <w:rStyle w:val="CharSectno"/>
        </w:rPr>
        <w:t>33</w:t>
      </w:r>
      <w:r>
        <w:rPr>
          <w:snapToGrid w:val="0"/>
        </w:rPr>
        <w:t>.</w:t>
      </w:r>
      <w:r>
        <w:rPr>
          <w:snapToGrid w:val="0"/>
        </w:rPr>
        <w:tab/>
        <w:t>Conditions applicable to all licences and exemptions</w:t>
      </w:r>
      <w:bookmarkEnd w:id="329"/>
      <w:bookmarkEnd w:id="330"/>
      <w:bookmarkEnd w:id="331"/>
      <w:bookmarkEnd w:id="332"/>
      <w:bookmarkEnd w:id="333"/>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that proper records in relation to the practice, procedures and participants be maintained, in such manner and form and including such information about such matters as this Act or the terms or conditions of the licence or exemption may require or the Commissioner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Commissioner may by directions specify;</w:t>
      </w:r>
    </w:p>
    <w:p>
      <w:pPr>
        <w:pStyle w:val="Indenta"/>
        <w:rPr>
          <w:snapToGrid w:val="0"/>
        </w:rPr>
      </w:pPr>
      <w:r>
        <w:rPr>
          <w:snapToGrid w:val="0"/>
        </w:rPr>
        <w:tab/>
        <w:t>(h)</w:t>
      </w:r>
      <w:r>
        <w:rPr>
          <w:snapToGrid w:val="0"/>
        </w:rPr>
        <w:tab/>
        <w:t>that the Commissioner shall be provided, in such form and at such times as directions may specify, with such copies of or extracts from records to which this Act relates, or other information for the purposes of this Act, as the Commissioner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 Commissioner.</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w:t>
      </w:r>
    </w:p>
    <w:p>
      <w:pPr>
        <w:pStyle w:val="Heading5"/>
        <w:rPr>
          <w:snapToGrid w:val="0"/>
        </w:rPr>
      </w:pPr>
      <w:bookmarkStart w:id="334" w:name="_Toc403920040"/>
      <w:bookmarkStart w:id="335" w:name="_Toc520083443"/>
      <w:bookmarkStart w:id="336" w:name="_Toc7244925"/>
      <w:bookmarkStart w:id="337" w:name="_Toc9932964"/>
      <w:bookmarkStart w:id="338" w:name="_Toc120689251"/>
      <w:r>
        <w:rPr>
          <w:rStyle w:val="CharSectno"/>
        </w:rPr>
        <w:t>34</w:t>
      </w:r>
      <w:r>
        <w:rPr>
          <w:snapToGrid w:val="0"/>
        </w:rPr>
        <w:t>.</w:t>
      </w:r>
      <w:r>
        <w:rPr>
          <w:snapToGrid w:val="0"/>
        </w:rPr>
        <w:tab/>
        <w:t>Contravention of a condition or direction</w:t>
      </w:r>
      <w:bookmarkEnd w:id="334"/>
      <w:bookmarkEnd w:id="335"/>
      <w:bookmarkEnd w:id="336"/>
      <w:bookmarkEnd w:id="337"/>
      <w:bookmarkEnd w:id="338"/>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339" w:name="_Toc403920041"/>
      <w:bookmarkStart w:id="340" w:name="_Toc520083444"/>
      <w:bookmarkStart w:id="341" w:name="_Toc7244926"/>
      <w:bookmarkStart w:id="342" w:name="_Toc9932965"/>
      <w:bookmarkStart w:id="343" w:name="_Toc120689252"/>
      <w:r>
        <w:rPr>
          <w:rStyle w:val="CharSectno"/>
        </w:rPr>
        <w:t>35</w:t>
      </w:r>
      <w:r>
        <w:rPr>
          <w:snapToGrid w:val="0"/>
        </w:rPr>
        <w:t>.</w:t>
      </w:r>
      <w:r>
        <w:rPr>
          <w:snapToGrid w:val="0"/>
        </w:rPr>
        <w:tab/>
        <w:t>Notice and coming into operation of directions and conditions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 Commissioner of Health;</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Commissioner of Health</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w:t>
      </w:r>
    </w:p>
    <w:p>
      <w:pPr>
        <w:pStyle w:val="Heading3"/>
        <w:rPr>
          <w:snapToGrid w:val="0"/>
        </w:rPr>
      </w:pPr>
      <w:bookmarkStart w:id="344" w:name="_Toc78092264"/>
      <w:bookmarkStart w:id="345" w:name="_Toc78103483"/>
      <w:bookmarkStart w:id="346" w:name="_Toc78103586"/>
      <w:bookmarkStart w:id="347" w:name="_Toc89667735"/>
      <w:bookmarkStart w:id="348" w:name="_Toc89748855"/>
      <w:bookmarkStart w:id="349" w:name="_Toc90963694"/>
      <w:bookmarkStart w:id="350" w:name="_Toc92862214"/>
      <w:bookmarkStart w:id="351" w:name="_Toc97106987"/>
      <w:bookmarkStart w:id="352" w:name="_Toc102884076"/>
      <w:bookmarkStart w:id="353" w:name="_Toc114890307"/>
      <w:bookmarkStart w:id="354" w:name="_Toc118874808"/>
      <w:bookmarkStart w:id="355" w:name="_Toc118875090"/>
      <w:bookmarkStart w:id="356" w:name="_Toc119232970"/>
      <w:bookmarkStart w:id="357" w:name="_Toc119386208"/>
      <w:bookmarkStart w:id="358" w:name="_Toc120689253"/>
      <w:r>
        <w:rPr>
          <w:rStyle w:val="CharDivNo"/>
        </w:rPr>
        <w:t>Division 3</w:t>
      </w:r>
      <w:r>
        <w:rPr>
          <w:snapToGrid w:val="0"/>
        </w:rPr>
        <w:t> — </w:t>
      </w:r>
      <w:r>
        <w:rPr>
          <w:rStyle w:val="CharDivText"/>
        </w:rPr>
        <w:t>Suspension or cancellation, and disciplinary action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403920042"/>
      <w:bookmarkStart w:id="360" w:name="_Toc520083445"/>
      <w:bookmarkStart w:id="361" w:name="_Toc7244927"/>
      <w:bookmarkStart w:id="362" w:name="_Toc9932966"/>
      <w:bookmarkStart w:id="363" w:name="_Toc120689254"/>
      <w:r>
        <w:rPr>
          <w:rStyle w:val="CharSectno"/>
        </w:rPr>
        <w:t>36</w:t>
      </w:r>
      <w:r>
        <w:rPr>
          <w:snapToGrid w:val="0"/>
        </w:rPr>
        <w:t>.</w:t>
      </w:r>
      <w:r>
        <w:rPr>
          <w:snapToGrid w:val="0"/>
        </w:rPr>
        <w:tab/>
        <w:t>Suspension or cancellation of a licence or exemption, other than on disciplinary grounds</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Commissioner of Health, on application made by the licensee, may suspend the operation of any licence or exemption.</w:t>
      </w:r>
    </w:p>
    <w:p>
      <w:pPr>
        <w:pStyle w:val="Subsection"/>
        <w:rPr>
          <w:snapToGrid w:val="0"/>
        </w:rPr>
      </w:pPr>
      <w:r>
        <w:rPr>
          <w:snapToGrid w:val="0"/>
        </w:rPr>
        <w:tab/>
        <w:t>(2)</w:t>
      </w:r>
      <w:r>
        <w:rPr>
          <w:snapToGrid w:val="0"/>
        </w:rPr>
        <w:tab/>
        <w:t xml:space="preserve">The Commissioner of Health 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Commissioner of Health 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The Commissioner of Health may by notice suspend the operation of any licence or exemption with immediate effect, by reason of any requirement of public health, where in the opinion of the Commissioner of Health imminent risk of serious harm to a person may occur.</w:t>
      </w:r>
    </w:p>
    <w:p>
      <w:pPr>
        <w:pStyle w:val="Subsection"/>
        <w:rPr>
          <w:snapToGrid w:val="0"/>
        </w:rPr>
      </w:pPr>
      <w:r>
        <w:rPr>
          <w:snapToGrid w:val="0"/>
        </w:rPr>
        <w:tab/>
        <w:t>(2b)</w:t>
      </w:r>
      <w:r>
        <w:rPr>
          <w:snapToGrid w:val="0"/>
        </w:rPr>
        <w:tab/>
        <w:t>A notice under subsection (2a) is to state that the Commissioner of Health will refer the matter to the State Administrative Tribunal within 14 days of giving the notice.</w:t>
      </w:r>
    </w:p>
    <w:p>
      <w:pPr>
        <w:pStyle w:val="Subsection"/>
      </w:pPr>
      <w:r>
        <w:rPr>
          <w:snapToGrid w:val="0"/>
        </w:rPr>
        <w:tab/>
        <w:t>(2c)</w:t>
      </w:r>
      <w:r>
        <w:rPr>
          <w:snapToGrid w:val="0"/>
        </w:rPr>
        <w:tab/>
        <w:t>The Commissioner of Health 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Commissioner of Health as to damages, such suspension shall lapse or be rescinded at the expiration of 21 days from the commencement of such referral.</w:t>
      </w:r>
    </w:p>
    <w:p>
      <w:pPr>
        <w:pStyle w:val="Footnotesection"/>
      </w:pPr>
      <w:r>
        <w:tab/>
        <w:t>[Section 36 amended by No. 55 of 2004 s. 528.]</w:t>
      </w:r>
    </w:p>
    <w:p>
      <w:pPr>
        <w:pStyle w:val="Heading5"/>
      </w:pPr>
      <w:bookmarkStart w:id="364" w:name="_Toc120689255"/>
      <w:bookmarkStart w:id="365" w:name="_Toc403920043"/>
      <w:bookmarkStart w:id="366" w:name="_Toc520083446"/>
      <w:bookmarkStart w:id="367" w:name="_Toc7244928"/>
      <w:bookmarkStart w:id="368" w:name="_Toc9932967"/>
      <w:r>
        <w:rPr>
          <w:rStyle w:val="CharSectno"/>
        </w:rPr>
        <w:t>36A</w:t>
      </w:r>
      <w:r>
        <w:t>.</w:t>
      </w:r>
      <w:r>
        <w:tab/>
      </w:r>
      <w:r>
        <w:rPr>
          <w:snapToGrid w:val="0"/>
        </w:rPr>
        <w:t>Referring to State Administrative Tribunal a matter leading to a section 36(2a) notice</w:t>
      </w:r>
      <w:bookmarkEnd w:id="364"/>
    </w:p>
    <w:p>
      <w:pPr>
        <w:pStyle w:val="Subsection"/>
        <w:rPr>
          <w:snapToGrid w:val="0"/>
        </w:rPr>
      </w:pPr>
      <w:r>
        <w:tab/>
      </w:r>
      <w:r>
        <w:tab/>
      </w:r>
      <w:r>
        <w:rPr>
          <w:snapToGrid w:val="0"/>
        </w:rPr>
        <w:t>Within 14 days of giving a notice under section 36(2a), if that notice is not revoked under section 36(2c), the Commissioner of Health shall refer the matter in respect of which the notice was made to the State Administrative Tribunal.</w:t>
      </w:r>
    </w:p>
    <w:p>
      <w:pPr>
        <w:pStyle w:val="Footnotesection"/>
      </w:pPr>
      <w:r>
        <w:tab/>
        <w:t>[Section 36A inserted by No. 55 of 2004 s. 529.]</w:t>
      </w:r>
    </w:p>
    <w:p>
      <w:pPr>
        <w:pStyle w:val="Heading5"/>
        <w:rPr>
          <w:snapToGrid w:val="0"/>
        </w:rPr>
      </w:pPr>
      <w:bookmarkStart w:id="369" w:name="_Toc120689256"/>
      <w:r>
        <w:rPr>
          <w:rStyle w:val="CharSectno"/>
        </w:rPr>
        <w:t>37</w:t>
      </w:r>
      <w:r>
        <w:rPr>
          <w:snapToGrid w:val="0"/>
        </w:rPr>
        <w:t>.</w:t>
      </w:r>
      <w:r>
        <w:rPr>
          <w:snapToGrid w:val="0"/>
        </w:rPr>
        <w:tab/>
        <w:t>Summary determinations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If it appears to the Commissioner of Health that a licensee or a person to whom section 40(2) applies may, by reason of a matter of a kind referred to in section 39, be liable to a penalty and that a penalty appropriate to the case is provided by section 40(1)(a) to (f), the Commissioner may, on making a summary determination to that effect, issue a written warning or impose a penalty of that kind summarily.</w:t>
      </w:r>
    </w:p>
    <w:p>
      <w:pPr>
        <w:pStyle w:val="Subsection"/>
      </w:pPr>
      <w:r>
        <w:tab/>
        <w:t>(1a)</w:t>
      </w:r>
      <w:r>
        <w:tab/>
      </w:r>
      <w:r>
        <w:rPr>
          <w:snapToGrid w:val="0"/>
        </w:rPr>
        <w:t>The Commission of Health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 Commissioner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setting out short particulars of the reason and giving that person a reasonable opportunity, within a period specified in that notice, to show cause to the Commissioner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Commissioner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effect may, by notice in writing to that person, be given to the summary determination and thereupon the warning or penalty proposed, or such lesser penalty as the Commissioner may think appropriate and specify instead in that notice, shall, as from the date specified in that notice, be thereby imposed.</w:t>
      </w:r>
    </w:p>
    <w:p>
      <w:pPr>
        <w:pStyle w:val="Footnotesection"/>
      </w:pPr>
      <w:r>
        <w:tab/>
        <w:t>[Section 37 amended by No. 55 of 2004 s. 530.]</w:t>
      </w:r>
    </w:p>
    <w:p>
      <w:pPr>
        <w:pStyle w:val="Heading5"/>
      </w:pPr>
      <w:bookmarkStart w:id="370" w:name="_Toc120689257"/>
      <w:bookmarkStart w:id="371" w:name="_Toc403920045"/>
      <w:bookmarkStart w:id="372" w:name="_Toc520083448"/>
      <w:bookmarkStart w:id="373" w:name="_Toc7244930"/>
      <w:bookmarkStart w:id="374" w:name="_Toc9932969"/>
      <w:r>
        <w:rPr>
          <w:rStyle w:val="CharSectno"/>
        </w:rPr>
        <w:t>38</w:t>
      </w:r>
      <w:r>
        <w:t>.</w:t>
      </w:r>
      <w:r>
        <w:tab/>
        <w:t>Disciplinary action</w:t>
      </w:r>
      <w:bookmarkEnd w:id="370"/>
    </w:p>
    <w:p>
      <w:pPr>
        <w:pStyle w:val="Subsection"/>
        <w:rPr>
          <w:snapToGrid w:val="0"/>
        </w:rPr>
      </w:pPr>
      <w:r>
        <w:rPr>
          <w:snapToGrid w:val="0"/>
        </w:rPr>
        <w:tab/>
        <w:t>(1)</w:t>
      </w:r>
      <w:r>
        <w:rPr>
          <w:snapToGrid w:val="0"/>
        </w:rPr>
        <w:tab/>
        <w:t>Where —</w:t>
      </w:r>
    </w:p>
    <w:p>
      <w:pPr>
        <w:pStyle w:val="Indenta"/>
      </w:pPr>
      <w:r>
        <w:tab/>
        <w:t>(a)</w:t>
      </w:r>
      <w:r>
        <w:tab/>
      </w:r>
      <w:r>
        <w:rPr>
          <w:snapToGrid w:val="0"/>
        </w:rPr>
        <w:t>the licensee or other person liable to a warning or penalty does not consent to a summary determination or submit to the discretion of the Commissioner of Health under section 37; or</w:t>
      </w:r>
    </w:p>
    <w:p>
      <w:pPr>
        <w:pStyle w:val="Indenta"/>
      </w:pPr>
      <w:r>
        <w:tab/>
        <w:t>(b)</w:t>
      </w:r>
      <w:r>
        <w:tab/>
      </w:r>
      <w:r>
        <w:rPr>
          <w:snapToGrid w:val="0"/>
        </w:rPr>
        <w:t>it appears to the Commissioner that a penalty provided by section 40(1)(a) to (f) may not be appropriate or that effect has not been given under section 37(3) to the summary penalty imposed,</w:t>
      </w:r>
    </w:p>
    <w:p>
      <w:pPr>
        <w:pStyle w:val="Subsection"/>
      </w:pPr>
      <w:r>
        <w:rPr>
          <w:snapToGrid w:val="0"/>
        </w:rPr>
        <w:tab/>
      </w:r>
      <w:r>
        <w:rPr>
          <w:snapToGrid w:val="0"/>
        </w:rPr>
        <w:tab/>
        <w:t>the Commissioner may make an allegation to the State Administrative Tribunal in respect of the matter.</w:t>
      </w:r>
    </w:p>
    <w:p>
      <w:pPr>
        <w:pStyle w:val="Subsection"/>
        <w:rPr>
          <w:snapToGrid w:val="0"/>
        </w:rPr>
      </w:pPr>
      <w:r>
        <w:rPr>
          <w:snapToGrid w:val="0"/>
        </w:rPr>
        <w:tab/>
        <w:t>(1a)</w:t>
      </w:r>
      <w:r>
        <w:rPr>
          <w:snapToGrid w:val="0"/>
        </w:rPr>
        <w:tab/>
        <w:t>If the Commissioner of Health makes an allegation to the State Administrative Tribunal under subsection (1)(a), the Commissioner shall advise the Council that the allegation has been made.</w:t>
      </w:r>
    </w:p>
    <w:p>
      <w:pPr>
        <w:pStyle w:val="Subsection"/>
        <w:rPr>
          <w:snapToGrid w:val="0"/>
        </w:rPr>
      </w:pPr>
      <w:r>
        <w:rPr>
          <w:snapToGrid w:val="0"/>
        </w:rPr>
        <w:tab/>
        <w:t>(1b)</w:t>
      </w:r>
      <w:r>
        <w:rPr>
          <w:snapToGrid w:val="0"/>
        </w:rPr>
        <w:tab/>
        <w:t>If the Commissioner of Health proposes to make an allegation to the State Administrative Tribunal under subsection (1)(b), the Commissioner shall first consult the Council.</w:t>
      </w:r>
    </w:p>
    <w:p>
      <w:pPr>
        <w:pStyle w:val="Footnotesection"/>
      </w:pPr>
      <w:r>
        <w:tab/>
        <w:t>[Section 38 inserted by No. 55 of 2004 s. 531.]</w:t>
      </w:r>
    </w:p>
    <w:p>
      <w:pPr>
        <w:pStyle w:val="Heading5"/>
        <w:rPr>
          <w:snapToGrid w:val="0"/>
        </w:rPr>
      </w:pPr>
      <w:bookmarkStart w:id="375" w:name="_Toc120689258"/>
      <w:r>
        <w:rPr>
          <w:rStyle w:val="CharSectno"/>
        </w:rPr>
        <w:t>39</w:t>
      </w:r>
      <w:r>
        <w:rPr>
          <w:snapToGrid w:val="0"/>
        </w:rPr>
        <w:t>.</w:t>
      </w:r>
      <w:r>
        <w:rPr>
          <w:snapToGrid w:val="0"/>
        </w:rPr>
        <w:tab/>
        <w:t>Matters that may be the subject of disciplinary action</w:t>
      </w:r>
      <w:bookmarkEnd w:id="371"/>
      <w:bookmarkEnd w:id="372"/>
      <w:bookmarkEnd w:id="373"/>
      <w:bookmarkEnd w:id="374"/>
      <w:bookmarkEnd w:id="37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376" w:name="_Toc403920046"/>
      <w:bookmarkStart w:id="377" w:name="_Toc520083449"/>
      <w:bookmarkStart w:id="378" w:name="_Toc7244931"/>
      <w:bookmarkStart w:id="379" w:name="_Toc9932970"/>
      <w:bookmarkStart w:id="380" w:name="_Toc120689259"/>
      <w:r>
        <w:rPr>
          <w:rStyle w:val="CharSectno"/>
        </w:rPr>
        <w:t>40</w:t>
      </w:r>
      <w:r>
        <w:rPr>
          <w:snapToGrid w:val="0"/>
        </w:rPr>
        <w:t>.</w:t>
      </w:r>
      <w:r>
        <w:rPr>
          <w:snapToGrid w:val="0"/>
        </w:rPr>
        <w:tab/>
        <w:t>Penalties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Commissioner of Health 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and may make such other ancillary Order, including an Order for the payment of costs not exceeding the prescribed amount, as the Commissioner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Commissioner of Health</w:t>
      </w:r>
      <w:r>
        <w:rPr>
          <w:snapToGrid w:val="0"/>
        </w:rPr>
        <w:t xml:space="preserve"> 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The Commissioner of Health 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w:t>
      </w:r>
    </w:p>
    <w:p>
      <w:pPr>
        <w:pStyle w:val="Heading5"/>
        <w:rPr>
          <w:snapToGrid w:val="0"/>
        </w:rPr>
      </w:pPr>
      <w:bookmarkStart w:id="381" w:name="_Toc403920047"/>
      <w:bookmarkStart w:id="382" w:name="_Toc520083450"/>
      <w:bookmarkStart w:id="383" w:name="_Toc7244932"/>
      <w:bookmarkStart w:id="384" w:name="_Toc9932971"/>
      <w:bookmarkStart w:id="385" w:name="_Toc120689260"/>
      <w:r>
        <w:rPr>
          <w:rStyle w:val="CharSectno"/>
        </w:rPr>
        <w:t>41</w:t>
      </w:r>
      <w:r>
        <w:rPr>
          <w:snapToGrid w:val="0"/>
        </w:rPr>
        <w:t>.</w:t>
      </w:r>
      <w:r>
        <w:rPr>
          <w:snapToGrid w:val="0"/>
        </w:rPr>
        <w:tab/>
        <w:t>Effect on pending procedures</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suspension of the operation of a licence or exemption, the cancellation of a licence, the revocation of an exemption or a change in the terms and conditions imposed in relation to a licence or exemption does not, unless the Commissioner of Health 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 xml:space="preserve">Where a licence or exemption under which a procedure was commenced, or was purportedly commenced, ceases to have effect the Commissioner,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Commissioner of Health may require that such egg, embryo or gametes be stored in accordance with this Act thereafter in a manner and by a person approved by the Commissioner.</w:t>
      </w:r>
    </w:p>
    <w:p>
      <w:pPr>
        <w:pStyle w:val="Footnotesection"/>
      </w:pPr>
      <w:r>
        <w:tab/>
        <w:t>[Section 41 amended by No. 17 of 2004 s. 29.]</w:t>
      </w:r>
    </w:p>
    <w:p>
      <w:pPr>
        <w:pStyle w:val="Heading3"/>
      </w:pPr>
      <w:bookmarkStart w:id="386" w:name="_Toc78092271"/>
      <w:bookmarkStart w:id="387" w:name="_Toc78103490"/>
      <w:bookmarkStart w:id="388" w:name="_Toc78103593"/>
      <w:bookmarkStart w:id="389" w:name="_Toc89667742"/>
      <w:bookmarkStart w:id="390" w:name="_Toc89748862"/>
      <w:bookmarkStart w:id="391" w:name="_Toc90963703"/>
      <w:bookmarkStart w:id="392" w:name="_Toc92862222"/>
      <w:bookmarkStart w:id="393" w:name="_Toc97106995"/>
      <w:bookmarkStart w:id="394" w:name="_Toc102884084"/>
      <w:bookmarkStart w:id="395" w:name="_Toc114890315"/>
      <w:bookmarkStart w:id="396" w:name="_Toc118874816"/>
      <w:bookmarkStart w:id="397" w:name="_Toc118875098"/>
      <w:bookmarkStart w:id="398" w:name="_Toc119232978"/>
      <w:bookmarkStart w:id="399" w:name="_Toc119386216"/>
      <w:bookmarkStart w:id="400" w:name="_Toc120689261"/>
      <w:r>
        <w:rPr>
          <w:rStyle w:val="CharDivNo"/>
        </w:rPr>
        <w:t>Division 4</w:t>
      </w:r>
      <w:r>
        <w:rPr>
          <w:snapToGrid w:val="0"/>
        </w:rPr>
        <w:t> — </w:t>
      </w:r>
      <w:r>
        <w:rPr>
          <w:rStyle w:val="CharDivText"/>
        </w:rPr>
        <w:t>State Administrative Tribunal powers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Footnoteheading"/>
        <w:tabs>
          <w:tab w:val="left" w:pos="851"/>
        </w:tabs>
      </w:pPr>
      <w:r>
        <w:tab/>
        <w:t>[Heading amended by No. 55 of 2004 s. 534.]</w:t>
      </w:r>
    </w:p>
    <w:p>
      <w:pPr>
        <w:pStyle w:val="Heading5"/>
        <w:rPr>
          <w:snapToGrid w:val="0"/>
        </w:rPr>
      </w:pPr>
      <w:bookmarkStart w:id="401" w:name="_Toc120689262"/>
      <w:r>
        <w:rPr>
          <w:rStyle w:val="CharSectno"/>
        </w:rPr>
        <w:t>42</w:t>
      </w:r>
      <w:r>
        <w:rPr>
          <w:snapToGrid w:val="0"/>
        </w:rPr>
        <w:t>.</w:t>
      </w:r>
      <w:r>
        <w:rPr>
          <w:snapToGrid w:val="0"/>
        </w:rPr>
        <w:tab/>
        <w:t>Reviews</w:t>
      </w:r>
      <w:bookmarkEnd w:id="401"/>
      <w:r>
        <w:rPr>
          <w:snapToGrid w:val="0"/>
        </w:rPr>
        <w:t xml:space="preserve"> </w:t>
      </w:r>
    </w:p>
    <w:p>
      <w:pPr>
        <w:pStyle w:val="Subsection"/>
        <w:rPr>
          <w:snapToGrid w:val="0"/>
        </w:rPr>
      </w:pPr>
      <w:r>
        <w:rPr>
          <w:snapToGrid w:val="0"/>
        </w:rPr>
        <w:tab/>
        <w:t>(1)</w:t>
      </w:r>
      <w:r>
        <w:rPr>
          <w:snapToGrid w:val="0"/>
        </w:rPr>
        <w:tab/>
        <w:t>Where the</w:t>
      </w:r>
      <w:r>
        <w:t xml:space="preserve"> Commissioner of Health</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notice shall be given in writing by the Commissioner of Health to the applicant or the licensee of that decision, setting out short particulars of the reason, and giving that person a reasonable opportunity, within a period specified in that notice, to make representations or show cause to the Commissioner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Any person liable to a penalty thereunder or to be adversely affected thereby, may apply to the State Administrative Tribunal for a review of any decision made by the Commissioner of Health by way of a summary determination in respect of a disciplinary matter.</w:t>
      </w:r>
    </w:p>
    <w:p>
      <w:pPr>
        <w:pStyle w:val="Footnotesection"/>
      </w:pPr>
      <w:r>
        <w:tab/>
        <w:t>[Section 42 amended by No. 55 of 2004 s. 535 and 540.]</w:t>
      </w:r>
    </w:p>
    <w:p>
      <w:pPr>
        <w:pStyle w:val="Heading5"/>
        <w:rPr>
          <w:snapToGrid w:val="0"/>
        </w:rPr>
      </w:pPr>
      <w:bookmarkStart w:id="402" w:name="_Toc403920049"/>
      <w:bookmarkStart w:id="403" w:name="_Toc520083452"/>
      <w:bookmarkStart w:id="404" w:name="_Toc7244934"/>
      <w:bookmarkStart w:id="405" w:name="_Toc9932973"/>
      <w:bookmarkStart w:id="406" w:name="_Toc120689263"/>
      <w:r>
        <w:rPr>
          <w:rStyle w:val="CharSectno"/>
        </w:rPr>
        <w:t>43</w:t>
      </w:r>
      <w:r>
        <w:rPr>
          <w:snapToGrid w:val="0"/>
        </w:rPr>
        <w:t>.</w:t>
      </w:r>
      <w:r>
        <w:rPr>
          <w:snapToGrid w:val="0"/>
        </w:rPr>
        <w:tab/>
        <w:t>Restraint of continuing contravention</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Where the State Administrative Tribunal is satisfied on application made by the Commissioner of Health 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by the Commissioner of Health if the Commissioner of Health 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w:t>
      </w:r>
    </w:p>
    <w:p>
      <w:pPr>
        <w:pStyle w:val="Heading3"/>
        <w:rPr>
          <w:snapToGrid w:val="0"/>
        </w:rPr>
      </w:pPr>
      <w:bookmarkStart w:id="407" w:name="_Toc78092274"/>
      <w:bookmarkStart w:id="408" w:name="_Toc78103493"/>
      <w:bookmarkStart w:id="409" w:name="_Toc78103596"/>
      <w:bookmarkStart w:id="410" w:name="_Toc89667745"/>
      <w:bookmarkStart w:id="411" w:name="_Toc89748865"/>
      <w:bookmarkStart w:id="412" w:name="_Toc90963706"/>
      <w:bookmarkStart w:id="413" w:name="_Toc92862225"/>
      <w:bookmarkStart w:id="414" w:name="_Toc97106998"/>
      <w:bookmarkStart w:id="415" w:name="_Toc102884087"/>
      <w:bookmarkStart w:id="416" w:name="_Toc114890318"/>
      <w:bookmarkStart w:id="417" w:name="_Toc118874819"/>
      <w:bookmarkStart w:id="418" w:name="_Toc118875101"/>
      <w:bookmarkStart w:id="419" w:name="_Toc119232981"/>
      <w:bookmarkStart w:id="420" w:name="_Toc119386219"/>
      <w:bookmarkStart w:id="421" w:name="_Toc120689264"/>
      <w:r>
        <w:rPr>
          <w:rStyle w:val="CharDivNo"/>
        </w:rPr>
        <w:t>Division 5</w:t>
      </w:r>
      <w:r>
        <w:rPr>
          <w:snapToGrid w:val="0"/>
        </w:rPr>
        <w:t> — </w:t>
      </w:r>
      <w:r>
        <w:rPr>
          <w:rStyle w:val="CharDivText"/>
        </w:rPr>
        <w:t>Information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403920050"/>
      <w:bookmarkStart w:id="423" w:name="_Toc520083453"/>
      <w:bookmarkStart w:id="424" w:name="_Toc7244935"/>
      <w:bookmarkStart w:id="425" w:name="_Toc9932974"/>
      <w:bookmarkStart w:id="426" w:name="_Toc120689265"/>
      <w:r>
        <w:rPr>
          <w:rStyle w:val="CharSectno"/>
        </w:rPr>
        <w:t>44</w:t>
      </w:r>
      <w:r>
        <w:rPr>
          <w:snapToGrid w:val="0"/>
        </w:rPr>
        <w:t>.</w:t>
      </w:r>
      <w:r>
        <w:rPr>
          <w:snapToGrid w:val="0"/>
        </w:rPr>
        <w:tab/>
        <w:t>Records of procedures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 Commissioner of Health,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 Commissioner of Health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keep and retain a proper record, in such a manner as to keep secure the confidential nature of the information contained in that record, in a place in the State approved by the Commissioner of Health 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 Commissioner of Health, furnish in a form acceptable to the Commissioner any record to which subsection (1) applies and reports containing such further or other information as the Commissioner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relating to any other matter, specified by the Commissioner as being relevant to the administration of this Act, whether in relation to that licence or exemption or otherwise,</w:t>
      </w:r>
    </w:p>
    <w:p>
      <w:pPr>
        <w:pStyle w:val="Subsection"/>
        <w:rPr>
          <w:snapToGrid w:val="0"/>
        </w:rPr>
      </w:pPr>
      <w:r>
        <w:rPr>
          <w:snapToGrid w:val="0"/>
        </w:rPr>
        <w:tab/>
      </w:r>
      <w:r>
        <w:rPr>
          <w:snapToGrid w:val="0"/>
        </w:rPr>
        <w:tab/>
        <w:t>in respect of such period, or in relation to such circumstances, at and within such times, and verified in such manner and by such a person, as the Commissioner may direct.</w:t>
      </w:r>
    </w:p>
    <w:p>
      <w:pPr>
        <w:pStyle w:val="Subsection"/>
        <w:rPr>
          <w:snapToGrid w:val="0"/>
        </w:rPr>
      </w:pPr>
      <w:r>
        <w:rPr>
          <w:snapToGrid w:val="0"/>
        </w:rPr>
        <w:tab/>
        <w:t>(5)</w:t>
      </w:r>
      <w:r>
        <w:rPr>
          <w:snapToGrid w:val="0"/>
        </w:rPr>
        <w:tab/>
        <w:t>Where a person ceases to be a licensee, any record required to have been kept under this section by that person shall be retained, in a manner and at a place approved by the Commissioner of Health for that purpose, by or on behalf of that person or may be lodged with the Commissioner.</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w:t>
      </w:r>
    </w:p>
    <w:p>
      <w:pPr>
        <w:pStyle w:val="Heading5"/>
        <w:rPr>
          <w:snapToGrid w:val="0"/>
        </w:rPr>
      </w:pPr>
      <w:bookmarkStart w:id="427" w:name="_Toc403920051"/>
      <w:bookmarkStart w:id="428" w:name="_Toc520083454"/>
      <w:bookmarkStart w:id="429" w:name="_Toc7244936"/>
      <w:bookmarkStart w:id="430" w:name="_Toc9932975"/>
      <w:bookmarkStart w:id="431" w:name="_Toc120689266"/>
      <w:r>
        <w:rPr>
          <w:rStyle w:val="CharSectno"/>
        </w:rPr>
        <w:t>45</w:t>
      </w:r>
      <w:r>
        <w:rPr>
          <w:snapToGrid w:val="0"/>
        </w:rPr>
        <w:t>.</w:t>
      </w:r>
      <w:r>
        <w:rPr>
          <w:snapToGrid w:val="0"/>
        </w:rPr>
        <w:tab/>
        <w:t>Registers of identity</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Commissioner of Health 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w:t>
      </w:r>
    </w:p>
    <w:p>
      <w:pPr>
        <w:pStyle w:val="Heading5"/>
        <w:rPr>
          <w:snapToGrid w:val="0"/>
        </w:rPr>
      </w:pPr>
      <w:bookmarkStart w:id="432" w:name="_Toc403920052"/>
      <w:bookmarkStart w:id="433" w:name="_Toc520083455"/>
      <w:bookmarkStart w:id="434" w:name="_Toc7244937"/>
      <w:bookmarkStart w:id="435" w:name="_Toc9932976"/>
      <w:bookmarkStart w:id="436" w:name="_Toc120689267"/>
      <w:r>
        <w:rPr>
          <w:rStyle w:val="CharSectno"/>
        </w:rPr>
        <w:t>46</w:t>
      </w:r>
      <w:r>
        <w:rPr>
          <w:snapToGrid w:val="0"/>
        </w:rPr>
        <w:t>.</w:t>
      </w:r>
      <w:r>
        <w:rPr>
          <w:snapToGrid w:val="0"/>
        </w:rPr>
        <w:tab/>
        <w:t>Access to information</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 Commissioner of Health;</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Heading5"/>
        <w:rPr>
          <w:snapToGrid w:val="0"/>
        </w:rPr>
      </w:pPr>
      <w:bookmarkStart w:id="437" w:name="_Toc403920053"/>
      <w:bookmarkStart w:id="438" w:name="_Toc520083456"/>
      <w:bookmarkStart w:id="439" w:name="_Toc7244938"/>
      <w:bookmarkStart w:id="440" w:name="_Toc9932977"/>
      <w:bookmarkStart w:id="441" w:name="_Toc120689268"/>
      <w:r>
        <w:rPr>
          <w:rStyle w:val="CharSectno"/>
        </w:rPr>
        <w:t>47</w:t>
      </w:r>
      <w:r>
        <w:rPr>
          <w:snapToGrid w:val="0"/>
        </w:rPr>
        <w:t>.</w:t>
      </w:r>
      <w:r>
        <w:rPr>
          <w:snapToGrid w:val="0"/>
        </w:rPr>
        <w:tab/>
        <w:t>Annual returns, etc.</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 Commissioner of Health,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 Commissioner of Health,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Heading5"/>
        <w:rPr>
          <w:snapToGrid w:val="0"/>
        </w:rPr>
      </w:pPr>
      <w:bookmarkStart w:id="442" w:name="_Toc403920054"/>
      <w:bookmarkStart w:id="443" w:name="_Toc520083457"/>
      <w:bookmarkStart w:id="444" w:name="_Toc7244939"/>
      <w:bookmarkStart w:id="445" w:name="_Toc9932978"/>
      <w:bookmarkStart w:id="446" w:name="_Toc120689269"/>
      <w:r>
        <w:rPr>
          <w:rStyle w:val="CharSectno"/>
        </w:rPr>
        <w:t>48</w:t>
      </w:r>
      <w:r>
        <w:rPr>
          <w:snapToGrid w:val="0"/>
        </w:rPr>
        <w:t>.</w:t>
      </w:r>
      <w:r>
        <w:rPr>
          <w:snapToGrid w:val="0"/>
        </w:rPr>
        <w:tab/>
        <w:t>Exchange of information</w:t>
      </w:r>
      <w:bookmarkEnd w:id="442"/>
      <w:bookmarkEnd w:id="443"/>
      <w:bookmarkEnd w:id="444"/>
      <w:bookmarkEnd w:id="445"/>
      <w:bookmarkEnd w:id="446"/>
      <w:r>
        <w:rPr>
          <w:snapToGrid w:val="0"/>
        </w:rPr>
        <w:t xml:space="preserve"> </w:t>
      </w:r>
    </w:p>
    <w:p>
      <w:pPr>
        <w:pStyle w:val="Subsection"/>
        <w:keepNext/>
        <w:rPr>
          <w:snapToGrid w:val="0"/>
        </w:rPr>
      </w:pPr>
      <w:r>
        <w:rPr>
          <w:snapToGrid w:val="0"/>
        </w:rPr>
        <w:tab/>
      </w:r>
      <w:r>
        <w:rPr>
          <w:snapToGrid w:val="0"/>
        </w:rPr>
        <w:tab/>
        <w:t>The Commissioner of Health 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w:t>
      </w:r>
    </w:p>
    <w:p>
      <w:pPr>
        <w:pStyle w:val="Heading5"/>
        <w:rPr>
          <w:snapToGrid w:val="0"/>
        </w:rPr>
      </w:pPr>
      <w:bookmarkStart w:id="447" w:name="_Toc403920055"/>
      <w:bookmarkStart w:id="448" w:name="_Toc520083458"/>
      <w:bookmarkStart w:id="449" w:name="_Toc7244940"/>
      <w:bookmarkStart w:id="450" w:name="_Toc9932979"/>
      <w:bookmarkStart w:id="451" w:name="_Toc120689270"/>
      <w:r>
        <w:rPr>
          <w:rStyle w:val="CharSectno"/>
        </w:rPr>
        <w:t>49</w:t>
      </w:r>
      <w:r>
        <w:rPr>
          <w:snapToGrid w:val="0"/>
        </w:rPr>
        <w:t>.</w:t>
      </w:r>
      <w:r>
        <w:rPr>
          <w:snapToGrid w:val="0"/>
        </w:rPr>
        <w:tab/>
        <w:t>Confidentiality</w:t>
      </w:r>
      <w:bookmarkEnd w:id="447"/>
      <w:bookmarkEnd w:id="448"/>
      <w:bookmarkEnd w:id="449"/>
      <w:bookmarkEnd w:id="450"/>
      <w:bookmarkEnd w:id="451"/>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b/>
        </w:rPr>
        <w:t>“</w:t>
      </w:r>
      <w:r>
        <w:rPr>
          <w:rStyle w:val="CharDefText"/>
        </w:rPr>
        <w:t>commencement day</w:t>
      </w:r>
      <w:r>
        <w:rPr>
          <w:b/>
        </w:rPr>
        <w:t>”</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Commissioner of Health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t>“</w:t>
      </w:r>
      <w:r>
        <w:rPr>
          <w:rStyle w:val="CharDefText"/>
        </w:rPr>
        <w:t>approved counselling</w:t>
      </w:r>
      <w:r>
        <w:rPr>
          <w:b/>
        </w:rPr>
        <w:t>”</w:t>
      </w:r>
      <w:r>
        <w:t xml:space="preserve"> means counselling approved by the Commissioner of Health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 Commissioner of Health,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w:t>
      </w:r>
    </w:p>
    <w:p>
      <w:pPr>
        <w:pStyle w:val="Heading5"/>
        <w:spacing w:before="200"/>
        <w:rPr>
          <w:snapToGrid w:val="0"/>
        </w:rPr>
      </w:pPr>
      <w:bookmarkStart w:id="452" w:name="_Toc403920056"/>
      <w:bookmarkStart w:id="453" w:name="_Toc520083459"/>
      <w:bookmarkStart w:id="454" w:name="_Toc7244941"/>
      <w:bookmarkStart w:id="455" w:name="_Toc9932980"/>
      <w:bookmarkStart w:id="456" w:name="_Toc120689271"/>
      <w:r>
        <w:rPr>
          <w:rStyle w:val="CharSectno"/>
        </w:rPr>
        <w:t>50</w:t>
      </w:r>
      <w:r>
        <w:rPr>
          <w:snapToGrid w:val="0"/>
        </w:rPr>
        <w:t>.</w:t>
      </w:r>
      <w:r>
        <w:rPr>
          <w:snapToGrid w:val="0"/>
        </w:rPr>
        <w:tab/>
        <w:t>False or misleading statements and records</w:t>
      </w:r>
      <w:bookmarkEnd w:id="452"/>
      <w:bookmarkEnd w:id="453"/>
      <w:bookmarkEnd w:id="454"/>
      <w:bookmarkEnd w:id="455"/>
      <w:bookmarkEnd w:id="456"/>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Commissioner of Health</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w:t>
      </w:r>
    </w:p>
    <w:p>
      <w:pPr>
        <w:pStyle w:val="Heading3"/>
        <w:rPr>
          <w:snapToGrid w:val="0"/>
        </w:rPr>
      </w:pPr>
      <w:bookmarkStart w:id="457" w:name="_Toc78092282"/>
      <w:bookmarkStart w:id="458" w:name="_Toc78103501"/>
      <w:bookmarkStart w:id="459" w:name="_Toc78103604"/>
      <w:bookmarkStart w:id="460" w:name="_Toc89667753"/>
      <w:bookmarkStart w:id="461" w:name="_Toc89748873"/>
      <w:bookmarkStart w:id="462" w:name="_Toc90963714"/>
      <w:bookmarkStart w:id="463" w:name="_Toc92862233"/>
      <w:bookmarkStart w:id="464" w:name="_Toc97107006"/>
      <w:bookmarkStart w:id="465" w:name="_Toc102884095"/>
      <w:bookmarkStart w:id="466" w:name="_Toc114890326"/>
      <w:bookmarkStart w:id="467" w:name="_Toc118874827"/>
      <w:bookmarkStart w:id="468" w:name="_Toc118875109"/>
      <w:bookmarkStart w:id="469" w:name="_Toc119232989"/>
      <w:bookmarkStart w:id="470" w:name="_Toc119386227"/>
      <w:bookmarkStart w:id="471" w:name="_Toc120689272"/>
      <w:r>
        <w:rPr>
          <w:rStyle w:val="CharDivNo"/>
        </w:rPr>
        <w:t>Division 6</w:t>
      </w:r>
      <w:r>
        <w:rPr>
          <w:snapToGrid w:val="0"/>
        </w:rPr>
        <w:t> — </w:t>
      </w:r>
      <w:r>
        <w:rPr>
          <w:rStyle w:val="CharDivText"/>
        </w:rPr>
        <w:t>Supervision, etc.</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Heading5"/>
        <w:rPr>
          <w:snapToGrid w:val="0"/>
        </w:rPr>
      </w:pPr>
      <w:bookmarkStart w:id="472" w:name="_Toc403920057"/>
      <w:bookmarkStart w:id="473" w:name="_Toc520083460"/>
      <w:bookmarkStart w:id="474" w:name="_Toc7244942"/>
      <w:bookmarkStart w:id="475" w:name="_Toc9932981"/>
      <w:bookmarkStart w:id="476" w:name="_Toc120689273"/>
      <w:r>
        <w:rPr>
          <w:rStyle w:val="CharSectno"/>
        </w:rPr>
        <w:t>51</w:t>
      </w:r>
      <w:r>
        <w:rPr>
          <w:snapToGrid w:val="0"/>
        </w:rPr>
        <w:t>.</w:t>
      </w:r>
      <w:r>
        <w:rPr>
          <w:snapToGrid w:val="0"/>
        </w:rPr>
        <w:tab/>
        <w:t>Supervision</w:t>
      </w:r>
      <w:bookmarkEnd w:id="472"/>
      <w:bookmarkEnd w:id="473"/>
      <w:bookmarkEnd w:id="474"/>
      <w:bookmarkEnd w:id="475"/>
      <w:bookmarkEnd w:id="476"/>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Except where the Commissioner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 Commissioner of Health.</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Commissioner of Health 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Commissioner of Health</w:t>
      </w:r>
      <w:r>
        <w:rPr>
          <w:snapToGrid w:val="0"/>
        </w:rPr>
        <w:t>, and on receiving such a notice from the Commissioner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w:t>
      </w:r>
    </w:p>
    <w:p>
      <w:pPr>
        <w:pStyle w:val="Heading5"/>
        <w:rPr>
          <w:snapToGrid w:val="0"/>
        </w:rPr>
      </w:pPr>
      <w:bookmarkStart w:id="477" w:name="_Toc403920058"/>
      <w:bookmarkStart w:id="478" w:name="_Toc520083461"/>
      <w:bookmarkStart w:id="479" w:name="_Toc7244943"/>
      <w:bookmarkStart w:id="480" w:name="_Toc9932982"/>
      <w:bookmarkStart w:id="481" w:name="_Toc120689274"/>
      <w:r>
        <w:rPr>
          <w:rStyle w:val="CharSectno"/>
        </w:rPr>
        <w:t>52</w:t>
      </w:r>
      <w:r>
        <w:rPr>
          <w:snapToGrid w:val="0"/>
        </w:rPr>
        <w:t>.</w:t>
      </w:r>
      <w:r>
        <w:rPr>
          <w:snapToGrid w:val="0"/>
        </w:rPr>
        <w:tab/>
        <w:t>Licensee liable for act of employee, etc.</w:t>
      </w:r>
      <w:bookmarkEnd w:id="477"/>
      <w:bookmarkEnd w:id="478"/>
      <w:bookmarkEnd w:id="479"/>
      <w:bookmarkEnd w:id="480"/>
      <w:bookmarkEnd w:id="481"/>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482" w:name="_Toc403920059"/>
      <w:bookmarkStart w:id="483" w:name="_Toc520083462"/>
      <w:bookmarkStart w:id="484" w:name="_Toc7244944"/>
      <w:bookmarkStart w:id="485" w:name="_Toc9932983"/>
      <w:bookmarkStart w:id="486" w:name="_Toc120689275"/>
      <w:r>
        <w:rPr>
          <w:rStyle w:val="CharSectno"/>
        </w:rPr>
        <w:t>53</w:t>
      </w:r>
      <w:r>
        <w:rPr>
          <w:snapToGrid w:val="0"/>
        </w:rPr>
        <w:t>.</w:t>
      </w:r>
      <w:r>
        <w:rPr>
          <w:snapToGrid w:val="0"/>
        </w:rPr>
        <w:tab/>
        <w:t>Offences by bodies corporate and partnerships</w:t>
      </w:r>
      <w:bookmarkEnd w:id="482"/>
      <w:bookmarkEnd w:id="483"/>
      <w:bookmarkEnd w:id="484"/>
      <w:bookmarkEnd w:id="485"/>
      <w:bookmarkEnd w:id="486"/>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 Commissioner of Health, be convicted on the proceedings on which the body corporate is convicted if the court is satisfied that the person had reasonable notice that the Commissioner of Health 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w:t>
      </w:r>
    </w:p>
    <w:p>
      <w:pPr>
        <w:pStyle w:val="Heading2"/>
      </w:pPr>
      <w:bookmarkStart w:id="487" w:name="_Toc89667757"/>
      <w:bookmarkStart w:id="488" w:name="_Toc89748877"/>
      <w:bookmarkStart w:id="489" w:name="_Toc90963718"/>
      <w:bookmarkStart w:id="490" w:name="_Toc92862237"/>
      <w:bookmarkStart w:id="491" w:name="_Toc97107010"/>
      <w:bookmarkStart w:id="492" w:name="_Toc102884099"/>
      <w:bookmarkStart w:id="493" w:name="_Toc114890330"/>
      <w:bookmarkStart w:id="494" w:name="_Toc118874831"/>
      <w:bookmarkStart w:id="495" w:name="_Toc118875113"/>
      <w:bookmarkStart w:id="496" w:name="_Toc119232993"/>
      <w:bookmarkStart w:id="497" w:name="_Toc119386231"/>
      <w:bookmarkStart w:id="498" w:name="_Toc120689276"/>
      <w:bookmarkStart w:id="499" w:name="_Toc78092286"/>
      <w:bookmarkStart w:id="500" w:name="_Toc78103505"/>
      <w:bookmarkStart w:id="501" w:name="_Toc78103608"/>
      <w:r>
        <w:rPr>
          <w:rStyle w:val="CharPartNo"/>
        </w:rPr>
        <w:t>Part 4A</w:t>
      </w:r>
      <w:r>
        <w:t> — </w:t>
      </w:r>
      <w:r>
        <w:rPr>
          <w:rStyle w:val="CharPartText"/>
        </w:rPr>
        <w:t>Prohibited practices</w:t>
      </w:r>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tabs>
          <w:tab w:val="left" w:pos="851"/>
        </w:tabs>
      </w:pPr>
      <w:r>
        <w:tab/>
        <w:t>[Heading inserted by No. 18 of 2004 s. 8.]</w:t>
      </w:r>
    </w:p>
    <w:p>
      <w:pPr>
        <w:pStyle w:val="Heading3"/>
      </w:pPr>
      <w:bookmarkStart w:id="502" w:name="_Toc89667758"/>
      <w:bookmarkStart w:id="503" w:name="_Toc89748878"/>
      <w:bookmarkStart w:id="504" w:name="_Toc90963719"/>
      <w:bookmarkStart w:id="505" w:name="_Toc92862238"/>
      <w:bookmarkStart w:id="506" w:name="_Toc97107011"/>
      <w:bookmarkStart w:id="507" w:name="_Toc102884100"/>
      <w:bookmarkStart w:id="508" w:name="_Toc114890331"/>
      <w:bookmarkStart w:id="509" w:name="_Toc118874832"/>
      <w:bookmarkStart w:id="510" w:name="_Toc118875114"/>
      <w:bookmarkStart w:id="511" w:name="_Toc119232994"/>
      <w:bookmarkStart w:id="512" w:name="_Toc119386232"/>
      <w:bookmarkStart w:id="513" w:name="_Toc120689277"/>
      <w:r>
        <w:rPr>
          <w:rStyle w:val="CharDivNo"/>
        </w:rPr>
        <w:t>Division 1</w:t>
      </w:r>
      <w:r>
        <w:t> — </w:t>
      </w:r>
      <w:r>
        <w:rPr>
          <w:rStyle w:val="CharDivText"/>
        </w:rPr>
        <w:t>General</w:t>
      </w:r>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tabs>
          <w:tab w:val="left" w:pos="851"/>
        </w:tabs>
      </w:pPr>
      <w:r>
        <w:tab/>
        <w:t>[Heading inserted by No. 18 of 2004 s. 8.]</w:t>
      </w:r>
    </w:p>
    <w:p>
      <w:pPr>
        <w:pStyle w:val="Heading5"/>
      </w:pPr>
      <w:bookmarkStart w:id="514" w:name="_Toc120689278"/>
      <w:r>
        <w:rPr>
          <w:rStyle w:val="CharSectno"/>
        </w:rPr>
        <w:t>53A</w:t>
      </w:r>
      <w:r>
        <w:t>.</w:t>
      </w:r>
      <w:r>
        <w:tab/>
        <w:t>Object of this Part</w:t>
      </w:r>
      <w:bookmarkEnd w:id="514"/>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515" w:name="_Toc120689279"/>
      <w:r>
        <w:rPr>
          <w:rStyle w:val="CharSectno"/>
        </w:rPr>
        <w:t>53B</w:t>
      </w:r>
      <w:r>
        <w:rPr>
          <w:snapToGrid w:val="0"/>
        </w:rPr>
        <w:t>.</w:t>
      </w:r>
      <w:r>
        <w:rPr>
          <w:snapToGrid w:val="0"/>
        </w:rPr>
        <w:tab/>
        <w:t>Definitions</w:t>
      </w:r>
      <w:bookmarkEnd w:id="515"/>
    </w:p>
    <w:p>
      <w:pPr>
        <w:pStyle w:val="Subsection"/>
        <w:rPr>
          <w:snapToGrid w:val="0"/>
        </w:rPr>
      </w:pPr>
      <w:r>
        <w:rPr>
          <w:snapToGrid w:val="0"/>
        </w:rPr>
        <w:tab/>
        <w:t>(1)</w:t>
      </w:r>
      <w:r>
        <w:rPr>
          <w:snapToGrid w:val="0"/>
        </w:rPr>
        <w:tab/>
        <w:t>In this Part —</w:t>
      </w:r>
    </w:p>
    <w:p>
      <w:pPr>
        <w:pStyle w:val="Defstart"/>
      </w:pPr>
      <w:r>
        <w:rPr>
          <w:b/>
        </w:rPr>
        <w:tab/>
        <w:t>“</w:t>
      </w:r>
      <w:r>
        <w:rPr>
          <w:rStyle w:val="CharDefText"/>
        </w:rPr>
        <w:t>animal</w:t>
      </w:r>
      <w:r>
        <w:rPr>
          <w:b/>
        </w:rPr>
        <w:t>”</w:t>
      </w:r>
      <w:r>
        <w:t xml:space="preserve"> does not include a human;</w:t>
      </w:r>
    </w:p>
    <w:p>
      <w:pPr>
        <w:pStyle w:val="Defstart"/>
      </w:pPr>
      <w:r>
        <w:rPr>
          <w:b/>
        </w:rPr>
        <w:tab/>
        <w:t>“</w:t>
      </w:r>
      <w:r>
        <w:rPr>
          <w:rStyle w:val="CharDefText"/>
        </w:rPr>
        <w:t>chimeric embryo</w:t>
      </w:r>
      <w:r>
        <w:rPr>
          <w:b/>
        </w:rPr>
        <w:t>”</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t>“</w:t>
      </w:r>
      <w:r>
        <w:rPr>
          <w:rStyle w:val="CharDefText"/>
        </w:rPr>
        <w:t>human embryo clone</w:t>
      </w:r>
      <w:r>
        <w:rPr>
          <w:b/>
        </w:rPr>
        <w:t>”</w:t>
      </w:r>
      <w:r>
        <w:t xml:space="preserve"> means a human embryo that is a genetic copy of another living or dead human, but does not include a human embryo created by the fertilisation of a human egg by human sperm;</w:t>
      </w:r>
    </w:p>
    <w:p>
      <w:pPr>
        <w:pStyle w:val="Defstart"/>
      </w:pPr>
      <w:r>
        <w:tab/>
      </w:r>
      <w:r>
        <w:rPr>
          <w:b/>
          <w:bCs/>
        </w:rPr>
        <w:t>“</w:t>
      </w:r>
      <w:r>
        <w:rPr>
          <w:rStyle w:val="CharDefText"/>
        </w:rPr>
        <w:t>hybrid embryo</w:t>
      </w:r>
      <w:r>
        <w:rPr>
          <w:b/>
          <w:bCs/>
        </w:rPr>
        <w:t>”</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t>“</w:t>
      </w:r>
      <w:r>
        <w:rPr>
          <w:rStyle w:val="CharDefText"/>
        </w:rPr>
        <w:t>precursor cell</w:t>
      </w:r>
      <w:r>
        <w:rPr>
          <w:b/>
        </w:rPr>
        <w:t>”</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Subsection"/>
        <w:outlineLvl w:val="0"/>
        <w:rPr>
          <w:b/>
          <w:snapToGrid w:val="0"/>
        </w:rPr>
      </w:pPr>
      <w:r>
        <w:rPr>
          <w:snapToGrid w:val="0"/>
        </w:rPr>
        <w:tab/>
      </w:r>
      <w:r>
        <w:rPr>
          <w:snapToGrid w:val="0"/>
        </w:rPr>
        <w:tab/>
      </w:r>
      <w:r>
        <w:rPr>
          <w:b/>
        </w:rPr>
        <w:t xml:space="preserve">A </w:t>
      </w:r>
      <w:r>
        <w:rPr>
          <w:b/>
        </w:rPr>
        <w:sym w:font="Symbol" w:char="F0B4"/>
      </w:r>
      <w:r>
        <w:rPr>
          <w:b/>
        </w:rPr>
        <w:t xml:space="preserve"> B</w: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516" w:name="_Toc89667761"/>
      <w:bookmarkStart w:id="517" w:name="_Toc89748881"/>
      <w:bookmarkStart w:id="518" w:name="_Toc90963722"/>
      <w:bookmarkStart w:id="519" w:name="_Toc92862241"/>
      <w:bookmarkStart w:id="520" w:name="_Toc97107014"/>
      <w:bookmarkStart w:id="521" w:name="_Toc102884103"/>
      <w:bookmarkStart w:id="522" w:name="_Toc114890334"/>
      <w:bookmarkStart w:id="523" w:name="_Toc118874835"/>
      <w:bookmarkStart w:id="524" w:name="_Toc118875117"/>
      <w:bookmarkStart w:id="525" w:name="_Toc119232997"/>
      <w:bookmarkStart w:id="526" w:name="_Toc119386235"/>
      <w:bookmarkStart w:id="527" w:name="_Toc120689280"/>
      <w:r>
        <w:rPr>
          <w:rStyle w:val="CharDivNo"/>
        </w:rPr>
        <w:t>Division 2</w:t>
      </w:r>
      <w:r>
        <w:rPr>
          <w:snapToGrid w:val="0"/>
        </w:rPr>
        <w:t> — </w:t>
      </w:r>
      <w:r>
        <w:rPr>
          <w:rStyle w:val="CharDivText"/>
        </w:rPr>
        <w:t>Human cloning</w:t>
      </w:r>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tabs>
          <w:tab w:val="left" w:pos="851"/>
        </w:tabs>
      </w:pPr>
      <w:r>
        <w:tab/>
        <w:t>[Heading inserted by No. 18 of 2004 s. 8.]</w:t>
      </w:r>
    </w:p>
    <w:p>
      <w:pPr>
        <w:pStyle w:val="Heading5"/>
        <w:rPr>
          <w:snapToGrid w:val="0"/>
        </w:rPr>
      </w:pPr>
      <w:bookmarkStart w:id="528" w:name="_Toc120689281"/>
      <w:r>
        <w:rPr>
          <w:rStyle w:val="CharSectno"/>
        </w:rPr>
        <w:t>53C</w:t>
      </w:r>
      <w:r>
        <w:rPr>
          <w:snapToGrid w:val="0"/>
        </w:rPr>
        <w:t>.</w:t>
      </w:r>
      <w:r>
        <w:rPr>
          <w:iCs/>
          <w:snapToGrid w:val="0"/>
        </w:rPr>
        <w:tab/>
      </w:r>
      <w:r>
        <w:rPr>
          <w:snapToGrid w:val="0"/>
        </w:rPr>
        <w:t>Offence — creating a human embryo clone</w:t>
      </w:r>
      <w:bookmarkEnd w:id="528"/>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529" w:name="_Toc120689282"/>
      <w:r>
        <w:rPr>
          <w:rStyle w:val="CharSectno"/>
        </w:rPr>
        <w:t>53D</w:t>
      </w:r>
      <w:r>
        <w:rPr>
          <w:snapToGrid w:val="0"/>
        </w:rPr>
        <w:t>.</w:t>
      </w:r>
      <w:r>
        <w:rPr>
          <w:snapToGrid w:val="0"/>
        </w:rPr>
        <w:tab/>
        <w:t>Offence — placing a human embryo clone in the human body or the body of an animal</w:t>
      </w:r>
      <w:bookmarkEnd w:id="529"/>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530" w:name="_Toc120689283"/>
      <w:r>
        <w:rPr>
          <w:rStyle w:val="CharSectno"/>
        </w:rPr>
        <w:t>53E</w:t>
      </w:r>
      <w:r>
        <w:rPr>
          <w:snapToGrid w:val="0"/>
        </w:rPr>
        <w:t>.</w:t>
      </w:r>
      <w:r>
        <w:rPr>
          <w:snapToGrid w:val="0"/>
        </w:rPr>
        <w:tab/>
        <w:t>Offence — importing or exporting a human embryo clone</w:t>
      </w:r>
      <w:bookmarkEnd w:id="530"/>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531" w:name="_Toc120689284"/>
      <w:r>
        <w:rPr>
          <w:rStyle w:val="CharSectno"/>
        </w:rPr>
        <w:t>53F</w:t>
      </w:r>
      <w:r>
        <w:rPr>
          <w:snapToGrid w:val="0"/>
        </w:rPr>
        <w:t>.</w:t>
      </w:r>
      <w:r>
        <w:rPr>
          <w:snapToGrid w:val="0"/>
        </w:rPr>
        <w:tab/>
        <w:t>No defence that human embryo clone could not survive</w:t>
      </w:r>
      <w:bookmarkEnd w:id="531"/>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532" w:name="_Toc89667766"/>
      <w:bookmarkStart w:id="533" w:name="_Toc89748886"/>
      <w:bookmarkStart w:id="534" w:name="_Toc90963727"/>
      <w:bookmarkStart w:id="535" w:name="_Toc92862246"/>
      <w:bookmarkStart w:id="536" w:name="_Toc97107019"/>
      <w:bookmarkStart w:id="537" w:name="_Toc102884108"/>
      <w:bookmarkStart w:id="538" w:name="_Toc114890339"/>
      <w:bookmarkStart w:id="539" w:name="_Toc118874840"/>
      <w:bookmarkStart w:id="540" w:name="_Toc118875122"/>
      <w:bookmarkStart w:id="541" w:name="_Toc119233002"/>
      <w:bookmarkStart w:id="542" w:name="_Toc119386240"/>
      <w:bookmarkStart w:id="543" w:name="_Toc120689285"/>
      <w:r>
        <w:rPr>
          <w:rStyle w:val="CharDivNo"/>
        </w:rPr>
        <w:t>Division 3</w:t>
      </w:r>
      <w:r>
        <w:rPr>
          <w:snapToGrid w:val="0"/>
        </w:rPr>
        <w:t> — </w:t>
      </w:r>
      <w:r>
        <w:rPr>
          <w:rStyle w:val="CharDivText"/>
        </w:rPr>
        <w:t>Other prohibited practices</w:t>
      </w:r>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tabs>
          <w:tab w:val="left" w:pos="851"/>
        </w:tabs>
      </w:pPr>
      <w:r>
        <w:tab/>
        <w:t>[Heading inserted by No. 18 of 2004 s. 8.]</w:t>
      </w:r>
    </w:p>
    <w:p>
      <w:pPr>
        <w:pStyle w:val="Heading5"/>
        <w:rPr>
          <w:snapToGrid w:val="0"/>
        </w:rPr>
      </w:pPr>
      <w:bookmarkStart w:id="544" w:name="_Toc120689286"/>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544"/>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545" w:name="_Toc120689287"/>
      <w:r>
        <w:rPr>
          <w:rStyle w:val="CharSectno"/>
        </w:rPr>
        <w:t>53H</w:t>
      </w:r>
      <w:r>
        <w:rPr>
          <w:snapToGrid w:val="0"/>
        </w:rPr>
        <w:t>.</w:t>
      </w:r>
      <w:r>
        <w:rPr>
          <w:snapToGrid w:val="0"/>
        </w:rPr>
        <w:tab/>
        <w:t>Offence — creating a human embryo for a purpose other than achieving pregnancy in a woman</w:t>
      </w:r>
      <w:bookmarkEnd w:id="545"/>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t>A defendant does not bear an evidential burden in relation to the exception provided by subsection (1).</w:t>
      </w:r>
    </w:p>
    <w:p>
      <w:pPr>
        <w:pStyle w:val="Footnotesection"/>
      </w:pPr>
      <w:r>
        <w:tab/>
        <w:t>[Section 53H inserted by No. 18 of 2004 s. 8.]</w:t>
      </w:r>
    </w:p>
    <w:p>
      <w:pPr>
        <w:pStyle w:val="Heading5"/>
        <w:rPr>
          <w:snapToGrid w:val="0"/>
        </w:rPr>
      </w:pPr>
      <w:bookmarkStart w:id="546" w:name="_Toc120689288"/>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546"/>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547" w:name="_Toc120689289"/>
      <w:r>
        <w:rPr>
          <w:rStyle w:val="CharSectno"/>
        </w:rPr>
        <w:t>53J</w:t>
      </w:r>
      <w:r>
        <w:rPr>
          <w:snapToGrid w:val="0"/>
        </w:rPr>
        <w:t>.</w:t>
      </w:r>
      <w:r>
        <w:rPr>
          <w:snapToGrid w:val="0"/>
        </w:rPr>
        <w:tab/>
        <w:t>Offence — developing a human embryo outside the body of a woman for more than 14 days</w:t>
      </w:r>
      <w:bookmarkEnd w:id="547"/>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548" w:name="_Toc120689290"/>
      <w:r>
        <w:rPr>
          <w:rStyle w:val="CharSectno"/>
        </w:rPr>
        <w:t>53K</w:t>
      </w:r>
      <w:r>
        <w:rPr>
          <w:snapToGrid w:val="0"/>
        </w:rPr>
        <w:t>.</w:t>
      </w:r>
      <w:r>
        <w:rPr>
          <w:snapToGrid w:val="0"/>
        </w:rPr>
        <w:tab/>
        <w:t>Offence — using precursor cells from a human embryo or a human fetus to create a human embryo, or developing such an embryo</w:t>
      </w:r>
      <w:bookmarkEnd w:id="548"/>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549" w:name="_Toc120689291"/>
      <w:r>
        <w:rPr>
          <w:rStyle w:val="CharSectno"/>
        </w:rPr>
        <w:t>53L</w:t>
      </w:r>
      <w:r>
        <w:rPr>
          <w:snapToGrid w:val="0"/>
        </w:rPr>
        <w:t>.</w:t>
      </w:r>
      <w:r>
        <w:rPr>
          <w:snapToGrid w:val="0"/>
        </w:rPr>
        <w:tab/>
        <w:t>Offence — heritable alterations to genome</w:t>
      </w:r>
      <w:bookmarkEnd w:id="549"/>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rPr>
          <w:snapToGrid w:val="0"/>
        </w:rPr>
      </w:pPr>
      <w:r>
        <w:rPr>
          <w:snapToGrid w:val="0"/>
        </w:rPr>
        <w:tab/>
        <w:t>(2)</w:t>
      </w:r>
      <w:r>
        <w:rPr>
          <w:snapToGrid w:val="0"/>
        </w:rPr>
        <w:tab/>
        <w:t>In this section —</w:t>
      </w:r>
    </w:p>
    <w:p>
      <w:pPr>
        <w:pStyle w:val="Defstart"/>
      </w:pPr>
      <w:r>
        <w:tab/>
      </w:r>
      <w:r>
        <w:rPr>
          <w:b/>
        </w:rPr>
        <w:t>“</w:t>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550" w:name="_Toc120689292"/>
      <w:r>
        <w:rPr>
          <w:rStyle w:val="CharSectno"/>
        </w:rPr>
        <w:t>53M</w:t>
      </w:r>
      <w:r>
        <w:rPr>
          <w:snapToGrid w:val="0"/>
        </w:rPr>
        <w:t>.</w:t>
      </w:r>
      <w:r>
        <w:rPr>
          <w:snapToGrid w:val="0"/>
        </w:rPr>
        <w:tab/>
        <w:t>Offence — collecting a viable human embryo from the body of a woman</w:t>
      </w:r>
      <w:bookmarkEnd w:id="550"/>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551" w:name="_Toc120689293"/>
      <w:r>
        <w:rPr>
          <w:rStyle w:val="CharSectno"/>
        </w:rPr>
        <w:t>53N</w:t>
      </w:r>
      <w:r>
        <w:rPr>
          <w:snapToGrid w:val="0"/>
        </w:rPr>
        <w:t>.</w:t>
      </w:r>
      <w:r>
        <w:rPr>
          <w:snapToGrid w:val="0"/>
        </w:rPr>
        <w:tab/>
        <w:t>Offence — creating a chimeric or hybrid embryo</w:t>
      </w:r>
      <w:bookmarkEnd w:id="551"/>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552" w:name="_Toc120689294"/>
      <w:r>
        <w:rPr>
          <w:rStyle w:val="CharSectno"/>
        </w:rPr>
        <w:t>53O</w:t>
      </w:r>
      <w:r>
        <w:rPr>
          <w:snapToGrid w:val="0"/>
        </w:rPr>
        <w:t>.</w:t>
      </w:r>
      <w:r>
        <w:rPr>
          <w:snapToGrid w:val="0"/>
        </w:rPr>
        <w:tab/>
        <w:t>Offence — placing of an embryo</w:t>
      </w:r>
      <w:bookmarkEnd w:id="552"/>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553" w:name="_Toc120689295"/>
      <w:r>
        <w:rPr>
          <w:rStyle w:val="CharSectno"/>
        </w:rPr>
        <w:t>53P</w:t>
      </w:r>
      <w:r>
        <w:rPr>
          <w:snapToGrid w:val="0"/>
        </w:rPr>
        <w:t>.</w:t>
      </w:r>
      <w:r>
        <w:rPr>
          <w:snapToGrid w:val="0"/>
        </w:rPr>
        <w:tab/>
        <w:t>Offence — importing, exporting or placing a prohibited embryo</w:t>
      </w:r>
      <w:bookmarkEnd w:id="553"/>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b/>
        </w:rPr>
        <w:t>“</w:t>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554" w:name="_Toc120689296"/>
      <w:r>
        <w:rPr>
          <w:rStyle w:val="CharSectno"/>
        </w:rPr>
        <w:t>53Q</w:t>
      </w:r>
      <w:r>
        <w:rPr>
          <w:snapToGrid w:val="0"/>
        </w:rPr>
        <w:t>.</w:t>
      </w:r>
      <w:r>
        <w:rPr>
          <w:snapToGrid w:val="0"/>
        </w:rPr>
        <w:tab/>
        <w:t>Offence — commercial trading in human eggs, human sperm or human embryos</w:t>
      </w:r>
      <w:bookmarkEnd w:id="554"/>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b/>
        </w:rPr>
        <w:t>“</w:t>
      </w:r>
      <w:r>
        <w:rPr>
          <w:rStyle w:val="CharDefText"/>
        </w:rPr>
        <w:t>reasonable expenses</w:t>
      </w:r>
      <w:r>
        <w:rPr>
          <w:b/>
        </w:rPr>
        <w:t>”</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b/>
        </w:rPr>
        <w:t>“</w:t>
      </w:r>
      <w:r>
        <w:rPr>
          <w:rStyle w:val="CharDefText"/>
        </w:rPr>
        <w:t>valuable consideration</w:t>
      </w:r>
      <w:r>
        <w:rPr>
          <w:b/>
        </w:rPr>
        <w:t>”</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555" w:name="_Toc89667778"/>
      <w:bookmarkStart w:id="556" w:name="_Toc89748898"/>
      <w:bookmarkStart w:id="557" w:name="_Toc90963739"/>
      <w:bookmarkStart w:id="558" w:name="_Toc92862258"/>
      <w:bookmarkStart w:id="559" w:name="_Toc97107031"/>
      <w:bookmarkStart w:id="560" w:name="_Toc102884120"/>
      <w:bookmarkStart w:id="561" w:name="_Toc114890351"/>
      <w:bookmarkStart w:id="562" w:name="_Toc118874852"/>
      <w:bookmarkStart w:id="563" w:name="_Toc118875134"/>
      <w:bookmarkStart w:id="564" w:name="_Toc119233014"/>
      <w:bookmarkStart w:id="565" w:name="_Toc119386252"/>
      <w:bookmarkStart w:id="566" w:name="_Toc120689297"/>
      <w:r>
        <w:rPr>
          <w:rStyle w:val="CharDivNo"/>
        </w:rPr>
        <w:t>Division 4</w:t>
      </w:r>
      <w:r>
        <w:rPr>
          <w:snapToGrid w:val="0"/>
        </w:rPr>
        <w:t> — </w:t>
      </w:r>
      <w:r>
        <w:rPr>
          <w:rStyle w:val="CharDivText"/>
        </w:rPr>
        <w:t>Review of Part</w:t>
      </w:r>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tabs>
          <w:tab w:val="left" w:pos="851"/>
        </w:tabs>
      </w:pPr>
      <w:r>
        <w:tab/>
        <w:t>[Heading inserted by No. 18 of 2004 s. 8.]</w:t>
      </w:r>
    </w:p>
    <w:p>
      <w:pPr>
        <w:pStyle w:val="Heading5"/>
        <w:rPr>
          <w:snapToGrid w:val="0"/>
        </w:rPr>
      </w:pPr>
      <w:bookmarkStart w:id="567" w:name="_Toc120689298"/>
      <w:r>
        <w:rPr>
          <w:rStyle w:val="CharSectno"/>
        </w:rPr>
        <w:t>53R</w:t>
      </w:r>
      <w:r>
        <w:rPr>
          <w:snapToGrid w:val="0"/>
        </w:rPr>
        <w:t>.</w:t>
      </w:r>
      <w:r>
        <w:rPr>
          <w:snapToGrid w:val="0"/>
        </w:rPr>
        <w:tab/>
        <w:t>Review of Part</w:t>
      </w:r>
      <w:bookmarkEnd w:id="567"/>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568" w:name="_Toc89667780"/>
      <w:bookmarkStart w:id="569" w:name="_Toc89748900"/>
      <w:bookmarkStart w:id="570" w:name="_Toc90963741"/>
      <w:bookmarkStart w:id="571" w:name="_Toc92862260"/>
      <w:bookmarkStart w:id="572" w:name="_Toc97107033"/>
      <w:bookmarkStart w:id="573" w:name="_Toc102884122"/>
      <w:bookmarkStart w:id="574" w:name="_Toc114890353"/>
      <w:bookmarkStart w:id="575" w:name="_Toc118874854"/>
      <w:bookmarkStart w:id="576" w:name="_Toc118875136"/>
      <w:bookmarkStart w:id="577" w:name="_Toc119233016"/>
      <w:bookmarkStart w:id="578" w:name="_Toc119386254"/>
      <w:bookmarkStart w:id="579" w:name="_Toc120689299"/>
      <w:r>
        <w:rPr>
          <w:rStyle w:val="CharPartNo"/>
        </w:rPr>
        <w:t>Part 4B</w:t>
      </w:r>
      <w:r>
        <w:rPr>
          <w:b w:val="0"/>
        </w:rPr>
        <w:t> </w:t>
      </w:r>
      <w:r>
        <w:t>—</w:t>
      </w:r>
      <w:r>
        <w:rPr>
          <w:b w:val="0"/>
        </w:rPr>
        <w:t> </w:t>
      </w:r>
      <w:r>
        <w:rPr>
          <w:rStyle w:val="CharPartText"/>
        </w:rPr>
        <w:t>Regulation of certain uses involving excess ART embryos</w:t>
      </w:r>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left" w:pos="851"/>
        </w:tabs>
      </w:pPr>
      <w:r>
        <w:tab/>
        <w:t>[Heading inserted by No. 17 of 2004 s. 36.]</w:t>
      </w:r>
    </w:p>
    <w:p>
      <w:pPr>
        <w:pStyle w:val="Heading3"/>
      </w:pPr>
      <w:bookmarkStart w:id="580" w:name="_Toc89667781"/>
      <w:bookmarkStart w:id="581" w:name="_Toc89748901"/>
      <w:bookmarkStart w:id="582" w:name="_Toc90963742"/>
      <w:bookmarkStart w:id="583" w:name="_Toc92862261"/>
      <w:bookmarkStart w:id="584" w:name="_Toc97107034"/>
      <w:bookmarkStart w:id="585" w:name="_Toc102884123"/>
      <w:bookmarkStart w:id="586" w:name="_Toc114890354"/>
      <w:bookmarkStart w:id="587" w:name="_Toc118874855"/>
      <w:bookmarkStart w:id="588" w:name="_Toc118875137"/>
      <w:bookmarkStart w:id="589" w:name="_Toc119233017"/>
      <w:bookmarkStart w:id="590" w:name="_Toc119386255"/>
      <w:bookmarkStart w:id="591" w:name="_Toc120689300"/>
      <w:r>
        <w:rPr>
          <w:rStyle w:val="CharDivNo"/>
        </w:rPr>
        <w:t>Division 1</w:t>
      </w:r>
      <w:r>
        <w:t> — </w:t>
      </w:r>
      <w:r>
        <w:rPr>
          <w:rStyle w:val="CharDivText"/>
        </w:rPr>
        <w:t>General</w:t>
      </w:r>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tabs>
          <w:tab w:val="left" w:pos="851"/>
        </w:tabs>
      </w:pPr>
      <w:r>
        <w:tab/>
        <w:t>[Heading inserted by No. 17 of 2004 s. 36.]</w:t>
      </w:r>
    </w:p>
    <w:p>
      <w:pPr>
        <w:pStyle w:val="Heading5"/>
      </w:pPr>
      <w:bookmarkStart w:id="592" w:name="_Toc120689301"/>
      <w:r>
        <w:rPr>
          <w:rStyle w:val="CharSectno"/>
        </w:rPr>
        <w:t>53S</w:t>
      </w:r>
      <w:r>
        <w:t>.</w:t>
      </w:r>
      <w:r>
        <w:tab/>
        <w:t>Object of this Part</w:t>
      </w:r>
      <w:bookmarkEnd w:id="592"/>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t>“</w:t>
      </w:r>
      <w:r>
        <w:rPr>
          <w:rStyle w:val="CharDefText"/>
        </w:rPr>
        <w:t>therapeutic use</w:t>
      </w:r>
      <w:r>
        <w:rPr>
          <w:b/>
        </w:rPr>
        <w:t>”</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593" w:name="_Toc120689302"/>
      <w:r>
        <w:rPr>
          <w:rStyle w:val="CharSectno"/>
        </w:rPr>
        <w:t>53T</w:t>
      </w:r>
      <w:r>
        <w:t>.</w:t>
      </w:r>
      <w:r>
        <w:tab/>
        <w:t>Definitions</w:t>
      </w:r>
      <w:bookmarkEnd w:id="593"/>
    </w:p>
    <w:p>
      <w:pPr>
        <w:pStyle w:val="Subsection"/>
      </w:pPr>
      <w:r>
        <w:tab/>
        <w:t>(1)</w:t>
      </w:r>
      <w:r>
        <w:tab/>
        <w:t>In this Part, unless the contrary intention appears —</w:t>
      </w:r>
    </w:p>
    <w:p>
      <w:pPr>
        <w:pStyle w:val="Defstart"/>
      </w:pPr>
      <w:r>
        <w:rPr>
          <w:b/>
        </w:rPr>
        <w:tab/>
        <w:t>“</w:t>
      </w:r>
      <w:r>
        <w:rPr>
          <w:rStyle w:val="CharDefText"/>
        </w:rPr>
        <w:t>AHEC</w:t>
      </w:r>
      <w:r>
        <w:rPr>
          <w:b/>
        </w:rPr>
        <w:t>”</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t>“</w:t>
      </w:r>
      <w:r>
        <w:rPr>
          <w:rStyle w:val="CharDefText"/>
        </w:rPr>
        <w:t>Commonwealth Human Embryo regulations</w:t>
      </w:r>
      <w:r>
        <w:rPr>
          <w:b/>
        </w:rPr>
        <w:t>”</w:t>
      </w:r>
      <w:r>
        <w:t xml:space="preserve"> means the regulations in force under the Commonwealth Human Embryo Act;</w:t>
      </w:r>
    </w:p>
    <w:p>
      <w:pPr>
        <w:pStyle w:val="Defstart"/>
      </w:pPr>
      <w:r>
        <w:rPr>
          <w:b/>
        </w:rPr>
        <w:tab/>
        <w:t>“</w:t>
      </w:r>
      <w:r>
        <w:rPr>
          <w:rStyle w:val="CharDefText"/>
        </w:rPr>
        <w:t>confer</w:t>
      </w:r>
      <w:r>
        <w:rPr>
          <w:b/>
        </w:rPr>
        <w:t>”</w:t>
      </w:r>
      <w:r>
        <w:t xml:space="preserve"> includes to impose;</w:t>
      </w:r>
    </w:p>
    <w:p>
      <w:pPr>
        <w:pStyle w:val="Defstart"/>
      </w:pPr>
      <w:r>
        <w:rPr>
          <w:b/>
        </w:rPr>
        <w:tab/>
        <w:t>“</w:t>
      </w:r>
      <w:r>
        <w:rPr>
          <w:rStyle w:val="CharDefText"/>
        </w:rPr>
        <w:t>confidential commercial information</w:t>
      </w:r>
      <w:r>
        <w:rPr>
          <w:b/>
        </w:rPr>
        <w:t>”</w:t>
      </w:r>
      <w:r>
        <w:t xml:space="preserve"> means information that has a commercial or other value that would be, or could reasonably be expected to be, destroyed or diminished if the information were disclosed;</w:t>
      </w:r>
    </w:p>
    <w:p>
      <w:pPr>
        <w:pStyle w:val="Defstart"/>
      </w:pPr>
      <w:r>
        <w:rPr>
          <w:b/>
        </w:rPr>
        <w:tab/>
        <w:t>“</w:t>
      </w:r>
      <w:r>
        <w:rPr>
          <w:rStyle w:val="CharDefText"/>
        </w:rPr>
        <w:t>corresponding law</w:t>
      </w:r>
      <w:r>
        <w:rPr>
          <w:b/>
        </w:rPr>
        <w:t>”</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t>“</w:t>
      </w:r>
      <w:r>
        <w:rPr>
          <w:rStyle w:val="CharDefText"/>
        </w:rPr>
        <w:t>disclose</w:t>
      </w:r>
      <w:r>
        <w:rPr>
          <w:b/>
        </w:rPr>
        <w:t>”</w:t>
      </w:r>
      <w:r>
        <w:t>, in relation to information, means give or communicate in any way;</w:t>
      </w:r>
    </w:p>
    <w:p>
      <w:pPr>
        <w:pStyle w:val="Defstart"/>
      </w:pPr>
      <w:r>
        <w:rPr>
          <w:b/>
        </w:rPr>
        <w:tab/>
        <w:t>“</w:t>
      </w:r>
      <w:r>
        <w:rPr>
          <w:rStyle w:val="CharDefText"/>
        </w:rPr>
        <w:t>excess ART embryo</w:t>
      </w:r>
      <w:r>
        <w:rPr>
          <w:b/>
        </w:rPr>
        <w:t>”</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t>“</w:t>
      </w:r>
      <w:r>
        <w:rPr>
          <w:rStyle w:val="CharDefText"/>
        </w:rPr>
        <w:t>HREC</w:t>
      </w:r>
      <w:r>
        <w:rPr>
          <w:b/>
        </w:rPr>
        <w:t>”</w:t>
      </w:r>
      <w:r>
        <w:t xml:space="preserve"> means a Human Research Ethics Committee;</w:t>
      </w:r>
    </w:p>
    <w:p>
      <w:pPr>
        <w:pStyle w:val="Defstart"/>
      </w:pPr>
      <w:r>
        <w:rPr>
          <w:b/>
        </w:rPr>
        <w:tab/>
        <w:t>“</w:t>
      </w:r>
      <w:r>
        <w:rPr>
          <w:rStyle w:val="CharDefText"/>
        </w:rPr>
        <w:t>inspector</w:t>
      </w:r>
      <w:r>
        <w:rPr>
          <w:b/>
        </w:rPr>
        <w:t>”</w:t>
      </w:r>
      <w:r>
        <w:t xml:space="preserve"> means a person appointed as an inspector under section 53ZN(1);</w:t>
      </w:r>
    </w:p>
    <w:p>
      <w:pPr>
        <w:pStyle w:val="Defstart"/>
      </w:pPr>
      <w:r>
        <w:rPr>
          <w:b/>
        </w:rPr>
        <w:tab/>
        <w:t>“</w:t>
      </w:r>
      <w:r>
        <w:rPr>
          <w:rStyle w:val="CharDefText"/>
        </w:rPr>
        <w:t>licence</w:t>
      </w:r>
      <w:r>
        <w:rPr>
          <w:b/>
        </w:rPr>
        <w:t>”</w:t>
      </w:r>
      <w:r>
        <w:t xml:space="preserve"> means a licence issued under section 53ZB;</w:t>
      </w:r>
    </w:p>
    <w:p>
      <w:pPr>
        <w:pStyle w:val="Defstart"/>
      </w:pPr>
      <w:r>
        <w:rPr>
          <w:b/>
        </w:rPr>
        <w:tab/>
        <w:t>“</w:t>
      </w:r>
      <w:r>
        <w:rPr>
          <w:rStyle w:val="CharDefText"/>
        </w:rPr>
        <w:t>licensed ART centre</w:t>
      </w:r>
      <w:r>
        <w:rPr>
          <w:b/>
        </w:rPr>
        <w:t>”</w:t>
      </w:r>
      <w:r>
        <w:t xml:space="preserve"> means a person licensed under Part 4;</w:t>
      </w:r>
    </w:p>
    <w:p>
      <w:pPr>
        <w:pStyle w:val="Defstart"/>
      </w:pPr>
      <w:r>
        <w:rPr>
          <w:b/>
        </w:rPr>
        <w:tab/>
        <w:t>“</w:t>
      </w:r>
      <w:r>
        <w:rPr>
          <w:rStyle w:val="CharDefText"/>
        </w:rPr>
        <w:t>NHMRC Licensing Committee</w:t>
      </w:r>
      <w:r>
        <w:rPr>
          <w:b/>
        </w:rPr>
        <w:t>”</w:t>
      </w:r>
      <w:r>
        <w:t xml:space="preserve"> means the Committee of that name established under section 13 of the Commonwealth Human Embryo Act;</w:t>
      </w:r>
    </w:p>
    <w:p>
      <w:pPr>
        <w:pStyle w:val="Defstart"/>
      </w:pPr>
      <w:r>
        <w:rPr>
          <w:b/>
        </w:rPr>
        <w:tab/>
        <w:t>“</w:t>
      </w:r>
      <w:r>
        <w:rPr>
          <w:rStyle w:val="CharDefText"/>
        </w:rPr>
        <w:t>proper consent</w:t>
      </w:r>
      <w:r>
        <w:rPr>
          <w:b/>
        </w:rPr>
        <w: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t>“</w:t>
      </w:r>
      <w:r>
        <w:rPr>
          <w:rStyle w:val="CharDefText"/>
        </w:rPr>
        <w:t>responsible person</w:t>
      </w:r>
      <w:r>
        <w:rPr>
          <w:b/>
        </w:rPr>
        <w:t>”</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t>“</w:t>
      </w:r>
      <w:r>
        <w:rPr>
          <w:rStyle w:val="CharDefText"/>
        </w:rPr>
        <w:t>State</w:t>
      </w:r>
      <w:r>
        <w:rPr>
          <w:b/>
        </w:rPr>
        <w:t>”</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r>
      <w:r>
        <w:rPr>
          <w:b/>
        </w:rPr>
        <w:t xml:space="preserve">A </w:t>
      </w:r>
      <w:r>
        <w:rPr>
          <w:b/>
        </w:rPr>
        <w:sym w:font="Symbol" w:char="F0B4"/>
      </w:r>
      <w:r>
        <w:rPr>
          <w:b/>
        </w:rP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594" w:name="_Toc89667784"/>
      <w:bookmarkStart w:id="595" w:name="_Toc89748904"/>
      <w:bookmarkStart w:id="596" w:name="_Toc90963745"/>
      <w:bookmarkStart w:id="597" w:name="_Toc92862264"/>
      <w:bookmarkStart w:id="598" w:name="_Toc97107037"/>
      <w:bookmarkStart w:id="599" w:name="_Toc102884126"/>
      <w:bookmarkStart w:id="600" w:name="_Toc114890357"/>
      <w:bookmarkStart w:id="601" w:name="_Toc118874858"/>
      <w:bookmarkStart w:id="602" w:name="_Toc118875140"/>
      <w:bookmarkStart w:id="603" w:name="_Toc119233020"/>
      <w:bookmarkStart w:id="604" w:name="_Toc119386258"/>
      <w:bookmarkStart w:id="605" w:name="_Toc120689303"/>
      <w:r>
        <w:rPr>
          <w:rStyle w:val="CharDivNo"/>
        </w:rPr>
        <w:t>Division 2</w:t>
      </w:r>
      <w:r>
        <w:t> — </w:t>
      </w:r>
      <w:r>
        <w:rPr>
          <w:rStyle w:val="CharDivText"/>
        </w:rPr>
        <w:t>Performance of functions</w:t>
      </w:r>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tabs>
          <w:tab w:val="left" w:pos="851"/>
        </w:tabs>
      </w:pPr>
      <w:r>
        <w:tab/>
        <w:t>[Heading inserted by No. 17 of 2004 s. 36.]</w:t>
      </w:r>
    </w:p>
    <w:p>
      <w:pPr>
        <w:pStyle w:val="Heading5"/>
      </w:pPr>
      <w:bookmarkStart w:id="606" w:name="_Toc120689304"/>
      <w:r>
        <w:rPr>
          <w:rStyle w:val="CharSectno"/>
        </w:rPr>
        <w:t>53U</w:t>
      </w:r>
      <w:r>
        <w:t>.</w:t>
      </w:r>
      <w:r>
        <w:tab/>
        <w:t>Functions not affected by State laws</w:t>
      </w:r>
      <w:bookmarkEnd w:id="606"/>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607" w:name="_Toc120689305"/>
      <w:r>
        <w:rPr>
          <w:rStyle w:val="CharSectno"/>
        </w:rPr>
        <w:t>53V</w:t>
      </w:r>
      <w:r>
        <w:t>.</w:t>
      </w:r>
      <w:r>
        <w:tab/>
        <w:t>Extent to which functions are conferred</w:t>
      </w:r>
      <w:bookmarkEnd w:id="607"/>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608" w:name="_Toc89667787"/>
      <w:bookmarkStart w:id="609" w:name="_Toc89748907"/>
      <w:bookmarkStart w:id="610" w:name="_Toc90963748"/>
      <w:bookmarkStart w:id="611" w:name="_Toc92862267"/>
      <w:bookmarkStart w:id="612" w:name="_Toc97107040"/>
      <w:bookmarkStart w:id="613" w:name="_Toc102884129"/>
      <w:bookmarkStart w:id="614" w:name="_Toc114890360"/>
      <w:bookmarkStart w:id="615" w:name="_Toc118874861"/>
      <w:bookmarkStart w:id="616" w:name="_Toc118875143"/>
      <w:bookmarkStart w:id="617" w:name="_Toc119233023"/>
      <w:bookmarkStart w:id="618" w:name="_Toc119386261"/>
      <w:bookmarkStart w:id="619" w:name="_Toc120689306"/>
      <w:r>
        <w:rPr>
          <w:rStyle w:val="CharDivNo"/>
        </w:rPr>
        <w:t>Division 3</w:t>
      </w:r>
      <w:r>
        <w:t> — </w:t>
      </w:r>
      <w:r>
        <w:rPr>
          <w:rStyle w:val="CharDivText"/>
        </w:rPr>
        <w:t>Offences</w:t>
      </w:r>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tabs>
          <w:tab w:val="left" w:pos="851"/>
        </w:tabs>
      </w:pPr>
      <w:r>
        <w:tab/>
        <w:t>[Heading inserted by No. 17 of 2004 s. 36.]</w:t>
      </w:r>
    </w:p>
    <w:p>
      <w:pPr>
        <w:pStyle w:val="Heading5"/>
        <w:spacing w:before="120"/>
      </w:pPr>
      <w:bookmarkStart w:id="620" w:name="_Toc120689307"/>
      <w:r>
        <w:rPr>
          <w:rStyle w:val="CharSectno"/>
        </w:rPr>
        <w:t>53W</w:t>
      </w:r>
      <w:r>
        <w:t>.</w:t>
      </w:r>
      <w:r>
        <w:tab/>
        <w:t>Offence — use of excess ART embryo</w:t>
      </w:r>
      <w:bookmarkEnd w:id="620"/>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b/>
        </w:rPr>
        <w:t>“</w:t>
      </w:r>
      <w:r>
        <w:rPr>
          <w:rStyle w:val="CharDefText"/>
        </w:rPr>
        <w:t>exempt use</w:t>
      </w:r>
      <w:r>
        <w:rPr>
          <w:b/>
        </w:rPr>
        <w:t>”</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t>“</w:t>
      </w:r>
      <w:r>
        <w:rPr>
          <w:rStyle w:val="CharDefText"/>
        </w:rPr>
        <w:t>diagnostic investigation</w:t>
      </w:r>
      <w:r>
        <w:rPr>
          <w:b/>
        </w:rPr>
        <w:t>”</w:t>
      </w:r>
      <w:r>
        <w:t>, in relation to an excess ART embryo, means any procedure undertaken on embryos for the sole purpose of diagnostic investigations for the direct benefit of the woman for whom it was created;</w:t>
      </w:r>
    </w:p>
    <w:p>
      <w:pPr>
        <w:pStyle w:val="Defstart"/>
      </w:pPr>
      <w:r>
        <w:rPr>
          <w:b/>
        </w:rPr>
        <w:tab/>
        <w:t>“</w:t>
      </w:r>
      <w:r>
        <w:rPr>
          <w:rStyle w:val="CharDefText"/>
        </w:rPr>
        <w:t>observation</w:t>
      </w:r>
      <w:r>
        <w:rPr>
          <w:b/>
        </w:rPr>
        <w:t>”</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621" w:name="_Toc120689308"/>
      <w:r>
        <w:rPr>
          <w:rStyle w:val="CharSectno"/>
        </w:rPr>
        <w:t>53X</w:t>
      </w:r>
      <w:r>
        <w:t>.</w:t>
      </w:r>
      <w:r>
        <w:tab/>
        <w:t>Offence — breaching a licence condition</w:t>
      </w:r>
      <w:bookmarkEnd w:id="621"/>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t>“</w:t>
      </w:r>
      <w:r>
        <w:rPr>
          <w:rStyle w:val="CharDefText"/>
        </w:rPr>
        <w:t>engage in conduct</w:t>
      </w:r>
      <w:r>
        <w:rPr>
          <w:b/>
        </w:rPr>
        <w: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622" w:name="_Toc89667790"/>
      <w:bookmarkStart w:id="623" w:name="_Toc89748910"/>
      <w:bookmarkStart w:id="624" w:name="_Toc90963751"/>
      <w:bookmarkStart w:id="625" w:name="_Toc92862270"/>
      <w:bookmarkStart w:id="626" w:name="_Toc97107043"/>
      <w:bookmarkStart w:id="627" w:name="_Toc102884132"/>
      <w:bookmarkStart w:id="628" w:name="_Toc114890363"/>
      <w:bookmarkStart w:id="629" w:name="_Toc118874864"/>
      <w:bookmarkStart w:id="630" w:name="_Toc118875146"/>
      <w:bookmarkStart w:id="631" w:name="_Toc119233026"/>
      <w:bookmarkStart w:id="632" w:name="_Toc119386264"/>
      <w:bookmarkStart w:id="633" w:name="_Toc120689309"/>
      <w:r>
        <w:rPr>
          <w:rStyle w:val="CharDivNo"/>
        </w:rPr>
        <w:t>Division 4</w:t>
      </w:r>
      <w:r>
        <w:t> — </w:t>
      </w:r>
      <w:r>
        <w:rPr>
          <w:rStyle w:val="CharDivText"/>
        </w:rPr>
        <w:t>Embryo Research Licensing Committee of the NHMRC</w:t>
      </w:r>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tabs>
          <w:tab w:val="left" w:pos="851"/>
        </w:tabs>
      </w:pPr>
      <w:r>
        <w:tab/>
        <w:t>[Heading inserted by No. 17 of 2004 s. 36.]</w:t>
      </w:r>
    </w:p>
    <w:p>
      <w:pPr>
        <w:pStyle w:val="Heading5"/>
      </w:pPr>
      <w:bookmarkStart w:id="634" w:name="_Toc120689310"/>
      <w:r>
        <w:rPr>
          <w:rStyle w:val="CharSectno"/>
        </w:rPr>
        <w:t>53Y</w:t>
      </w:r>
      <w:r>
        <w:t>.</w:t>
      </w:r>
      <w:r>
        <w:tab/>
        <w:t>Functions of Committee</w:t>
      </w:r>
      <w:bookmarkEnd w:id="634"/>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635" w:name="_Toc120689311"/>
      <w:r>
        <w:rPr>
          <w:rStyle w:val="CharSectno"/>
        </w:rPr>
        <w:t>53Z</w:t>
      </w:r>
      <w:r>
        <w:t>.</w:t>
      </w:r>
      <w:r>
        <w:tab/>
        <w:t>Powers of Committee</w:t>
      </w:r>
      <w:bookmarkEnd w:id="635"/>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636" w:name="_Toc89667793"/>
      <w:bookmarkStart w:id="637" w:name="_Toc89748913"/>
      <w:bookmarkStart w:id="638" w:name="_Toc90963754"/>
      <w:bookmarkStart w:id="639" w:name="_Toc92862273"/>
      <w:bookmarkStart w:id="640" w:name="_Toc97107046"/>
      <w:bookmarkStart w:id="641" w:name="_Toc102884135"/>
      <w:bookmarkStart w:id="642" w:name="_Toc114890366"/>
      <w:bookmarkStart w:id="643" w:name="_Toc118874867"/>
      <w:bookmarkStart w:id="644" w:name="_Toc118875149"/>
      <w:bookmarkStart w:id="645" w:name="_Toc119233029"/>
      <w:bookmarkStart w:id="646" w:name="_Toc119386267"/>
      <w:bookmarkStart w:id="647" w:name="_Toc120689312"/>
      <w:r>
        <w:rPr>
          <w:rStyle w:val="CharDivNo"/>
        </w:rPr>
        <w:t>Division 5</w:t>
      </w:r>
      <w:r>
        <w:t> — </w:t>
      </w:r>
      <w:r>
        <w:rPr>
          <w:rStyle w:val="CharDivText"/>
        </w:rPr>
        <w:t>Licensing system</w:t>
      </w:r>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tabs>
          <w:tab w:val="left" w:pos="851"/>
        </w:tabs>
      </w:pPr>
      <w:r>
        <w:tab/>
        <w:t>[Heading inserted by No. 17 of 2004 s. 36.]</w:t>
      </w:r>
    </w:p>
    <w:p>
      <w:pPr>
        <w:pStyle w:val="Heading5"/>
      </w:pPr>
      <w:bookmarkStart w:id="648" w:name="_Toc120689313"/>
      <w:r>
        <w:rPr>
          <w:rStyle w:val="CharSectno"/>
        </w:rPr>
        <w:t>53ZA</w:t>
      </w:r>
      <w:r>
        <w:t>.</w:t>
      </w:r>
      <w:r>
        <w:tab/>
        <w:t>Person may apply for licence</w:t>
      </w:r>
      <w:bookmarkEnd w:id="648"/>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649" w:name="_Toc120689314"/>
      <w:r>
        <w:rPr>
          <w:rStyle w:val="CharSectno"/>
        </w:rPr>
        <w:t>53ZB</w:t>
      </w:r>
      <w:r>
        <w:t>.</w:t>
      </w:r>
      <w:r>
        <w:tab/>
        <w:t>Determination of application by Committee</w:t>
      </w:r>
      <w:bookmarkEnd w:id="649"/>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650" w:name="_Toc120689315"/>
      <w:r>
        <w:rPr>
          <w:rStyle w:val="CharSectno"/>
        </w:rPr>
        <w:t>53ZC</w:t>
      </w:r>
      <w:r>
        <w:t>.</w:t>
      </w:r>
      <w:r>
        <w:tab/>
        <w:t>Notification of decision</w:t>
      </w:r>
      <w:bookmarkEnd w:id="650"/>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Commissioner as defined in section 3(1) of the </w:t>
      </w:r>
      <w:r>
        <w:rPr>
          <w:i/>
        </w:rPr>
        <w:t>Health Act 1911</w:t>
      </w:r>
      <w:r>
        <w:t>.</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w:t>
      </w:r>
    </w:p>
    <w:p>
      <w:pPr>
        <w:pStyle w:val="Heading5"/>
      </w:pPr>
      <w:bookmarkStart w:id="651" w:name="_Toc120689316"/>
      <w:r>
        <w:rPr>
          <w:rStyle w:val="CharSectno"/>
        </w:rPr>
        <w:t>53ZD</w:t>
      </w:r>
      <w:r>
        <w:t>.</w:t>
      </w:r>
      <w:r>
        <w:tab/>
        <w:t>Period of licence</w:t>
      </w:r>
      <w:bookmarkEnd w:id="651"/>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652" w:name="_Toc120689317"/>
      <w:r>
        <w:rPr>
          <w:rStyle w:val="CharSectno"/>
        </w:rPr>
        <w:t>53ZE</w:t>
      </w:r>
      <w:r>
        <w:t>.</w:t>
      </w:r>
      <w:r>
        <w:tab/>
        <w:t>Licence is subject to conditions</w:t>
      </w:r>
      <w:bookmarkEnd w:id="652"/>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653" w:name="_Toc120689318"/>
      <w:r>
        <w:rPr>
          <w:rStyle w:val="CharSectno"/>
        </w:rPr>
        <w:t>53ZF</w:t>
      </w:r>
      <w:r>
        <w:t>.</w:t>
      </w:r>
      <w:r>
        <w:tab/>
        <w:t>Variation of licence</w:t>
      </w:r>
      <w:bookmarkEnd w:id="653"/>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654" w:name="_Toc120689319"/>
      <w:r>
        <w:rPr>
          <w:rStyle w:val="CharSectno"/>
        </w:rPr>
        <w:t>53ZG</w:t>
      </w:r>
      <w:r>
        <w:t>.</w:t>
      </w:r>
      <w:r>
        <w:tab/>
        <w:t>Suspension or revocation of licence</w:t>
      </w:r>
      <w:bookmarkEnd w:id="654"/>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655" w:name="_Toc120689320"/>
      <w:r>
        <w:rPr>
          <w:rStyle w:val="CharSectno"/>
        </w:rPr>
        <w:t>53ZH</w:t>
      </w:r>
      <w:r>
        <w:t>.</w:t>
      </w:r>
      <w:r>
        <w:tab/>
        <w:t>Surrender of licence</w:t>
      </w:r>
      <w:bookmarkEnd w:id="655"/>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656" w:name="_Toc120689321"/>
      <w:r>
        <w:rPr>
          <w:rStyle w:val="CharSectno"/>
        </w:rPr>
        <w:t>53ZI</w:t>
      </w:r>
      <w:r>
        <w:t>.</w:t>
      </w:r>
      <w:r>
        <w:tab/>
        <w:t>Notification of variation, suspension, revocation or surrender of licence</w:t>
      </w:r>
      <w:bookmarkEnd w:id="656"/>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Commissioner as defined in section 3(1) of the </w:t>
      </w:r>
      <w:r>
        <w:rPr>
          <w:i/>
        </w:rPr>
        <w:t>Health Act 1911</w:t>
      </w:r>
      <w:r>
        <w:t>.</w:t>
      </w:r>
    </w:p>
    <w:p>
      <w:pPr>
        <w:pStyle w:val="Footnotesection"/>
      </w:pPr>
      <w:r>
        <w:tab/>
        <w:t>[Section 53ZI inserted by No. 17 of 2004 s. 36.]</w:t>
      </w:r>
    </w:p>
    <w:p>
      <w:pPr>
        <w:pStyle w:val="Heading3"/>
      </w:pPr>
      <w:bookmarkStart w:id="657" w:name="_Toc89667803"/>
      <w:bookmarkStart w:id="658" w:name="_Toc89748923"/>
      <w:bookmarkStart w:id="659" w:name="_Toc90963764"/>
      <w:bookmarkStart w:id="660" w:name="_Toc92862283"/>
      <w:bookmarkStart w:id="661" w:name="_Toc97107056"/>
      <w:bookmarkStart w:id="662" w:name="_Toc102884145"/>
      <w:bookmarkStart w:id="663" w:name="_Toc114890376"/>
      <w:bookmarkStart w:id="664" w:name="_Toc118874877"/>
      <w:bookmarkStart w:id="665" w:name="_Toc118875159"/>
      <w:bookmarkStart w:id="666" w:name="_Toc119233039"/>
      <w:bookmarkStart w:id="667" w:name="_Toc119386277"/>
      <w:bookmarkStart w:id="668" w:name="_Toc120689322"/>
      <w:r>
        <w:rPr>
          <w:rStyle w:val="CharDivNo"/>
        </w:rPr>
        <w:t>Division 6</w:t>
      </w:r>
      <w:r>
        <w:t> — </w:t>
      </w:r>
      <w:r>
        <w:rPr>
          <w:rStyle w:val="CharDivText"/>
        </w:rPr>
        <w:t>Reporting and confidentiality</w:t>
      </w:r>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tabs>
          <w:tab w:val="left" w:pos="851"/>
        </w:tabs>
      </w:pPr>
      <w:r>
        <w:tab/>
        <w:t>[Heading inserted by No. 17 of 2004 s. 36.]</w:t>
      </w:r>
    </w:p>
    <w:p>
      <w:pPr>
        <w:pStyle w:val="Heading5"/>
      </w:pPr>
      <w:bookmarkStart w:id="669" w:name="_Toc120689323"/>
      <w:r>
        <w:rPr>
          <w:rStyle w:val="CharSectno"/>
        </w:rPr>
        <w:t>53ZJ</w:t>
      </w:r>
      <w:r>
        <w:t>.</w:t>
      </w:r>
      <w:r>
        <w:tab/>
        <w:t>NHMRC Licensing Committee to make certain information publicly available</w:t>
      </w:r>
      <w:bookmarkEnd w:id="669"/>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670" w:name="_Toc120689324"/>
      <w:r>
        <w:rPr>
          <w:rStyle w:val="CharSectno"/>
        </w:rPr>
        <w:t>53ZK</w:t>
      </w:r>
      <w:r>
        <w:t>.</w:t>
      </w:r>
      <w:r>
        <w:tab/>
        <w:t>Confidential commercial information may only be disclosed in certain circumstances</w:t>
      </w:r>
      <w:bookmarkEnd w:id="670"/>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outlineLvl w:val="0"/>
      </w:pPr>
      <w:r>
        <w:rPr>
          <w:b/>
        </w:rPr>
        <w:tab/>
        <w:t>“</w:t>
      </w:r>
      <w:r>
        <w:rPr>
          <w:rStyle w:val="CharDefText"/>
        </w:rPr>
        <w:t>Commonwealth authority</w:t>
      </w:r>
      <w:r>
        <w:rPr>
          <w:b/>
        </w:rPr>
        <w:t>”</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outlineLvl w:val="0"/>
      </w:pPr>
      <w:r>
        <w:rPr>
          <w:b/>
        </w:rPr>
        <w:tab/>
        <w:t>“</w:t>
      </w:r>
      <w:r>
        <w:rPr>
          <w:rStyle w:val="CharDefText"/>
        </w:rPr>
        <w:t>State agency</w:t>
      </w:r>
      <w:r>
        <w:rPr>
          <w:b/>
        </w:rPr>
        <w:t>”</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671" w:name="_Toc120689325"/>
      <w:r>
        <w:rPr>
          <w:rStyle w:val="CharSectno"/>
        </w:rPr>
        <w:t>53ZKA</w:t>
      </w:r>
      <w:r>
        <w:t>.</w:t>
      </w:r>
      <w:r>
        <w:tab/>
        <w:t>Annual reports</w:t>
      </w:r>
      <w:bookmarkEnd w:id="671"/>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672" w:name="_Toc89667807"/>
      <w:bookmarkStart w:id="673" w:name="_Toc89748927"/>
      <w:bookmarkStart w:id="674" w:name="_Toc90963768"/>
      <w:bookmarkStart w:id="675" w:name="_Toc92862287"/>
      <w:bookmarkStart w:id="676" w:name="_Toc97107060"/>
      <w:bookmarkStart w:id="677" w:name="_Toc102884149"/>
      <w:bookmarkStart w:id="678" w:name="_Toc114890380"/>
      <w:bookmarkStart w:id="679" w:name="_Toc118874881"/>
      <w:bookmarkStart w:id="680" w:name="_Toc118875163"/>
      <w:bookmarkStart w:id="681" w:name="_Toc119233043"/>
      <w:bookmarkStart w:id="682" w:name="_Toc119386281"/>
      <w:bookmarkStart w:id="683" w:name="_Toc120689326"/>
      <w:r>
        <w:rPr>
          <w:rStyle w:val="CharDivNo"/>
        </w:rPr>
        <w:t>Division 7</w:t>
      </w:r>
      <w:r>
        <w:t> — </w:t>
      </w:r>
      <w:r>
        <w:rPr>
          <w:rStyle w:val="CharDivText"/>
        </w:rPr>
        <w:t>Review provisions</w:t>
      </w:r>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tabs>
          <w:tab w:val="left" w:pos="851"/>
        </w:tabs>
      </w:pPr>
      <w:r>
        <w:tab/>
        <w:t>[Heading inserted by No. 17 of 2004 s. 36.]</w:t>
      </w:r>
    </w:p>
    <w:p>
      <w:pPr>
        <w:pStyle w:val="Heading5"/>
      </w:pPr>
      <w:bookmarkStart w:id="684" w:name="_Toc120689327"/>
      <w:r>
        <w:rPr>
          <w:rStyle w:val="CharSectno"/>
        </w:rPr>
        <w:t>53ZL</w:t>
      </w:r>
      <w:r>
        <w:t>.</w:t>
      </w:r>
      <w:r>
        <w:tab/>
        <w:t>Meaning of terms</w:t>
      </w:r>
      <w:bookmarkEnd w:id="684"/>
    </w:p>
    <w:p>
      <w:pPr>
        <w:pStyle w:val="Subsection"/>
      </w:pPr>
      <w:r>
        <w:tab/>
      </w:r>
      <w:r>
        <w:tab/>
        <w:t>In this Division —</w:t>
      </w:r>
    </w:p>
    <w:p>
      <w:pPr>
        <w:pStyle w:val="Defstart"/>
      </w:pPr>
      <w:r>
        <w:rPr>
          <w:b/>
        </w:rPr>
        <w:tab/>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Defstart"/>
      </w:pPr>
      <w:r>
        <w:rPr>
          <w:b/>
        </w:rPr>
        <w:tab/>
        <w:t>“</w:t>
      </w:r>
      <w:r>
        <w:rPr>
          <w:rStyle w:val="CharDefText"/>
        </w:rPr>
        <w:t>eligible person</w:t>
      </w:r>
      <w:r>
        <w:rPr>
          <w:b/>
        </w:rPr>
        <w:t>”</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685" w:name="_Toc120689328"/>
      <w:r>
        <w:rPr>
          <w:rStyle w:val="CharSectno"/>
        </w:rPr>
        <w:t>53ZM</w:t>
      </w:r>
      <w:r>
        <w:t>.</w:t>
      </w:r>
      <w:r>
        <w:tab/>
        <w:t>Review of decisions</w:t>
      </w:r>
      <w:bookmarkEnd w:id="685"/>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686" w:name="_Toc89667810"/>
      <w:bookmarkStart w:id="687" w:name="_Toc89748930"/>
      <w:bookmarkStart w:id="688" w:name="_Toc90963771"/>
      <w:bookmarkStart w:id="689" w:name="_Toc92862290"/>
      <w:bookmarkStart w:id="690" w:name="_Toc97107063"/>
      <w:bookmarkStart w:id="691" w:name="_Toc102884152"/>
      <w:bookmarkStart w:id="692" w:name="_Toc114890383"/>
      <w:bookmarkStart w:id="693" w:name="_Toc118874884"/>
      <w:bookmarkStart w:id="694" w:name="_Toc118875166"/>
      <w:bookmarkStart w:id="695" w:name="_Toc119233046"/>
      <w:bookmarkStart w:id="696" w:name="_Toc119386284"/>
      <w:bookmarkStart w:id="697" w:name="_Toc120689329"/>
      <w:r>
        <w:rPr>
          <w:rStyle w:val="CharDivNo"/>
        </w:rPr>
        <w:t>Division 8</w:t>
      </w:r>
      <w:r>
        <w:t> — </w:t>
      </w:r>
      <w:r>
        <w:rPr>
          <w:rStyle w:val="CharDivText"/>
        </w:rPr>
        <w:t>Monitoring powers</w:t>
      </w:r>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keepNext/>
        <w:keepLines/>
        <w:tabs>
          <w:tab w:val="left" w:pos="851"/>
        </w:tabs>
      </w:pPr>
      <w:r>
        <w:tab/>
        <w:t>[Heading inserted by No. 17 of 2004 s. 36.]</w:t>
      </w:r>
    </w:p>
    <w:p>
      <w:pPr>
        <w:pStyle w:val="Heading5"/>
      </w:pPr>
      <w:bookmarkStart w:id="698" w:name="_Toc120689330"/>
      <w:r>
        <w:rPr>
          <w:rStyle w:val="CharSectno"/>
        </w:rPr>
        <w:t>53ZN</w:t>
      </w:r>
      <w:r>
        <w:t>.</w:t>
      </w:r>
      <w:r>
        <w:tab/>
        <w:t>Appointment of inspectors</w:t>
      </w:r>
      <w:bookmarkEnd w:id="698"/>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699" w:name="_Toc120689331"/>
      <w:r>
        <w:rPr>
          <w:rStyle w:val="CharSectno"/>
        </w:rPr>
        <w:t>53ZO</w:t>
      </w:r>
      <w:r>
        <w:t>.</w:t>
      </w:r>
      <w:r>
        <w:tab/>
        <w:t>Identity card</w:t>
      </w:r>
      <w:bookmarkEnd w:id="699"/>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700" w:name="_Toc120689332"/>
      <w:r>
        <w:rPr>
          <w:rStyle w:val="CharSectno"/>
        </w:rPr>
        <w:t>53ZP</w:t>
      </w:r>
      <w:r>
        <w:t>.</w:t>
      </w:r>
      <w:r>
        <w:tab/>
        <w:t>Powers available to inspectors for monitoring compliance</w:t>
      </w:r>
      <w:bookmarkEnd w:id="700"/>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701" w:name="_Toc120689333"/>
      <w:r>
        <w:rPr>
          <w:rStyle w:val="CharSectno"/>
        </w:rPr>
        <w:t>53ZQ</w:t>
      </w:r>
      <w:r>
        <w:t>.</w:t>
      </w:r>
      <w:r>
        <w:tab/>
        <w:t>Monitoring powers</w:t>
      </w:r>
      <w:bookmarkEnd w:id="701"/>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Commissioner of Health may confer on an inspector the powers set out in section 54.</w:t>
      </w:r>
    </w:p>
    <w:p>
      <w:pPr>
        <w:pStyle w:val="Footnotesection"/>
      </w:pPr>
      <w:r>
        <w:tab/>
        <w:t>[Section 53ZQ inserted by No. 17 of 2004 s. 36; amended by No. 18 of 2004 s. 10.]</w:t>
      </w:r>
    </w:p>
    <w:p>
      <w:pPr>
        <w:pStyle w:val="Heading5"/>
      </w:pPr>
      <w:bookmarkStart w:id="702" w:name="_Toc120689334"/>
      <w:r>
        <w:rPr>
          <w:rStyle w:val="CharSectno"/>
        </w:rPr>
        <w:t>53ZR</w:t>
      </w:r>
      <w:r>
        <w:t>.</w:t>
      </w:r>
      <w:r>
        <w:tab/>
        <w:t>Power to secure</w:t>
      </w:r>
      <w:bookmarkEnd w:id="702"/>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703" w:name="_Toc120689335"/>
      <w:r>
        <w:rPr>
          <w:rStyle w:val="CharSectno"/>
        </w:rPr>
        <w:t>53ZS</w:t>
      </w:r>
      <w:r>
        <w:t>.</w:t>
      </w:r>
      <w:r>
        <w:tab/>
        <w:t>Inspector must produce identity card on request</w:t>
      </w:r>
      <w:bookmarkEnd w:id="703"/>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704" w:name="_Toc120689336"/>
      <w:r>
        <w:rPr>
          <w:rStyle w:val="CharSectno"/>
        </w:rPr>
        <w:t>53ZT</w:t>
      </w:r>
      <w:r>
        <w:t>.</w:t>
      </w:r>
      <w:r>
        <w:tab/>
        <w:t>Consent</w:t>
      </w:r>
      <w:bookmarkEnd w:id="704"/>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705" w:name="_Toc120689337"/>
      <w:r>
        <w:rPr>
          <w:rStyle w:val="CharSectno"/>
        </w:rPr>
        <w:t>53ZU</w:t>
      </w:r>
      <w:r>
        <w:t>.</w:t>
      </w:r>
      <w:r>
        <w:tab/>
        <w:t>Compensation for damage</w:t>
      </w:r>
      <w:bookmarkEnd w:id="705"/>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706" w:name="_Toc89667819"/>
      <w:bookmarkStart w:id="707" w:name="_Toc89748939"/>
      <w:bookmarkStart w:id="708" w:name="_Toc90963780"/>
      <w:bookmarkStart w:id="709" w:name="_Toc92862299"/>
      <w:bookmarkStart w:id="710" w:name="_Toc97107072"/>
      <w:bookmarkStart w:id="711" w:name="_Toc102884161"/>
      <w:bookmarkStart w:id="712" w:name="_Toc114890392"/>
      <w:bookmarkStart w:id="713" w:name="_Toc118874893"/>
      <w:bookmarkStart w:id="714" w:name="_Toc118875175"/>
      <w:bookmarkStart w:id="715" w:name="_Toc119233055"/>
      <w:bookmarkStart w:id="716" w:name="_Toc119386293"/>
      <w:bookmarkStart w:id="717" w:name="_Toc120689338"/>
      <w:r>
        <w:rPr>
          <w:rStyle w:val="CharDivNo"/>
        </w:rPr>
        <w:t>Division 9</w:t>
      </w:r>
      <w:r>
        <w:t> — </w:t>
      </w:r>
      <w:r>
        <w:rPr>
          <w:rStyle w:val="CharDivText"/>
        </w:rPr>
        <w:t>Expiry</w:t>
      </w:r>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tabs>
          <w:tab w:val="left" w:pos="851"/>
        </w:tabs>
      </w:pPr>
      <w:r>
        <w:tab/>
        <w:t>[Heading inserted by No. 17 of 2004 s. 36.]</w:t>
      </w:r>
    </w:p>
    <w:p>
      <w:pPr>
        <w:pStyle w:val="Heading5"/>
      </w:pPr>
      <w:bookmarkStart w:id="718" w:name="_Toc120689339"/>
      <w:r>
        <w:rPr>
          <w:rStyle w:val="CharSectno"/>
        </w:rPr>
        <w:t>53ZV</w:t>
      </w:r>
      <w:r>
        <w:t>.</w:t>
      </w:r>
      <w:r>
        <w:tab/>
        <w:t>Expiry of certain provisions</w:t>
      </w:r>
      <w:bookmarkEnd w:id="718"/>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719" w:name="_Toc89667821"/>
      <w:bookmarkStart w:id="720" w:name="_Toc89748941"/>
      <w:bookmarkStart w:id="721" w:name="_Toc90963782"/>
      <w:bookmarkStart w:id="722" w:name="_Toc92862301"/>
      <w:bookmarkStart w:id="723" w:name="_Toc97107074"/>
      <w:bookmarkStart w:id="724" w:name="_Toc102884163"/>
      <w:bookmarkStart w:id="725" w:name="_Toc114890394"/>
      <w:bookmarkStart w:id="726" w:name="_Toc118874895"/>
      <w:bookmarkStart w:id="727" w:name="_Toc118875177"/>
      <w:bookmarkStart w:id="728" w:name="_Toc119233057"/>
      <w:bookmarkStart w:id="729" w:name="_Toc119386295"/>
      <w:bookmarkStart w:id="730" w:name="_Toc120689340"/>
      <w:r>
        <w:rPr>
          <w:rStyle w:val="CharDivNo"/>
        </w:rPr>
        <w:t>Division 10</w:t>
      </w:r>
      <w:r>
        <w:t> — </w:t>
      </w:r>
      <w:r>
        <w:rPr>
          <w:rStyle w:val="CharDivText"/>
        </w:rPr>
        <w:t>Conscientious objection to use of excess ART embryos</w:t>
      </w:r>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tabs>
          <w:tab w:val="left" w:pos="851"/>
        </w:tabs>
      </w:pPr>
      <w:r>
        <w:tab/>
        <w:t>[Heading inserted by No. 17 of 2004 s. 36.]</w:t>
      </w:r>
    </w:p>
    <w:p>
      <w:pPr>
        <w:pStyle w:val="Heading5"/>
      </w:pPr>
      <w:bookmarkStart w:id="731" w:name="_Toc120689341"/>
      <w:r>
        <w:rPr>
          <w:rStyle w:val="CharSectno"/>
        </w:rPr>
        <w:t>53ZVA</w:t>
      </w:r>
      <w:r>
        <w:t>.</w:t>
      </w:r>
      <w:r>
        <w:tab/>
        <w:t>Conscientious objection to use of excess ART embryos</w:t>
      </w:r>
      <w:bookmarkEnd w:id="731"/>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732" w:name="_Toc89667823"/>
      <w:bookmarkStart w:id="733" w:name="_Toc89748943"/>
      <w:bookmarkStart w:id="734" w:name="_Toc90963784"/>
      <w:bookmarkStart w:id="735" w:name="_Toc92862303"/>
      <w:bookmarkStart w:id="736" w:name="_Toc97107076"/>
      <w:bookmarkStart w:id="737" w:name="_Toc102884165"/>
      <w:bookmarkStart w:id="738" w:name="_Toc114890396"/>
      <w:bookmarkStart w:id="739" w:name="_Toc118874897"/>
      <w:bookmarkStart w:id="740" w:name="_Toc118875179"/>
      <w:bookmarkStart w:id="741" w:name="_Toc119233059"/>
      <w:bookmarkStart w:id="742" w:name="_Toc119386297"/>
      <w:bookmarkStart w:id="743" w:name="_Toc120689342"/>
      <w:r>
        <w:rPr>
          <w:rStyle w:val="CharDivNo"/>
        </w:rPr>
        <w:t>Division 11</w:t>
      </w:r>
      <w:r>
        <w:t> — </w:t>
      </w:r>
      <w:r>
        <w:rPr>
          <w:rStyle w:val="CharDivText"/>
        </w:rPr>
        <w:t>Review of Part</w:t>
      </w:r>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keepNext/>
        <w:tabs>
          <w:tab w:val="left" w:pos="851"/>
        </w:tabs>
      </w:pPr>
      <w:r>
        <w:tab/>
        <w:t>[Heading inserted by No. 17 of 2004 s. 36.]</w:t>
      </w:r>
    </w:p>
    <w:p>
      <w:pPr>
        <w:pStyle w:val="Heading5"/>
      </w:pPr>
      <w:bookmarkStart w:id="744" w:name="_Toc120689343"/>
      <w:r>
        <w:rPr>
          <w:rStyle w:val="CharSectno"/>
        </w:rPr>
        <w:t>53ZW</w:t>
      </w:r>
      <w:r>
        <w:t>.</w:t>
      </w:r>
      <w:r>
        <w:tab/>
        <w:t>Review of Part</w:t>
      </w:r>
      <w:bookmarkEnd w:id="744"/>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745" w:name="_Toc89667825"/>
      <w:bookmarkStart w:id="746" w:name="_Toc89748945"/>
      <w:bookmarkStart w:id="747" w:name="_Toc90963786"/>
      <w:bookmarkStart w:id="748" w:name="_Toc92862305"/>
      <w:bookmarkStart w:id="749" w:name="_Toc97107078"/>
      <w:bookmarkStart w:id="750" w:name="_Toc102884167"/>
      <w:bookmarkStart w:id="751" w:name="_Toc114890398"/>
      <w:bookmarkStart w:id="752" w:name="_Toc118874899"/>
      <w:bookmarkStart w:id="753" w:name="_Toc118875181"/>
      <w:bookmarkStart w:id="754" w:name="_Toc119233061"/>
      <w:bookmarkStart w:id="755" w:name="_Toc119386299"/>
      <w:bookmarkStart w:id="756" w:name="_Toc120689344"/>
      <w:r>
        <w:rPr>
          <w:rStyle w:val="CharPartNo"/>
        </w:rPr>
        <w:t>Part 5</w:t>
      </w:r>
      <w:r>
        <w:t> — </w:t>
      </w:r>
      <w:r>
        <w:rPr>
          <w:rStyle w:val="CharPartText"/>
        </w:rPr>
        <w:t>Enforcement</w:t>
      </w:r>
      <w:bookmarkEnd w:id="499"/>
      <w:bookmarkEnd w:id="500"/>
      <w:bookmarkEnd w:id="501"/>
      <w:bookmarkEnd w:id="745"/>
      <w:bookmarkEnd w:id="746"/>
      <w:bookmarkEnd w:id="747"/>
      <w:bookmarkEnd w:id="748"/>
      <w:bookmarkEnd w:id="749"/>
      <w:bookmarkEnd w:id="750"/>
      <w:bookmarkEnd w:id="751"/>
      <w:bookmarkEnd w:id="752"/>
      <w:bookmarkEnd w:id="753"/>
      <w:bookmarkEnd w:id="754"/>
      <w:bookmarkEnd w:id="755"/>
      <w:bookmarkEnd w:id="756"/>
      <w:r>
        <w:rPr>
          <w:rStyle w:val="CharPartText"/>
        </w:rPr>
        <w:t xml:space="preserve"> </w:t>
      </w:r>
    </w:p>
    <w:p>
      <w:pPr>
        <w:pStyle w:val="Heading3"/>
        <w:spacing w:before="120"/>
        <w:rPr>
          <w:snapToGrid w:val="0"/>
        </w:rPr>
      </w:pPr>
      <w:bookmarkStart w:id="757" w:name="_Toc78092287"/>
      <w:bookmarkStart w:id="758" w:name="_Toc78103506"/>
      <w:bookmarkStart w:id="759" w:name="_Toc78103609"/>
      <w:bookmarkStart w:id="760" w:name="_Toc89667826"/>
      <w:bookmarkStart w:id="761" w:name="_Toc89748946"/>
      <w:bookmarkStart w:id="762" w:name="_Toc90963787"/>
      <w:bookmarkStart w:id="763" w:name="_Toc92862306"/>
      <w:bookmarkStart w:id="764" w:name="_Toc97107079"/>
      <w:bookmarkStart w:id="765" w:name="_Toc102884168"/>
      <w:bookmarkStart w:id="766" w:name="_Toc114890399"/>
      <w:bookmarkStart w:id="767" w:name="_Toc118874900"/>
      <w:bookmarkStart w:id="768" w:name="_Toc118875182"/>
      <w:bookmarkStart w:id="769" w:name="_Toc119233062"/>
      <w:bookmarkStart w:id="770" w:name="_Toc119386300"/>
      <w:bookmarkStart w:id="771" w:name="_Toc120689345"/>
      <w:r>
        <w:rPr>
          <w:rStyle w:val="CharDivNo"/>
        </w:rPr>
        <w:t>Division 1</w:t>
      </w:r>
      <w:r>
        <w:rPr>
          <w:snapToGrid w:val="0"/>
        </w:rPr>
        <w:t> — </w:t>
      </w:r>
      <w:r>
        <w:rPr>
          <w:rStyle w:val="CharDivText"/>
        </w:rPr>
        <w:t>Powers of authorised officers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403920060"/>
      <w:bookmarkStart w:id="773" w:name="_Toc520083463"/>
      <w:bookmarkStart w:id="774" w:name="_Toc7244945"/>
      <w:bookmarkStart w:id="775" w:name="_Toc9932984"/>
      <w:bookmarkStart w:id="776" w:name="_Toc120689346"/>
      <w:r>
        <w:rPr>
          <w:rStyle w:val="CharSectno"/>
        </w:rPr>
        <w:t>54</w:t>
      </w:r>
      <w:r>
        <w:rPr>
          <w:snapToGrid w:val="0"/>
        </w:rPr>
        <w:t>.</w:t>
      </w:r>
      <w:r>
        <w:rPr>
          <w:snapToGrid w:val="0"/>
        </w:rPr>
        <w:tab/>
        <w:t>Powers of authorised officers</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Commissioner of Health</w:t>
      </w:r>
      <w:r>
        <w:rPr>
          <w:snapToGrid w:val="0"/>
        </w:rPr>
        <w:t xml:space="preserve"> 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Commissioner of Health 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w:t>
      </w:r>
    </w:p>
    <w:p>
      <w:pPr>
        <w:pStyle w:val="Heading5"/>
        <w:rPr>
          <w:snapToGrid w:val="0"/>
        </w:rPr>
      </w:pPr>
      <w:bookmarkStart w:id="777" w:name="_Toc403920061"/>
      <w:bookmarkStart w:id="778" w:name="_Toc520083464"/>
      <w:bookmarkStart w:id="779" w:name="_Toc7244946"/>
      <w:bookmarkStart w:id="780" w:name="_Toc9932985"/>
      <w:bookmarkStart w:id="781" w:name="_Toc120689347"/>
      <w:r>
        <w:rPr>
          <w:rStyle w:val="CharSectno"/>
        </w:rPr>
        <w:t>55</w:t>
      </w:r>
      <w:r>
        <w:rPr>
          <w:snapToGrid w:val="0"/>
        </w:rPr>
        <w:t>.</w:t>
      </w:r>
      <w:r>
        <w:rPr>
          <w:snapToGrid w:val="0"/>
        </w:rPr>
        <w:tab/>
        <w:t>Entry, search and seizure, by warrant</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782" w:name="_Toc78092290"/>
      <w:bookmarkStart w:id="783" w:name="_Toc78103509"/>
      <w:bookmarkStart w:id="784" w:name="_Toc78103612"/>
      <w:bookmarkStart w:id="785" w:name="_Toc89667829"/>
      <w:bookmarkStart w:id="786" w:name="_Toc89748949"/>
      <w:bookmarkStart w:id="787" w:name="_Toc90963790"/>
      <w:bookmarkStart w:id="788" w:name="_Toc92862309"/>
      <w:bookmarkStart w:id="789" w:name="_Toc97107082"/>
      <w:bookmarkStart w:id="790" w:name="_Toc102884171"/>
      <w:bookmarkStart w:id="791" w:name="_Toc114890402"/>
      <w:bookmarkStart w:id="792" w:name="_Toc118874903"/>
      <w:bookmarkStart w:id="793" w:name="_Toc118875185"/>
      <w:bookmarkStart w:id="794" w:name="_Toc119233065"/>
      <w:bookmarkStart w:id="795" w:name="_Toc119386303"/>
      <w:bookmarkStart w:id="796" w:name="_Toc120689348"/>
      <w:r>
        <w:rPr>
          <w:rStyle w:val="CharDivNo"/>
        </w:rPr>
        <w:t>Division 2</w:t>
      </w:r>
      <w:r>
        <w:rPr>
          <w:snapToGrid w:val="0"/>
        </w:rPr>
        <w:t> — </w:t>
      </w:r>
      <w:r>
        <w:rPr>
          <w:rStyle w:val="CharDivText"/>
        </w:rPr>
        <w:t>Proceedings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Heading5"/>
        <w:rPr>
          <w:snapToGrid w:val="0"/>
        </w:rPr>
      </w:pPr>
      <w:bookmarkStart w:id="797" w:name="_Toc403920062"/>
      <w:bookmarkStart w:id="798" w:name="_Toc520083465"/>
      <w:bookmarkStart w:id="799" w:name="_Toc7244947"/>
      <w:bookmarkStart w:id="800" w:name="_Toc9932986"/>
      <w:bookmarkStart w:id="801" w:name="_Toc120689349"/>
      <w:r>
        <w:rPr>
          <w:rStyle w:val="CharSectno"/>
        </w:rPr>
        <w:t>56</w:t>
      </w:r>
      <w:r>
        <w:rPr>
          <w:snapToGrid w:val="0"/>
        </w:rPr>
        <w:t>.</w:t>
      </w:r>
      <w:r>
        <w:rPr>
          <w:snapToGrid w:val="0"/>
        </w:rPr>
        <w:tab/>
        <w:t xml:space="preserve">Complaints for </w:t>
      </w:r>
      <w:bookmarkEnd w:id="797"/>
      <w:bookmarkEnd w:id="798"/>
      <w:bookmarkEnd w:id="799"/>
      <w:bookmarkEnd w:id="800"/>
      <w:r>
        <w:rPr>
          <w:snapToGrid w:val="0"/>
        </w:rPr>
        <w:t>a simple offence</w:t>
      </w:r>
      <w:bookmarkEnd w:id="80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 Commissioner of Health;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802" w:name="_Toc403920063"/>
      <w:bookmarkStart w:id="803" w:name="_Toc520083466"/>
      <w:bookmarkStart w:id="804" w:name="_Toc7244948"/>
      <w:bookmarkStart w:id="805" w:name="_Toc9932987"/>
      <w:r>
        <w:tab/>
        <w:t>[Section 56 amended by No. 17 of 2004 s. 38; No. 84 of 2004 s. 80.]</w:t>
      </w:r>
    </w:p>
    <w:p>
      <w:pPr>
        <w:pStyle w:val="Heading5"/>
        <w:rPr>
          <w:snapToGrid w:val="0"/>
        </w:rPr>
      </w:pPr>
      <w:bookmarkStart w:id="806" w:name="_Toc120689350"/>
      <w:r>
        <w:rPr>
          <w:rStyle w:val="CharSectno"/>
        </w:rPr>
        <w:t>57</w:t>
      </w:r>
      <w:r>
        <w:rPr>
          <w:snapToGrid w:val="0"/>
        </w:rPr>
        <w:t>.</w:t>
      </w:r>
      <w:r>
        <w:rPr>
          <w:snapToGrid w:val="0"/>
        </w:rPr>
        <w:tab/>
        <w:t>Averments, and other evidentiary matters</w:t>
      </w:r>
      <w:bookmarkEnd w:id="802"/>
      <w:bookmarkEnd w:id="803"/>
      <w:bookmarkEnd w:id="804"/>
      <w:bookmarkEnd w:id="805"/>
      <w:bookmarkEnd w:id="806"/>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Commissioner of Health</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prosecution notice</w:t>
      </w:r>
      <w:r>
        <w:rPr>
          <w:b/>
        </w:rPr>
        <w:t>”</w:t>
      </w:r>
      <w:r>
        <w:t xml:space="preserve"> shall be construed as including a reference to an allegation upon which any disciplinary action under this Act is founded; and</w:t>
      </w:r>
    </w:p>
    <w:p>
      <w:pPr>
        <w:pStyle w:val="Defstart"/>
      </w:pPr>
      <w:r>
        <w:rPr>
          <w:b/>
        </w:rPr>
        <w:tab/>
        <w:t>“</w:t>
      </w:r>
      <w:r>
        <w:rPr>
          <w:rStyle w:val="CharDefText"/>
        </w:rPr>
        <w:t>specified</w:t>
      </w:r>
      <w:r>
        <w:rPr>
          <w:b/>
        </w:rPr>
        <w:t>”</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In any legal proceedings, a document apparently certified by the Commissioner of Health to be a licence, notice or other document issued under this Act, or to be a copy of a licence, notice or other document issued under this Act, or to be a document or a copy of a document furnished to the Commissioner,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Commissioner of Health</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Commissioner of Health,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or of the Commissioner of Health 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 Commissioner of Health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Commissioner of Health 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 Commissioner of Health, certifying that on a day specified in the certificate a person named in the certificate was a delegate of the Commissioner of Health under section 13(4) to whom such functions of the Commissioner of Health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Commissioner of Health</w:t>
      </w:r>
      <w:r>
        <w:rPr>
          <w:snapToGrid w:val="0"/>
        </w:rPr>
        <w:t xml:space="preserve"> with any information required by the licensing authority a certificate, purporting to be signed by the Commissioner of Health,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807" w:name="_Toc78092293"/>
      <w:bookmarkStart w:id="808" w:name="_Toc78103512"/>
      <w:bookmarkStart w:id="809" w:name="_Toc78103615"/>
      <w:r>
        <w:tab/>
        <w:t>[Section 57 amended by No. 17 of 2004 s. 39; No. 55 of 2004 s. 539 and 540; No. 84 of 2004 s. 80 and 82.]</w:t>
      </w:r>
    </w:p>
    <w:p>
      <w:pPr>
        <w:pStyle w:val="Heading2"/>
      </w:pPr>
      <w:bookmarkStart w:id="810" w:name="_Toc89667832"/>
      <w:bookmarkStart w:id="811" w:name="_Toc89748952"/>
      <w:bookmarkStart w:id="812" w:name="_Toc90963793"/>
      <w:bookmarkStart w:id="813" w:name="_Toc92862312"/>
      <w:bookmarkStart w:id="814" w:name="_Toc97107085"/>
      <w:bookmarkStart w:id="815" w:name="_Toc102884174"/>
      <w:bookmarkStart w:id="816" w:name="_Toc114890405"/>
      <w:bookmarkStart w:id="817" w:name="_Toc118874906"/>
      <w:bookmarkStart w:id="818" w:name="_Toc118875188"/>
      <w:bookmarkStart w:id="819" w:name="_Toc119233068"/>
      <w:bookmarkStart w:id="820" w:name="_Toc119386306"/>
      <w:bookmarkStart w:id="821" w:name="_Toc120689351"/>
      <w:r>
        <w:rPr>
          <w:rStyle w:val="CharPartNo"/>
        </w:rPr>
        <w:t>Part 6</w:t>
      </w:r>
      <w:r>
        <w:t> — </w:t>
      </w:r>
      <w:r>
        <w:rPr>
          <w:rStyle w:val="CharPartText"/>
        </w:rPr>
        <w:t>Administration</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PartText"/>
        </w:rPr>
        <w:t xml:space="preserve"> </w:t>
      </w:r>
    </w:p>
    <w:p>
      <w:pPr>
        <w:pStyle w:val="Heading3"/>
        <w:spacing w:before="200"/>
        <w:rPr>
          <w:snapToGrid w:val="0"/>
        </w:rPr>
      </w:pPr>
      <w:bookmarkStart w:id="822" w:name="_Toc78092294"/>
      <w:bookmarkStart w:id="823" w:name="_Toc78103513"/>
      <w:bookmarkStart w:id="824" w:name="_Toc78103616"/>
      <w:bookmarkStart w:id="825" w:name="_Toc89667833"/>
      <w:bookmarkStart w:id="826" w:name="_Toc89748953"/>
      <w:bookmarkStart w:id="827" w:name="_Toc90963794"/>
      <w:bookmarkStart w:id="828" w:name="_Toc92862313"/>
      <w:bookmarkStart w:id="829" w:name="_Toc97107086"/>
      <w:bookmarkStart w:id="830" w:name="_Toc102884175"/>
      <w:bookmarkStart w:id="831" w:name="_Toc114890406"/>
      <w:bookmarkStart w:id="832" w:name="_Toc118874907"/>
      <w:bookmarkStart w:id="833" w:name="_Toc118875189"/>
      <w:bookmarkStart w:id="834" w:name="_Toc119233069"/>
      <w:bookmarkStart w:id="835" w:name="_Toc119386307"/>
      <w:bookmarkStart w:id="836" w:name="_Toc120689352"/>
      <w:r>
        <w:rPr>
          <w:rStyle w:val="CharDivNo"/>
        </w:rPr>
        <w:t>Division 1</w:t>
      </w:r>
      <w:r>
        <w:rPr>
          <w:snapToGrid w:val="0"/>
        </w:rPr>
        <w:t> — </w:t>
      </w:r>
      <w:r>
        <w:rPr>
          <w:rStyle w:val="CharDivText"/>
        </w:rPr>
        <w:t>Staff</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5"/>
        <w:rPr>
          <w:snapToGrid w:val="0"/>
        </w:rPr>
      </w:pPr>
      <w:bookmarkStart w:id="837" w:name="_Toc403920064"/>
      <w:bookmarkStart w:id="838" w:name="_Toc520083467"/>
      <w:bookmarkStart w:id="839" w:name="_Toc7244949"/>
      <w:bookmarkStart w:id="840" w:name="_Toc9932988"/>
      <w:bookmarkStart w:id="841" w:name="_Toc120689353"/>
      <w:r>
        <w:rPr>
          <w:rStyle w:val="CharSectno"/>
        </w:rPr>
        <w:t>58</w:t>
      </w:r>
      <w:r>
        <w:rPr>
          <w:snapToGrid w:val="0"/>
        </w:rPr>
        <w:t>.</w:t>
      </w:r>
      <w:r>
        <w:rPr>
          <w:snapToGrid w:val="0"/>
        </w:rPr>
        <w:tab/>
        <w:t>Use of staff and facilities of departments, agencies and instrumentalities, and engagement of consultants, etc.</w:t>
      </w:r>
      <w:bookmarkEnd w:id="837"/>
      <w:bookmarkEnd w:id="838"/>
      <w:bookmarkEnd w:id="839"/>
      <w:bookmarkEnd w:id="840"/>
      <w:bookmarkEnd w:id="841"/>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842" w:name="_Toc403920065"/>
      <w:bookmarkStart w:id="843" w:name="_Toc520083468"/>
      <w:bookmarkStart w:id="844" w:name="_Toc7244950"/>
      <w:bookmarkStart w:id="845" w:name="_Toc9932989"/>
      <w:bookmarkStart w:id="846" w:name="_Toc120689354"/>
      <w:r>
        <w:rPr>
          <w:rStyle w:val="CharSectno"/>
        </w:rPr>
        <w:t>59</w:t>
      </w:r>
      <w:r>
        <w:rPr>
          <w:snapToGrid w:val="0"/>
        </w:rPr>
        <w:t>.</w:t>
      </w:r>
      <w:r>
        <w:rPr>
          <w:snapToGrid w:val="0"/>
        </w:rPr>
        <w:tab/>
        <w:t>Staff</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to assist the Commissioner of Health in the administration of this Act.</w:t>
      </w:r>
    </w:p>
    <w:p>
      <w:pPr>
        <w:pStyle w:val="Subsection"/>
        <w:rPr>
          <w:snapToGrid w:val="0"/>
        </w:rPr>
      </w:pPr>
      <w:r>
        <w:rPr>
          <w:snapToGrid w:val="0"/>
        </w:rPr>
        <w:tab/>
        <w:t>(2)</w:t>
      </w:r>
      <w:r>
        <w:rPr>
          <w:snapToGrid w:val="0"/>
        </w:rPr>
        <w:tab/>
        <w:t>The Commissioner of Health 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A person shall not be appointed or permitted to assist the Commissioner of Health in the administration of this Act in so far as that may involve access to information identifying participants in any artificial fertilisation procedure unless that person is specifically authorised by the Commissioner to carry out that function.</w:t>
      </w:r>
    </w:p>
    <w:p>
      <w:pPr>
        <w:pStyle w:val="Footnotesection"/>
      </w:pPr>
      <w:r>
        <w:tab/>
        <w:t xml:space="preserve">[Section 59 amended by No. 32 of 1994 s. 19; No. 17 of 2004 s. 40.] </w:t>
      </w:r>
    </w:p>
    <w:p>
      <w:pPr>
        <w:pStyle w:val="Heading3"/>
        <w:rPr>
          <w:snapToGrid w:val="0"/>
        </w:rPr>
      </w:pPr>
      <w:bookmarkStart w:id="847" w:name="_Toc78092297"/>
      <w:bookmarkStart w:id="848" w:name="_Toc78103516"/>
      <w:bookmarkStart w:id="849" w:name="_Toc78103619"/>
      <w:bookmarkStart w:id="850" w:name="_Toc89667836"/>
      <w:bookmarkStart w:id="851" w:name="_Toc89748956"/>
      <w:bookmarkStart w:id="852" w:name="_Toc90963797"/>
      <w:bookmarkStart w:id="853" w:name="_Toc92862316"/>
      <w:bookmarkStart w:id="854" w:name="_Toc97107089"/>
      <w:bookmarkStart w:id="855" w:name="_Toc102884178"/>
      <w:bookmarkStart w:id="856" w:name="_Toc114890409"/>
      <w:bookmarkStart w:id="857" w:name="_Toc118874910"/>
      <w:bookmarkStart w:id="858" w:name="_Toc118875192"/>
      <w:bookmarkStart w:id="859" w:name="_Toc119233072"/>
      <w:bookmarkStart w:id="860" w:name="_Toc119386310"/>
      <w:bookmarkStart w:id="861" w:name="_Toc120689355"/>
      <w:r>
        <w:rPr>
          <w:rStyle w:val="CharDivNo"/>
        </w:rPr>
        <w:t>Division 2</w:t>
      </w:r>
      <w:r>
        <w:rPr>
          <w:snapToGrid w:val="0"/>
        </w:rPr>
        <w:t> — </w:t>
      </w:r>
      <w:r>
        <w:rPr>
          <w:rStyle w:val="CharDivText"/>
        </w:rPr>
        <w:t>Subsidiary legislation</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DivText"/>
        </w:rPr>
        <w:t xml:space="preserve"> </w:t>
      </w:r>
    </w:p>
    <w:p>
      <w:pPr>
        <w:pStyle w:val="Heading5"/>
        <w:rPr>
          <w:snapToGrid w:val="0"/>
        </w:rPr>
      </w:pPr>
      <w:bookmarkStart w:id="862" w:name="_Toc403920066"/>
      <w:bookmarkStart w:id="863" w:name="_Toc520083469"/>
      <w:bookmarkStart w:id="864" w:name="_Toc7244951"/>
      <w:bookmarkStart w:id="865" w:name="_Toc9932990"/>
      <w:bookmarkStart w:id="866" w:name="_Toc120689356"/>
      <w:r>
        <w:rPr>
          <w:rStyle w:val="CharSectno"/>
        </w:rPr>
        <w:t>60</w:t>
      </w:r>
      <w:r>
        <w:rPr>
          <w:snapToGrid w:val="0"/>
        </w:rPr>
        <w:t>.</w:t>
      </w:r>
      <w:r>
        <w:rPr>
          <w:snapToGrid w:val="0"/>
        </w:rPr>
        <w:tab/>
        <w:t>Regulations, and subsidiary legislation generally</w:t>
      </w:r>
      <w:bookmarkEnd w:id="862"/>
      <w:bookmarkEnd w:id="863"/>
      <w:bookmarkEnd w:id="864"/>
      <w:bookmarkEnd w:id="865"/>
      <w:bookmarkEnd w:id="866"/>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For the purpose of any Rule the Council by a resolution may, and in and for the purposes of any direction the Commissioner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where the text or requirement is to apply as from time to time amended, as if any modification determined by the Council or the Commissioner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Heading3"/>
        <w:rPr>
          <w:snapToGrid w:val="0"/>
        </w:rPr>
      </w:pPr>
      <w:bookmarkStart w:id="867" w:name="_Toc78092299"/>
      <w:bookmarkStart w:id="868" w:name="_Toc78103518"/>
      <w:bookmarkStart w:id="869" w:name="_Toc78103621"/>
      <w:bookmarkStart w:id="870" w:name="_Toc89667838"/>
      <w:bookmarkStart w:id="871" w:name="_Toc89748958"/>
      <w:bookmarkStart w:id="872" w:name="_Toc90963799"/>
      <w:bookmarkStart w:id="873" w:name="_Toc92862318"/>
      <w:bookmarkStart w:id="874" w:name="_Toc97107091"/>
      <w:bookmarkStart w:id="875" w:name="_Toc102884180"/>
      <w:bookmarkStart w:id="876" w:name="_Toc114890411"/>
      <w:bookmarkStart w:id="877" w:name="_Toc118874912"/>
      <w:bookmarkStart w:id="878" w:name="_Toc118875194"/>
      <w:bookmarkStart w:id="879" w:name="_Toc119233074"/>
      <w:bookmarkStart w:id="880" w:name="_Toc119386312"/>
      <w:bookmarkStart w:id="881" w:name="_Toc120689357"/>
      <w:r>
        <w:rPr>
          <w:rStyle w:val="CharDivNo"/>
        </w:rPr>
        <w:t>Division 3</w:t>
      </w:r>
      <w:r>
        <w:rPr>
          <w:snapToGrid w:val="0"/>
        </w:rPr>
        <w:t> — </w:t>
      </w:r>
      <w:r>
        <w:rPr>
          <w:rStyle w:val="CharDivText"/>
        </w:rPr>
        <w:t>General</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DivText"/>
        </w:rPr>
        <w:t xml:space="preserve"> </w:t>
      </w:r>
    </w:p>
    <w:p>
      <w:pPr>
        <w:pStyle w:val="Heading5"/>
        <w:rPr>
          <w:snapToGrid w:val="0"/>
        </w:rPr>
      </w:pPr>
      <w:bookmarkStart w:id="882" w:name="_Toc403920067"/>
      <w:bookmarkStart w:id="883" w:name="_Toc520083470"/>
      <w:bookmarkStart w:id="884" w:name="_Toc7244952"/>
      <w:bookmarkStart w:id="885" w:name="_Toc9932991"/>
      <w:bookmarkStart w:id="886" w:name="_Toc120689358"/>
      <w:r>
        <w:rPr>
          <w:rStyle w:val="CharSectno"/>
        </w:rPr>
        <w:t>61</w:t>
      </w:r>
      <w:r>
        <w:rPr>
          <w:snapToGrid w:val="0"/>
        </w:rPr>
        <w:t>.</w:t>
      </w:r>
      <w:r>
        <w:rPr>
          <w:snapToGrid w:val="0"/>
        </w:rPr>
        <w:tab/>
        <w:t>Review of Act</w:t>
      </w:r>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the need for the continuation of the functions conferred, on the Council and on the Commissioner of Health 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Ednotesection"/>
      </w:pPr>
      <w:r>
        <w:t>[</w:t>
      </w:r>
      <w:r>
        <w:rPr>
          <w:b/>
        </w:rPr>
        <w:t>62, 63.</w:t>
      </w:r>
      <w:r>
        <w:tab/>
        <w:t>Omitted under the Reprints Act 1984 s. 7(4)(e).]</w:t>
      </w:r>
    </w:p>
    <w:p>
      <w:pPr>
        <w:sectPr>
          <w:headerReference w:type="even" r:id="rId26"/>
          <w:headerReference w:type="first" r:id="rId27"/>
          <w:pgSz w:w="11906" w:h="16838" w:code="9"/>
          <w:pgMar w:top="2381" w:right="2409" w:bottom="3543" w:left="2409" w:header="720" w:footer="3380" w:gutter="0"/>
          <w:pgNumType w:start="3"/>
          <w:cols w:space="720"/>
          <w:noEndnote/>
          <w:docGrid w:linePitch="326"/>
        </w:sectPr>
      </w:pPr>
      <w:bookmarkStart w:id="887" w:name="_Toc7244955"/>
    </w:p>
    <w:p>
      <w:pPr>
        <w:pStyle w:val="yScheduleHeading"/>
        <w:outlineLvl w:val="0"/>
      </w:pPr>
      <w:bookmarkStart w:id="888" w:name="_Toc114890413"/>
      <w:bookmarkStart w:id="889" w:name="_Toc118874914"/>
      <w:bookmarkStart w:id="890" w:name="_Toc118875196"/>
      <w:bookmarkStart w:id="891" w:name="_Toc119233076"/>
      <w:bookmarkStart w:id="892" w:name="_Toc119386314"/>
      <w:bookmarkStart w:id="893" w:name="_Toc120689359"/>
      <w:r>
        <w:rPr>
          <w:rStyle w:val="CharSchNo"/>
        </w:rPr>
        <w:t>Schedule</w:t>
      </w:r>
      <w:bookmarkEnd w:id="887"/>
      <w:bookmarkEnd w:id="888"/>
      <w:bookmarkEnd w:id="889"/>
      <w:bookmarkEnd w:id="890"/>
      <w:bookmarkEnd w:id="891"/>
      <w:bookmarkEnd w:id="892"/>
      <w:bookmarkEnd w:id="893"/>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894" w:name="_Toc7244956"/>
      <w:bookmarkStart w:id="895" w:name="_Toc9932994"/>
      <w:bookmarkStart w:id="896" w:name="_Toc120689360"/>
      <w:r>
        <w:rPr>
          <w:rStyle w:val="CharSClsNo"/>
        </w:rPr>
        <w:t>1</w:t>
      </w:r>
      <w:r>
        <w:rPr>
          <w:snapToGrid w:val="0"/>
        </w:rPr>
        <w:t>.</w:t>
      </w:r>
      <w:r>
        <w:rPr>
          <w:snapToGrid w:val="0"/>
        </w:rPr>
        <w:tab/>
        <w:t>The Chair of the Council</w:t>
      </w:r>
      <w:bookmarkEnd w:id="894"/>
      <w:bookmarkEnd w:id="895"/>
      <w:bookmarkEnd w:id="896"/>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897" w:name="_Toc7244957"/>
      <w:bookmarkStart w:id="898" w:name="_Toc9932995"/>
      <w:bookmarkStart w:id="899" w:name="_Toc120689361"/>
      <w:r>
        <w:rPr>
          <w:rStyle w:val="CharSClsNo"/>
        </w:rPr>
        <w:t>2</w:t>
      </w:r>
      <w:r>
        <w:rPr>
          <w:snapToGrid w:val="0"/>
        </w:rPr>
        <w:t>.</w:t>
      </w:r>
      <w:r>
        <w:rPr>
          <w:snapToGrid w:val="0"/>
        </w:rPr>
        <w:tab/>
        <w:t>Deputies, etc.</w:t>
      </w:r>
      <w:bookmarkEnd w:id="897"/>
      <w:bookmarkEnd w:id="898"/>
      <w:bookmarkEnd w:id="899"/>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spacing w:before="180"/>
        <w:ind w:left="890" w:hanging="890"/>
        <w:outlineLvl w:val="0"/>
        <w:rPr>
          <w:snapToGrid w:val="0"/>
        </w:rPr>
      </w:pPr>
      <w:bookmarkStart w:id="900" w:name="_Toc7244958"/>
      <w:bookmarkStart w:id="901" w:name="_Toc9932996"/>
      <w:bookmarkStart w:id="902" w:name="_Toc120689362"/>
      <w:r>
        <w:rPr>
          <w:rStyle w:val="CharSClsNo"/>
        </w:rPr>
        <w:t>3</w:t>
      </w:r>
      <w:r>
        <w:rPr>
          <w:snapToGrid w:val="0"/>
        </w:rPr>
        <w:t>.</w:t>
      </w:r>
      <w:r>
        <w:rPr>
          <w:snapToGrid w:val="0"/>
        </w:rPr>
        <w:tab/>
        <w:t>Term of office</w:t>
      </w:r>
      <w:bookmarkEnd w:id="900"/>
      <w:bookmarkEnd w:id="901"/>
      <w:bookmarkEnd w:id="902"/>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903" w:name="_Toc7244959"/>
      <w:bookmarkStart w:id="904" w:name="_Toc9932997"/>
      <w:bookmarkStart w:id="905" w:name="_Toc120689363"/>
      <w:r>
        <w:rPr>
          <w:rStyle w:val="CharSClsNo"/>
        </w:rPr>
        <w:t>4</w:t>
      </w:r>
      <w:r>
        <w:rPr>
          <w:snapToGrid w:val="0"/>
        </w:rPr>
        <w:t>.</w:t>
      </w:r>
      <w:r>
        <w:rPr>
          <w:snapToGrid w:val="0"/>
        </w:rPr>
        <w:tab/>
        <w:t>Remuneration and leave of members</w:t>
      </w:r>
      <w:bookmarkEnd w:id="903"/>
      <w:bookmarkEnd w:id="904"/>
      <w:bookmarkEnd w:id="905"/>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spacing w:before="280"/>
        <w:ind w:left="890" w:hanging="890"/>
        <w:outlineLvl w:val="0"/>
        <w:rPr>
          <w:snapToGrid w:val="0"/>
        </w:rPr>
      </w:pPr>
      <w:bookmarkStart w:id="906" w:name="_Toc7244960"/>
      <w:bookmarkStart w:id="907" w:name="_Toc9932998"/>
      <w:bookmarkStart w:id="908" w:name="_Toc120689364"/>
      <w:r>
        <w:rPr>
          <w:rStyle w:val="CharSClsNo"/>
        </w:rPr>
        <w:t>5</w:t>
      </w:r>
      <w:r>
        <w:rPr>
          <w:snapToGrid w:val="0"/>
        </w:rPr>
        <w:t>.</w:t>
      </w:r>
      <w:r>
        <w:rPr>
          <w:snapToGrid w:val="0"/>
        </w:rPr>
        <w:tab/>
        <w:t>Premature vacation of office</w:t>
      </w:r>
      <w:bookmarkEnd w:id="906"/>
      <w:bookmarkEnd w:id="907"/>
      <w:bookmarkEnd w:id="90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b/>
          <w:snapToGrid w:val="0"/>
        </w:rPr>
        <w:t>“</w:t>
      </w:r>
      <w:r>
        <w:rPr>
          <w:rStyle w:val="CharDefText"/>
        </w:rPr>
        <w:t>misbehaviour</w:t>
      </w:r>
      <w:r>
        <w:rPr>
          <w:b/>
          <w:snapToGrid w:val="0"/>
        </w:rPr>
        <w:t>”</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909" w:name="_Toc7244961"/>
      <w:bookmarkStart w:id="910" w:name="_Toc9932999"/>
      <w:bookmarkStart w:id="911" w:name="_Toc120689365"/>
      <w:r>
        <w:rPr>
          <w:rStyle w:val="CharSClsNo"/>
        </w:rPr>
        <w:t>6</w:t>
      </w:r>
      <w:r>
        <w:rPr>
          <w:snapToGrid w:val="0"/>
        </w:rPr>
        <w:t>.</w:t>
      </w:r>
      <w:r>
        <w:rPr>
          <w:snapToGrid w:val="0"/>
        </w:rPr>
        <w:tab/>
        <w:t>Personal or pecuniary interests</w:t>
      </w:r>
      <w:bookmarkEnd w:id="909"/>
      <w:bookmarkEnd w:id="910"/>
      <w:bookmarkEnd w:id="911"/>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912" w:name="_Toc7244962"/>
      <w:bookmarkStart w:id="913" w:name="_Toc9933000"/>
      <w:bookmarkStart w:id="914" w:name="_Toc120689366"/>
      <w:r>
        <w:rPr>
          <w:rStyle w:val="CharSClsNo"/>
        </w:rPr>
        <w:t>7</w:t>
      </w:r>
      <w:r>
        <w:rPr>
          <w:snapToGrid w:val="0"/>
        </w:rPr>
        <w:t>.</w:t>
      </w:r>
      <w:r>
        <w:rPr>
          <w:snapToGrid w:val="0"/>
        </w:rPr>
        <w:tab/>
        <w:t>Meetings and proceedings</w:t>
      </w:r>
      <w:bookmarkEnd w:id="912"/>
      <w:bookmarkEnd w:id="913"/>
      <w:bookmarkEnd w:id="914"/>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915" w:name="_Toc7244963"/>
      <w:bookmarkStart w:id="916" w:name="_Toc9933001"/>
      <w:bookmarkStart w:id="917" w:name="_Toc120689367"/>
      <w:r>
        <w:rPr>
          <w:rStyle w:val="CharSClsNo"/>
        </w:rPr>
        <w:t>8</w:t>
      </w:r>
      <w:r>
        <w:rPr>
          <w:snapToGrid w:val="0"/>
        </w:rPr>
        <w:t>.</w:t>
      </w:r>
      <w:r>
        <w:rPr>
          <w:snapToGrid w:val="0"/>
        </w:rPr>
        <w:tab/>
        <w:t>Unanimous resolution may be passed without meeting</w:t>
      </w:r>
      <w:bookmarkEnd w:id="915"/>
      <w:bookmarkEnd w:id="916"/>
      <w:bookmarkEnd w:id="917"/>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918" w:name="_Toc7244964"/>
      <w:bookmarkStart w:id="919" w:name="_Toc9933002"/>
      <w:bookmarkStart w:id="920" w:name="_Toc120689368"/>
      <w:r>
        <w:rPr>
          <w:rStyle w:val="CharSClsNo"/>
        </w:rPr>
        <w:t>9</w:t>
      </w:r>
      <w:r>
        <w:rPr>
          <w:snapToGrid w:val="0"/>
        </w:rPr>
        <w:t>.</w:t>
      </w:r>
      <w:r>
        <w:rPr>
          <w:snapToGrid w:val="0"/>
        </w:rPr>
        <w:tab/>
        <w:t>Committees</w:t>
      </w:r>
      <w:bookmarkEnd w:id="918"/>
      <w:bookmarkEnd w:id="919"/>
      <w:bookmarkEnd w:id="920"/>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921" w:name="_Toc7244965"/>
      <w:bookmarkStart w:id="922" w:name="_Toc9933003"/>
      <w:bookmarkStart w:id="923" w:name="_Toc120689369"/>
      <w:r>
        <w:rPr>
          <w:rStyle w:val="CharSClsNo"/>
        </w:rPr>
        <w:t>10</w:t>
      </w:r>
      <w:r>
        <w:rPr>
          <w:snapToGrid w:val="0"/>
        </w:rPr>
        <w:t>.</w:t>
      </w:r>
      <w:r>
        <w:rPr>
          <w:snapToGrid w:val="0"/>
        </w:rPr>
        <w:tab/>
        <w:t>Protection of members, etc.</w:t>
      </w:r>
      <w:bookmarkEnd w:id="921"/>
      <w:bookmarkEnd w:id="922"/>
      <w:bookmarkEnd w:id="923"/>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924" w:name="_Toc7244966"/>
      <w:bookmarkStart w:id="925" w:name="_Toc9933004"/>
      <w:bookmarkStart w:id="926" w:name="_Toc120689370"/>
      <w:r>
        <w:rPr>
          <w:rStyle w:val="CharSClsNo"/>
        </w:rPr>
        <w:t>11</w:t>
      </w:r>
      <w:r>
        <w:rPr>
          <w:snapToGrid w:val="0"/>
        </w:rPr>
        <w:t>.</w:t>
      </w:r>
      <w:r>
        <w:rPr>
          <w:snapToGrid w:val="0"/>
        </w:rPr>
        <w:tab/>
        <w:t>Annual report on reproductive technology</w:t>
      </w:r>
      <w:bookmarkEnd w:id="924"/>
      <w:bookmarkEnd w:id="925"/>
      <w:bookmarkEnd w:id="926"/>
    </w:p>
    <w:p>
      <w:pPr>
        <w:pStyle w:val="ySubsection"/>
        <w:rPr>
          <w:snapToGrid w:val="0"/>
        </w:rPr>
      </w:pPr>
      <w:r>
        <w:rPr>
          <w:snapToGrid w:val="0"/>
        </w:rPr>
        <w:tab/>
        <w:t>(1)</w:t>
      </w:r>
      <w:r>
        <w:rPr>
          <w:snapToGrid w:val="0"/>
        </w:rPr>
        <w:tab/>
        <w:t>The report to be furnished by the Council to the Commissioner of Health on the use of reproductive technology in the State and the operations of the Council in the preceding year ending 30 June shall be so furnished by such date as, in the opinion of the Commissioner, will enable the Commissioner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 Commissioner,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 Commissioner,</w:t>
      </w:r>
    </w:p>
    <w:p>
      <w:pPr>
        <w:pStyle w:val="yIndenta"/>
        <w:rPr>
          <w:snapToGrid w:val="0"/>
        </w:rPr>
      </w:pPr>
      <w:r>
        <w:rPr>
          <w:snapToGrid w:val="0"/>
        </w:rPr>
        <w:tab/>
      </w:r>
      <w:r>
        <w:rPr>
          <w:snapToGrid w:val="0"/>
        </w:rPr>
        <w:tab/>
        <w:t>that is, in the opinion of the Council or of the Commissioner,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the </w:t>
      </w:r>
      <w:r>
        <w:rPr>
          <w:i/>
          <w:snapToGrid w:val="0"/>
        </w:rPr>
        <w:t>Financial Administration and Audit Act 1985</w:t>
      </w:r>
      <w:r>
        <w:rPr>
          <w:snapToGrid w:val="0"/>
        </w:rPr>
        <w:t>.</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outlineLvl w:val="0"/>
      </w:pPr>
      <w:bookmarkStart w:id="927" w:name="_Toc78092313"/>
      <w:bookmarkStart w:id="928" w:name="_Toc78103532"/>
      <w:bookmarkStart w:id="929" w:name="_Toc78103635"/>
      <w:bookmarkStart w:id="930" w:name="_Toc89667852"/>
      <w:bookmarkStart w:id="931" w:name="_Toc89748972"/>
      <w:bookmarkStart w:id="932" w:name="_Toc90963813"/>
      <w:bookmarkStart w:id="933" w:name="_Toc92862332"/>
      <w:bookmarkStart w:id="934" w:name="_Toc97107105"/>
      <w:bookmarkStart w:id="935" w:name="_Toc102884194"/>
      <w:bookmarkStart w:id="936" w:name="_Toc114890425"/>
      <w:bookmarkStart w:id="937" w:name="_Toc118874926"/>
      <w:bookmarkStart w:id="938" w:name="_Toc118875208"/>
      <w:bookmarkStart w:id="939" w:name="_Toc119233088"/>
      <w:bookmarkStart w:id="940" w:name="_Toc119386326"/>
      <w:bookmarkStart w:id="941" w:name="_Toc120689371"/>
      <w:r>
        <w:t>Notes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nSubsection"/>
        <w:rPr>
          <w:snapToGrid w:val="0"/>
        </w:rPr>
      </w:pPr>
      <w:r>
        <w:rPr>
          <w:snapToGrid w:val="0"/>
          <w:vertAlign w:val="superscript"/>
        </w:rPr>
        <w:t>1</w:t>
      </w:r>
      <w:r>
        <w:rPr>
          <w:snapToGrid w:val="0"/>
        </w:rPr>
        <w:tab/>
        <w:t xml:space="preserve">This reprint is a compilation as at 11 November 2005 of the </w:t>
      </w:r>
      <w:r>
        <w:rPr>
          <w:i/>
          <w:noProof/>
          <w:snapToGrid w:val="0"/>
        </w:rPr>
        <w:t>Human Reproductive Technology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942" w:name="_Toc7244967"/>
      <w:bookmarkStart w:id="943" w:name="_Toc120689372"/>
      <w:r>
        <w:rPr>
          <w:snapToGrid w:val="0"/>
        </w:rPr>
        <w:t>Compilation table</w:t>
      </w:r>
      <w:bookmarkEnd w:id="942"/>
      <w:bookmarkEnd w:id="9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Reproductive Technology Act 1991</w:t>
            </w:r>
          </w:p>
        </w:tc>
        <w:tc>
          <w:tcPr>
            <w:tcW w:w="1134" w:type="dxa"/>
            <w:tcBorders>
              <w:top w:val="single" w:sz="8" w:space="0" w:color="auto"/>
            </w:tcBorders>
          </w:tcPr>
          <w:p>
            <w:pPr>
              <w:pStyle w:val="nTable"/>
              <w:spacing w:after="40"/>
              <w:rPr>
                <w:sz w:val="19"/>
              </w:rPr>
            </w:pPr>
            <w:r>
              <w:rPr>
                <w:sz w:val="19"/>
              </w:rPr>
              <w:t>22 of 1991</w:t>
            </w:r>
          </w:p>
        </w:tc>
        <w:tc>
          <w:tcPr>
            <w:tcW w:w="1134" w:type="dxa"/>
            <w:tcBorders>
              <w:top w:val="single" w:sz="8" w:space="0" w:color="auto"/>
            </w:tcBorders>
          </w:tcPr>
          <w:p>
            <w:pPr>
              <w:pStyle w:val="nTable"/>
              <w:spacing w:after="40"/>
              <w:rPr>
                <w:sz w:val="19"/>
              </w:rPr>
            </w:pPr>
            <w:r>
              <w:rPr>
                <w:sz w:val="19"/>
              </w:rPr>
              <w:t>8 Oct 1991</w:t>
            </w:r>
          </w:p>
        </w:tc>
        <w:tc>
          <w:tcPr>
            <w:tcW w:w="2552" w:type="dxa"/>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Human Reproductive Technology Amendment Act 1996</w:t>
            </w:r>
          </w:p>
        </w:tc>
        <w:tc>
          <w:tcPr>
            <w:tcW w:w="1134" w:type="dxa"/>
          </w:tcPr>
          <w:p>
            <w:pPr>
              <w:pStyle w:val="nTable"/>
              <w:spacing w:after="40"/>
              <w:rPr>
                <w:sz w:val="19"/>
              </w:rPr>
            </w:pPr>
            <w:r>
              <w:rPr>
                <w:sz w:val="19"/>
              </w:rPr>
              <w:t>1 of 1996</w:t>
            </w:r>
          </w:p>
        </w:tc>
        <w:tc>
          <w:tcPr>
            <w:tcW w:w="1134" w:type="dxa"/>
          </w:tcPr>
          <w:p>
            <w:pPr>
              <w:pStyle w:val="nTable"/>
              <w:spacing w:after="40"/>
              <w:rPr>
                <w:sz w:val="19"/>
              </w:rPr>
            </w:pPr>
            <w:r>
              <w:rPr>
                <w:sz w:val="19"/>
              </w:rPr>
              <w:t>4 Apr 1996</w:t>
            </w:r>
          </w:p>
        </w:tc>
        <w:tc>
          <w:tcPr>
            <w:tcW w:w="2552" w:type="dxa"/>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11</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tcPr>
          <w:p>
            <w:pPr>
              <w:pStyle w:val="nTable"/>
              <w:spacing w:after="40"/>
              <w:rPr>
                <w:sz w:val="19"/>
              </w:rPr>
            </w:pPr>
            <w:r>
              <w:rPr>
                <w:i/>
                <w:iCs/>
                <w:sz w:val="19"/>
              </w:rPr>
              <w:t>Human Reproductive Technology Amendment Act 2004</w:t>
            </w:r>
          </w:p>
        </w:tc>
        <w:tc>
          <w:tcPr>
            <w:tcW w:w="1134" w:type="dxa"/>
          </w:tcPr>
          <w:p>
            <w:pPr>
              <w:pStyle w:val="nTable"/>
              <w:spacing w:after="40"/>
              <w:rPr>
                <w:sz w:val="19"/>
              </w:rPr>
            </w:pPr>
            <w:r>
              <w:rPr>
                <w:sz w:val="19"/>
              </w:rPr>
              <w:t>17 of 2004</w:t>
            </w:r>
          </w:p>
        </w:tc>
        <w:tc>
          <w:tcPr>
            <w:tcW w:w="1134" w:type="dxa"/>
          </w:tcPr>
          <w:p>
            <w:pPr>
              <w:pStyle w:val="nTable"/>
              <w:spacing w:after="40"/>
              <w:rPr>
                <w:sz w:val="19"/>
              </w:rPr>
            </w:pPr>
            <w:r>
              <w:rPr>
                <w:sz w:val="19"/>
              </w:rPr>
              <w:t>16 Jul 2004</w:t>
            </w:r>
          </w:p>
        </w:tc>
        <w:tc>
          <w:tcPr>
            <w:tcW w:w="2552"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z w:val="19"/>
              </w:rPr>
            </w:pPr>
            <w:r>
              <w:rPr>
                <w:i/>
                <w:iCs/>
                <w:sz w:val="19"/>
              </w:rPr>
              <w:t>Acts Amendment (Prohibition of Human Cloning and Other Practices) Act 2004</w:t>
            </w:r>
            <w:r>
              <w:rPr>
                <w:sz w:val="19"/>
              </w:rPr>
              <w:t xml:space="preserve"> </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before="12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w:t>
            </w:r>
          </w:p>
        </w:tc>
      </w:tr>
    </w:tbl>
    <w:p>
      <w:pPr>
        <w:pStyle w:val="nSubsection"/>
        <w:spacing w:before="160"/>
        <w:ind w:left="482" w:hanging="482"/>
      </w:pPr>
      <w:r>
        <w:rPr>
          <w:vertAlign w:val="superscript"/>
        </w:rPr>
        <w:t>1a</w:t>
      </w:r>
      <w:r>
        <w:tab/>
        <w:t>On the date as at which thi</w:t>
      </w:r>
      <w:bookmarkStart w:id="944" w:name="_Hlt507390729"/>
      <w:bookmarkEnd w:id="944"/>
      <w:r>
        <w:t>s reprint was prepared, provisions referred to in the following table had not come into operation and were therefore not included in compiling the reprint.  For the text of the provisions see the endnote referred to in the table.</w:t>
      </w:r>
    </w:p>
    <w:p>
      <w:pPr>
        <w:pStyle w:val="nHeading3"/>
        <w:outlineLvl w:val="0"/>
      </w:pPr>
      <w:bookmarkStart w:id="945" w:name="_Toc7405065"/>
      <w:bookmarkStart w:id="946" w:name="_Toc120689373"/>
      <w:r>
        <w:t>Provisions that have not come into operation</w:t>
      </w:r>
      <w:bookmarkEnd w:id="945"/>
      <w:bookmarkEnd w:id="9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i/>
                <w:sz w:val="19"/>
              </w:rPr>
            </w:pPr>
            <w:r>
              <w:rPr>
                <w:i/>
                <w:iCs/>
                <w:snapToGrid w:val="0"/>
                <w:sz w:val="19"/>
                <w:lang w:val="en-US"/>
              </w:rPr>
              <w:t>Children and Community Services Act 2004</w:t>
            </w:r>
            <w:r>
              <w:rPr>
                <w:i/>
                <w:snapToGrid w:val="0"/>
                <w:sz w:val="19"/>
                <w:lang w:val="en-US"/>
              </w:rPr>
              <w:t xml:space="preserve"> </w:t>
            </w:r>
            <w:r>
              <w:rPr>
                <w:iCs/>
                <w:snapToGrid w:val="0"/>
                <w:sz w:val="19"/>
                <w:lang w:val="en-US"/>
              </w:rPr>
              <w:t xml:space="preserve">s. 251 </w:t>
            </w:r>
            <w:r>
              <w:rPr>
                <w:iCs/>
                <w:snapToGrid w:val="0"/>
                <w:sz w:val="19"/>
                <w:vertAlign w:val="superscript"/>
                <w:lang w:val="en-US"/>
              </w:rPr>
              <w:t>4</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34 of 2004</w:t>
            </w:r>
          </w:p>
        </w:tc>
        <w:tc>
          <w:tcPr>
            <w:tcW w:w="1134" w:type="dxa"/>
            <w:tcBorders>
              <w:top w:val="single" w:sz="4" w:space="0" w:color="auto"/>
              <w:bottom w:val="single" w:sz="4" w:space="0" w:color="auto"/>
            </w:tcBorders>
          </w:tcPr>
          <w:p>
            <w:pPr>
              <w:pStyle w:val="nTable"/>
              <w:spacing w:after="40"/>
              <w:rPr>
                <w:sz w:val="19"/>
              </w:rPr>
            </w:pPr>
            <w:r>
              <w:rPr>
                <w:sz w:val="19"/>
              </w:rPr>
              <w:t>20 Oct 2004</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20"/>
        <w:rPr>
          <w:iCs/>
        </w:rPr>
      </w:pPr>
      <w:bookmarkStart w:id="947" w:name="_Hlt524241198"/>
      <w:bookmarkStart w:id="948" w:name="_Hlt25464055"/>
      <w:bookmarkEnd w:id="947"/>
      <w:bookmarkEnd w:id="948"/>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rPr>
          <w:snapToGrid w:val="0"/>
        </w:rPr>
      </w:pPr>
      <w:r>
        <w:rPr>
          <w:vertAlign w:val="superscript"/>
        </w:rPr>
        <w:t>4</w:t>
      </w:r>
      <w:r>
        <w:tab/>
      </w:r>
      <w:r>
        <w:rPr>
          <w:snapToGrid w:val="0"/>
        </w:rPr>
        <w:t xml:space="preserve">On the date as at which this reprint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949" w:name="_Toc85881464"/>
      <w:bookmarkStart w:id="950" w:name="_Toc86208422"/>
      <w:r>
        <w:rPr>
          <w:rStyle w:val="CharSectno"/>
        </w:rPr>
        <w:t>251</w:t>
      </w:r>
      <w:r>
        <w:t>.</w:t>
      </w:r>
      <w:r>
        <w:tab/>
      </w:r>
      <w:bookmarkStart w:id="951" w:name="_Toc55275771"/>
      <w:r>
        <w:t>Other Acts amended</w:t>
      </w:r>
      <w:bookmarkEnd w:id="949"/>
      <w:bookmarkEnd w:id="950"/>
      <w:bookmarkEnd w:id="951"/>
    </w:p>
    <w:p>
      <w:pPr>
        <w:pStyle w:val="nzSubsection"/>
      </w:pPr>
      <w:r>
        <w:tab/>
      </w:r>
      <w:r>
        <w:tab/>
        <w:t>Other Acts are amended as set out in Schedule </w:t>
      </w:r>
      <w:bookmarkStart w:id="952" w:name="_Hlt55630175"/>
      <w:r>
        <w:t>2</w:t>
      </w:r>
      <w:bookmarkEnd w:id="952"/>
      <w:r>
        <w:t>.</w:t>
      </w:r>
    </w:p>
    <w:p>
      <w:pPr>
        <w:pStyle w:val="MiscClose"/>
        <w:rPr>
          <w:snapToGrid w:val="0"/>
        </w:rPr>
      </w:pPr>
      <w:r>
        <w:rPr>
          <w:snapToGrid w:val="0"/>
        </w:rPr>
        <w:t>”.</w:t>
      </w:r>
    </w:p>
    <w:p>
      <w:pPr>
        <w:pStyle w:val="nSubsection"/>
        <w:rPr>
          <w:snapToGrid w:val="0"/>
        </w:rPr>
      </w:pPr>
      <w:r>
        <w:rPr>
          <w:snapToGrid w:val="0"/>
        </w:rPr>
        <w:tab/>
        <w:t>Schedule 2 cl. 14 reads as follows:</w:t>
      </w:r>
    </w:p>
    <w:p>
      <w:pPr>
        <w:pStyle w:val="MiscOpen"/>
        <w:rPr>
          <w:snapToGrid w:val="0"/>
        </w:rPr>
      </w:pPr>
      <w:r>
        <w:rPr>
          <w:snapToGrid w:val="0"/>
        </w:rPr>
        <w:t>“</w:t>
      </w:r>
    </w:p>
    <w:p>
      <w:pPr>
        <w:pStyle w:val="nzHeading2"/>
        <w:outlineLvl w:val="0"/>
      </w:pPr>
      <w:bookmarkStart w:id="953" w:name="_Toc55113541"/>
      <w:bookmarkStart w:id="954" w:name="_Toc86208454"/>
      <w:r>
        <w:rPr>
          <w:rStyle w:val="CharSchNo"/>
        </w:rPr>
        <w:t>Schedule 2</w:t>
      </w:r>
      <w:r>
        <w:t> — </w:t>
      </w:r>
      <w:bookmarkEnd w:id="953"/>
      <w:r>
        <w:rPr>
          <w:rStyle w:val="CharSchText"/>
        </w:rPr>
        <w:t>Amendments to other Acts</w:t>
      </w:r>
      <w:bookmarkEnd w:id="954"/>
    </w:p>
    <w:p>
      <w:pPr>
        <w:pStyle w:val="nzMiscellaneousBody"/>
        <w:jc w:val="right"/>
      </w:pPr>
      <w:r>
        <w:t>[s. 251]</w:t>
      </w:r>
    </w:p>
    <w:p>
      <w:pPr>
        <w:pStyle w:val="nzHeading5"/>
        <w:outlineLvl w:val="0"/>
      </w:pPr>
      <w:bookmarkStart w:id="955" w:name="_Toc85881503"/>
      <w:bookmarkStart w:id="956" w:name="_Toc86208468"/>
      <w:r>
        <w:t>14.</w:t>
      </w:r>
      <w:r>
        <w:tab/>
      </w:r>
      <w:r>
        <w:rPr>
          <w:i/>
        </w:rPr>
        <w:t>Human Reproductive Technology Act 1991</w:t>
      </w:r>
      <w:r>
        <w:t xml:space="preserve"> amended</w:t>
      </w:r>
      <w:bookmarkEnd w:id="955"/>
      <w:bookmarkEnd w:id="956"/>
    </w:p>
    <w:p>
      <w:pPr>
        <w:pStyle w:val="nzSubsection"/>
      </w:pPr>
      <w:r>
        <w:tab/>
        <w:t>(1)</w:t>
      </w:r>
      <w:r>
        <w:tab/>
        <w:t xml:space="preserve">The amendments in this clause are to the </w:t>
      </w:r>
      <w:r>
        <w:rPr>
          <w:i/>
        </w:rPr>
        <w:t>Human Reproductive Technology Act 1991</w:t>
      </w:r>
      <w:r>
        <w:t>.</w:t>
      </w:r>
    </w:p>
    <w:p>
      <w:pPr>
        <w:pStyle w:val="nzSubsection"/>
      </w:pPr>
      <w:r>
        <w:tab/>
        <w:t>(2)</w:t>
      </w:r>
      <w:r>
        <w:tab/>
        <w:t>Section 3(1) is amended as follows:</w:t>
      </w:r>
    </w:p>
    <w:p>
      <w:pPr>
        <w:pStyle w:val="nzIndenta"/>
      </w:pPr>
      <w:r>
        <w:tab/>
        <w:t>(a)</w:t>
      </w:r>
      <w:r>
        <w:tab/>
        <w:t xml:space="preserve">in the definition of “authorised officer” by deleting paragraph (c) and inserting the following paragraph instead — </w:t>
      </w:r>
    </w:p>
    <w:p>
      <w:pPr>
        <w:pStyle w:val="MiscOpen"/>
        <w:ind w:left="1580"/>
      </w:pPr>
      <w:r>
        <w:t xml:space="preserve">“    </w:t>
      </w:r>
    </w:p>
    <w:p>
      <w:pPr>
        <w:pStyle w:val="n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ind w:right="294"/>
      </w:pPr>
      <w:r>
        <w:t xml:space="preserve">    ”;</w:t>
      </w:r>
    </w:p>
    <w:p>
      <w:pPr>
        <w:pStyle w:val="nzIndenta"/>
      </w:pPr>
      <w:r>
        <w:tab/>
        <w:t>(b)</w:t>
      </w:r>
      <w:r>
        <w:tab/>
        <w:t>by deleting the definition of “Director</w:t>
      </w:r>
      <w:r>
        <w:noBreakHyphen/>
        <w:t>General”.</w:t>
      </w:r>
    </w:p>
    <w:p>
      <w:pPr>
        <w:pStyle w:val="nzSubsection"/>
      </w:pPr>
      <w:r>
        <w:tab/>
        <w:t>(3)</w:t>
      </w:r>
      <w:r>
        <w:tab/>
        <w:t>Section 8(2)(a)(i)(E) is amended by deleting “</w:t>
      </w:r>
      <w:r>
        <w:rPr>
          <w:i/>
        </w:rPr>
        <w:t>Community Services Act 1972</w:t>
      </w:r>
      <w:r>
        <w:t xml:space="preserve">” and inserting instead — </w:t>
      </w:r>
    </w:p>
    <w:p>
      <w:pPr>
        <w:pStyle w:val="nzSubsection"/>
      </w:pPr>
      <w:r>
        <w:tab/>
      </w:r>
      <w:r>
        <w:tab/>
        <w:t xml:space="preserve">“    </w:t>
      </w:r>
      <w:r>
        <w:rPr>
          <w:i/>
        </w:rPr>
        <w:t>Children and Community Services Act 2004</w:t>
      </w:r>
      <w:r>
        <w:t xml:space="preserve">    ”.</w:t>
      </w:r>
    </w:p>
    <w:p>
      <w:pPr>
        <w:pStyle w:val="MiscClose"/>
        <w:rPr>
          <w:snapToGrid w:val="0"/>
        </w:rPr>
      </w:pPr>
      <w:r>
        <w:rPr>
          <w:snapToGrid w:val="0"/>
        </w:rPr>
        <w:t>”.</w:t>
      </w:r>
    </w:p>
    <w:p>
      <w:bookmarkStart w:id="957" w:name="_Toc119233091"/>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957"/>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40304</Words>
  <Characters>193868</Characters>
  <Application>Microsoft Office Word</Application>
  <DocSecurity>0</DocSecurity>
  <Lines>5239</Lines>
  <Paragraphs>2661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231511</CharactersWithSpaces>
  <SharedDoc>false</SharedDoc>
  <HLinks>
    <vt:vector size="6" baseType="variant">
      <vt:variant>
        <vt:i4>3014716</vt:i4>
      </vt:variant>
      <vt:variant>
        <vt:i4>12697</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1991 - 02-a0-03</dc:title>
  <dc:subject/>
  <dc:creator/>
  <cp:keywords/>
  <dc:description/>
  <cp:lastModifiedBy>svcMRProcess</cp:lastModifiedBy>
  <cp:revision>4</cp:revision>
  <cp:lastPrinted>2005-11-10T03:46:00Z</cp:lastPrinted>
  <dcterms:created xsi:type="dcterms:W3CDTF">2020-02-16T16:07:00Z</dcterms:created>
  <dcterms:modified xsi:type="dcterms:W3CDTF">2020-02-16T16:07:00Z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20051111</vt:lpwstr>
  </property>
  <property fmtid="{D5CDD505-2E9C-101B-9397-08002B2CF9AE}" pid="4" name="DocumentType">
    <vt:lpwstr>Act</vt:lpwstr>
  </property>
  <property fmtid="{D5CDD505-2E9C-101B-9397-08002B2CF9AE}" pid="5" name="OwlsUID">
    <vt:i4>363</vt:i4>
  </property>
  <property fmtid="{D5CDD505-2E9C-101B-9397-08002B2CF9AE}" pid="6" name="ReprintNo">
    <vt:lpwstr>2</vt:lpwstr>
  </property>
  <property fmtid="{D5CDD505-2E9C-101B-9397-08002B2CF9AE}" pid="7" name="AsAtDate">
    <vt:lpwstr>11 Nov 2005</vt:lpwstr>
  </property>
  <property fmtid="{D5CDD505-2E9C-101B-9397-08002B2CF9AE}" pid="8" name="Suffix">
    <vt:lpwstr>02-a0-03</vt:lpwstr>
  </property>
</Properties>
</file>