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EF" w:rsidRDefault="00F53E54">
      <w:pPr>
        <w:pStyle w:val="WA"/>
      </w:pPr>
      <w:bookmarkStart w:id="0" w:name="_GoBack"/>
      <w:bookmarkEnd w:id="0"/>
      <w:r>
        <w:t>Western Australia</w:t>
      </w:r>
    </w:p>
    <w:p w:rsidR="008B68EF" w:rsidRDefault="00F53E54">
      <w:pPr>
        <w:pStyle w:val="NameofActRegPage1"/>
        <w:spacing w:before="3760" w:after="4200"/>
      </w:pPr>
      <w:r>
        <w:fldChar w:fldCharType="begin"/>
      </w:r>
      <w:r>
        <w:instrText xml:space="preserve"> STYLEREF "Name Of Act/Reg"</w:instrText>
      </w:r>
      <w:r>
        <w:fldChar w:fldCharType="separate"/>
      </w:r>
      <w:r w:rsidR="00555F60">
        <w:rPr>
          <w:noProof/>
        </w:rPr>
        <w:t>Imperial Acts Adopting Act 1836</w:t>
      </w:r>
      <w:r>
        <w:fldChar w:fldCharType="end"/>
      </w:r>
    </w:p>
    <w:p w:rsidR="008B68EF" w:rsidRDefault="008B68EF">
      <w:pPr>
        <w:jc w:val="center"/>
        <w:rPr>
          <w:b/>
        </w:rPr>
        <w:sectPr w:rsidR="008B68E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8B68EF" w:rsidRDefault="00F53E54">
      <w:pPr>
        <w:pStyle w:val="WA"/>
      </w:pPr>
      <w:r>
        <w:lastRenderedPageBreak/>
        <w:t>Western Australia</w:t>
      </w:r>
    </w:p>
    <w:p w:rsidR="008B68EF" w:rsidRDefault="00F53E54">
      <w:pPr>
        <w:pStyle w:val="NameofActRegPage1"/>
      </w:pPr>
      <w:r>
        <w:fldChar w:fldCharType="begin"/>
      </w:r>
      <w:r>
        <w:instrText xml:space="preserve"> STYLEREF "Name Of Act/Reg"</w:instrText>
      </w:r>
      <w:r>
        <w:fldChar w:fldCharType="separate"/>
      </w:r>
      <w:r w:rsidR="00555F60">
        <w:rPr>
          <w:noProof/>
        </w:rPr>
        <w:t>Imperial Acts Adopting Act 1836</w:t>
      </w:r>
      <w:r>
        <w:fldChar w:fldCharType="end"/>
      </w:r>
    </w:p>
    <w:p w:rsidR="008B68EF" w:rsidRDefault="00F53E54">
      <w:pPr>
        <w:pStyle w:val="Arrangement"/>
      </w:pPr>
      <w:r>
        <w:t>Contents</w:t>
      </w:r>
    </w:p>
    <w:p w:rsidR="00F4695C" w:rsidRDefault="00F53E54">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F4695C">
        <w:rPr>
          <w:noProof/>
        </w:rPr>
        <w:t>Recited Imperial Acts adopted</w:t>
      </w:r>
      <w:r w:rsidR="00F4695C">
        <w:rPr>
          <w:noProof/>
        </w:rPr>
        <w:tab/>
      </w:r>
      <w:r w:rsidR="00F4695C">
        <w:rPr>
          <w:noProof/>
        </w:rPr>
        <w:fldChar w:fldCharType="begin"/>
      </w:r>
      <w:r w:rsidR="00F4695C">
        <w:rPr>
          <w:noProof/>
        </w:rPr>
        <w:instrText xml:space="preserve"> PAGEREF _Toc378776851 \h </w:instrText>
      </w:r>
      <w:r w:rsidR="00F4695C">
        <w:rPr>
          <w:noProof/>
        </w:rPr>
      </w:r>
      <w:r w:rsidR="00F4695C">
        <w:rPr>
          <w:noProof/>
        </w:rPr>
        <w:fldChar w:fldCharType="separate"/>
      </w:r>
      <w:r w:rsidR="00555F60">
        <w:rPr>
          <w:noProof/>
        </w:rPr>
        <w:t>3</w:t>
      </w:r>
      <w:r w:rsidR="00F4695C">
        <w:rPr>
          <w:noProof/>
        </w:rPr>
        <w:fldChar w:fldCharType="end"/>
      </w:r>
    </w:p>
    <w:p w:rsidR="00F4695C" w:rsidRDefault="00F4695C">
      <w:pPr>
        <w:pStyle w:val="TOC4"/>
        <w:rPr>
          <w:rFonts w:asciiTheme="minorHAnsi" w:eastAsiaTheme="minorEastAsia" w:hAnsiTheme="minorHAnsi" w:cstheme="minorBidi"/>
          <w:noProof/>
          <w:sz w:val="22"/>
          <w:szCs w:val="22"/>
        </w:rPr>
      </w:pPr>
      <w:r>
        <w:rPr>
          <w:noProof/>
        </w:rPr>
        <w:t>Short title</w:t>
      </w:r>
      <w:r w:rsidR="004355C6">
        <w:rPr>
          <w:noProof/>
        </w:rPr>
        <w:tab/>
      </w:r>
      <w:r>
        <w:rPr>
          <w:noProof/>
        </w:rPr>
        <w:tab/>
      </w:r>
      <w:r>
        <w:rPr>
          <w:noProof/>
        </w:rPr>
        <w:fldChar w:fldCharType="begin"/>
      </w:r>
      <w:r>
        <w:rPr>
          <w:noProof/>
        </w:rPr>
        <w:instrText xml:space="preserve"> PAGEREF _Toc378776852 \h </w:instrText>
      </w:r>
      <w:r>
        <w:rPr>
          <w:noProof/>
        </w:rPr>
      </w:r>
      <w:r>
        <w:rPr>
          <w:noProof/>
        </w:rPr>
        <w:fldChar w:fldCharType="separate"/>
      </w:r>
      <w:r w:rsidR="00555F60">
        <w:rPr>
          <w:noProof/>
        </w:rPr>
        <w:t>3</w:t>
      </w:r>
      <w:r>
        <w:rPr>
          <w:noProof/>
        </w:rPr>
        <w:fldChar w:fldCharType="end"/>
      </w:r>
    </w:p>
    <w:p w:rsidR="00F4695C" w:rsidRDefault="00F4695C">
      <w:pPr>
        <w:pStyle w:val="TOC2"/>
        <w:tabs>
          <w:tab w:val="right" w:leader="dot" w:pos="7086"/>
        </w:tabs>
        <w:rPr>
          <w:rFonts w:asciiTheme="minorHAnsi" w:eastAsiaTheme="minorEastAsia" w:hAnsiTheme="minorHAnsi" w:cstheme="minorBidi"/>
          <w:b w:val="0"/>
          <w:noProof/>
          <w:sz w:val="22"/>
          <w:szCs w:val="22"/>
        </w:rPr>
      </w:pPr>
      <w:r>
        <w:rPr>
          <w:noProof/>
        </w:rPr>
        <w:t>Notes</w:t>
      </w:r>
    </w:p>
    <w:p w:rsidR="00F4695C" w:rsidRDefault="00F4695C">
      <w:pPr>
        <w:pStyle w:val="TOC3"/>
        <w:tabs>
          <w:tab w:val="right" w:leader="dot" w:pos="7086"/>
        </w:tabs>
        <w:rPr>
          <w:rFonts w:asciiTheme="minorHAnsi" w:eastAsiaTheme="minorEastAsia" w:hAnsiTheme="minorHAnsi" w:cstheme="minorBidi"/>
          <w:b w:val="0"/>
          <w:noProof/>
          <w:sz w:val="22"/>
          <w:szCs w:val="22"/>
        </w:rPr>
      </w:pPr>
      <w:r w:rsidRPr="00133749">
        <w:rPr>
          <w:noProof/>
          <w:snapToGrid w:val="0"/>
        </w:rPr>
        <w:t>Complilation table</w:t>
      </w:r>
    </w:p>
    <w:p w:rsidR="008B68EF" w:rsidRDefault="00F53E54">
      <w:pPr>
        <w:pStyle w:val="TOC2"/>
        <w:tabs>
          <w:tab w:val="right" w:pos="7086"/>
        </w:tabs>
      </w:pPr>
      <w:r>
        <w:fldChar w:fldCharType="end"/>
      </w:r>
    </w:p>
    <w:p w:rsidR="008B68EF" w:rsidRDefault="00F53E5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B68EF" w:rsidRDefault="008B68EF">
      <w:pPr>
        <w:pStyle w:val="NoteHeading"/>
        <w:sectPr w:rsidR="008B68E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8B68EF" w:rsidRDefault="00F53E54">
      <w:pPr>
        <w:pStyle w:val="WA"/>
        <w:rPr>
          <w:snapToGrid w:val="0"/>
        </w:rPr>
      </w:pPr>
      <w:r>
        <w:rPr>
          <w:b/>
          <w:snapToGrid w:val="0"/>
        </w:rPr>
        <w:lastRenderedPageBreak/>
        <w:t>Western Australia</w:t>
      </w:r>
    </w:p>
    <w:p w:rsidR="008B68EF" w:rsidRDefault="00F53E54">
      <w:pPr>
        <w:pStyle w:val="NameofActReg"/>
      </w:pPr>
      <w:r>
        <w:t>Imperial Acts Adopting Act 1836</w:t>
      </w:r>
    </w:p>
    <w:p w:rsidR="008B68EF" w:rsidRDefault="00F53E54">
      <w:pPr>
        <w:pStyle w:val="LongTitle"/>
        <w:rPr>
          <w:snapToGrid w:val="0"/>
        </w:rPr>
      </w:pPr>
      <w:r>
        <w:rPr>
          <w:snapToGrid w:val="0"/>
        </w:rPr>
        <w:t xml:space="preserve">An Act for adopting, and applying certain Acts of Parliament, passed in the first, the first and second, the second, the second and third, and the third and fourth years of the reign of His present Majesty, respectively, in the Administration of Justice in the Colony of Western Australia, in like manner as other laws of England are applied therein. </w:t>
      </w:r>
      <w:r>
        <w:rPr>
          <w:vertAlign w:val="superscript"/>
        </w:rPr>
        <w:t>1</w:t>
      </w:r>
    </w:p>
    <w:p w:rsidR="008B68EF" w:rsidRDefault="00F53E54">
      <w:pPr>
        <w:pStyle w:val="Preamble"/>
        <w:tabs>
          <w:tab w:val="left" w:pos="851"/>
        </w:tabs>
        <w:spacing w:before="240"/>
        <w:ind w:left="879" w:hanging="879"/>
        <w:rPr>
          <w:b/>
          <w:snapToGrid w:val="0"/>
        </w:rPr>
      </w:pPr>
      <w:r>
        <w:rPr>
          <w:snapToGrid w:val="0"/>
        </w:rPr>
        <w:tab/>
      </w:r>
      <w:r>
        <w:rPr>
          <w:snapToGrid w:val="0"/>
        </w:rPr>
        <w:tab/>
      </w:r>
      <w:r>
        <w:rPr>
          <w:b/>
          <w:snapToGrid w:val="0"/>
        </w:rPr>
        <w:t>Preamble</w:t>
      </w:r>
    </w:p>
    <w:p w:rsidR="008B68EF" w:rsidRDefault="00F53E54">
      <w:pPr>
        <w:pStyle w:val="Preamble"/>
        <w:tabs>
          <w:tab w:val="left" w:pos="851"/>
        </w:tabs>
        <w:spacing w:before="240"/>
        <w:ind w:left="879" w:hanging="879"/>
        <w:rPr>
          <w:snapToGrid w:val="0"/>
        </w:rPr>
      </w:pPr>
      <w:r>
        <w:rPr>
          <w:snapToGrid w:val="0"/>
        </w:rPr>
        <w:tab/>
      </w:r>
      <w:r>
        <w:rPr>
          <w:snapToGrid w:val="0"/>
        </w:rPr>
        <w:tab/>
        <w:t>Whereas certain Acts of Parliament were passed in the first, the first and second, the second, the second and third, and the third and fourth years of the reign of His present Majesty King William the Fourth, intituled, respectively: 2</w:t>
      </w:r>
    </w:p>
    <w:p w:rsidR="008B68EF" w:rsidRDefault="00F53E54">
      <w:pPr>
        <w:pStyle w:val="MiscellaneousBody"/>
        <w:tabs>
          <w:tab w:val="left" w:pos="284"/>
          <w:tab w:val="left" w:pos="851"/>
        </w:tabs>
        <w:ind w:left="851" w:hanging="851"/>
        <w:rPr>
          <w:snapToGrid w:val="0"/>
        </w:rPr>
      </w:pPr>
      <w:r>
        <w:rPr>
          <w:snapToGrid w:val="0"/>
        </w:rPr>
        <w:tab/>
        <w:t>1.</w:t>
      </w:r>
      <w:r>
        <w:rPr>
          <w:snapToGrid w:val="0"/>
        </w:rPr>
        <w:tab/>
      </w:r>
      <w:r>
        <w:rPr>
          <w:i/>
          <w:snapToGrid w:val="0"/>
        </w:rPr>
        <w:t>An Act for making better Provision for the disposal of the undisposed of Residues of the Effects of Testators.</w:t>
      </w:r>
      <w:r>
        <w:rPr>
          <w:snapToGrid w:val="0"/>
        </w:rPr>
        <w:t xml:space="preserve"> </w:t>
      </w:r>
      <w:r>
        <w:rPr>
          <w:snapToGrid w:val="0"/>
          <w:vertAlign w:val="superscript"/>
        </w:rPr>
        <w:t>3</w:t>
      </w:r>
      <w:r>
        <w:rPr>
          <w:snapToGrid w:val="0"/>
        </w:rPr>
        <w:t>*</w:t>
      </w:r>
    </w:p>
    <w:p w:rsidR="008B68EF" w:rsidRDefault="00F53E54">
      <w:pPr>
        <w:pStyle w:val="MiscellaneousBody"/>
        <w:tabs>
          <w:tab w:val="left" w:pos="284"/>
          <w:tab w:val="left" w:pos="851"/>
        </w:tabs>
        <w:ind w:left="851" w:hanging="851"/>
        <w:rPr>
          <w:snapToGrid w:val="0"/>
        </w:rPr>
      </w:pPr>
      <w:r>
        <w:rPr>
          <w:snapToGrid w:val="0"/>
        </w:rPr>
        <w:tab/>
        <w:t>2.</w:t>
      </w:r>
      <w:r>
        <w:rPr>
          <w:snapToGrid w:val="0"/>
        </w:rPr>
        <w:tab/>
      </w:r>
      <w:r>
        <w:rPr>
          <w:i/>
          <w:snapToGrid w:val="0"/>
        </w:rPr>
        <w:t>An Act for consolidating and amending the Laws for facilitating the Payment of Debts out of Real Estate.</w:t>
      </w:r>
      <w:r>
        <w:rPr>
          <w:snapToGrid w:val="0"/>
        </w:rPr>
        <w:t xml:space="preserve"> </w:t>
      </w:r>
      <w:r>
        <w:rPr>
          <w:snapToGrid w:val="0"/>
          <w:vertAlign w:val="superscript"/>
        </w:rPr>
        <w:t>4</w:t>
      </w:r>
      <w:r>
        <w:rPr>
          <w:snapToGrid w:val="0"/>
        </w:rPr>
        <w:t>*</w:t>
      </w:r>
    </w:p>
    <w:p w:rsidR="008B68EF" w:rsidRDefault="00F53E54">
      <w:pPr>
        <w:pStyle w:val="MiscellaneousBody"/>
        <w:tabs>
          <w:tab w:val="left" w:pos="284"/>
          <w:tab w:val="left" w:pos="851"/>
        </w:tabs>
        <w:ind w:left="851" w:hanging="851"/>
        <w:rPr>
          <w:snapToGrid w:val="0"/>
        </w:rPr>
      </w:pPr>
      <w:r>
        <w:rPr>
          <w:snapToGrid w:val="0"/>
        </w:rPr>
        <w:tab/>
        <w:t>3.</w:t>
      </w:r>
      <w:r>
        <w:rPr>
          <w:snapToGrid w:val="0"/>
        </w:rPr>
        <w:tab/>
      </w:r>
      <w:r>
        <w:rPr>
          <w:i/>
          <w:snapToGrid w:val="0"/>
        </w:rPr>
        <w:t>An Act for amending the Law respecting the Conveyances Transfers of Estates and Funds vested in Trustees and Mortgagees: and for enabling Courts of Equity to give effect to their Decrees and Orders in certain Cases.</w:t>
      </w:r>
      <w:r>
        <w:rPr>
          <w:snapToGrid w:val="0"/>
        </w:rPr>
        <w:t xml:space="preserve"> </w:t>
      </w:r>
      <w:r>
        <w:rPr>
          <w:snapToGrid w:val="0"/>
          <w:vertAlign w:val="superscript"/>
        </w:rPr>
        <w:t>5</w:t>
      </w:r>
    </w:p>
    <w:p w:rsidR="008B68EF" w:rsidRDefault="00F53E54">
      <w:pPr>
        <w:pStyle w:val="MiscellaneousBody"/>
        <w:tabs>
          <w:tab w:val="left" w:pos="284"/>
          <w:tab w:val="left" w:pos="851"/>
        </w:tabs>
        <w:ind w:left="851" w:hanging="851"/>
        <w:rPr>
          <w:snapToGrid w:val="0"/>
        </w:rPr>
      </w:pPr>
      <w:r>
        <w:rPr>
          <w:snapToGrid w:val="0"/>
        </w:rPr>
        <w:tab/>
        <w:t>4.</w:t>
      </w:r>
      <w:r>
        <w:rPr>
          <w:snapToGrid w:val="0"/>
        </w:rPr>
        <w:tab/>
      </w:r>
      <w:r>
        <w:rPr>
          <w:i/>
          <w:snapToGrid w:val="0"/>
        </w:rPr>
        <w:t>An Act for consolidating and amending the Laws relating to Property belonging to Infants, Fêmes</w:t>
      </w:r>
      <w:r>
        <w:rPr>
          <w:i/>
          <w:snapToGrid w:val="0"/>
        </w:rPr>
        <w:noBreakHyphen/>
        <w:t>covert, Idiots, Lunatics, and Persons of unsound mind.</w:t>
      </w:r>
      <w:r>
        <w:rPr>
          <w:snapToGrid w:val="0"/>
        </w:rPr>
        <w:t xml:space="preserve"> </w:t>
      </w:r>
      <w:r>
        <w:rPr>
          <w:snapToGrid w:val="0"/>
          <w:vertAlign w:val="superscript"/>
        </w:rPr>
        <w:t>6</w:t>
      </w:r>
      <w:r>
        <w:rPr>
          <w:snapToGrid w:val="0"/>
        </w:rPr>
        <w:t>*</w:t>
      </w:r>
    </w:p>
    <w:p w:rsidR="008B68EF" w:rsidRDefault="00F53E54">
      <w:pPr>
        <w:pStyle w:val="MiscellaneousBody"/>
        <w:tabs>
          <w:tab w:val="left" w:pos="284"/>
          <w:tab w:val="left" w:pos="851"/>
        </w:tabs>
        <w:ind w:left="851" w:hanging="851"/>
        <w:rPr>
          <w:snapToGrid w:val="0"/>
        </w:rPr>
      </w:pPr>
      <w:r>
        <w:rPr>
          <w:snapToGrid w:val="0"/>
        </w:rPr>
        <w:tab/>
        <w:t>5.</w:t>
      </w:r>
      <w:r>
        <w:rPr>
          <w:snapToGrid w:val="0"/>
        </w:rPr>
        <w:tab/>
      </w:r>
      <w:r>
        <w:rPr>
          <w:i/>
          <w:snapToGrid w:val="0"/>
        </w:rPr>
        <w:t>An Act for reducing it one Act, all such Forgeries as shall henceforth be punished with Death, and for otherwise amending the Laws relative to Forgery.</w:t>
      </w:r>
      <w:r>
        <w:rPr>
          <w:snapToGrid w:val="0"/>
        </w:rPr>
        <w:t xml:space="preserve"> </w:t>
      </w:r>
      <w:r>
        <w:rPr>
          <w:snapToGrid w:val="0"/>
          <w:vertAlign w:val="superscript"/>
        </w:rPr>
        <w:t>7</w:t>
      </w:r>
    </w:p>
    <w:p w:rsidR="008B68EF" w:rsidRDefault="00F53E54">
      <w:pPr>
        <w:pStyle w:val="MiscellaneousBody"/>
        <w:tabs>
          <w:tab w:val="left" w:pos="284"/>
          <w:tab w:val="left" w:pos="851"/>
        </w:tabs>
        <w:ind w:left="851" w:hanging="851"/>
        <w:rPr>
          <w:snapToGrid w:val="0"/>
        </w:rPr>
      </w:pPr>
      <w:r>
        <w:rPr>
          <w:snapToGrid w:val="0"/>
        </w:rPr>
        <w:lastRenderedPageBreak/>
        <w:tab/>
        <w:t>6.</w:t>
      </w:r>
      <w:r>
        <w:rPr>
          <w:snapToGrid w:val="0"/>
        </w:rPr>
        <w:tab/>
      </w:r>
      <w:r>
        <w:rPr>
          <w:i/>
          <w:snapToGrid w:val="0"/>
        </w:rPr>
        <w:t>An Act to abolish certain Oaths and Affirmations taken and made in the Customs and Excise Departments of His Majesty’s Revenue, and to establish Declarations in lieu thereof.</w:t>
      </w:r>
      <w:r>
        <w:rPr>
          <w:snapToGrid w:val="0"/>
        </w:rPr>
        <w:t xml:space="preserve"> </w:t>
      </w:r>
      <w:r>
        <w:rPr>
          <w:snapToGrid w:val="0"/>
          <w:vertAlign w:val="superscript"/>
        </w:rPr>
        <w:t>8</w:t>
      </w:r>
      <w:r>
        <w:rPr>
          <w:snapToGrid w:val="0"/>
        </w:rPr>
        <w:t>*</w:t>
      </w:r>
    </w:p>
    <w:p w:rsidR="008B68EF" w:rsidRDefault="00F53E54">
      <w:pPr>
        <w:pStyle w:val="MiscellaneousBody"/>
        <w:tabs>
          <w:tab w:val="left" w:pos="284"/>
          <w:tab w:val="left" w:pos="851"/>
        </w:tabs>
        <w:ind w:left="851" w:hanging="851"/>
        <w:rPr>
          <w:snapToGrid w:val="0"/>
        </w:rPr>
      </w:pPr>
      <w:r>
        <w:rPr>
          <w:snapToGrid w:val="0"/>
        </w:rPr>
        <w:tab/>
        <w:t>7.</w:t>
      </w:r>
      <w:r>
        <w:rPr>
          <w:snapToGrid w:val="0"/>
        </w:rPr>
        <w:tab/>
      </w:r>
      <w:r>
        <w:rPr>
          <w:i/>
          <w:snapToGrid w:val="0"/>
        </w:rPr>
        <w:t>An Act for consolidating and amending the Laws against Offences relating to the Coin.</w:t>
      </w:r>
      <w:r>
        <w:rPr>
          <w:snapToGrid w:val="0"/>
        </w:rPr>
        <w:t xml:space="preserve"> </w:t>
      </w:r>
      <w:r>
        <w:rPr>
          <w:snapToGrid w:val="0"/>
          <w:vertAlign w:val="superscript"/>
        </w:rPr>
        <w:t>9</w:t>
      </w:r>
    </w:p>
    <w:p w:rsidR="008B68EF" w:rsidRDefault="00F53E54">
      <w:pPr>
        <w:pStyle w:val="MiscellaneousBody"/>
        <w:tabs>
          <w:tab w:val="left" w:pos="284"/>
          <w:tab w:val="left" w:pos="851"/>
        </w:tabs>
        <w:ind w:left="851" w:hanging="851"/>
        <w:rPr>
          <w:i/>
          <w:snapToGrid w:val="0"/>
        </w:rPr>
      </w:pPr>
      <w:r>
        <w:rPr>
          <w:snapToGrid w:val="0"/>
        </w:rPr>
        <w:tab/>
      </w:r>
      <w:r>
        <w:rPr>
          <w:i/>
          <w:snapToGrid w:val="0"/>
        </w:rPr>
        <w:t>[8.</w:t>
      </w:r>
      <w:r>
        <w:rPr>
          <w:i/>
          <w:snapToGrid w:val="0"/>
        </w:rPr>
        <w:tab/>
        <w:t>Repealed by 1 &amp; 2 Edw. VII No. 14, s 3(2), Third Schedule.]</w:t>
      </w:r>
    </w:p>
    <w:p w:rsidR="008B68EF" w:rsidRDefault="00F53E54">
      <w:pPr>
        <w:pStyle w:val="MiscellaneousBody"/>
        <w:tabs>
          <w:tab w:val="left" w:pos="284"/>
          <w:tab w:val="left" w:pos="851"/>
        </w:tabs>
        <w:ind w:left="851" w:hanging="851"/>
        <w:rPr>
          <w:snapToGrid w:val="0"/>
        </w:rPr>
      </w:pPr>
      <w:r>
        <w:rPr>
          <w:snapToGrid w:val="0"/>
        </w:rPr>
        <w:tab/>
        <w:t>9.</w:t>
      </w:r>
      <w:r>
        <w:rPr>
          <w:snapToGrid w:val="0"/>
        </w:rPr>
        <w:tab/>
      </w:r>
      <w:r>
        <w:rPr>
          <w:i/>
          <w:snapToGrid w:val="0"/>
        </w:rPr>
        <w:t>An Act for shortening the Time of Prescription in certain Cases.</w:t>
      </w:r>
      <w:r>
        <w:rPr>
          <w:snapToGrid w:val="0"/>
        </w:rPr>
        <w:t> </w:t>
      </w:r>
      <w:r>
        <w:rPr>
          <w:snapToGrid w:val="0"/>
          <w:vertAlign w:val="superscript"/>
        </w:rPr>
        <w:t>10</w:t>
      </w:r>
      <w:r>
        <w:rPr>
          <w:snapToGrid w:val="0"/>
        </w:rPr>
        <w:t>*</w:t>
      </w:r>
    </w:p>
    <w:p w:rsidR="008B68EF" w:rsidRDefault="00F53E54">
      <w:pPr>
        <w:pStyle w:val="MiscellaneousBody"/>
        <w:tabs>
          <w:tab w:val="left" w:pos="284"/>
          <w:tab w:val="left" w:pos="851"/>
        </w:tabs>
        <w:ind w:left="851" w:hanging="851"/>
        <w:rPr>
          <w:snapToGrid w:val="0"/>
        </w:rPr>
      </w:pPr>
      <w:r>
        <w:rPr>
          <w:snapToGrid w:val="0"/>
        </w:rPr>
        <w:tab/>
        <w:t>10.</w:t>
      </w:r>
      <w:r>
        <w:rPr>
          <w:snapToGrid w:val="0"/>
        </w:rPr>
        <w:tab/>
      </w:r>
      <w:r>
        <w:rPr>
          <w:i/>
          <w:snapToGrid w:val="0"/>
        </w:rPr>
        <w:t>An Act for regulating the Protesting for non</w:t>
      </w:r>
      <w:r>
        <w:rPr>
          <w:i/>
          <w:snapToGrid w:val="0"/>
        </w:rPr>
        <w:noBreakHyphen/>
        <w:t>Payment of Bills of Exchange, drawn Payable at a Place not being the Place of Residence of the Drawee or Drawees of the same.</w:t>
      </w:r>
      <w:r>
        <w:rPr>
          <w:snapToGrid w:val="0"/>
        </w:rPr>
        <w:t xml:space="preserve"> </w:t>
      </w:r>
      <w:r>
        <w:rPr>
          <w:snapToGrid w:val="0"/>
          <w:vertAlign w:val="superscript"/>
        </w:rPr>
        <w:t>11</w:t>
      </w:r>
      <w:r>
        <w:rPr>
          <w:snapToGrid w:val="0"/>
        </w:rPr>
        <w:t>*</w:t>
      </w:r>
    </w:p>
    <w:p w:rsidR="008B68EF" w:rsidRDefault="00F53E54">
      <w:pPr>
        <w:pStyle w:val="MiscellaneousBody"/>
        <w:tabs>
          <w:tab w:val="left" w:pos="284"/>
          <w:tab w:val="left" w:pos="851"/>
        </w:tabs>
        <w:ind w:left="851" w:hanging="851"/>
        <w:rPr>
          <w:snapToGrid w:val="0"/>
        </w:rPr>
      </w:pPr>
      <w:r>
        <w:rPr>
          <w:snapToGrid w:val="0"/>
        </w:rPr>
        <w:tab/>
        <w:t>11.</w:t>
      </w:r>
      <w:r>
        <w:rPr>
          <w:snapToGrid w:val="0"/>
        </w:rPr>
        <w:tab/>
      </w:r>
      <w:r>
        <w:rPr>
          <w:i/>
          <w:snapToGrid w:val="0"/>
        </w:rPr>
        <w:t>An Act for abolishing the Punishment of Death in certain Cases of Forgery.</w:t>
      </w:r>
      <w:r>
        <w:rPr>
          <w:snapToGrid w:val="0"/>
        </w:rPr>
        <w:t xml:space="preserve"> </w:t>
      </w:r>
      <w:r>
        <w:rPr>
          <w:snapToGrid w:val="0"/>
          <w:vertAlign w:val="superscript"/>
        </w:rPr>
        <w:t>12</w:t>
      </w:r>
    </w:p>
    <w:p w:rsidR="008B68EF" w:rsidRDefault="00F53E54">
      <w:pPr>
        <w:pStyle w:val="MiscellaneousBody"/>
        <w:tabs>
          <w:tab w:val="left" w:pos="284"/>
          <w:tab w:val="left" w:pos="851"/>
        </w:tabs>
        <w:ind w:left="851" w:hanging="851"/>
        <w:rPr>
          <w:snapToGrid w:val="0"/>
        </w:rPr>
      </w:pPr>
      <w:r>
        <w:rPr>
          <w:snapToGrid w:val="0"/>
        </w:rPr>
        <w:tab/>
        <w:t>12.</w:t>
      </w:r>
      <w:r>
        <w:rPr>
          <w:snapToGrid w:val="0"/>
        </w:rPr>
        <w:tab/>
      </w:r>
      <w:r>
        <w:rPr>
          <w:i/>
          <w:snapToGrid w:val="0"/>
        </w:rPr>
        <w:t>An Act for the Limitation of Actions and Suits relating to Real Property, and for simplifying the Remedies for trying the Right thereof.</w:t>
      </w:r>
      <w:r>
        <w:rPr>
          <w:snapToGrid w:val="0"/>
        </w:rPr>
        <w:t xml:space="preserve"> </w:t>
      </w:r>
      <w:r>
        <w:rPr>
          <w:snapToGrid w:val="0"/>
          <w:vertAlign w:val="superscript"/>
        </w:rPr>
        <w:t>13</w:t>
      </w:r>
    </w:p>
    <w:p w:rsidR="008B68EF" w:rsidRDefault="00F53E54">
      <w:pPr>
        <w:pStyle w:val="MiscellaneousBody"/>
        <w:tabs>
          <w:tab w:val="left" w:pos="284"/>
          <w:tab w:val="left" w:pos="851"/>
        </w:tabs>
        <w:ind w:left="851" w:hanging="851"/>
        <w:rPr>
          <w:snapToGrid w:val="0"/>
        </w:rPr>
      </w:pPr>
      <w:r>
        <w:rPr>
          <w:snapToGrid w:val="0"/>
        </w:rPr>
        <w:tab/>
        <w:t>13.</w:t>
      </w:r>
      <w:r>
        <w:rPr>
          <w:snapToGrid w:val="0"/>
        </w:rPr>
        <w:tab/>
      </w:r>
      <w:r>
        <w:rPr>
          <w:i/>
          <w:snapToGrid w:val="0"/>
        </w:rPr>
        <w:t>An Act for the further Amendment of the Law, and the better Advancement of Justice.</w:t>
      </w:r>
      <w:r>
        <w:rPr>
          <w:snapToGrid w:val="0"/>
        </w:rPr>
        <w:t xml:space="preserve"> </w:t>
      </w:r>
      <w:r>
        <w:rPr>
          <w:snapToGrid w:val="0"/>
          <w:vertAlign w:val="superscript"/>
        </w:rPr>
        <w:t>14</w:t>
      </w:r>
      <w:r>
        <w:rPr>
          <w:snapToGrid w:val="0"/>
        </w:rPr>
        <w:t>*</w:t>
      </w:r>
    </w:p>
    <w:p w:rsidR="008B68EF" w:rsidRDefault="00F53E54">
      <w:pPr>
        <w:pStyle w:val="MiscellaneousBody"/>
        <w:tabs>
          <w:tab w:val="left" w:pos="284"/>
          <w:tab w:val="left" w:pos="851"/>
        </w:tabs>
        <w:ind w:left="851" w:hanging="851"/>
        <w:rPr>
          <w:snapToGrid w:val="0"/>
        </w:rPr>
      </w:pPr>
      <w:r>
        <w:rPr>
          <w:snapToGrid w:val="0"/>
        </w:rPr>
        <w:tab/>
        <w:t>14.</w:t>
      </w:r>
      <w:r>
        <w:rPr>
          <w:snapToGrid w:val="0"/>
        </w:rPr>
        <w:tab/>
      </w:r>
      <w:r>
        <w:rPr>
          <w:i/>
          <w:snapToGrid w:val="0"/>
        </w:rPr>
        <w:t>An Act to repeal so much of two Acts of the Seventh and Eighth Years and the Ninth Year of King George the Fourth, as inflicts the Punishment of Death upon Persons breaking, entering and stealing in a Dwelling</w:t>
      </w:r>
      <w:r>
        <w:rPr>
          <w:i/>
          <w:snapToGrid w:val="0"/>
        </w:rPr>
        <w:noBreakHyphen/>
        <w:t>House; and also for giving power to the Judges to add to the Punishment of Transportation for Life in certain Cases of Forgery, and in certain other Cases.</w:t>
      </w:r>
      <w:r>
        <w:rPr>
          <w:snapToGrid w:val="0"/>
        </w:rPr>
        <w:t xml:space="preserve"> </w:t>
      </w:r>
      <w:r>
        <w:rPr>
          <w:snapToGrid w:val="0"/>
          <w:vertAlign w:val="superscript"/>
        </w:rPr>
        <w:t>15</w:t>
      </w:r>
    </w:p>
    <w:p w:rsidR="008B68EF" w:rsidRDefault="00F53E54">
      <w:pPr>
        <w:pStyle w:val="MiscellaneousBody"/>
        <w:tabs>
          <w:tab w:val="left" w:pos="284"/>
          <w:tab w:val="left" w:pos="851"/>
        </w:tabs>
        <w:ind w:left="851" w:hanging="851"/>
        <w:rPr>
          <w:snapToGrid w:val="0"/>
        </w:rPr>
      </w:pPr>
      <w:r>
        <w:rPr>
          <w:snapToGrid w:val="0"/>
        </w:rPr>
        <w:tab/>
        <w:t>15.</w:t>
      </w:r>
      <w:r>
        <w:rPr>
          <w:snapToGrid w:val="0"/>
        </w:rPr>
        <w:tab/>
      </w:r>
      <w:r>
        <w:rPr>
          <w:i/>
          <w:snapToGrid w:val="0"/>
        </w:rPr>
        <w:t>An Act to render Freehold and Copyhold Estates Assets for the Payment of Simple and Contract Debts.</w:t>
      </w:r>
      <w:r>
        <w:rPr>
          <w:snapToGrid w:val="0"/>
        </w:rPr>
        <w:t xml:space="preserve"> </w:t>
      </w:r>
      <w:r>
        <w:rPr>
          <w:snapToGrid w:val="0"/>
          <w:vertAlign w:val="superscript"/>
        </w:rPr>
        <w:t>16</w:t>
      </w:r>
    </w:p>
    <w:p w:rsidR="008B68EF" w:rsidRDefault="00F53E54">
      <w:pPr>
        <w:pStyle w:val="MiscellaneousBody"/>
        <w:tabs>
          <w:tab w:val="left" w:pos="284"/>
          <w:tab w:val="left" w:pos="851"/>
        </w:tabs>
        <w:ind w:left="851" w:hanging="851"/>
        <w:rPr>
          <w:snapToGrid w:val="0"/>
        </w:rPr>
      </w:pPr>
      <w:r>
        <w:rPr>
          <w:snapToGrid w:val="0"/>
        </w:rPr>
        <w:tab/>
        <w:t>16.</w:t>
      </w:r>
      <w:r>
        <w:rPr>
          <w:snapToGrid w:val="0"/>
        </w:rPr>
        <w:tab/>
      </w:r>
      <w:r>
        <w:rPr>
          <w:i/>
          <w:snapToGrid w:val="0"/>
        </w:rPr>
        <w:t>An Act for the Amendment of the Law relating to Dower.</w:t>
      </w:r>
      <w:r>
        <w:rPr>
          <w:snapToGrid w:val="0"/>
        </w:rPr>
        <w:t xml:space="preserve"> </w:t>
      </w:r>
      <w:r>
        <w:rPr>
          <w:snapToGrid w:val="0"/>
          <w:vertAlign w:val="superscript"/>
        </w:rPr>
        <w:t>17</w:t>
      </w:r>
    </w:p>
    <w:p w:rsidR="008B68EF" w:rsidRDefault="00F53E54">
      <w:pPr>
        <w:pStyle w:val="MiscellaneousBody"/>
        <w:tabs>
          <w:tab w:val="left" w:pos="284"/>
          <w:tab w:val="left" w:pos="851"/>
        </w:tabs>
        <w:ind w:left="851" w:hanging="851"/>
        <w:rPr>
          <w:snapToGrid w:val="0"/>
        </w:rPr>
      </w:pPr>
      <w:r>
        <w:rPr>
          <w:snapToGrid w:val="0"/>
        </w:rPr>
        <w:tab/>
        <w:t>17.</w:t>
      </w:r>
      <w:r>
        <w:rPr>
          <w:snapToGrid w:val="0"/>
        </w:rPr>
        <w:tab/>
      </w:r>
      <w:r>
        <w:rPr>
          <w:i/>
          <w:snapToGrid w:val="0"/>
        </w:rPr>
        <w:t>An Act for the Amendment of the Law of Inheritance.</w:t>
      </w:r>
      <w:r>
        <w:rPr>
          <w:snapToGrid w:val="0"/>
        </w:rPr>
        <w:t xml:space="preserve"> </w:t>
      </w:r>
      <w:r>
        <w:rPr>
          <w:snapToGrid w:val="0"/>
          <w:vertAlign w:val="superscript"/>
        </w:rPr>
        <w:t>18</w:t>
      </w:r>
    </w:p>
    <w:p w:rsidR="008B68EF" w:rsidRDefault="00F53E54">
      <w:pPr>
        <w:pStyle w:val="Subsection"/>
      </w:pPr>
      <w:r>
        <w:lastRenderedPageBreak/>
        <w:tab/>
      </w:r>
      <w:r>
        <w:tab/>
        <w:t>And whereas it is expedient to adopt and apply the said recited Acts of Parliament in the Administration of Justice in the Colony of Western Australia:</w:t>
      </w:r>
    </w:p>
    <w:p w:rsidR="008B68EF" w:rsidRDefault="00F53E54">
      <w:pPr>
        <w:pStyle w:val="Heading5"/>
        <w:ind w:left="890" w:hanging="890"/>
      </w:pPr>
      <w:bookmarkStart w:id="1" w:name="_Toc378776851"/>
      <w:r>
        <w:t>Recited Imperial Acts adopted</w:t>
      </w:r>
      <w:bookmarkEnd w:id="1"/>
    </w:p>
    <w:p w:rsidR="008B68EF" w:rsidRDefault="00F53E54">
      <w:pPr>
        <w:pStyle w:val="Subsection"/>
      </w:pPr>
      <w:r>
        <w:tab/>
      </w:r>
      <w:r>
        <w:tab/>
        <w:t>Be it therefore enacted, by His Excellency the Governor of Western Australia, with the advice and consent of the Legislative Council thereof, that the said recited Acts of Parliament, and every clause, provision and enactment therein respectively contained, shall be, and the same are and is hereby adopted, and directed to be applied, in the Administration of Justice, so far as they can be applied to the circumstances of the said Colony.</w:t>
      </w:r>
    </w:p>
    <w:p w:rsidR="008B68EF" w:rsidRDefault="00F53E54">
      <w:pPr>
        <w:pStyle w:val="Heading5"/>
        <w:ind w:left="890" w:hanging="890"/>
      </w:pPr>
      <w:bookmarkStart w:id="2" w:name="_Toc378776852"/>
      <w:r>
        <w:t>Short title</w:t>
      </w:r>
      <w:bookmarkEnd w:id="2"/>
    </w:p>
    <w:p w:rsidR="008B68EF" w:rsidRDefault="00F53E54">
      <w:pPr>
        <w:pStyle w:val="Subsection"/>
      </w:pPr>
      <w:r>
        <w:tab/>
      </w:r>
      <w:r>
        <w:tab/>
        <w:t xml:space="preserve">This Act may be cited as the </w:t>
      </w:r>
      <w:r>
        <w:rPr>
          <w:i/>
        </w:rPr>
        <w:t>Imperial Acts Adopting Act 1836</w:t>
      </w:r>
      <w:r>
        <w:t>.</w:t>
      </w:r>
    </w:p>
    <w:p w:rsidR="008B68EF" w:rsidRDefault="00F53E54">
      <w:pPr>
        <w:pStyle w:val="Footnotesection"/>
      </w:pPr>
      <w:r>
        <w:tab/>
        <w:t>[Paragraph inserted by No. 10 of 1970 s.3.]</w:t>
      </w:r>
    </w:p>
    <w:p w:rsidR="008B68EF" w:rsidRDefault="008B68EF">
      <w:pPr>
        <w:rPr>
          <w:rStyle w:val="CharDivText"/>
        </w:rPr>
        <w:sectPr w:rsidR="008B68E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8B68EF" w:rsidRDefault="00F53E54">
      <w:pPr>
        <w:pStyle w:val="nHeading2"/>
      </w:pPr>
      <w:bookmarkStart w:id="3" w:name="_Toc378776853"/>
      <w:r>
        <w:lastRenderedPageBreak/>
        <w:t>Notes</w:t>
      </w:r>
      <w:bookmarkEnd w:id="3"/>
    </w:p>
    <w:p w:rsidR="008B68EF" w:rsidRDefault="00F53E54">
      <w:pPr>
        <w:pStyle w:val="nSubsection"/>
        <w:rPr>
          <w:snapToGrid w:val="0"/>
        </w:rPr>
      </w:pPr>
      <w:r>
        <w:rPr>
          <w:snapToGrid w:val="0"/>
          <w:vertAlign w:val="superscript"/>
        </w:rPr>
        <w:t>1</w:t>
      </w:r>
      <w:r>
        <w:rPr>
          <w:snapToGrid w:val="0"/>
        </w:rPr>
        <w:tab/>
        <w:t xml:space="preserve">This is a compilation of the </w:t>
      </w:r>
      <w:r>
        <w:rPr>
          <w:i/>
          <w:snapToGrid w:val="0"/>
        </w:rPr>
        <w:t>Imperial Acts  Adopting Act 1836</w:t>
      </w:r>
      <w:r>
        <w:rPr>
          <w:snapToGrid w:val="0"/>
        </w:rPr>
        <w:t xml:space="preserve"> and includes all amendments effected by the other Acts referred to in the following Table.</w:t>
      </w:r>
    </w:p>
    <w:p w:rsidR="008B68EF" w:rsidRDefault="00F53E54">
      <w:pPr>
        <w:pStyle w:val="nHeading3"/>
        <w:rPr>
          <w:snapToGrid w:val="0"/>
        </w:rPr>
      </w:pPr>
      <w:bookmarkStart w:id="4" w:name="_Toc378776854"/>
      <w:r>
        <w:rPr>
          <w:snapToGrid w:val="0"/>
        </w:rPr>
        <w:t>Complilation table</w:t>
      </w:r>
      <w:bookmarkEnd w:id="4"/>
    </w:p>
    <w:tbl>
      <w:tblPr>
        <w:tblW w:w="0" w:type="auto"/>
        <w:tblInd w:w="298" w:type="dxa"/>
        <w:tblLayout w:type="fixed"/>
        <w:tblCellMar>
          <w:left w:w="28" w:type="dxa"/>
          <w:right w:w="28" w:type="dxa"/>
        </w:tblCellMar>
        <w:tblLook w:val="0000" w:firstRow="0" w:lastRow="0" w:firstColumn="0" w:lastColumn="0" w:noHBand="0" w:noVBand="0"/>
      </w:tblPr>
      <w:tblGrid>
        <w:gridCol w:w="1431"/>
        <w:gridCol w:w="992"/>
        <w:gridCol w:w="1276"/>
        <w:gridCol w:w="1701"/>
      </w:tblGrid>
      <w:tr w:rsidR="008B68EF">
        <w:trPr>
          <w:tblHeader/>
        </w:trPr>
        <w:tc>
          <w:tcPr>
            <w:tcW w:w="1431" w:type="dxa"/>
            <w:tcBorders>
              <w:top w:val="single" w:sz="4" w:space="0" w:color="auto"/>
              <w:bottom w:val="single" w:sz="4" w:space="0" w:color="auto"/>
            </w:tcBorders>
          </w:tcPr>
          <w:p w:rsidR="008B68EF" w:rsidRDefault="00F53E54">
            <w:pPr>
              <w:pStyle w:val="nTable"/>
              <w:rPr>
                <w:b/>
              </w:rPr>
            </w:pPr>
            <w:r>
              <w:rPr>
                <w:b/>
              </w:rPr>
              <w:t>Act</w:t>
            </w:r>
          </w:p>
        </w:tc>
        <w:tc>
          <w:tcPr>
            <w:tcW w:w="992" w:type="dxa"/>
            <w:tcBorders>
              <w:top w:val="single" w:sz="4" w:space="0" w:color="auto"/>
              <w:bottom w:val="single" w:sz="4" w:space="0" w:color="auto"/>
            </w:tcBorders>
          </w:tcPr>
          <w:p w:rsidR="008B68EF" w:rsidRDefault="00F53E54">
            <w:pPr>
              <w:pStyle w:val="nTable"/>
              <w:rPr>
                <w:b/>
              </w:rPr>
            </w:pPr>
            <w:r>
              <w:rPr>
                <w:b/>
              </w:rPr>
              <w:t>Number and Year</w:t>
            </w:r>
          </w:p>
        </w:tc>
        <w:tc>
          <w:tcPr>
            <w:tcW w:w="1276" w:type="dxa"/>
            <w:tcBorders>
              <w:top w:val="single" w:sz="4" w:space="0" w:color="auto"/>
              <w:bottom w:val="single" w:sz="4" w:space="0" w:color="auto"/>
            </w:tcBorders>
          </w:tcPr>
          <w:p w:rsidR="008B68EF" w:rsidRDefault="00F53E54">
            <w:pPr>
              <w:pStyle w:val="nTable"/>
              <w:rPr>
                <w:b/>
              </w:rPr>
            </w:pPr>
            <w:r>
              <w:rPr>
                <w:b/>
              </w:rPr>
              <w:t>Assent</w:t>
            </w:r>
          </w:p>
        </w:tc>
        <w:tc>
          <w:tcPr>
            <w:tcW w:w="1701" w:type="dxa"/>
            <w:tcBorders>
              <w:top w:val="single" w:sz="4" w:space="0" w:color="auto"/>
              <w:bottom w:val="single" w:sz="4" w:space="0" w:color="auto"/>
            </w:tcBorders>
          </w:tcPr>
          <w:p w:rsidR="008B68EF" w:rsidRDefault="00F53E54">
            <w:pPr>
              <w:pStyle w:val="nTable"/>
              <w:rPr>
                <w:b/>
              </w:rPr>
            </w:pPr>
            <w:r>
              <w:rPr>
                <w:b/>
              </w:rPr>
              <w:t>Commencement</w:t>
            </w:r>
          </w:p>
        </w:tc>
      </w:tr>
      <w:tr w:rsidR="008B68EF">
        <w:tc>
          <w:tcPr>
            <w:tcW w:w="1431" w:type="dxa"/>
          </w:tcPr>
          <w:p w:rsidR="008B68EF" w:rsidRDefault="00F53E54">
            <w:pPr>
              <w:pStyle w:val="nTable"/>
              <w:rPr>
                <w:i/>
              </w:rPr>
            </w:pPr>
            <w:r>
              <w:rPr>
                <w:i/>
              </w:rPr>
              <w:t>Imperial Acts Adopting Act 1836</w:t>
            </w:r>
          </w:p>
        </w:tc>
        <w:tc>
          <w:tcPr>
            <w:tcW w:w="992" w:type="dxa"/>
          </w:tcPr>
          <w:p w:rsidR="008B68EF" w:rsidRDefault="00F53E54">
            <w:pPr>
              <w:pStyle w:val="nTable"/>
            </w:pPr>
            <w:r>
              <w:t>6 Will. IV, No. 4, 1836</w:t>
            </w:r>
          </w:p>
        </w:tc>
        <w:tc>
          <w:tcPr>
            <w:tcW w:w="1276" w:type="dxa"/>
          </w:tcPr>
          <w:p w:rsidR="008B68EF" w:rsidRDefault="00F53E54">
            <w:pPr>
              <w:pStyle w:val="nTable"/>
            </w:pPr>
            <w:r>
              <w:t>11 April 1836</w:t>
            </w:r>
          </w:p>
        </w:tc>
        <w:tc>
          <w:tcPr>
            <w:tcW w:w="1701" w:type="dxa"/>
          </w:tcPr>
          <w:p w:rsidR="008B68EF" w:rsidRDefault="00F53E54">
            <w:pPr>
              <w:pStyle w:val="nTable"/>
            </w:pPr>
            <w:r>
              <w:t>11 April 1836</w:t>
            </w:r>
          </w:p>
        </w:tc>
      </w:tr>
      <w:tr w:rsidR="008B68EF">
        <w:tc>
          <w:tcPr>
            <w:tcW w:w="1431" w:type="dxa"/>
          </w:tcPr>
          <w:p w:rsidR="008B68EF" w:rsidRDefault="00F53E54">
            <w:pPr>
              <w:pStyle w:val="nTable"/>
              <w:rPr>
                <w:i/>
              </w:rPr>
            </w:pPr>
            <w:r>
              <w:rPr>
                <w:i/>
              </w:rPr>
              <w:t>Criminal Code Act 1902,</w:t>
            </w:r>
          </w:p>
          <w:p w:rsidR="008B68EF" w:rsidRDefault="00F53E54">
            <w:pPr>
              <w:pStyle w:val="nTable"/>
              <w:spacing w:before="0"/>
              <w:rPr>
                <w:i/>
              </w:rPr>
            </w:pPr>
            <w:r>
              <w:t>s 3 &amp; 3</w:t>
            </w:r>
            <w:r>
              <w:rPr>
                <w:vertAlign w:val="superscript"/>
              </w:rPr>
              <w:t>rd</w:t>
            </w:r>
            <w:r>
              <w:t xml:space="preserve">  Schedule</w:t>
            </w:r>
          </w:p>
        </w:tc>
        <w:tc>
          <w:tcPr>
            <w:tcW w:w="992" w:type="dxa"/>
          </w:tcPr>
          <w:p w:rsidR="008B68EF" w:rsidRDefault="00F53E54">
            <w:pPr>
              <w:pStyle w:val="nTable"/>
            </w:pPr>
            <w:r>
              <w:t>1 &amp; 2 Edw. VII, No. 14, 1902</w:t>
            </w:r>
          </w:p>
        </w:tc>
        <w:tc>
          <w:tcPr>
            <w:tcW w:w="1276" w:type="dxa"/>
          </w:tcPr>
          <w:p w:rsidR="008B68EF" w:rsidRDefault="00F53E54">
            <w:pPr>
              <w:pStyle w:val="nTable"/>
            </w:pPr>
            <w:r>
              <w:t>19 February 1902</w:t>
            </w:r>
          </w:p>
        </w:tc>
        <w:tc>
          <w:tcPr>
            <w:tcW w:w="1701" w:type="dxa"/>
          </w:tcPr>
          <w:p w:rsidR="008B68EF" w:rsidRDefault="00F53E54">
            <w:pPr>
              <w:pStyle w:val="nTable"/>
            </w:pPr>
            <w:r>
              <w:t>1 May 1902</w:t>
            </w:r>
          </w:p>
        </w:tc>
      </w:tr>
      <w:tr w:rsidR="008B68EF">
        <w:tc>
          <w:tcPr>
            <w:tcW w:w="1431" w:type="dxa"/>
            <w:tcBorders>
              <w:bottom w:val="single" w:sz="4" w:space="0" w:color="auto"/>
            </w:tcBorders>
          </w:tcPr>
          <w:p w:rsidR="008B68EF" w:rsidRDefault="00F53E54">
            <w:pPr>
              <w:pStyle w:val="nTable"/>
            </w:pPr>
            <w:r>
              <w:rPr>
                <w:i/>
              </w:rPr>
              <w:t>Statute Law Revision Act 1970,</w:t>
            </w:r>
            <w:r>
              <w:rPr>
                <w:i/>
              </w:rPr>
              <w:br/>
            </w:r>
            <w:r>
              <w:t>s 3</w:t>
            </w:r>
          </w:p>
        </w:tc>
        <w:tc>
          <w:tcPr>
            <w:tcW w:w="992" w:type="dxa"/>
            <w:tcBorders>
              <w:bottom w:val="single" w:sz="4" w:space="0" w:color="auto"/>
            </w:tcBorders>
          </w:tcPr>
          <w:p w:rsidR="008B68EF" w:rsidRDefault="00F53E54">
            <w:pPr>
              <w:pStyle w:val="nTable"/>
            </w:pPr>
            <w:r>
              <w:t>10 of 1970</w:t>
            </w:r>
          </w:p>
        </w:tc>
        <w:tc>
          <w:tcPr>
            <w:tcW w:w="1276" w:type="dxa"/>
            <w:tcBorders>
              <w:bottom w:val="single" w:sz="4" w:space="0" w:color="auto"/>
            </w:tcBorders>
          </w:tcPr>
          <w:p w:rsidR="008B68EF" w:rsidRDefault="00F53E54">
            <w:pPr>
              <w:pStyle w:val="nTable"/>
            </w:pPr>
            <w:r>
              <w:t>29 April 1970</w:t>
            </w:r>
          </w:p>
        </w:tc>
        <w:tc>
          <w:tcPr>
            <w:tcW w:w="1701" w:type="dxa"/>
            <w:tcBorders>
              <w:bottom w:val="single" w:sz="4" w:space="0" w:color="auto"/>
            </w:tcBorders>
          </w:tcPr>
          <w:p w:rsidR="008B68EF" w:rsidRDefault="00F53E54">
            <w:pPr>
              <w:pStyle w:val="nTable"/>
            </w:pPr>
            <w:r>
              <w:t>29 April 1970</w:t>
            </w:r>
          </w:p>
        </w:tc>
      </w:tr>
    </w:tbl>
    <w:p w:rsidR="008B68EF" w:rsidRDefault="00F53E54">
      <w:pPr>
        <w:pStyle w:val="nSubsection"/>
      </w:pPr>
      <w:r>
        <w:rPr>
          <w:vertAlign w:val="superscript"/>
        </w:rPr>
        <w:t>2</w:t>
      </w:r>
      <w:r>
        <w:tab/>
        <w:t>This preamble refers to Acts passed in the reign of William IV and the Acts referred to were passed in his reign. However the Acts themselves are cited in the Statutes of the United Kingdom as chapters of 11 George IV and 1 William IV.</w:t>
      </w:r>
    </w:p>
    <w:p w:rsidR="008B68EF" w:rsidRDefault="00F53E54">
      <w:pPr>
        <w:pStyle w:val="nSubsection"/>
      </w:pPr>
      <w:r>
        <w:rPr>
          <w:vertAlign w:val="superscript"/>
        </w:rPr>
        <w:t>3</w:t>
      </w:r>
      <w:r>
        <w:tab/>
        <w:t xml:space="preserve">This adopted Act (11 Geo. IV &amp; 1 Will. IV c. 40),.[the </w:t>
      </w:r>
      <w:r>
        <w:rPr>
          <w:i/>
        </w:rPr>
        <w:t xml:space="preserve">Executors Act 1830 </w:t>
      </w:r>
      <w:r>
        <w:t>(Imp)] has been reproduced as at 26 October 1999 as part of the document entitled “Imperial Acts Adopted ”.</w:t>
      </w:r>
    </w:p>
    <w:p w:rsidR="008B68EF" w:rsidRDefault="00F53E54">
      <w:pPr>
        <w:pStyle w:val="nSubsection"/>
      </w:pPr>
      <w:r>
        <w:rPr>
          <w:vertAlign w:val="superscript"/>
        </w:rPr>
        <w:t>4</w:t>
      </w:r>
      <w:r>
        <w:tab/>
        <w:t>This adopted Act (</w:t>
      </w:r>
      <w:r>
        <w:rPr>
          <w:snapToGrid w:val="0"/>
        </w:rPr>
        <w:t>11 Geo. IV &amp; 1 Will. IV c. 47), [the</w:t>
      </w:r>
      <w:r>
        <w:t xml:space="preserve"> </w:t>
      </w:r>
      <w:r>
        <w:rPr>
          <w:i/>
        </w:rPr>
        <w:t xml:space="preserve">Debts Recovery Act 1830 </w:t>
      </w:r>
      <w:r>
        <w:t>(Imp)] has been reproduced as at 26 October 1999 as part of the document entitled “Imperial Acts Adopted”.</w:t>
      </w:r>
    </w:p>
    <w:p w:rsidR="008B68EF" w:rsidRDefault="00F53E54">
      <w:pPr>
        <w:pStyle w:val="nSubsection"/>
      </w:pPr>
      <w:r>
        <w:rPr>
          <w:vertAlign w:val="superscript"/>
        </w:rPr>
        <w:t>5</w:t>
      </w:r>
      <w:r>
        <w:tab/>
        <w:t>This adopted Act (</w:t>
      </w:r>
      <w:r>
        <w:rPr>
          <w:snapToGrid w:val="0"/>
        </w:rPr>
        <w:t>11 Geo. IV &amp; 1 Will. IV c. 60)</w:t>
      </w:r>
      <w:r>
        <w:t xml:space="preserve">, so far as it was a part of the law of WA, was subsequently repealed by the </w:t>
      </w:r>
      <w:r>
        <w:rPr>
          <w:i/>
        </w:rPr>
        <w:t>Trustee Ordinance 1854</w:t>
      </w:r>
      <w:r>
        <w:t xml:space="preserve"> (17 Vict. No. 10) [Assent 20 June 1854].</w:t>
      </w:r>
    </w:p>
    <w:p w:rsidR="008B68EF" w:rsidRDefault="00F53E54">
      <w:pPr>
        <w:pStyle w:val="nSubsection"/>
      </w:pPr>
      <w:r>
        <w:rPr>
          <w:vertAlign w:val="superscript"/>
        </w:rPr>
        <w:t>6</w:t>
      </w:r>
      <w:r>
        <w:tab/>
        <w:t>This adopted Act (</w:t>
      </w:r>
      <w:r>
        <w:rPr>
          <w:snapToGrid w:val="0"/>
        </w:rPr>
        <w:t>11 Geo. IV &amp; 1 Will. IV c. 65),</w:t>
      </w:r>
      <w:r>
        <w:t xml:space="preserve"> [the </w:t>
      </w:r>
      <w:r>
        <w:rPr>
          <w:i/>
        </w:rPr>
        <w:t>Infants Property Act 1830</w:t>
      </w:r>
      <w:r>
        <w:t xml:space="preserve"> (Imp)] has been reproduced as at 26 October 1999 as part of the document entitled “Imperial Acts Adopted”.</w:t>
      </w:r>
    </w:p>
    <w:p w:rsidR="008B68EF" w:rsidRDefault="00F53E54">
      <w:pPr>
        <w:pStyle w:val="nSubsection"/>
      </w:pPr>
      <w:r>
        <w:rPr>
          <w:vertAlign w:val="superscript"/>
        </w:rPr>
        <w:t>7</w:t>
      </w:r>
      <w:r>
        <w:tab/>
        <w:t>This adopted Act (</w:t>
      </w:r>
      <w:r>
        <w:rPr>
          <w:snapToGrid w:val="0"/>
        </w:rPr>
        <w:t>11 Geo. IV &amp; 1 Will. IV c. 66)</w:t>
      </w:r>
      <w:r>
        <w:t>, so far as it was a part of the law of WA, was subsequently repealed:</w:t>
      </w:r>
    </w:p>
    <w:p w:rsidR="008B68EF" w:rsidRDefault="00F53E54">
      <w:pPr>
        <w:pStyle w:val="nSubsection"/>
        <w:tabs>
          <w:tab w:val="clear" w:pos="461"/>
          <w:tab w:val="left" w:pos="851"/>
        </w:tabs>
        <w:spacing w:before="0"/>
        <w:ind w:left="851" w:hanging="358"/>
      </w:pPr>
      <w:r>
        <w:t>•</w:t>
      </w:r>
      <w:r>
        <w:tab/>
        <w:t xml:space="preserve">All but s 21 was repealed by the </w:t>
      </w:r>
      <w:r>
        <w:rPr>
          <w:i/>
        </w:rPr>
        <w:t>Criminal Law Consolidation Ordinance 1865</w:t>
      </w:r>
      <w:r>
        <w:t xml:space="preserve"> (29 Vict. No. 5) s 5 [Assent 7 July 1865].</w:t>
      </w:r>
    </w:p>
    <w:p w:rsidR="008B68EF" w:rsidRDefault="00F53E54">
      <w:pPr>
        <w:pStyle w:val="nSubsection"/>
        <w:tabs>
          <w:tab w:val="clear" w:pos="461"/>
          <w:tab w:val="left" w:pos="851"/>
        </w:tabs>
        <w:spacing w:before="0"/>
        <w:ind w:left="851" w:hanging="358"/>
      </w:pPr>
      <w:r>
        <w:lastRenderedPageBreak/>
        <w:t>•</w:t>
      </w:r>
      <w:r>
        <w:tab/>
        <w:t xml:space="preserve">The balance was repealed by the </w:t>
      </w:r>
      <w:r>
        <w:rPr>
          <w:i/>
        </w:rPr>
        <w:t>Criminal Code Act 1902</w:t>
      </w:r>
      <w:r>
        <w:br/>
        <w:t>(1 &amp; 2 Edw. VII No. 14) s 3 [Assent 19 February 1902; Commencement 1 May 1902].</w:t>
      </w:r>
    </w:p>
    <w:p w:rsidR="008B68EF" w:rsidRDefault="00F53E54">
      <w:pPr>
        <w:pStyle w:val="nSubsection"/>
      </w:pPr>
      <w:r>
        <w:rPr>
          <w:vertAlign w:val="superscript"/>
        </w:rPr>
        <w:t>8</w:t>
      </w:r>
      <w:r>
        <w:tab/>
        <w:t>This adopted Act (</w:t>
      </w:r>
      <w:r>
        <w:rPr>
          <w:snapToGrid w:val="0"/>
        </w:rPr>
        <w:t>1 &amp; 2 Will. IV c. 4)</w:t>
      </w:r>
      <w:r>
        <w:t xml:space="preserve">, [the </w:t>
      </w:r>
      <w:r>
        <w:rPr>
          <w:i/>
        </w:rPr>
        <w:t xml:space="preserve">Excise Declarations Act 1831 </w:t>
      </w:r>
      <w:r>
        <w:t xml:space="preserve">(Imp)], so far as it was a part of the law of WA, was subsequently repealed by the </w:t>
      </w:r>
      <w:r>
        <w:rPr>
          <w:i/>
        </w:rPr>
        <w:t>Oaths, Affidavits and Statutory Declarations (Consequential Provisions) Act 2005</w:t>
      </w:r>
      <w:r>
        <w:t xml:space="preserve"> (No. 24 of 2005) s 4.</w:t>
      </w:r>
    </w:p>
    <w:p w:rsidR="008B68EF" w:rsidRDefault="00F53E54">
      <w:pPr>
        <w:pStyle w:val="nSubsection"/>
      </w:pPr>
      <w:r>
        <w:rPr>
          <w:vertAlign w:val="superscript"/>
        </w:rPr>
        <w:t>9</w:t>
      </w:r>
      <w:r>
        <w:tab/>
        <w:t>This adopted Act (</w:t>
      </w:r>
      <w:r>
        <w:rPr>
          <w:snapToGrid w:val="0"/>
        </w:rPr>
        <w:t>2 &amp; 3 Will. IV c. 34)</w:t>
      </w:r>
      <w:r>
        <w:t xml:space="preserve">, so far as it was a part of the law of WA, was subsequently repealed by the </w:t>
      </w:r>
      <w:r>
        <w:rPr>
          <w:i/>
        </w:rPr>
        <w:t>Criminal Law Consolidation Ordinance 1865</w:t>
      </w:r>
      <w:r>
        <w:t xml:space="preserve"> (29 Vict. No. 5) s 5 [Assent 7 July 1865].</w:t>
      </w:r>
    </w:p>
    <w:p w:rsidR="008B68EF" w:rsidRDefault="00F53E54">
      <w:pPr>
        <w:pStyle w:val="nSubsection"/>
      </w:pPr>
      <w:r>
        <w:rPr>
          <w:vertAlign w:val="superscript"/>
        </w:rPr>
        <w:t>10</w:t>
      </w:r>
      <w:r>
        <w:tab/>
        <w:t>This adopted Act (</w:t>
      </w:r>
      <w:r>
        <w:rPr>
          <w:snapToGrid w:val="0"/>
        </w:rPr>
        <w:t xml:space="preserve">2 &amp; 3 Will. IV c. 71), [the </w:t>
      </w:r>
      <w:r>
        <w:rPr>
          <w:i/>
        </w:rPr>
        <w:t xml:space="preserve">Prescription Act 1832 </w:t>
      </w:r>
      <w:r>
        <w:t>(Imp)] has been reproduced as at 26 October 1999 as part of the document entitled “Imperial Acts Adopted”.</w:t>
      </w:r>
    </w:p>
    <w:p w:rsidR="008B68EF" w:rsidRDefault="00F53E54">
      <w:pPr>
        <w:pStyle w:val="nSubsection"/>
      </w:pPr>
      <w:r>
        <w:rPr>
          <w:vertAlign w:val="superscript"/>
        </w:rPr>
        <w:t>11</w:t>
      </w:r>
      <w:r>
        <w:tab/>
        <w:t>This adopted Act (</w:t>
      </w:r>
      <w:r>
        <w:rPr>
          <w:snapToGrid w:val="0"/>
        </w:rPr>
        <w:t>2 &amp; 3 Will. IV c. 98)</w:t>
      </w:r>
      <w:r>
        <w:t>, [the Bills of exchange (non-payment) (1832) (Imp)] has been reproduced as at 26 October 1999 as part of the document entitled “Imperial Acts Adopted”.</w:t>
      </w:r>
    </w:p>
    <w:p w:rsidR="008B68EF" w:rsidRDefault="00F53E54">
      <w:pPr>
        <w:pStyle w:val="nSubsection"/>
      </w:pPr>
      <w:r>
        <w:rPr>
          <w:vertAlign w:val="superscript"/>
        </w:rPr>
        <w:t>12</w:t>
      </w:r>
      <w:r>
        <w:tab/>
        <w:t>This adopted Act (</w:t>
      </w:r>
      <w:r>
        <w:rPr>
          <w:snapToGrid w:val="0"/>
        </w:rPr>
        <w:t>2 &amp; 3 Will. IV c. 123)</w:t>
      </w:r>
      <w:r>
        <w:t xml:space="preserve">, so far as it was a part of the law of WA, was subsequently repealed by the </w:t>
      </w:r>
      <w:r>
        <w:rPr>
          <w:i/>
        </w:rPr>
        <w:t>Criminal Law Consolidation Ordinance 1865</w:t>
      </w:r>
      <w:r>
        <w:t xml:space="preserve"> (29 Vict. No. 5) s 5 [Assent 7 July 1865].</w:t>
      </w:r>
    </w:p>
    <w:p w:rsidR="008B68EF" w:rsidRDefault="00F53E54">
      <w:pPr>
        <w:pStyle w:val="nSubsection"/>
      </w:pPr>
      <w:r>
        <w:rPr>
          <w:vertAlign w:val="superscript"/>
        </w:rPr>
        <w:t>13</w:t>
      </w:r>
      <w:r>
        <w:tab/>
        <w:t>This adopted Act (</w:t>
      </w:r>
      <w:r>
        <w:rPr>
          <w:snapToGrid w:val="0"/>
        </w:rPr>
        <w:t>3 &amp; 4 Will. IV c. 27)</w:t>
      </w:r>
      <w:r>
        <w:t>, so far as it was a part of the law of WA, was:</w:t>
      </w:r>
    </w:p>
    <w:p w:rsidR="008B68EF" w:rsidRDefault="00F53E54">
      <w:pPr>
        <w:pStyle w:val="nSubsection"/>
        <w:tabs>
          <w:tab w:val="clear" w:pos="461"/>
          <w:tab w:val="left" w:pos="851"/>
        </w:tabs>
        <w:spacing w:before="0"/>
        <w:ind w:left="777" w:hanging="284"/>
      </w:pPr>
      <w:r>
        <w:t>•</w:t>
      </w:r>
      <w:r>
        <w:tab/>
        <w:t xml:space="preserve">amended by the </w:t>
      </w:r>
      <w:r>
        <w:rPr>
          <w:i/>
        </w:rPr>
        <w:t>Real Property Limitation Act 1878</w:t>
      </w:r>
      <w:r>
        <w:t xml:space="preserve"> (42 Vict. No. 6) s 9 [Assent 3 July 1878; Commencement 1 September 1878];</w:t>
      </w:r>
    </w:p>
    <w:p w:rsidR="008B68EF" w:rsidRDefault="00F53E54">
      <w:pPr>
        <w:pStyle w:val="nSubsection"/>
        <w:tabs>
          <w:tab w:val="clear" w:pos="461"/>
          <w:tab w:val="left" w:pos="851"/>
        </w:tabs>
        <w:spacing w:before="0"/>
        <w:ind w:left="777" w:hanging="284"/>
      </w:pPr>
      <w:r>
        <w:t>•</w:t>
      </w:r>
      <w:r>
        <w:tab/>
        <w:t xml:space="preserve">repealed by the </w:t>
      </w:r>
      <w:r>
        <w:rPr>
          <w:i/>
        </w:rPr>
        <w:t>Limitation Act 1935</w:t>
      </w:r>
      <w:r>
        <w:t xml:space="preserve"> (No. 35 of 1935) s 2 [Assent 7 January 1936; Commencement 14 April 1936].</w:t>
      </w:r>
    </w:p>
    <w:p w:rsidR="008B68EF" w:rsidRDefault="00F53E54">
      <w:pPr>
        <w:pStyle w:val="nSubsection"/>
      </w:pPr>
      <w:r>
        <w:rPr>
          <w:vertAlign w:val="superscript"/>
        </w:rPr>
        <w:t>14</w:t>
      </w:r>
      <w:r>
        <w:tab/>
        <w:t>This adopted Act (</w:t>
      </w:r>
      <w:r>
        <w:rPr>
          <w:snapToGrid w:val="0"/>
        </w:rPr>
        <w:t>3 &amp; 4 Will. IV c. 42),</w:t>
      </w:r>
      <w:r>
        <w:t xml:space="preserve"> [the </w:t>
      </w:r>
      <w:r>
        <w:rPr>
          <w:i/>
        </w:rPr>
        <w:t xml:space="preserve">Civil Procedure Act 1833 </w:t>
      </w:r>
      <w:r>
        <w:t>(Imp)] has been reproduced as at 26 October 1999 as part of the document entitled “Imperial Acts Adopted”.</w:t>
      </w:r>
    </w:p>
    <w:p w:rsidR="008B68EF" w:rsidRDefault="00F53E54">
      <w:pPr>
        <w:pStyle w:val="nSubsection"/>
      </w:pPr>
      <w:r>
        <w:rPr>
          <w:vertAlign w:val="superscript"/>
        </w:rPr>
        <w:t>15</w:t>
      </w:r>
      <w:r>
        <w:tab/>
        <w:t>This adopted Act (</w:t>
      </w:r>
      <w:r>
        <w:rPr>
          <w:snapToGrid w:val="0"/>
        </w:rPr>
        <w:t>3 &amp; 4 Will. IV c. 44)</w:t>
      </w:r>
      <w:r>
        <w:t xml:space="preserve">, so far as it was a part of the law of WA, was subsequently repealed by the </w:t>
      </w:r>
      <w:r>
        <w:rPr>
          <w:i/>
        </w:rPr>
        <w:t>Criminal Law Consolidation Ordinance 1865</w:t>
      </w:r>
      <w:r>
        <w:t xml:space="preserve"> (29 Vict. No. 5) s 5 [Assent 7 July 1865].</w:t>
      </w:r>
    </w:p>
    <w:p w:rsidR="008B68EF" w:rsidRDefault="00F53E54">
      <w:pPr>
        <w:pStyle w:val="nSubsection"/>
      </w:pPr>
      <w:r>
        <w:rPr>
          <w:vertAlign w:val="superscript"/>
        </w:rPr>
        <w:t>16</w:t>
      </w:r>
      <w:r>
        <w:tab/>
        <w:t>This adopted Act (</w:t>
      </w:r>
      <w:r>
        <w:rPr>
          <w:snapToGrid w:val="0"/>
        </w:rPr>
        <w:t>3 &amp; 4 Will. IV c. 104)</w:t>
      </w:r>
      <w:r>
        <w:t xml:space="preserve">, so far as it was a part of the law of WA, was subsequently repealed by the </w:t>
      </w:r>
      <w:r>
        <w:rPr>
          <w:i/>
        </w:rPr>
        <w:t>Administration Act 1903</w:t>
      </w:r>
      <w:r>
        <w:t xml:space="preserve"> (No. 13 of 1903) s 2 [Assent 31 December 1903; Commencement 1 January 1904].</w:t>
      </w:r>
    </w:p>
    <w:p w:rsidR="008B68EF" w:rsidRDefault="00F53E54">
      <w:pPr>
        <w:pStyle w:val="nSubsection"/>
      </w:pPr>
      <w:r>
        <w:rPr>
          <w:vertAlign w:val="superscript"/>
        </w:rPr>
        <w:lastRenderedPageBreak/>
        <w:t>17</w:t>
      </w:r>
      <w:r>
        <w:tab/>
        <w:t>This adopted Act (</w:t>
      </w:r>
      <w:r>
        <w:rPr>
          <w:snapToGrid w:val="0"/>
        </w:rPr>
        <w:t>3 &amp; 4 Will. IV c. 105)</w:t>
      </w:r>
      <w:r>
        <w:t xml:space="preserve">, so far as it is a part of the law of WA, is said to have been practically repealed by the </w:t>
      </w:r>
      <w:r>
        <w:rPr>
          <w:i/>
        </w:rPr>
        <w:t>Real Estates Administration Act</w:t>
      </w:r>
      <w:r>
        <w:t xml:space="preserve"> (57 Vict. No. 9) [Assent 27 September 1893]. See </w:t>
      </w:r>
      <w:r>
        <w:rPr>
          <w:i/>
        </w:rPr>
        <w:t>Pilot Volume No. 1</w:t>
      </w:r>
      <w:r>
        <w:t xml:space="preserve"> p 346.</w:t>
      </w:r>
    </w:p>
    <w:p w:rsidR="008B68EF" w:rsidRDefault="00F53E54">
      <w:pPr>
        <w:pStyle w:val="nSubsection"/>
      </w:pPr>
      <w:r>
        <w:tab/>
        <w:t xml:space="preserve">This view may be supported by the fact that the </w:t>
      </w:r>
      <w:r>
        <w:rPr>
          <w:i/>
        </w:rPr>
        <w:t>Administration Act 1903</w:t>
      </w:r>
      <w:r>
        <w:t xml:space="preserve"> repealed the </w:t>
      </w:r>
      <w:r>
        <w:rPr>
          <w:i/>
        </w:rPr>
        <w:t>Real Estates Administration Act</w:t>
      </w:r>
      <w:r>
        <w:t xml:space="preserve"> (57 Vict. No. 9) as well as an Imperial Act adopted by this adopting Act (3 &amp; 4 Will. IV c. 104) but did not expressly repeal this adopted Act. Perhaps because this adopted Act was seen as having already been impliedly repealed by the </w:t>
      </w:r>
      <w:r>
        <w:rPr>
          <w:i/>
        </w:rPr>
        <w:t>Real Estates Administration Act</w:t>
      </w:r>
      <w:r>
        <w:t>.</w:t>
      </w:r>
    </w:p>
    <w:p w:rsidR="008B68EF" w:rsidRDefault="00F53E54">
      <w:pPr>
        <w:pStyle w:val="nSubsection"/>
        <w:sectPr w:rsidR="008B68EF">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r>
        <w:rPr>
          <w:vertAlign w:val="superscript"/>
        </w:rPr>
        <w:t>18</w:t>
      </w:r>
      <w:r>
        <w:tab/>
        <w:t>This adopted Act (</w:t>
      </w:r>
      <w:r>
        <w:rPr>
          <w:snapToGrid w:val="0"/>
        </w:rPr>
        <w:t>3 &amp; 4 Will. IV c. 106)</w:t>
      </w:r>
      <w:r>
        <w:t xml:space="preserve">, so far as it is a part of the law of WA, is said to have been practically repealed by the </w:t>
      </w:r>
      <w:r>
        <w:rPr>
          <w:i/>
        </w:rPr>
        <w:t>Real Estates Administration Act</w:t>
      </w:r>
      <w:r>
        <w:t xml:space="preserve"> (57 Vict. No. 9) [Assent 27 September 1893]. See </w:t>
      </w:r>
      <w:r>
        <w:rPr>
          <w:i/>
        </w:rPr>
        <w:t>Pilot Volume No. 1</w:t>
      </w:r>
      <w:r>
        <w:t xml:space="preserve"> p 346 and the above note.</w:t>
      </w:r>
    </w:p>
    <w:p w:rsidR="008B68EF" w:rsidRDefault="008B68EF"/>
    <w:sectPr w:rsidR="008B68EF">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EF" w:rsidRDefault="00F53E54">
      <w:r>
        <w:separator/>
      </w:r>
    </w:p>
  </w:endnote>
  <w:endnote w:type="continuationSeparator" w:id="0">
    <w:p w:rsidR="008B68EF" w:rsidRDefault="00F5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Footer"/>
      <w:tabs>
        <w:tab w:val="clear" w:pos="4153"/>
        <w:tab w:val="right" w:pos="7088"/>
      </w:tabs>
      <w:rPr>
        <w:rStyle w:val="PageNumber"/>
      </w:rPr>
    </w:pPr>
  </w:p>
  <w:p w:rsidR="008B68EF" w:rsidRDefault="00F53E5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55F60">
      <w:rPr>
        <w:rFonts w:ascii="Arial" w:hAnsi="Arial" w:cs="Arial"/>
        <w:sz w:val="20"/>
      </w:rPr>
      <w:t>01-b0-05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55F60">
      <w:rPr>
        <w:rFonts w:ascii="Arial" w:hAnsi="Arial" w:cs="Arial"/>
        <w:sz w:val="20"/>
      </w:rPr>
      <w:t>01 Jan 2006</w:t>
    </w:r>
    <w:r>
      <w:rPr>
        <w:rFonts w:ascii="Arial" w:hAnsi="Arial" w:cs="Arial"/>
        <w:sz w:val="20"/>
      </w:rPr>
      <w:fldChar w:fldCharType="end"/>
    </w:r>
  </w:p>
  <w:p w:rsidR="008B68EF" w:rsidRDefault="00F53E54">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Footer"/>
      <w:tabs>
        <w:tab w:val="clear" w:pos="4153"/>
        <w:tab w:val="right" w:pos="7088"/>
      </w:tabs>
      <w:rPr>
        <w:rStyle w:val="PageNumber"/>
      </w:rPr>
    </w:pPr>
  </w:p>
  <w:p w:rsidR="008B68EF" w:rsidRDefault="00F53E5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55F60">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55F60">
      <w:rPr>
        <w:rFonts w:ascii="Arial" w:hAnsi="Arial" w:cs="Arial"/>
        <w:sz w:val="20"/>
      </w:rPr>
      <w:t>01-b0-05</w:t>
    </w:r>
    <w:r>
      <w:rPr>
        <w:rFonts w:ascii="Arial" w:hAnsi="Arial" w:cs="Arial"/>
        <w:sz w:val="20"/>
      </w:rPr>
      <w:fldChar w:fldCharType="end"/>
    </w:r>
    <w:r>
      <w:rPr>
        <w:rFonts w:ascii="Arial" w:hAnsi="Arial" w:cs="Arial"/>
        <w:sz w:val="20"/>
      </w:rPr>
      <w:tab/>
    </w:r>
  </w:p>
  <w:p w:rsidR="008B68EF" w:rsidRDefault="00F53E54">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Footer"/>
      <w:tabs>
        <w:tab w:val="clear" w:pos="4153"/>
        <w:tab w:val="right" w:pos="7088"/>
      </w:tabs>
      <w:rPr>
        <w:rStyle w:val="PageNumber"/>
      </w:rPr>
    </w:pPr>
  </w:p>
  <w:p w:rsidR="008B68EF" w:rsidRDefault="00F53E5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55F60">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55F60">
      <w:rPr>
        <w:rFonts w:ascii="Arial" w:hAnsi="Arial" w:cs="Arial"/>
        <w:sz w:val="20"/>
      </w:rPr>
      <w:t>01-b0-05</w:t>
    </w:r>
    <w:r>
      <w:rPr>
        <w:rFonts w:ascii="Arial" w:hAnsi="Arial" w:cs="Arial"/>
        <w:sz w:val="20"/>
      </w:rPr>
      <w:fldChar w:fldCharType="end"/>
    </w:r>
    <w:r>
      <w:rPr>
        <w:rFonts w:ascii="Arial" w:hAnsi="Arial" w:cs="Arial"/>
        <w:sz w:val="20"/>
      </w:rPr>
      <w:tab/>
    </w:r>
  </w:p>
  <w:p w:rsidR="008B68EF" w:rsidRDefault="00F53E54">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Footer"/>
      <w:tabs>
        <w:tab w:val="clear" w:pos="4153"/>
        <w:tab w:val="right" w:pos="7088"/>
      </w:tabs>
      <w:rPr>
        <w:rStyle w:val="PageNumber"/>
      </w:rPr>
    </w:pPr>
  </w:p>
  <w:p w:rsidR="008B68EF" w:rsidRDefault="00F53E5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4039">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55F60">
      <w:rPr>
        <w:rFonts w:ascii="Arial" w:hAnsi="Arial" w:cs="Arial"/>
        <w:sz w:val="20"/>
      </w:rPr>
      <w:t>01-b0-05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55F60">
      <w:rPr>
        <w:rFonts w:ascii="Arial" w:hAnsi="Arial" w:cs="Arial"/>
        <w:sz w:val="20"/>
      </w:rPr>
      <w:t>01 Jan 2006</w:t>
    </w:r>
    <w:r>
      <w:rPr>
        <w:rFonts w:ascii="Arial" w:hAnsi="Arial" w:cs="Arial"/>
        <w:sz w:val="20"/>
      </w:rPr>
      <w:fldChar w:fldCharType="end"/>
    </w:r>
  </w:p>
  <w:p w:rsidR="008B68EF" w:rsidRDefault="00F53E54">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Footer"/>
      <w:tabs>
        <w:tab w:val="clear" w:pos="4153"/>
        <w:tab w:val="right" w:pos="7088"/>
      </w:tabs>
      <w:rPr>
        <w:rStyle w:val="PageNumber"/>
      </w:rPr>
    </w:pPr>
  </w:p>
  <w:p w:rsidR="008B68EF" w:rsidRDefault="00F53E5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55F60">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55F60">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4039">
      <w:rPr>
        <w:rStyle w:val="PageNumber"/>
        <w:rFonts w:ascii="Arial" w:hAnsi="Arial" w:cs="Arial"/>
        <w:noProof/>
      </w:rPr>
      <w:t>i</w:t>
    </w:r>
    <w:r>
      <w:rPr>
        <w:rStyle w:val="PageNumber"/>
        <w:rFonts w:ascii="Arial" w:hAnsi="Arial" w:cs="Arial"/>
      </w:rPr>
      <w:fldChar w:fldCharType="end"/>
    </w:r>
  </w:p>
  <w:p w:rsidR="008B68EF" w:rsidRDefault="00F53E54">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Footer"/>
      <w:tabs>
        <w:tab w:val="clear" w:pos="4153"/>
        <w:tab w:val="right" w:pos="7088"/>
      </w:tabs>
      <w:rPr>
        <w:rStyle w:val="PageNumber"/>
      </w:rPr>
    </w:pPr>
  </w:p>
  <w:p w:rsidR="008B68EF" w:rsidRDefault="00F53E5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55F60">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55F60">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5F60">
      <w:rPr>
        <w:rStyle w:val="PageNumber"/>
        <w:rFonts w:ascii="Arial" w:hAnsi="Arial" w:cs="Arial"/>
        <w:noProof/>
      </w:rPr>
      <w:t>i</w:t>
    </w:r>
    <w:r>
      <w:rPr>
        <w:rStyle w:val="PageNumber"/>
        <w:rFonts w:ascii="Arial" w:hAnsi="Arial" w:cs="Arial"/>
      </w:rPr>
      <w:fldChar w:fldCharType="end"/>
    </w:r>
  </w:p>
  <w:p w:rsidR="008B68EF" w:rsidRDefault="00F53E54">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Footer"/>
      <w:tabs>
        <w:tab w:val="clear" w:pos="4153"/>
        <w:tab w:val="right" w:pos="7088"/>
      </w:tabs>
      <w:rPr>
        <w:rStyle w:val="PageNumber"/>
      </w:rPr>
    </w:pPr>
  </w:p>
  <w:p w:rsidR="008B68EF" w:rsidRDefault="00F53E5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5F60">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55F60">
      <w:rPr>
        <w:rFonts w:ascii="Arial" w:hAnsi="Arial" w:cs="Arial"/>
        <w:sz w:val="20"/>
      </w:rPr>
      <w:t>01-b0-05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55F60">
      <w:rPr>
        <w:rFonts w:ascii="Arial" w:hAnsi="Arial" w:cs="Arial"/>
        <w:sz w:val="20"/>
      </w:rPr>
      <w:t>01 Jan 2006</w:t>
    </w:r>
    <w:r>
      <w:rPr>
        <w:rFonts w:ascii="Arial" w:hAnsi="Arial" w:cs="Arial"/>
        <w:sz w:val="20"/>
      </w:rPr>
      <w:fldChar w:fldCharType="end"/>
    </w:r>
    <w:r>
      <w:rPr>
        <w:rFonts w:ascii="Arial" w:hAnsi="Arial" w:cs="Arial"/>
        <w:sz w:val="20"/>
      </w:rPr>
      <w:t xml:space="preserve"> </w:t>
    </w:r>
  </w:p>
  <w:p w:rsidR="008B68EF" w:rsidRDefault="00F53E54">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Footer"/>
      <w:tabs>
        <w:tab w:val="clear" w:pos="4153"/>
        <w:tab w:val="right" w:pos="7088"/>
      </w:tabs>
      <w:rPr>
        <w:rStyle w:val="PageNumber"/>
      </w:rPr>
    </w:pPr>
  </w:p>
  <w:p w:rsidR="008B68EF" w:rsidRDefault="00F53E5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55F60">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55F60">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5F60">
      <w:rPr>
        <w:rStyle w:val="CharPageNo"/>
        <w:rFonts w:ascii="Arial" w:hAnsi="Arial"/>
        <w:noProof/>
      </w:rPr>
      <w:t>5</w:t>
    </w:r>
    <w:r>
      <w:rPr>
        <w:rStyle w:val="CharPageNo"/>
        <w:rFonts w:ascii="Arial" w:hAnsi="Arial"/>
      </w:rPr>
      <w:fldChar w:fldCharType="end"/>
    </w:r>
  </w:p>
  <w:p w:rsidR="008B68EF" w:rsidRDefault="00F53E54">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Footer"/>
      <w:tabs>
        <w:tab w:val="clear" w:pos="4153"/>
        <w:tab w:val="right" w:pos="7088"/>
      </w:tabs>
      <w:rPr>
        <w:rStyle w:val="PageNumber"/>
      </w:rPr>
    </w:pPr>
  </w:p>
  <w:p w:rsidR="008B68EF" w:rsidRDefault="00F53E5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55F60">
      <w:rPr>
        <w:rFonts w:ascii="Arial" w:hAnsi="Arial" w:cs="Arial"/>
        <w:sz w:val="20"/>
      </w:rPr>
      <w:t>01 Jan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55F60">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5F60">
      <w:rPr>
        <w:rStyle w:val="CharPageNo"/>
        <w:rFonts w:ascii="Arial" w:hAnsi="Arial"/>
        <w:noProof/>
      </w:rPr>
      <w:t>1</w:t>
    </w:r>
    <w:r>
      <w:rPr>
        <w:rStyle w:val="CharPageNo"/>
        <w:rFonts w:ascii="Arial" w:hAnsi="Arial"/>
      </w:rPr>
      <w:fldChar w:fldCharType="end"/>
    </w:r>
  </w:p>
  <w:p w:rsidR="008B68EF" w:rsidRDefault="00F53E54">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EF" w:rsidRDefault="00F53E54">
      <w:r>
        <w:separator/>
      </w:r>
    </w:p>
  </w:footnote>
  <w:footnote w:type="continuationSeparator" w:id="0">
    <w:p w:rsidR="008B68EF" w:rsidRDefault="00F5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F53E54">
    <w:pPr>
      <w:pStyle w:val="headerpartodd"/>
      <w:ind w:left="0" w:firstLine="0"/>
      <w:rPr>
        <w:i/>
      </w:rPr>
    </w:pPr>
    <w:r>
      <w:rPr>
        <w:i/>
      </w:rPr>
      <w:fldChar w:fldCharType="begin"/>
    </w:r>
    <w:r>
      <w:rPr>
        <w:i/>
      </w:rPr>
      <w:instrText xml:space="preserve"> Styleref "Name of Act/Reg" </w:instrText>
    </w:r>
    <w:r>
      <w:rPr>
        <w:i/>
      </w:rPr>
      <w:fldChar w:fldCharType="separate"/>
    </w:r>
    <w:r w:rsidR="00555F60">
      <w:rPr>
        <w:i/>
        <w:noProof/>
      </w:rPr>
      <w:t>Imperial Acts Adopting Act 1836</w:t>
    </w:r>
    <w:r>
      <w:rPr>
        <w:i/>
      </w:rPr>
      <w:fldChar w:fldCharType="end"/>
    </w:r>
  </w:p>
  <w:p w:rsidR="008B68EF" w:rsidRDefault="00F53E5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B68EF" w:rsidRDefault="00F53E5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B68EF" w:rsidRDefault="008B68EF">
    <w:pPr>
      <w:pStyle w:val="headerpart"/>
      <w:rPr>
        <w:sz w:val="24"/>
      </w:rPr>
    </w:pPr>
  </w:p>
  <w:p w:rsidR="008B68EF" w:rsidRDefault="008B68EF">
    <w:pPr>
      <w:pBdr>
        <w:bottom w:val="single" w:sz="6" w:space="1" w:color="auto"/>
      </w:pBdr>
      <w:rPr>
        <w:b/>
      </w:rPr>
    </w:pPr>
  </w:p>
  <w:p w:rsidR="008B68EF" w:rsidRDefault="008B68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B68EF">
      <w:trPr>
        <w:cantSplit/>
      </w:trPr>
      <w:tc>
        <w:tcPr>
          <w:tcW w:w="7312" w:type="dxa"/>
          <w:gridSpan w:val="2"/>
        </w:tcPr>
        <w:p w:rsidR="008B68EF" w:rsidRDefault="004355C6">
          <w:pPr>
            <w:pStyle w:val="HeaderActNameLeft"/>
          </w:pPr>
          <w:fldSimple w:instr=" Styleref &quot;Name of Act/Reg&quot; ">
            <w:r w:rsidR="00555F60">
              <w:rPr>
                <w:noProof/>
              </w:rPr>
              <w:t>Imperial Acts Adopting Act 1836</w:t>
            </w:r>
          </w:fldSimple>
        </w:p>
      </w:tc>
    </w:tr>
    <w:tr w:rsidR="008B68EF">
      <w:tc>
        <w:tcPr>
          <w:tcW w:w="1548" w:type="dxa"/>
        </w:tcPr>
        <w:p w:rsidR="008B68EF" w:rsidRDefault="008B68EF">
          <w:pPr>
            <w:pStyle w:val="HeaderNumberLeft"/>
          </w:pPr>
        </w:p>
      </w:tc>
      <w:tc>
        <w:tcPr>
          <w:tcW w:w="5764" w:type="dxa"/>
        </w:tcPr>
        <w:p w:rsidR="008B68EF" w:rsidRDefault="008B68EF">
          <w:pPr>
            <w:pStyle w:val="HeaderTextLeft"/>
          </w:pPr>
        </w:p>
      </w:tc>
    </w:tr>
    <w:tr w:rsidR="008B68EF">
      <w:tc>
        <w:tcPr>
          <w:tcW w:w="1548" w:type="dxa"/>
        </w:tcPr>
        <w:p w:rsidR="008B68EF" w:rsidRDefault="008B68EF">
          <w:pPr>
            <w:pStyle w:val="HeaderNumberLeft"/>
          </w:pPr>
        </w:p>
      </w:tc>
      <w:tc>
        <w:tcPr>
          <w:tcW w:w="5764" w:type="dxa"/>
        </w:tcPr>
        <w:p w:rsidR="008B68EF" w:rsidRDefault="008B68EF">
          <w:pPr>
            <w:pStyle w:val="HeaderTextLeft"/>
          </w:pPr>
        </w:p>
      </w:tc>
    </w:tr>
    <w:tr w:rsidR="008B68EF">
      <w:trPr>
        <w:cantSplit/>
      </w:trPr>
      <w:tc>
        <w:tcPr>
          <w:tcW w:w="7312" w:type="dxa"/>
          <w:gridSpan w:val="2"/>
        </w:tcPr>
        <w:p w:rsidR="008B68EF" w:rsidRDefault="008B68EF">
          <w:pPr>
            <w:pStyle w:val="HeaderSectionLeft"/>
          </w:pPr>
        </w:p>
      </w:tc>
    </w:tr>
  </w:tbl>
  <w:p w:rsidR="008B68EF" w:rsidRDefault="008B68E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B68EF">
      <w:trPr>
        <w:cantSplit/>
      </w:trPr>
      <w:tc>
        <w:tcPr>
          <w:tcW w:w="7312" w:type="dxa"/>
          <w:gridSpan w:val="2"/>
        </w:tcPr>
        <w:p w:rsidR="008B68EF" w:rsidRDefault="004355C6">
          <w:pPr>
            <w:pStyle w:val="HeaderActNameRight"/>
          </w:pPr>
          <w:fldSimple w:instr=" Styleref &quot;Name of Act/Reg&quot; ">
            <w:r w:rsidR="00555F60">
              <w:rPr>
                <w:noProof/>
              </w:rPr>
              <w:t>Imperial Acts Adopting Act 1836</w:t>
            </w:r>
          </w:fldSimple>
        </w:p>
      </w:tc>
    </w:tr>
    <w:tr w:rsidR="008B68EF">
      <w:tc>
        <w:tcPr>
          <w:tcW w:w="5760" w:type="dxa"/>
        </w:tcPr>
        <w:p w:rsidR="008B68EF" w:rsidRDefault="008B68EF">
          <w:pPr>
            <w:pStyle w:val="HeaderTextRight"/>
          </w:pPr>
        </w:p>
      </w:tc>
      <w:tc>
        <w:tcPr>
          <w:tcW w:w="1552" w:type="dxa"/>
        </w:tcPr>
        <w:p w:rsidR="008B68EF" w:rsidRDefault="008B68EF">
          <w:pPr>
            <w:pStyle w:val="HeaderNumberRight"/>
          </w:pPr>
        </w:p>
      </w:tc>
    </w:tr>
    <w:tr w:rsidR="008B68EF">
      <w:tc>
        <w:tcPr>
          <w:tcW w:w="5760" w:type="dxa"/>
        </w:tcPr>
        <w:p w:rsidR="008B68EF" w:rsidRDefault="008B68EF">
          <w:pPr>
            <w:pStyle w:val="HeaderTextRight"/>
          </w:pPr>
        </w:p>
      </w:tc>
      <w:tc>
        <w:tcPr>
          <w:tcW w:w="1552" w:type="dxa"/>
        </w:tcPr>
        <w:p w:rsidR="008B68EF" w:rsidRDefault="008B68EF">
          <w:pPr>
            <w:pStyle w:val="HeaderNumberRight"/>
          </w:pPr>
        </w:p>
      </w:tc>
    </w:tr>
    <w:tr w:rsidR="008B68EF">
      <w:trPr>
        <w:cantSplit/>
      </w:trPr>
      <w:tc>
        <w:tcPr>
          <w:tcW w:w="7312" w:type="dxa"/>
          <w:gridSpan w:val="2"/>
        </w:tcPr>
        <w:p w:rsidR="008B68EF" w:rsidRDefault="008B68EF">
          <w:pPr>
            <w:pStyle w:val="HeaderSectionRight"/>
          </w:pPr>
        </w:p>
      </w:tc>
    </w:tr>
  </w:tbl>
  <w:p w:rsidR="008B68EF" w:rsidRDefault="008B68E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F53E54">
    <w:pPr>
      <w:pStyle w:val="headerpartodd"/>
      <w:ind w:left="0" w:firstLine="0"/>
      <w:rPr>
        <w:i/>
      </w:rPr>
    </w:pPr>
    <w:r>
      <w:rPr>
        <w:i/>
      </w:rPr>
      <w:fldChar w:fldCharType="begin"/>
    </w:r>
    <w:r>
      <w:rPr>
        <w:i/>
      </w:rPr>
      <w:instrText xml:space="preserve"> Styleref "Name of Act/Reg" </w:instrText>
    </w:r>
    <w:r>
      <w:rPr>
        <w:i/>
      </w:rPr>
      <w:fldChar w:fldCharType="separate"/>
    </w:r>
    <w:r w:rsidR="00555F60">
      <w:rPr>
        <w:i/>
        <w:noProof/>
      </w:rPr>
      <w:t>Imperial Acts Adopting Act 1836</w:t>
    </w:r>
    <w:r>
      <w:rPr>
        <w:i/>
      </w:rPr>
      <w:fldChar w:fldCharType="end"/>
    </w:r>
  </w:p>
  <w:p w:rsidR="008B68EF" w:rsidRDefault="008B68EF">
    <w:pPr>
      <w:pStyle w:val="headerpartodd"/>
      <w:ind w:left="0" w:firstLine="0"/>
      <w:rPr>
        <w:b w:val="0"/>
        <w:i/>
      </w:rPr>
    </w:pPr>
  </w:p>
  <w:p w:rsidR="008B68EF" w:rsidRDefault="008B68EF">
    <w:pPr>
      <w:pStyle w:val="headerpart"/>
    </w:pPr>
  </w:p>
  <w:p w:rsidR="008B68EF" w:rsidRDefault="008B68EF">
    <w:pPr>
      <w:pStyle w:val="headerpart"/>
    </w:pPr>
  </w:p>
  <w:p w:rsidR="008B68EF" w:rsidRDefault="008B68EF">
    <w:pPr>
      <w:pBdr>
        <w:bottom w:val="single" w:sz="6" w:space="1" w:color="auto"/>
      </w:pBdr>
      <w:rPr>
        <w:b/>
      </w:rPr>
    </w:pPr>
  </w:p>
  <w:p w:rsidR="008B68EF" w:rsidRDefault="008B68E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F53E54">
    <w:pPr>
      <w:pStyle w:val="headerpartodd"/>
      <w:ind w:left="0" w:firstLine="0"/>
      <w:jc w:val="right"/>
      <w:rPr>
        <w:i/>
      </w:rPr>
    </w:pPr>
    <w:r>
      <w:rPr>
        <w:i/>
      </w:rPr>
      <w:fldChar w:fldCharType="begin"/>
    </w:r>
    <w:r>
      <w:rPr>
        <w:i/>
      </w:rPr>
      <w:instrText xml:space="preserve"> Styleref "Name of Act/Reg" </w:instrText>
    </w:r>
    <w:r>
      <w:rPr>
        <w:i/>
      </w:rPr>
      <w:fldChar w:fldCharType="separate"/>
    </w:r>
    <w:r w:rsidR="00555F60">
      <w:rPr>
        <w:i/>
        <w:noProof/>
      </w:rPr>
      <w:t>Imperial Acts Adopting Act 1836</w:t>
    </w:r>
    <w:r>
      <w:rPr>
        <w:i/>
      </w:rPr>
      <w:fldChar w:fldCharType="end"/>
    </w:r>
  </w:p>
  <w:p w:rsidR="008B68EF" w:rsidRDefault="008B68EF">
    <w:pPr>
      <w:pStyle w:val="headerpartodd"/>
      <w:ind w:left="0" w:firstLine="0"/>
      <w:jc w:val="right"/>
      <w:rPr>
        <w:b w:val="0"/>
        <w:i/>
      </w:rPr>
    </w:pPr>
  </w:p>
  <w:p w:rsidR="008B68EF" w:rsidRDefault="008B68EF">
    <w:pPr>
      <w:pStyle w:val="headerpart"/>
      <w:jc w:val="right"/>
    </w:pPr>
  </w:p>
  <w:p w:rsidR="008B68EF" w:rsidRDefault="008B68EF">
    <w:pPr>
      <w:pStyle w:val="headerpart"/>
      <w:jc w:val="right"/>
      <w:rPr>
        <w:sz w:val="24"/>
      </w:rPr>
    </w:pPr>
  </w:p>
  <w:p w:rsidR="008B68EF" w:rsidRDefault="008B68EF">
    <w:pPr>
      <w:pBdr>
        <w:bottom w:val="single" w:sz="6" w:space="1" w:color="auto"/>
      </w:pBdr>
      <w:jc w:val="right"/>
      <w:rPr>
        <w:b/>
      </w:rPr>
    </w:pPr>
  </w:p>
  <w:p w:rsidR="008B68EF" w:rsidRDefault="008B68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60" w:rsidRDefault="00555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60" w:rsidRDefault="00555F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B68EF">
      <w:trPr>
        <w:cantSplit/>
      </w:trPr>
      <w:tc>
        <w:tcPr>
          <w:tcW w:w="7312" w:type="dxa"/>
          <w:gridSpan w:val="2"/>
        </w:tcPr>
        <w:p w:rsidR="008B68EF" w:rsidRDefault="00F53E54">
          <w:pPr>
            <w:pStyle w:val="HeaderActNameLeft"/>
          </w:pPr>
          <w:r>
            <w:rPr>
              <w:i w:val="0"/>
            </w:rPr>
            <w:fldChar w:fldCharType="begin"/>
          </w:r>
          <w:r>
            <w:rPr>
              <w:i w:val="0"/>
            </w:rPr>
            <w:instrText xml:space="preserve"> Styleref "Name of Act/Reg" </w:instrText>
          </w:r>
          <w:r>
            <w:rPr>
              <w:i w:val="0"/>
            </w:rPr>
            <w:fldChar w:fldCharType="separate"/>
          </w:r>
          <w:r w:rsidR="00555F60">
            <w:rPr>
              <w:i w:val="0"/>
              <w:noProof/>
            </w:rPr>
            <w:t>Imperial Acts Adopting Act 1836</w:t>
          </w:r>
          <w:r>
            <w:rPr>
              <w:i w:val="0"/>
            </w:rPr>
            <w:fldChar w:fldCharType="end"/>
          </w:r>
        </w:p>
      </w:tc>
    </w:tr>
    <w:tr w:rsidR="008B68EF">
      <w:tc>
        <w:tcPr>
          <w:tcW w:w="1548" w:type="dxa"/>
        </w:tcPr>
        <w:p w:rsidR="008B68EF" w:rsidRDefault="008B68EF">
          <w:pPr>
            <w:pStyle w:val="HeaderNumberLeft"/>
          </w:pPr>
        </w:p>
      </w:tc>
      <w:tc>
        <w:tcPr>
          <w:tcW w:w="5764" w:type="dxa"/>
        </w:tcPr>
        <w:p w:rsidR="008B68EF" w:rsidRDefault="008B68EF">
          <w:pPr>
            <w:pStyle w:val="HeaderTextLeft"/>
          </w:pPr>
        </w:p>
      </w:tc>
    </w:tr>
    <w:tr w:rsidR="008B68EF">
      <w:tc>
        <w:tcPr>
          <w:tcW w:w="1548" w:type="dxa"/>
        </w:tcPr>
        <w:p w:rsidR="008B68EF" w:rsidRDefault="008B68EF">
          <w:pPr>
            <w:pStyle w:val="HeaderNumberLeft"/>
          </w:pPr>
        </w:p>
      </w:tc>
      <w:tc>
        <w:tcPr>
          <w:tcW w:w="5764" w:type="dxa"/>
        </w:tcPr>
        <w:p w:rsidR="008B68EF" w:rsidRDefault="008B68EF">
          <w:pPr>
            <w:pStyle w:val="HeaderTextLeft"/>
          </w:pPr>
        </w:p>
      </w:tc>
    </w:tr>
    <w:tr w:rsidR="008B68EF">
      <w:trPr>
        <w:cantSplit/>
      </w:trPr>
      <w:tc>
        <w:tcPr>
          <w:tcW w:w="7312" w:type="dxa"/>
          <w:gridSpan w:val="2"/>
        </w:tcPr>
        <w:p w:rsidR="008B68EF" w:rsidRDefault="008B68EF">
          <w:pPr>
            <w:pStyle w:val="HeaderSectionLeft"/>
          </w:pPr>
        </w:p>
      </w:tc>
    </w:tr>
  </w:tbl>
  <w:p w:rsidR="008B68EF" w:rsidRDefault="008B68E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B68EF">
      <w:trPr>
        <w:cantSplit/>
      </w:trPr>
      <w:tc>
        <w:tcPr>
          <w:tcW w:w="7312" w:type="dxa"/>
          <w:gridSpan w:val="2"/>
        </w:tcPr>
        <w:p w:rsidR="008B68EF" w:rsidRDefault="004355C6">
          <w:pPr>
            <w:pStyle w:val="HeaderActNameRight"/>
          </w:pPr>
          <w:fldSimple w:instr=" Styleref &quot;Name of Act/Reg&quot; ">
            <w:r w:rsidR="00555F60">
              <w:rPr>
                <w:noProof/>
              </w:rPr>
              <w:t>Imperial Acts Adopting Act 1836</w:t>
            </w:r>
          </w:fldSimple>
        </w:p>
      </w:tc>
    </w:tr>
    <w:tr w:rsidR="008B68EF">
      <w:tc>
        <w:tcPr>
          <w:tcW w:w="5760" w:type="dxa"/>
        </w:tcPr>
        <w:p w:rsidR="008B68EF" w:rsidRDefault="008B68EF">
          <w:pPr>
            <w:pStyle w:val="HeaderTextRight"/>
          </w:pPr>
        </w:p>
      </w:tc>
      <w:tc>
        <w:tcPr>
          <w:tcW w:w="1552" w:type="dxa"/>
        </w:tcPr>
        <w:p w:rsidR="008B68EF" w:rsidRDefault="008B68EF">
          <w:pPr>
            <w:pStyle w:val="HeaderNumberRight"/>
          </w:pPr>
        </w:p>
      </w:tc>
    </w:tr>
    <w:tr w:rsidR="008B68EF">
      <w:tc>
        <w:tcPr>
          <w:tcW w:w="5760" w:type="dxa"/>
        </w:tcPr>
        <w:p w:rsidR="008B68EF" w:rsidRDefault="008B68EF">
          <w:pPr>
            <w:pStyle w:val="HeaderTextRight"/>
          </w:pPr>
        </w:p>
      </w:tc>
      <w:tc>
        <w:tcPr>
          <w:tcW w:w="1552" w:type="dxa"/>
        </w:tcPr>
        <w:p w:rsidR="008B68EF" w:rsidRDefault="008B68EF">
          <w:pPr>
            <w:pStyle w:val="HeaderNumberRight"/>
          </w:pPr>
        </w:p>
      </w:tc>
    </w:tr>
    <w:tr w:rsidR="008B68EF">
      <w:trPr>
        <w:cantSplit/>
      </w:trPr>
      <w:tc>
        <w:tcPr>
          <w:tcW w:w="7312" w:type="dxa"/>
          <w:gridSpan w:val="2"/>
        </w:tcPr>
        <w:p w:rsidR="008B68EF" w:rsidRDefault="008B68EF">
          <w:pPr>
            <w:pStyle w:val="HeaderSectionRight"/>
          </w:pPr>
        </w:p>
      </w:tc>
    </w:tr>
  </w:tbl>
  <w:p w:rsidR="008B68EF" w:rsidRDefault="008B68E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B68EF">
      <w:trPr>
        <w:cantSplit/>
      </w:trPr>
      <w:tc>
        <w:tcPr>
          <w:tcW w:w="7312" w:type="dxa"/>
          <w:gridSpan w:val="2"/>
        </w:tcPr>
        <w:p w:rsidR="008B68EF" w:rsidRDefault="004355C6">
          <w:pPr>
            <w:pStyle w:val="HeaderActNameLeft"/>
          </w:pPr>
          <w:fldSimple w:instr=" Styleref &quot;Name of Act/Reg&quot; ">
            <w:r w:rsidR="00555F60">
              <w:rPr>
                <w:noProof/>
              </w:rPr>
              <w:t>Imperial Acts Adopting Act 1836</w:t>
            </w:r>
          </w:fldSimple>
        </w:p>
      </w:tc>
    </w:tr>
    <w:tr w:rsidR="008B68EF">
      <w:tc>
        <w:tcPr>
          <w:tcW w:w="1305" w:type="dxa"/>
        </w:tcPr>
        <w:p w:rsidR="008B68EF" w:rsidRDefault="00F53E54">
          <w:pPr>
            <w:pStyle w:val="HeaderNumberLeft"/>
          </w:pPr>
          <w:r>
            <w:fldChar w:fldCharType="begin"/>
          </w:r>
          <w:r>
            <w:instrText xml:space="preserve"> styleref CharPartNo </w:instrText>
          </w:r>
          <w:r>
            <w:fldChar w:fldCharType="end"/>
          </w:r>
        </w:p>
      </w:tc>
      <w:tc>
        <w:tcPr>
          <w:tcW w:w="6007" w:type="dxa"/>
        </w:tcPr>
        <w:p w:rsidR="008B68EF" w:rsidRDefault="00F53E54">
          <w:pPr>
            <w:pStyle w:val="HeaderTextLeft"/>
          </w:pPr>
          <w:r>
            <w:fldChar w:fldCharType="begin"/>
          </w:r>
          <w:r>
            <w:instrText xml:space="preserve"> styleref CharPartText </w:instrText>
          </w:r>
          <w:r>
            <w:fldChar w:fldCharType="end"/>
          </w:r>
        </w:p>
      </w:tc>
    </w:tr>
    <w:tr w:rsidR="008B68EF">
      <w:tc>
        <w:tcPr>
          <w:tcW w:w="1305" w:type="dxa"/>
        </w:tcPr>
        <w:p w:rsidR="008B68EF" w:rsidRDefault="00F53E54">
          <w:pPr>
            <w:pStyle w:val="HeaderNumberLeft"/>
          </w:pPr>
          <w:r>
            <w:fldChar w:fldCharType="begin"/>
          </w:r>
          <w:r>
            <w:instrText xml:space="preserve"> styleref CharDivNo </w:instrText>
          </w:r>
          <w:r>
            <w:fldChar w:fldCharType="end"/>
          </w:r>
        </w:p>
      </w:tc>
      <w:tc>
        <w:tcPr>
          <w:tcW w:w="6007" w:type="dxa"/>
        </w:tcPr>
        <w:p w:rsidR="008B68EF" w:rsidRDefault="00F53E54">
          <w:pPr>
            <w:pStyle w:val="HeaderTextLeft"/>
          </w:pPr>
          <w:r>
            <w:fldChar w:fldCharType="begin"/>
          </w:r>
          <w:r>
            <w:instrText xml:space="preserve"> styleref CharDivText </w:instrText>
          </w:r>
          <w:r>
            <w:fldChar w:fldCharType="end"/>
          </w:r>
        </w:p>
      </w:tc>
    </w:tr>
    <w:tr w:rsidR="008B68EF">
      <w:trPr>
        <w:cantSplit/>
      </w:trPr>
      <w:tc>
        <w:tcPr>
          <w:tcW w:w="7312" w:type="dxa"/>
          <w:gridSpan w:val="2"/>
        </w:tcPr>
        <w:p w:rsidR="008B68EF" w:rsidRDefault="008B68EF">
          <w:pPr>
            <w:pStyle w:val="HeaderSectionLeft"/>
          </w:pPr>
        </w:p>
      </w:tc>
    </w:tr>
  </w:tbl>
  <w:p w:rsidR="008B68EF" w:rsidRDefault="008B68E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B68EF">
      <w:trPr>
        <w:cantSplit/>
      </w:trPr>
      <w:tc>
        <w:tcPr>
          <w:tcW w:w="7312" w:type="dxa"/>
          <w:gridSpan w:val="2"/>
        </w:tcPr>
        <w:p w:rsidR="008B68EF" w:rsidRDefault="004355C6">
          <w:pPr>
            <w:pStyle w:val="HeaderActNameRight"/>
          </w:pPr>
          <w:fldSimple w:instr=" Styleref &quot;Name of Act/Reg&quot; ">
            <w:r w:rsidR="00555F60">
              <w:rPr>
                <w:noProof/>
              </w:rPr>
              <w:t>Imperial Acts Adopting Act 1836</w:t>
            </w:r>
          </w:fldSimple>
        </w:p>
      </w:tc>
    </w:tr>
    <w:tr w:rsidR="008B68EF">
      <w:tc>
        <w:tcPr>
          <w:tcW w:w="5985" w:type="dxa"/>
        </w:tcPr>
        <w:p w:rsidR="008B68EF" w:rsidRDefault="00F53E54">
          <w:pPr>
            <w:pStyle w:val="HeaderTextRight"/>
          </w:pPr>
          <w:r>
            <w:fldChar w:fldCharType="begin"/>
          </w:r>
          <w:r>
            <w:instrText xml:space="preserve"> styleref CharPartText </w:instrText>
          </w:r>
          <w:r>
            <w:fldChar w:fldCharType="end"/>
          </w:r>
        </w:p>
      </w:tc>
      <w:tc>
        <w:tcPr>
          <w:tcW w:w="1327" w:type="dxa"/>
        </w:tcPr>
        <w:p w:rsidR="008B68EF" w:rsidRDefault="00F53E54">
          <w:pPr>
            <w:pStyle w:val="HeaderNumberRight"/>
          </w:pPr>
          <w:r>
            <w:fldChar w:fldCharType="begin"/>
          </w:r>
          <w:r>
            <w:instrText xml:space="preserve"> styleref CharPartNo </w:instrText>
          </w:r>
          <w:r>
            <w:fldChar w:fldCharType="end"/>
          </w:r>
        </w:p>
      </w:tc>
    </w:tr>
    <w:tr w:rsidR="008B68EF">
      <w:tc>
        <w:tcPr>
          <w:tcW w:w="5985" w:type="dxa"/>
        </w:tcPr>
        <w:p w:rsidR="008B68EF" w:rsidRDefault="00F53E54">
          <w:pPr>
            <w:pStyle w:val="HeaderTextRight"/>
          </w:pPr>
          <w:r>
            <w:fldChar w:fldCharType="begin"/>
          </w:r>
          <w:r>
            <w:instrText xml:space="preserve"> styleref CharDivText </w:instrText>
          </w:r>
          <w:r>
            <w:fldChar w:fldCharType="end"/>
          </w:r>
        </w:p>
      </w:tc>
      <w:tc>
        <w:tcPr>
          <w:tcW w:w="1327" w:type="dxa"/>
        </w:tcPr>
        <w:p w:rsidR="008B68EF" w:rsidRDefault="00F53E54">
          <w:pPr>
            <w:pStyle w:val="HeaderNumberRight"/>
          </w:pPr>
          <w:r>
            <w:fldChar w:fldCharType="begin"/>
          </w:r>
          <w:r>
            <w:instrText xml:space="preserve"> styleref CharDivNo </w:instrText>
          </w:r>
          <w:r>
            <w:fldChar w:fldCharType="end"/>
          </w:r>
        </w:p>
      </w:tc>
    </w:tr>
    <w:tr w:rsidR="008B68EF">
      <w:trPr>
        <w:cantSplit/>
      </w:trPr>
      <w:tc>
        <w:tcPr>
          <w:tcW w:w="7312" w:type="dxa"/>
          <w:gridSpan w:val="2"/>
        </w:tcPr>
        <w:p w:rsidR="008B68EF" w:rsidRDefault="008B68EF">
          <w:pPr>
            <w:pStyle w:val="HeaderSectionRight"/>
          </w:pPr>
        </w:p>
      </w:tc>
    </w:tr>
  </w:tbl>
  <w:p w:rsidR="008B68EF" w:rsidRDefault="008B68E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EF" w:rsidRDefault="008B6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62752"/>
    <w:docVar w:name="WAFER_20140129162720" w:val="RemoveTocBookmarks,RemoveUnusedBookmarks,RemoveLanguageTags,UsedStyles,ResetPageSize,UpdateArrangement"/>
    <w:docVar w:name="WAFER_20140129162720_GUID" w:val="89405a6a-1bb1-4806-b417-8eff62ecf0b9"/>
    <w:docVar w:name="WAFER_20140129162752" w:val="RemoveTocBookmarks,RunningHeaders"/>
    <w:docVar w:name="WAFER_20140129162752_GUID" w:val="ce3d794f-9d0c-4dc4-9350-260eaceffd38"/>
  </w:docVars>
  <w:rsids>
    <w:rsidRoot w:val="00F53E54"/>
    <w:rsid w:val="004355C6"/>
    <w:rsid w:val="00555F60"/>
    <w:rsid w:val="0089362A"/>
    <w:rsid w:val="008B68EF"/>
    <w:rsid w:val="00A1023C"/>
    <w:rsid w:val="00E44039"/>
    <w:rsid w:val="00F40CB9"/>
    <w:rsid w:val="00F4695C"/>
    <w:rsid w:val="00F53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noProof w:val="0"/>
      <w:sz w:val="18"/>
    </w:rPr>
  </w:style>
  <w:style w:type="character" w:styleId="PageNumber">
    <w:name w:val="page number"/>
    <w:basedOn w:val="DefaultParagraphFont"/>
    <w:semiHidden/>
    <w:rPr>
      <w:noProof w:val="0"/>
      <w:sz w:val="2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ind w:left="864"/>
      <w:jc w:val="center"/>
    </w:pPr>
    <w:rPr>
      <w:b/>
      <w:sz w:val="24"/>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yFootnoteheading">
    <w:name w:val="yFootnote(heading)"/>
    <w:basedOn w:val="Footnoteheading"/>
    <w:rPr>
      <w:sz w:val="22"/>
    </w:rPr>
  </w:style>
  <w:style w:type="character" w:customStyle="1" w:styleId="CharDefText">
    <w:name w:val="CharDefText"/>
    <w:basedOn w:val="DefaultParagraphFont"/>
    <w:rPr>
      <w:b/>
      <w:i/>
      <w:noProof w:val="0"/>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noProof w:val="0"/>
      <w:sz w:val="18"/>
    </w:rPr>
  </w:style>
  <w:style w:type="character" w:styleId="PageNumber">
    <w:name w:val="page number"/>
    <w:basedOn w:val="DefaultParagraphFont"/>
    <w:semiHidden/>
    <w:rPr>
      <w:noProof w:val="0"/>
      <w:sz w:val="2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ind w:left="864"/>
      <w:jc w:val="center"/>
    </w:pPr>
    <w:rPr>
      <w:b/>
      <w:sz w:val="24"/>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yFootnoteheading">
    <w:name w:val="yFootnote(heading)"/>
    <w:basedOn w:val="Footnoteheading"/>
    <w:rPr>
      <w:sz w:val="22"/>
    </w:rPr>
  </w:style>
  <w:style w:type="character" w:customStyle="1" w:styleId="CharDefText">
    <w:name w:val="CharDefText"/>
    <w:basedOn w:val="DefaultParagraphFont"/>
    <w:rPr>
      <w:b/>
      <w:i/>
      <w:noProof w:val="0"/>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1633</Words>
  <Characters>7124</Characters>
  <Application>Microsoft Office Word</Application>
  <DocSecurity>0</DocSecurity>
  <Lines>187</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1836 - 01-b0-05</dc:title>
  <dc:subject/>
  <dc:creator>peacocki</dc:creator>
  <cp:keywords/>
  <cp:lastModifiedBy>svcMRProcess</cp:lastModifiedBy>
  <cp:revision>4</cp:revision>
  <cp:lastPrinted>1999-11-10T04:15:00Z</cp:lastPrinted>
  <dcterms:created xsi:type="dcterms:W3CDTF">2014-01-29T08:44:00Z</dcterms:created>
  <dcterms:modified xsi:type="dcterms:W3CDTF">2014-01-29T08:44:00Z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1836</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365</vt:i4>
  </property>
  <property fmtid="{D5CDD505-2E9C-101B-9397-08002B2CF9AE}" pid="6" name="AsAtDate">
    <vt:lpwstr>01 Jan 2006</vt:lpwstr>
  </property>
  <property fmtid="{D5CDD505-2E9C-101B-9397-08002B2CF9AE}" pid="7" name="Suffix">
    <vt:lpwstr>01-b0-05</vt:lpwstr>
  </property>
</Properties>
</file>