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A8F" w:rsidRDefault="00870121">
      <w:pPr>
        <w:pStyle w:val="WA"/>
      </w:pPr>
      <w:bookmarkStart w:id="0" w:name="_GoBack"/>
      <w:bookmarkEnd w:id="0"/>
      <w:r>
        <w:t>Western Australia</w:t>
      </w:r>
    </w:p>
    <w:p w:rsidR="00AE7A8F" w:rsidRDefault="00870121">
      <w:pPr>
        <w:pStyle w:val="NameofActRegPage1"/>
        <w:spacing w:before="3760" w:after="4200"/>
      </w:pPr>
      <w:r>
        <w:fldChar w:fldCharType="begin"/>
      </w:r>
      <w:r>
        <w:instrText xml:space="preserve"> STYLEREF "Name Of Act/Reg"</w:instrText>
      </w:r>
      <w:r>
        <w:fldChar w:fldCharType="separate"/>
      </w:r>
      <w:r w:rsidR="00874584">
        <w:rPr>
          <w:noProof/>
        </w:rPr>
        <w:t>Imperial Acts Adopting Ordinance 1849</w:t>
      </w:r>
      <w:r>
        <w:fldChar w:fldCharType="end"/>
      </w:r>
    </w:p>
    <w:p w:rsidR="00AE7A8F" w:rsidRDefault="00AE7A8F">
      <w:pPr>
        <w:jc w:val="center"/>
        <w:rPr>
          <w:b/>
        </w:rPr>
        <w:sectPr w:rsidR="00AE7A8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E7A8F" w:rsidRDefault="00870121">
      <w:pPr>
        <w:pStyle w:val="WA"/>
      </w:pPr>
      <w:r>
        <w:lastRenderedPageBreak/>
        <w:t>Western Australia</w:t>
      </w:r>
    </w:p>
    <w:p w:rsidR="00AE7A8F" w:rsidRDefault="00870121">
      <w:pPr>
        <w:pStyle w:val="NameofActRegPage1"/>
      </w:pPr>
      <w:r>
        <w:fldChar w:fldCharType="begin"/>
      </w:r>
      <w:r>
        <w:instrText xml:space="preserve"> STYLEREF "Name Of Act/Reg"</w:instrText>
      </w:r>
      <w:r>
        <w:fldChar w:fldCharType="separate"/>
      </w:r>
      <w:r w:rsidR="00874584">
        <w:rPr>
          <w:noProof/>
        </w:rPr>
        <w:t>Imperial Acts Adopting Ordinance 1849</w:t>
      </w:r>
      <w:r>
        <w:fldChar w:fldCharType="end"/>
      </w:r>
    </w:p>
    <w:p w:rsidR="00AE7A8F" w:rsidRDefault="00870121">
      <w:pPr>
        <w:pStyle w:val="Arrangement"/>
      </w:pPr>
      <w:r>
        <w:t>Contents</w:t>
      </w:r>
    </w:p>
    <w:p w:rsidR="00EC4ED5" w:rsidRDefault="00870121">
      <w:pPr>
        <w:pStyle w:val="TOC4"/>
        <w:rPr>
          <w:rFonts w:asciiTheme="minorHAnsi" w:eastAsiaTheme="minorEastAsia" w:hAnsiTheme="minorHAnsi" w:cstheme="minorBidi"/>
          <w:noProof/>
          <w:szCs w:val="22"/>
        </w:rPr>
      </w:pPr>
      <w:r>
        <w:fldChar w:fldCharType="begin"/>
      </w:r>
      <w:r>
        <w:instrText xml:space="preserve"> TOC \o "1-3" \t "Heading 5,4" \n 2-3 </w:instrText>
      </w:r>
      <w:r>
        <w:fldChar w:fldCharType="separate"/>
      </w:r>
      <w:r w:rsidR="00EC4ED5">
        <w:rPr>
          <w:noProof/>
        </w:rPr>
        <w:t>Recited Imperial Acts adopted</w:t>
      </w:r>
      <w:r w:rsidR="00EC4ED5">
        <w:rPr>
          <w:noProof/>
        </w:rPr>
        <w:tab/>
      </w:r>
      <w:r w:rsidR="00EC4ED5">
        <w:rPr>
          <w:noProof/>
        </w:rPr>
        <w:fldChar w:fldCharType="begin"/>
      </w:r>
      <w:r w:rsidR="00EC4ED5">
        <w:rPr>
          <w:noProof/>
        </w:rPr>
        <w:instrText xml:space="preserve"> PAGEREF _Toc378776815 \h </w:instrText>
      </w:r>
      <w:r w:rsidR="00EC4ED5">
        <w:rPr>
          <w:noProof/>
        </w:rPr>
      </w:r>
      <w:r w:rsidR="00EC4ED5">
        <w:rPr>
          <w:noProof/>
        </w:rPr>
        <w:fldChar w:fldCharType="separate"/>
      </w:r>
      <w:r w:rsidR="00874584">
        <w:rPr>
          <w:noProof/>
        </w:rPr>
        <w:t>2</w:t>
      </w:r>
      <w:r w:rsidR="00EC4ED5">
        <w:rPr>
          <w:noProof/>
        </w:rPr>
        <w:fldChar w:fldCharType="end"/>
      </w:r>
    </w:p>
    <w:p w:rsidR="00EC4ED5" w:rsidRDefault="00EC4ED5">
      <w:pPr>
        <w:pStyle w:val="TOC4"/>
        <w:rPr>
          <w:rFonts w:asciiTheme="minorHAnsi" w:eastAsiaTheme="minorEastAsia" w:hAnsiTheme="minorHAnsi" w:cstheme="minorBidi"/>
          <w:noProof/>
          <w:szCs w:val="22"/>
        </w:rPr>
      </w:pPr>
      <w:r>
        <w:rPr>
          <w:noProof/>
        </w:rPr>
        <w:t>Short title</w:t>
      </w:r>
      <w:r>
        <w:rPr>
          <w:noProof/>
        </w:rPr>
        <w:tab/>
      </w:r>
      <w:r>
        <w:rPr>
          <w:noProof/>
        </w:rPr>
        <w:fldChar w:fldCharType="begin"/>
      </w:r>
      <w:r>
        <w:rPr>
          <w:noProof/>
        </w:rPr>
        <w:instrText xml:space="preserve"> PAGEREF _Toc378776816 \h </w:instrText>
      </w:r>
      <w:r>
        <w:rPr>
          <w:noProof/>
        </w:rPr>
      </w:r>
      <w:r>
        <w:rPr>
          <w:noProof/>
        </w:rPr>
        <w:fldChar w:fldCharType="separate"/>
      </w:r>
      <w:r w:rsidR="00874584">
        <w:rPr>
          <w:noProof/>
        </w:rPr>
        <w:t>3</w:t>
      </w:r>
      <w:r>
        <w:rPr>
          <w:noProof/>
        </w:rPr>
        <w:fldChar w:fldCharType="end"/>
      </w:r>
    </w:p>
    <w:p w:rsidR="00EC4ED5" w:rsidRDefault="00EC4ED5">
      <w:pPr>
        <w:pStyle w:val="TOC2"/>
        <w:tabs>
          <w:tab w:val="right" w:leader="dot" w:pos="7086"/>
        </w:tabs>
        <w:rPr>
          <w:rFonts w:asciiTheme="minorHAnsi" w:eastAsiaTheme="minorEastAsia" w:hAnsiTheme="minorHAnsi" w:cstheme="minorBidi"/>
          <w:b w:val="0"/>
          <w:noProof/>
          <w:sz w:val="22"/>
          <w:szCs w:val="22"/>
        </w:rPr>
      </w:pPr>
      <w:r>
        <w:rPr>
          <w:noProof/>
        </w:rPr>
        <w:t>Notes</w:t>
      </w:r>
    </w:p>
    <w:p w:rsidR="00AE7A8F" w:rsidRDefault="00870121">
      <w:pPr>
        <w:pStyle w:val="TOC2"/>
      </w:pPr>
      <w:r>
        <w:fldChar w:fldCharType="end"/>
      </w:r>
    </w:p>
    <w:p w:rsidR="00AE7A8F" w:rsidRDefault="0087012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E7A8F" w:rsidRDefault="00AE7A8F">
      <w:pPr>
        <w:pStyle w:val="NoteHeading"/>
        <w:sectPr w:rsidR="00AE7A8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E7A8F" w:rsidRDefault="00870121">
      <w:pPr>
        <w:pStyle w:val="WA"/>
      </w:pPr>
      <w:r>
        <w:lastRenderedPageBreak/>
        <w:t>Western Australia</w:t>
      </w:r>
    </w:p>
    <w:p w:rsidR="00AE7A8F" w:rsidRDefault="00870121">
      <w:pPr>
        <w:pStyle w:val="NameofActReg"/>
      </w:pPr>
      <w:r>
        <w:t>Imperial Acts Adopting Ordinance 1849</w:t>
      </w:r>
    </w:p>
    <w:p w:rsidR="00AE7A8F" w:rsidRDefault="00870121">
      <w:pPr>
        <w:pStyle w:val="LongTitle"/>
        <w:rPr>
          <w:snapToGrid w:val="0"/>
        </w:rPr>
      </w:pPr>
      <w:r>
        <w:rPr>
          <w:snapToGrid w:val="0"/>
        </w:rPr>
        <w:t xml:space="preserve">An Ordinance for adopting certain Acts of the Imperial Parliament. </w:t>
      </w:r>
      <w:r>
        <w:rPr>
          <w:vertAlign w:val="superscript"/>
        </w:rPr>
        <w:t>1</w:t>
      </w:r>
    </w:p>
    <w:p w:rsidR="00AE7A8F" w:rsidRDefault="00870121">
      <w:pPr>
        <w:pStyle w:val="Preamble"/>
        <w:tabs>
          <w:tab w:val="clear" w:pos="567"/>
          <w:tab w:val="left" w:pos="851"/>
        </w:tabs>
        <w:spacing w:before="240"/>
        <w:ind w:left="879" w:hanging="879"/>
        <w:rPr>
          <w:b/>
          <w:snapToGrid w:val="0"/>
        </w:rPr>
      </w:pPr>
      <w:r>
        <w:rPr>
          <w:snapToGrid w:val="0"/>
        </w:rPr>
        <w:tab/>
      </w:r>
      <w:r>
        <w:rPr>
          <w:b/>
          <w:snapToGrid w:val="0"/>
        </w:rPr>
        <w:t>Preamble</w:t>
      </w:r>
    </w:p>
    <w:p w:rsidR="00AE7A8F" w:rsidRDefault="00870121">
      <w:pPr>
        <w:pStyle w:val="Preamble"/>
        <w:tabs>
          <w:tab w:val="clear" w:pos="567"/>
          <w:tab w:val="left" w:pos="851"/>
        </w:tabs>
        <w:spacing w:before="240"/>
        <w:ind w:left="879" w:hanging="879"/>
        <w:rPr>
          <w:snapToGrid w:val="0"/>
        </w:rPr>
      </w:pPr>
      <w:r>
        <w:rPr>
          <w:snapToGrid w:val="0"/>
        </w:rPr>
        <w:tab/>
        <w:t xml:space="preserve">Whereas in the sixth and seventh years of the reign of Her present Majesty, certain Acts of the Imperial Parliament were passed, intituled respectively — </w:t>
      </w:r>
    </w:p>
    <w:p w:rsidR="00AE7A8F" w:rsidRDefault="00870121">
      <w:pPr>
        <w:pStyle w:val="Preamble"/>
        <w:tabs>
          <w:tab w:val="clear" w:pos="567"/>
          <w:tab w:val="left" w:pos="851"/>
        </w:tabs>
        <w:spacing w:before="240"/>
        <w:ind w:left="879" w:hanging="879"/>
        <w:rPr>
          <w:snapToGrid w:val="0"/>
        </w:rPr>
      </w:pPr>
      <w:r>
        <w:rPr>
          <w:i/>
          <w:snapToGrid w:val="0"/>
        </w:rPr>
        <w:tab/>
        <w:t>An Act for removing doubts as to the punishment which may be awarded under the provisions of an Act of the fourth and fifth years of Her present Majesty, for taking away the punishment of death in certain cases for offences therein specified;</w:t>
      </w:r>
      <w:r>
        <w:rPr>
          <w:snapToGrid w:val="0"/>
        </w:rPr>
        <w:t xml:space="preserve"> </w:t>
      </w:r>
      <w:r>
        <w:rPr>
          <w:snapToGrid w:val="0"/>
          <w:vertAlign w:val="superscript"/>
        </w:rPr>
        <w:t>2</w:t>
      </w:r>
    </w:p>
    <w:p w:rsidR="00AE7A8F" w:rsidRDefault="00870121">
      <w:pPr>
        <w:pStyle w:val="Preamble"/>
        <w:tabs>
          <w:tab w:val="clear" w:pos="567"/>
          <w:tab w:val="left" w:pos="851"/>
        </w:tabs>
        <w:spacing w:before="240"/>
        <w:ind w:left="879" w:hanging="879"/>
        <w:rPr>
          <w:snapToGrid w:val="0"/>
        </w:rPr>
      </w:pPr>
      <w:r>
        <w:rPr>
          <w:snapToGrid w:val="0"/>
        </w:rPr>
        <w:tab/>
      </w:r>
      <w:r>
        <w:rPr>
          <w:i/>
          <w:snapToGrid w:val="0"/>
        </w:rPr>
        <w:t>An Act to amend the Laws relating to pound breach and rescue in certain cases;</w:t>
      </w:r>
      <w:r>
        <w:rPr>
          <w:snapToGrid w:val="0"/>
        </w:rPr>
        <w:t xml:space="preserve"> </w:t>
      </w:r>
      <w:r>
        <w:rPr>
          <w:snapToGrid w:val="0"/>
          <w:vertAlign w:val="superscript"/>
        </w:rPr>
        <w:t>3</w:t>
      </w:r>
    </w:p>
    <w:p w:rsidR="00AE7A8F" w:rsidRDefault="00870121">
      <w:pPr>
        <w:pStyle w:val="Preamble"/>
        <w:tabs>
          <w:tab w:val="clear" w:pos="567"/>
          <w:tab w:val="left" w:pos="851"/>
        </w:tabs>
        <w:spacing w:before="240"/>
        <w:ind w:left="879" w:hanging="879"/>
        <w:rPr>
          <w:snapToGrid w:val="0"/>
        </w:rPr>
      </w:pPr>
      <w:r>
        <w:rPr>
          <w:snapToGrid w:val="0"/>
        </w:rPr>
        <w:tab/>
        <w:t xml:space="preserve">and whereas in the seventh and eighth years of the reign of Her present Majesty, a certain other Act of the Imperial Parliament was passed intituled — </w:t>
      </w:r>
    </w:p>
    <w:p w:rsidR="00AE7A8F" w:rsidRDefault="00870121">
      <w:pPr>
        <w:pStyle w:val="Preamble"/>
        <w:tabs>
          <w:tab w:val="clear" w:pos="567"/>
          <w:tab w:val="left" w:pos="851"/>
        </w:tabs>
        <w:spacing w:before="240"/>
        <w:ind w:left="879" w:hanging="879"/>
        <w:rPr>
          <w:snapToGrid w:val="0"/>
        </w:rPr>
      </w:pPr>
      <w:r>
        <w:rPr>
          <w:snapToGrid w:val="0"/>
        </w:rPr>
        <w:tab/>
      </w:r>
      <w:r>
        <w:rPr>
          <w:i/>
          <w:snapToGrid w:val="0"/>
        </w:rPr>
        <w:t>An Act to amend the law as to burning farm buildings;</w:t>
      </w:r>
      <w:r>
        <w:rPr>
          <w:snapToGrid w:val="0"/>
        </w:rPr>
        <w:t xml:space="preserve"> </w:t>
      </w:r>
      <w:r>
        <w:rPr>
          <w:snapToGrid w:val="0"/>
          <w:vertAlign w:val="superscript"/>
        </w:rPr>
        <w:t>4</w:t>
      </w:r>
    </w:p>
    <w:p w:rsidR="00AE7A8F" w:rsidRDefault="00870121">
      <w:pPr>
        <w:pStyle w:val="Preamble"/>
        <w:tabs>
          <w:tab w:val="clear" w:pos="567"/>
          <w:tab w:val="left" w:pos="851"/>
        </w:tabs>
        <w:spacing w:before="240"/>
        <w:ind w:left="879" w:hanging="879"/>
        <w:rPr>
          <w:snapToGrid w:val="0"/>
        </w:rPr>
      </w:pPr>
      <w:r>
        <w:rPr>
          <w:snapToGrid w:val="0"/>
        </w:rPr>
        <w:tab/>
        <w:t xml:space="preserve">and whereas in the eighth and ninth years of the reign of Her present Majesty, certain other Acts of the said Imperial Parliament were passed intituled respectively — </w:t>
      </w:r>
    </w:p>
    <w:p w:rsidR="00AE7A8F" w:rsidRDefault="00870121">
      <w:pPr>
        <w:pStyle w:val="Preamble"/>
        <w:tabs>
          <w:tab w:val="clear" w:pos="567"/>
          <w:tab w:val="left" w:pos="851"/>
        </w:tabs>
        <w:spacing w:before="240"/>
        <w:ind w:left="879" w:hanging="879"/>
        <w:rPr>
          <w:snapToGrid w:val="0"/>
        </w:rPr>
      </w:pPr>
      <w:r>
        <w:rPr>
          <w:snapToGrid w:val="0"/>
        </w:rPr>
        <w:tab/>
      </w:r>
      <w:r>
        <w:rPr>
          <w:i/>
          <w:snapToGrid w:val="0"/>
        </w:rPr>
        <w:t>An Act to amend the law of real property;</w:t>
      </w:r>
      <w:r>
        <w:rPr>
          <w:snapToGrid w:val="0"/>
        </w:rPr>
        <w:t xml:space="preserve"> </w:t>
      </w:r>
      <w:r>
        <w:rPr>
          <w:snapToGrid w:val="0"/>
          <w:vertAlign w:val="superscript"/>
        </w:rPr>
        <w:t>5</w:t>
      </w:r>
    </w:p>
    <w:p w:rsidR="00AE7A8F" w:rsidRDefault="00870121">
      <w:pPr>
        <w:pStyle w:val="Preamble"/>
        <w:tabs>
          <w:tab w:val="clear" w:pos="567"/>
          <w:tab w:val="left" w:pos="851"/>
        </w:tabs>
        <w:spacing w:before="240"/>
        <w:ind w:left="879" w:hanging="879"/>
        <w:rPr>
          <w:snapToGrid w:val="0"/>
        </w:rPr>
      </w:pPr>
      <w:r>
        <w:rPr>
          <w:snapToGrid w:val="0"/>
        </w:rPr>
        <w:tab/>
      </w:r>
      <w:r>
        <w:rPr>
          <w:i/>
          <w:snapToGrid w:val="0"/>
        </w:rPr>
        <w:t>An Act to facilitate the conveyance of real property;</w:t>
      </w:r>
      <w:r>
        <w:rPr>
          <w:snapToGrid w:val="0"/>
        </w:rPr>
        <w:t xml:space="preserve"> </w:t>
      </w:r>
      <w:r>
        <w:rPr>
          <w:snapToGrid w:val="0"/>
          <w:vertAlign w:val="superscript"/>
        </w:rPr>
        <w:t>6</w:t>
      </w:r>
    </w:p>
    <w:p w:rsidR="00AE7A8F" w:rsidRDefault="00870121">
      <w:pPr>
        <w:pStyle w:val="Preamble"/>
        <w:tabs>
          <w:tab w:val="clear" w:pos="567"/>
          <w:tab w:val="left" w:pos="851"/>
        </w:tabs>
        <w:spacing w:before="240"/>
        <w:ind w:left="879" w:hanging="879"/>
        <w:rPr>
          <w:snapToGrid w:val="0"/>
        </w:rPr>
      </w:pPr>
      <w:r>
        <w:rPr>
          <w:snapToGrid w:val="0"/>
        </w:rPr>
        <w:tab/>
      </w:r>
      <w:r>
        <w:rPr>
          <w:i/>
          <w:snapToGrid w:val="0"/>
        </w:rPr>
        <w:t>An Act to facilitate the granting of certain leases;</w:t>
      </w:r>
      <w:r>
        <w:rPr>
          <w:snapToGrid w:val="0"/>
        </w:rPr>
        <w:t xml:space="preserve"> </w:t>
      </w:r>
      <w:r>
        <w:rPr>
          <w:snapToGrid w:val="0"/>
          <w:vertAlign w:val="superscript"/>
        </w:rPr>
        <w:t>7</w:t>
      </w:r>
    </w:p>
    <w:p w:rsidR="00AE7A8F" w:rsidRDefault="00870121">
      <w:pPr>
        <w:pStyle w:val="Preamble"/>
        <w:tabs>
          <w:tab w:val="clear" w:pos="567"/>
          <w:tab w:val="left" w:pos="851"/>
        </w:tabs>
        <w:spacing w:before="240"/>
        <w:ind w:left="879" w:hanging="879"/>
        <w:rPr>
          <w:snapToGrid w:val="0"/>
        </w:rPr>
      </w:pPr>
      <w:r>
        <w:rPr>
          <w:snapToGrid w:val="0"/>
        </w:rPr>
        <w:lastRenderedPageBreak/>
        <w:tab/>
        <w:t xml:space="preserve">and whereas in the ninth and tenth years of the reign of Her present Majesty, certain other Acts of the said Parliament were passed, intituled respectively — </w:t>
      </w:r>
    </w:p>
    <w:p w:rsidR="00AE7A8F" w:rsidRDefault="00870121">
      <w:pPr>
        <w:pStyle w:val="Preamble"/>
        <w:tabs>
          <w:tab w:val="clear" w:pos="567"/>
          <w:tab w:val="left" w:pos="851"/>
        </w:tabs>
        <w:spacing w:before="240"/>
        <w:ind w:left="879" w:hanging="879"/>
        <w:rPr>
          <w:snapToGrid w:val="0"/>
        </w:rPr>
      </w:pPr>
      <w:r>
        <w:rPr>
          <w:snapToGrid w:val="0"/>
        </w:rPr>
        <w:tab/>
      </w:r>
      <w:r>
        <w:rPr>
          <w:i/>
          <w:snapToGrid w:val="0"/>
        </w:rPr>
        <w:t>An Act for preventing malicious Injuries to person and property by Fire, or by explosive or destructive substances;</w:t>
      </w:r>
      <w:r>
        <w:rPr>
          <w:snapToGrid w:val="0"/>
        </w:rPr>
        <w:t xml:space="preserve"> </w:t>
      </w:r>
      <w:r>
        <w:rPr>
          <w:snapToGrid w:val="0"/>
          <w:vertAlign w:val="superscript"/>
        </w:rPr>
        <w:t>8</w:t>
      </w:r>
    </w:p>
    <w:p w:rsidR="00AE7A8F" w:rsidRDefault="00870121">
      <w:pPr>
        <w:pStyle w:val="Preamble"/>
        <w:tabs>
          <w:tab w:val="clear" w:pos="567"/>
          <w:tab w:val="left" w:pos="851"/>
        </w:tabs>
        <w:spacing w:before="240"/>
        <w:ind w:left="879" w:hanging="879"/>
        <w:rPr>
          <w:snapToGrid w:val="0"/>
        </w:rPr>
      </w:pPr>
      <w:r>
        <w:rPr>
          <w:snapToGrid w:val="0"/>
        </w:rPr>
        <w:tab/>
      </w:r>
      <w:r>
        <w:rPr>
          <w:i/>
          <w:snapToGrid w:val="0"/>
        </w:rPr>
        <w:t>An Act to abolish deodands;</w:t>
      </w:r>
      <w:r>
        <w:rPr>
          <w:snapToGrid w:val="0"/>
        </w:rPr>
        <w:t xml:space="preserve"> </w:t>
      </w:r>
      <w:r>
        <w:rPr>
          <w:snapToGrid w:val="0"/>
          <w:vertAlign w:val="superscript"/>
        </w:rPr>
        <w:t>9</w:t>
      </w:r>
      <w:r>
        <w:rPr>
          <w:snapToGrid w:val="0"/>
        </w:rPr>
        <w:t>*</w:t>
      </w:r>
    </w:p>
    <w:p w:rsidR="00AE7A8F" w:rsidRDefault="00870121">
      <w:pPr>
        <w:pStyle w:val="Preamble"/>
        <w:tabs>
          <w:tab w:val="clear" w:pos="567"/>
          <w:tab w:val="left" w:pos="851"/>
        </w:tabs>
        <w:spacing w:before="240"/>
        <w:ind w:left="879" w:hanging="879"/>
        <w:rPr>
          <w:snapToGrid w:val="0"/>
        </w:rPr>
      </w:pPr>
      <w:r>
        <w:rPr>
          <w:snapToGrid w:val="0"/>
        </w:rPr>
        <w:tab/>
      </w:r>
      <w:r>
        <w:rPr>
          <w:i/>
          <w:snapToGrid w:val="0"/>
        </w:rPr>
        <w:t>An Act for compensating the families of persons killed by accident;</w:t>
      </w:r>
      <w:r>
        <w:rPr>
          <w:snapToGrid w:val="0"/>
        </w:rPr>
        <w:t xml:space="preserve"> </w:t>
      </w:r>
      <w:r>
        <w:rPr>
          <w:snapToGrid w:val="0"/>
          <w:vertAlign w:val="superscript"/>
        </w:rPr>
        <w:t>10</w:t>
      </w:r>
    </w:p>
    <w:p w:rsidR="00AE7A8F" w:rsidRDefault="00870121">
      <w:pPr>
        <w:pStyle w:val="Preamble"/>
        <w:tabs>
          <w:tab w:val="clear" w:pos="567"/>
          <w:tab w:val="left" w:pos="851"/>
        </w:tabs>
        <w:spacing w:before="240"/>
        <w:ind w:left="879" w:hanging="879"/>
        <w:rPr>
          <w:snapToGrid w:val="0"/>
        </w:rPr>
      </w:pPr>
      <w:r>
        <w:rPr>
          <w:snapToGrid w:val="0"/>
        </w:rPr>
        <w:tab/>
        <w:t xml:space="preserve">and whereas in the tenth and eleventh years of the reign of Her said Majesty, certain other Acts of the said Parliament were passed, intituled respectively — </w:t>
      </w:r>
    </w:p>
    <w:p w:rsidR="00AE7A8F" w:rsidRDefault="00870121">
      <w:pPr>
        <w:pStyle w:val="Preamble"/>
        <w:tabs>
          <w:tab w:val="clear" w:pos="567"/>
          <w:tab w:val="left" w:pos="851"/>
        </w:tabs>
        <w:spacing w:before="240"/>
        <w:ind w:left="879" w:hanging="879"/>
        <w:rPr>
          <w:snapToGrid w:val="0"/>
        </w:rPr>
      </w:pPr>
      <w:r>
        <w:rPr>
          <w:snapToGrid w:val="0"/>
        </w:rPr>
        <w:tab/>
      </w:r>
      <w:r>
        <w:rPr>
          <w:i/>
          <w:snapToGrid w:val="0"/>
        </w:rPr>
        <w:t>An Act for extending the provisions of the Law respecting threatening letters, and accusing parties with a view to extort money;</w:t>
      </w:r>
      <w:r>
        <w:rPr>
          <w:snapToGrid w:val="0"/>
        </w:rPr>
        <w:t xml:space="preserve"> </w:t>
      </w:r>
      <w:r>
        <w:rPr>
          <w:snapToGrid w:val="0"/>
          <w:vertAlign w:val="superscript"/>
        </w:rPr>
        <w:t>11</w:t>
      </w:r>
    </w:p>
    <w:p w:rsidR="00AE7A8F" w:rsidRDefault="00870121">
      <w:pPr>
        <w:pStyle w:val="Preamble"/>
        <w:tabs>
          <w:tab w:val="clear" w:pos="567"/>
          <w:tab w:val="left" w:pos="851"/>
        </w:tabs>
        <w:spacing w:before="240"/>
        <w:ind w:left="879" w:hanging="879"/>
        <w:rPr>
          <w:snapToGrid w:val="0"/>
        </w:rPr>
      </w:pPr>
      <w:r>
        <w:rPr>
          <w:snapToGrid w:val="0"/>
        </w:rPr>
        <w:tab/>
      </w:r>
      <w:r>
        <w:rPr>
          <w:i/>
          <w:snapToGrid w:val="0"/>
        </w:rPr>
        <w:t>An Act for the more speedy trial and punishment of juvenile offenders;</w:t>
      </w:r>
      <w:r>
        <w:rPr>
          <w:snapToGrid w:val="0"/>
        </w:rPr>
        <w:t xml:space="preserve"> </w:t>
      </w:r>
      <w:r>
        <w:rPr>
          <w:snapToGrid w:val="0"/>
          <w:vertAlign w:val="superscript"/>
        </w:rPr>
        <w:t>12</w:t>
      </w:r>
    </w:p>
    <w:p w:rsidR="00AE7A8F" w:rsidRDefault="00870121">
      <w:pPr>
        <w:pStyle w:val="Preamble"/>
        <w:tabs>
          <w:tab w:val="clear" w:pos="567"/>
          <w:tab w:val="left" w:pos="851"/>
        </w:tabs>
        <w:spacing w:before="240"/>
        <w:ind w:left="879" w:hanging="879"/>
        <w:rPr>
          <w:snapToGrid w:val="0"/>
        </w:rPr>
      </w:pPr>
      <w:r>
        <w:rPr>
          <w:snapToGrid w:val="0"/>
        </w:rPr>
        <w:tab/>
        <w:t>and whereas it is expedient to adopt and apply the said several recited Acts in the Administration of Justice in Western Australia:</w:t>
      </w:r>
    </w:p>
    <w:p w:rsidR="00AE7A8F" w:rsidRDefault="00870121">
      <w:pPr>
        <w:pStyle w:val="Preamble"/>
        <w:tabs>
          <w:tab w:val="clear" w:pos="567"/>
          <w:tab w:val="left" w:pos="851"/>
        </w:tabs>
        <w:spacing w:before="240"/>
        <w:ind w:left="879" w:hanging="879"/>
        <w:rPr>
          <w:snapToGrid w:val="0"/>
        </w:rPr>
      </w:pPr>
      <w:r>
        <w:rPr>
          <w:snapToGrid w:val="0"/>
        </w:rPr>
        <w:tab/>
        <w:t>Be it therefore enacted, by His Excellency the Governor of Western Australia and its Dependencies, with the advice and consent of the Legislative Council thereof,</w:t>
      </w:r>
    </w:p>
    <w:p w:rsidR="00AE7A8F" w:rsidRDefault="00870121">
      <w:pPr>
        <w:pStyle w:val="Heading5"/>
        <w:ind w:left="890" w:hanging="890"/>
      </w:pPr>
      <w:bookmarkStart w:id="1" w:name="_Toc378776815"/>
      <w:r>
        <w:t>Recited Imperial Acts adopted</w:t>
      </w:r>
      <w:bookmarkEnd w:id="1"/>
    </w:p>
    <w:p w:rsidR="00AE7A8F" w:rsidRDefault="00870121">
      <w:pPr>
        <w:pStyle w:val="Subsection"/>
        <w:rPr>
          <w:snapToGrid w:val="0"/>
        </w:rPr>
      </w:pPr>
      <w:r>
        <w:rPr>
          <w:snapToGrid w:val="0"/>
        </w:rPr>
        <w:tab/>
      </w:r>
      <w:r>
        <w:rPr>
          <w:snapToGrid w:val="0"/>
        </w:rPr>
        <w:tab/>
        <w:t>that the said recited Acts and every clause, provision and enactment therein respectively contained, except the fifteenth section of the “</w:t>
      </w:r>
      <w:r>
        <w:rPr>
          <w:i/>
          <w:snapToGrid w:val="0"/>
        </w:rPr>
        <w:t>Act respecting malicious injuries to persons by fire or by explosive or destructive substances</w:t>
      </w:r>
      <w:r>
        <w:rPr>
          <w:snapToGrid w:val="0"/>
        </w:rPr>
        <w:t xml:space="preserve">,” shall be and the same is hereby adopted and directed to be applied in the </w:t>
      </w:r>
      <w:r>
        <w:rPr>
          <w:snapToGrid w:val="0"/>
        </w:rPr>
        <w:lastRenderedPageBreak/>
        <w:t>administration of justice, so far as they can be applied respectively to the circumstances of this colony.</w:t>
      </w:r>
    </w:p>
    <w:p w:rsidR="00AE7A8F" w:rsidRDefault="00870121">
      <w:pPr>
        <w:pStyle w:val="Heading5"/>
        <w:ind w:left="890" w:hanging="890"/>
      </w:pPr>
      <w:bookmarkStart w:id="2" w:name="_Toc378776816"/>
      <w:r>
        <w:t>Short title</w:t>
      </w:r>
      <w:bookmarkEnd w:id="2"/>
    </w:p>
    <w:p w:rsidR="00AE7A8F" w:rsidRDefault="00870121">
      <w:pPr>
        <w:pStyle w:val="Subsection"/>
        <w:rPr>
          <w:snapToGrid w:val="0"/>
        </w:rPr>
      </w:pPr>
      <w:r>
        <w:rPr>
          <w:snapToGrid w:val="0"/>
        </w:rPr>
        <w:tab/>
      </w:r>
      <w:r>
        <w:rPr>
          <w:snapToGrid w:val="0"/>
        </w:rPr>
        <w:tab/>
        <w:t xml:space="preserve">This Ordinance may be cited as the </w:t>
      </w:r>
      <w:r>
        <w:rPr>
          <w:i/>
          <w:snapToGrid w:val="0"/>
        </w:rPr>
        <w:t>Imperial Acts Adopting Ordinance 1849</w:t>
      </w:r>
      <w:r>
        <w:rPr>
          <w:snapToGrid w:val="0"/>
        </w:rPr>
        <w:t>.</w:t>
      </w:r>
    </w:p>
    <w:p w:rsidR="00AE7A8F" w:rsidRDefault="00870121">
      <w:pPr>
        <w:pStyle w:val="Footnotesection"/>
      </w:pPr>
      <w:r>
        <w:tab/>
        <w:t>[Paragraph inserted by No. 10 of 1970 s.3.]</w:t>
      </w:r>
    </w:p>
    <w:p w:rsidR="00AE7A8F" w:rsidRDefault="00AE7A8F">
      <w:pPr>
        <w:rPr>
          <w:rStyle w:val="CharDivText"/>
        </w:rPr>
        <w:sectPr w:rsidR="00AE7A8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E7A8F" w:rsidRDefault="00870121">
      <w:pPr>
        <w:pStyle w:val="nHeading2"/>
      </w:pPr>
      <w:bookmarkStart w:id="3" w:name="_Toc378776817"/>
      <w:r>
        <w:lastRenderedPageBreak/>
        <w:t>Notes</w:t>
      </w:r>
      <w:bookmarkEnd w:id="3"/>
    </w:p>
    <w:p w:rsidR="00AE7A8F" w:rsidRDefault="00870121">
      <w:pPr>
        <w:pStyle w:val="nSubsection"/>
        <w:rPr>
          <w:snapToGrid w:val="0"/>
        </w:rPr>
      </w:pPr>
      <w:r>
        <w:rPr>
          <w:snapToGrid w:val="0"/>
          <w:vertAlign w:val="superscript"/>
        </w:rPr>
        <w:t>1</w:t>
      </w:r>
      <w:r>
        <w:rPr>
          <w:snapToGrid w:val="0"/>
        </w:rPr>
        <w:tab/>
        <w:t xml:space="preserve">This is a compilation of the </w:t>
      </w:r>
      <w:r>
        <w:rPr>
          <w:i/>
          <w:snapToGrid w:val="0"/>
        </w:rPr>
        <w:t>Imperial Acts  Adopting Ordinance 1849</w:t>
      </w:r>
      <w:r>
        <w:rPr>
          <w:snapToGrid w:val="0"/>
        </w:rPr>
        <w:t xml:space="preserve"> and includes all amendments effected by the other Acts referred to in the following Table.</w:t>
      </w:r>
    </w:p>
    <w:p w:rsidR="00AE7A8F" w:rsidRDefault="00870121">
      <w:pPr>
        <w:pStyle w:val="MiscellaneousHeading"/>
        <w:spacing w:after="80"/>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1134"/>
        <w:gridCol w:w="1418"/>
        <w:gridCol w:w="1417"/>
        <w:gridCol w:w="1417"/>
      </w:tblGrid>
      <w:tr w:rsidR="00AE7A8F">
        <w:trPr>
          <w:tblHeader/>
        </w:trPr>
        <w:tc>
          <w:tcPr>
            <w:tcW w:w="1701" w:type="dxa"/>
            <w:tcBorders>
              <w:top w:val="single" w:sz="4" w:space="0" w:color="auto"/>
              <w:bottom w:val="single" w:sz="4" w:space="0" w:color="auto"/>
            </w:tcBorders>
          </w:tcPr>
          <w:p w:rsidR="00AE7A8F" w:rsidRDefault="00870121">
            <w:pPr>
              <w:pStyle w:val="nTable"/>
              <w:spacing w:after="60"/>
            </w:pPr>
            <w:r>
              <w:t>Act</w:t>
            </w:r>
          </w:p>
        </w:tc>
        <w:tc>
          <w:tcPr>
            <w:tcW w:w="1134" w:type="dxa"/>
            <w:tcBorders>
              <w:top w:val="single" w:sz="4" w:space="0" w:color="auto"/>
              <w:bottom w:val="single" w:sz="4" w:space="0" w:color="auto"/>
            </w:tcBorders>
          </w:tcPr>
          <w:p w:rsidR="00AE7A8F" w:rsidRDefault="00870121">
            <w:pPr>
              <w:pStyle w:val="nTable"/>
              <w:spacing w:after="60"/>
            </w:pPr>
            <w:r>
              <w:t>Number and Year</w:t>
            </w:r>
          </w:p>
        </w:tc>
        <w:tc>
          <w:tcPr>
            <w:tcW w:w="1418" w:type="dxa"/>
            <w:tcBorders>
              <w:top w:val="single" w:sz="4" w:space="0" w:color="auto"/>
              <w:bottom w:val="single" w:sz="4" w:space="0" w:color="auto"/>
            </w:tcBorders>
          </w:tcPr>
          <w:p w:rsidR="00AE7A8F" w:rsidRDefault="00870121">
            <w:pPr>
              <w:pStyle w:val="nTable"/>
              <w:spacing w:after="60"/>
            </w:pPr>
            <w:r>
              <w:t>Assent</w:t>
            </w:r>
          </w:p>
        </w:tc>
        <w:tc>
          <w:tcPr>
            <w:tcW w:w="1417" w:type="dxa"/>
            <w:tcBorders>
              <w:top w:val="single" w:sz="4" w:space="0" w:color="auto"/>
              <w:bottom w:val="single" w:sz="4" w:space="0" w:color="auto"/>
            </w:tcBorders>
          </w:tcPr>
          <w:p w:rsidR="00AE7A8F" w:rsidRDefault="00870121">
            <w:pPr>
              <w:pStyle w:val="nTable"/>
              <w:spacing w:after="60"/>
            </w:pPr>
            <w:r>
              <w:t>Commencement</w:t>
            </w:r>
          </w:p>
        </w:tc>
        <w:tc>
          <w:tcPr>
            <w:tcW w:w="1417" w:type="dxa"/>
            <w:tcBorders>
              <w:top w:val="single" w:sz="4" w:space="0" w:color="auto"/>
              <w:bottom w:val="single" w:sz="4" w:space="0" w:color="auto"/>
            </w:tcBorders>
          </w:tcPr>
          <w:p w:rsidR="00AE7A8F" w:rsidRDefault="00870121">
            <w:pPr>
              <w:pStyle w:val="nTable"/>
              <w:spacing w:after="60"/>
            </w:pPr>
            <w:r>
              <w:t>Miscellaneous</w:t>
            </w:r>
          </w:p>
        </w:tc>
      </w:tr>
      <w:tr w:rsidR="00AE7A8F">
        <w:tc>
          <w:tcPr>
            <w:tcW w:w="1701" w:type="dxa"/>
          </w:tcPr>
          <w:p w:rsidR="00AE7A8F" w:rsidRDefault="00870121">
            <w:pPr>
              <w:pStyle w:val="nTable"/>
            </w:pPr>
            <w:r>
              <w:rPr>
                <w:i/>
              </w:rPr>
              <w:t>Imperial Acts Adopting Ordinance 1849</w:t>
            </w:r>
          </w:p>
        </w:tc>
        <w:tc>
          <w:tcPr>
            <w:tcW w:w="1134" w:type="dxa"/>
          </w:tcPr>
          <w:p w:rsidR="00AE7A8F" w:rsidRDefault="00870121">
            <w:pPr>
              <w:pStyle w:val="nTable"/>
            </w:pPr>
            <w:r>
              <w:t>12 Vict.,</w:t>
            </w:r>
            <w:r>
              <w:br/>
              <w:t>No. 21 1849</w:t>
            </w:r>
          </w:p>
        </w:tc>
        <w:tc>
          <w:tcPr>
            <w:tcW w:w="1418" w:type="dxa"/>
          </w:tcPr>
          <w:p w:rsidR="00AE7A8F" w:rsidRDefault="00870121">
            <w:pPr>
              <w:pStyle w:val="nTable"/>
            </w:pPr>
            <w:r>
              <w:t>11 May 1849</w:t>
            </w:r>
          </w:p>
        </w:tc>
        <w:tc>
          <w:tcPr>
            <w:tcW w:w="1417" w:type="dxa"/>
          </w:tcPr>
          <w:p w:rsidR="00AE7A8F" w:rsidRDefault="00870121">
            <w:pPr>
              <w:pStyle w:val="nTable"/>
            </w:pPr>
            <w:r>
              <w:t>11 May 1849</w:t>
            </w:r>
          </w:p>
        </w:tc>
        <w:tc>
          <w:tcPr>
            <w:tcW w:w="1417" w:type="dxa"/>
          </w:tcPr>
          <w:p w:rsidR="00AE7A8F" w:rsidRDefault="00870121">
            <w:pPr>
              <w:pStyle w:val="nTable"/>
            </w:pPr>
            <w:r>
              <w:t xml:space="preserve">Short title subsequently given </w:t>
            </w:r>
            <w:r>
              <w:br/>
              <w:t>(see note under last paragraph of Ordinance)</w:t>
            </w:r>
          </w:p>
        </w:tc>
      </w:tr>
      <w:tr w:rsidR="00AE7A8F">
        <w:tc>
          <w:tcPr>
            <w:tcW w:w="1701" w:type="dxa"/>
            <w:tcBorders>
              <w:bottom w:val="single" w:sz="4" w:space="0" w:color="auto"/>
            </w:tcBorders>
          </w:tcPr>
          <w:p w:rsidR="00AE7A8F" w:rsidRDefault="00870121">
            <w:pPr>
              <w:pStyle w:val="nTable"/>
              <w:spacing w:before="60" w:after="60"/>
            </w:pPr>
            <w:r>
              <w:rPr>
                <w:i/>
              </w:rPr>
              <w:t>Statute Law Revision 1970</w:t>
            </w:r>
            <w:r>
              <w:t>,</w:t>
            </w:r>
          </w:p>
          <w:p w:rsidR="00AE7A8F" w:rsidRDefault="00870121">
            <w:pPr>
              <w:pStyle w:val="nTable"/>
              <w:spacing w:before="0" w:after="60"/>
            </w:pPr>
            <w:r>
              <w:t>section 3</w:t>
            </w:r>
          </w:p>
        </w:tc>
        <w:tc>
          <w:tcPr>
            <w:tcW w:w="1134" w:type="dxa"/>
            <w:tcBorders>
              <w:bottom w:val="single" w:sz="4" w:space="0" w:color="auto"/>
            </w:tcBorders>
          </w:tcPr>
          <w:p w:rsidR="00AE7A8F" w:rsidRDefault="00870121">
            <w:pPr>
              <w:pStyle w:val="nTable"/>
              <w:spacing w:before="60" w:after="60"/>
            </w:pPr>
            <w:r>
              <w:t>10 of 1970</w:t>
            </w:r>
          </w:p>
        </w:tc>
        <w:tc>
          <w:tcPr>
            <w:tcW w:w="1418" w:type="dxa"/>
            <w:tcBorders>
              <w:bottom w:val="single" w:sz="4" w:space="0" w:color="auto"/>
            </w:tcBorders>
          </w:tcPr>
          <w:p w:rsidR="00AE7A8F" w:rsidRDefault="00870121">
            <w:pPr>
              <w:pStyle w:val="nTable"/>
              <w:spacing w:before="60"/>
            </w:pPr>
            <w:r>
              <w:t>29 April 1970</w:t>
            </w:r>
          </w:p>
        </w:tc>
        <w:tc>
          <w:tcPr>
            <w:tcW w:w="1417" w:type="dxa"/>
            <w:tcBorders>
              <w:bottom w:val="single" w:sz="4" w:space="0" w:color="auto"/>
            </w:tcBorders>
          </w:tcPr>
          <w:p w:rsidR="00AE7A8F" w:rsidRDefault="00870121">
            <w:pPr>
              <w:pStyle w:val="nTable"/>
              <w:spacing w:before="60"/>
            </w:pPr>
            <w:r>
              <w:t>29 April 1970</w:t>
            </w:r>
          </w:p>
        </w:tc>
        <w:tc>
          <w:tcPr>
            <w:tcW w:w="1417" w:type="dxa"/>
            <w:tcBorders>
              <w:bottom w:val="single" w:sz="4" w:space="0" w:color="auto"/>
            </w:tcBorders>
          </w:tcPr>
          <w:p w:rsidR="00AE7A8F" w:rsidRDefault="00AE7A8F">
            <w:pPr>
              <w:pStyle w:val="nTable"/>
              <w:spacing w:before="60" w:after="60"/>
            </w:pPr>
          </w:p>
        </w:tc>
      </w:tr>
    </w:tbl>
    <w:p w:rsidR="00AE7A8F" w:rsidRDefault="00870121">
      <w:pPr>
        <w:pStyle w:val="nSubsection"/>
      </w:pPr>
      <w:r>
        <w:rPr>
          <w:vertAlign w:val="superscript"/>
        </w:rPr>
        <w:t>2</w:t>
      </w:r>
      <w:r>
        <w:tab/>
        <w:t xml:space="preserve">This adopted Act (6 &amp; 7 Vict. c. 10), so far as it was a part of the law of WA, was subsequently repealed by the </w:t>
      </w:r>
      <w:r>
        <w:rPr>
          <w:i/>
        </w:rPr>
        <w:t>Criminal Law Consolidation Ordinance 1865</w:t>
      </w:r>
      <w:r>
        <w:t xml:space="preserve"> (29 Vict. No. 5) s 5 [Assent 7 July 1865].</w:t>
      </w:r>
    </w:p>
    <w:p w:rsidR="00AE7A8F" w:rsidRDefault="00870121">
      <w:pPr>
        <w:pStyle w:val="nSubsection"/>
      </w:pPr>
      <w:r>
        <w:rPr>
          <w:vertAlign w:val="superscript"/>
        </w:rPr>
        <w:t>3</w:t>
      </w:r>
      <w:r>
        <w:tab/>
        <w:t xml:space="preserve">This adopted Act (6 &amp; 7 Vict. c. 30), so far as it was a part of the law of WA, was subsequently repealed by the </w:t>
      </w:r>
      <w:r>
        <w:rPr>
          <w:i/>
        </w:rPr>
        <w:t>Cattle Trespass, Fencing, and Impounding Act 1882</w:t>
      </w:r>
      <w:r>
        <w:t xml:space="preserve"> (46 Vict. No. 7) s 1 [Assent 21 September 1882].</w:t>
      </w:r>
    </w:p>
    <w:p w:rsidR="00AE7A8F" w:rsidRDefault="00870121">
      <w:pPr>
        <w:pStyle w:val="nSubsection"/>
      </w:pPr>
      <w:r>
        <w:rPr>
          <w:vertAlign w:val="superscript"/>
        </w:rPr>
        <w:t>4</w:t>
      </w:r>
      <w:r>
        <w:tab/>
        <w:t xml:space="preserve">This adopted Act (7 &amp; 8 Vict. c. 62), so far as it was a part of the law of WA, was subsequently repealed by the </w:t>
      </w:r>
      <w:r>
        <w:rPr>
          <w:i/>
        </w:rPr>
        <w:t>Criminal Law Consolidation Ordinance 1865</w:t>
      </w:r>
      <w:r>
        <w:t xml:space="preserve"> (29 Vict. No. 5) s 5 [Assent 7 July 1865].</w:t>
      </w:r>
    </w:p>
    <w:p w:rsidR="00AE7A8F" w:rsidRDefault="00870121">
      <w:pPr>
        <w:pStyle w:val="nSubsection"/>
      </w:pPr>
      <w:r>
        <w:rPr>
          <w:vertAlign w:val="superscript"/>
        </w:rPr>
        <w:t>5</w:t>
      </w:r>
      <w:r>
        <w:tab/>
        <w:t xml:space="preserve">This adopted Act (8 &amp; 9 Vict. c. 106), so far as it was a part of the law of WA, was subsequently repealed by the </w:t>
      </w:r>
      <w:r>
        <w:rPr>
          <w:i/>
        </w:rPr>
        <w:t>Property Law Act 1969</w:t>
      </w:r>
      <w:r>
        <w:t xml:space="preserve"> s 4 [Assent 19 May 1969; Commencement 1 August 1969].</w:t>
      </w:r>
    </w:p>
    <w:p w:rsidR="00AE7A8F" w:rsidRDefault="00870121">
      <w:pPr>
        <w:pStyle w:val="nSubsection"/>
      </w:pPr>
      <w:r>
        <w:rPr>
          <w:vertAlign w:val="superscript"/>
        </w:rPr>
        <w:t>6</w:t>
      </w:r>
      <w:r>
        <w:tab/>
        <w:t xml:space="preserve">This adopted Act (8 &amp; 9 Vict. c. 119), so far as it was a part of the law of WA, was subsequently repealed by the </w:t>
      </w:r>
      <w:r>
        <w:rPr>
          <w:i/>
        </w:rPr>
        <w:t>Property Law Act 1969</w:t>
      </w:r>
      <w:r>
        <w:t xml:space="preserve"> s 4 [Assent 19 May 1969; Commencement 1 August 1969].</w:t>
      </w:r>
    </w:p>
    <w:p w:rsidR="00AE7A8F" w:rsidRDefault="00870121">
      <w:pPr>
        <w:pStyle w:val="nSubsection"/>
      </w:pPr>
      <w:r>
        <w:rPr>
          <w:vertAlign w:val="superscript"/>
        </w:rPr>
        <w:t>7</w:t>
      </w:r>
      <w:r>
        <w:tab/>
        <w:t xml:space="preserve">This adopted Act (8 &amp; 9 Vict. c. 124), so far as it was a part of the law of WA, was subsequently repealed by the </w:t>
      </w:r>
      <w:r>
        <w:rPr>
          <w:i/>
        </w:rPr>
        <w:t>Property Law Act 1969</w:t>
      </w:r>
      <w:r>
        <w:t xml:space="preserve"> s 4 [Assent 19 May 1969; Commencement 1 August 1969].</w:t>
      </w:r>
    </w:p>
    <w:p w:rsidR="00AE7A8F" w:rsidRDefault="00870121">
      <w:pPr>
        <w:pStyle w:val="nSubsection"/>
      </w:pPr>
      <w:r>
        <w:rPr>
          <w:vertAlign w:val="superscript"/>
        </w:rPr>
        <w:t>8</w:t>
      </w:r>
      <w:r>
        <w:tab/>
        <w:t xml:space="preserve">This adopted Act (9 &amp; 10 Vict. c. 25), so far as it was a part of the law of WA, was subsequently repealed by the </w:t>
      </w:r>
      <w:r>
        <w:rPr>
          <w:i/>
        </w:rPr>
        <w:t>Criminal Law Consolidation Ordinance 1865</w:t>
      </w:r>
      <w:r>
        <w:t xml:space="preserve"> (29 Vict. No. 5) s 5 [Assent 7 July 1865].</w:t>
      </w:r>
    </w:p>
    <w:p w:rsidR="00AE7A8F" w:rsidRDefault="00870121">
      <w:pPr>
        <w:pStyle w:val="nSubsection"/>
      </w:pPr>
      <w:r>
        <w:rPr>
          <w:vertAlign w:val="superscript"/>
        </w:rPr>
        <w:t>9</w:t>
      </w:r>
      <w:r>
        <w:tab/>
        <w:t>This adopted Act (9 &amp; 10 Vict. c. 62</w:t>
      </w:r>
      <w:r>
        <w:rPr>
          <w:snapToGrid w:val="0"/>
        </w:rPr>
        <w:t xml:space="preserve">), [the </w:t>
      </w:r>
      <w:r>
        <w:t>‘Deodands abolition (1846)’ (Imp)] has been reproduced as at 26 October 1999 as part of the document entitled “Imperial Acts Adopted”.</w:t>
      </w:r>
    </w:p>
    <w:p w:rsidR="00AE7A8F" w:rsidRDefault="00870121">
      <w:pPr>
        <w:pStyle w:val="nSubsection"/>
      </w:pPr>
      <w:r>
        <w:rPr>
          <w:vertAlign w:val="superscript"/>
        </w:rPr>
        <w:lastRenderedPageBreak/>
        <w:t>10</w:t>
      </w:r>
      <w:r>
        <w:tab/>
        <w:t xml:space="preserve">This adopted Act (9 &amp; 10 Vict. c. 93), so far as it was a part of the law of WA, was subsequently repealed by the </w:t>
      </w:r>
      <w:r>
        <w:rPr>
          <w:i/>
        </w:rPr>
        <w:t>Fatal Accidents Act 1959</w:t>
      </w:r>
      <w:r>
        <w:t xml:space="preserve"> s. 2 [Assent 8 October 1959].</w:t>
      </w:r>
    </w:p>
    <w:p w:rsidR="00AE7A8F" w:rsidRDefault="00870121">
      <w:pPr>
        <w:pStyle w:val="nSubsection"/>
      </w:pPr>
      <w:r>
        <w:rPr>
          <w:vertAlign w:val="superscript"/>
        </w:rPr>
        <w:t>11</w:t>
      </w:r>
      <w:r>
        <w:tab/>
        <w:t xml:space="preserve">This adopted Act (10 &amp; 11 Vict. c. 66), so far as it was a part of the law of WA, was subsequently repealed by the </w:t>
      </w:r>
      <w:r>
        <w:rPr>
          <w:i/>
        </w:rPr>
        <w:t>Criminal Law Consolidation Ordinance 1865</w:t>
      </w:r>
      <w:r>
        <w:t xml:space="preserve"> (29 Vict. No. 5) s 5 [Assent 7 July 1865].</w:t>
      </w:r>
    </w:p>
    <w:p w:rsidR="00AE7A8F" w:rsidRDefault="00870121">
      <w:pPr>
        <w:pStyle w:val="nSubsection"/>
      </w:pPr>
      <w:r>
        <w:rPr>
          <w:vertAlign w:val="superscript"/>
        </w:rPr>
        <w:t>12</w:t>
      </w:r>
      <w:r>
        <w:tab/>
        <w:t xml:space="preserve">This adopted Act (10 &amp; 11 Vict. c. 82), so far as it was a part of the law of WA, was subsequently repealed by the </w:t>
      </w:r>
      <w:r>
        <w:rPr>
          <w:i/>
        </w:rPr>
        <w:t>Criminal Code Act 1902</w:t>
      </w:r>
      <w:r>
        <w:br/>
        <w:t>(1 &amp; 2 Edw. VII No. 14) s 3 [Assent 19 February 1902; Commencement 1 May 1902].</w:t>
      </w:r>
    </w:p>
    <w:p w:rsidR="00AE7A8F" w:rsidRDefault="00AE7A8F"/>
    <w:p w:rsidR="00AE7A8F" w:rsidRDefault="00AE7A8F">
      <w:pPr>
        <w:sectPr w:rsidR="00AE7A8F">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AE7A8F" w:rsidRDefault="00AE7A8F">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rsidR="00AE7A8F">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A8F" w:rsidRDefault="00870121">
      <w:r>
        <w:separator/>
      </w:r>
    </w:p>
  </w:endnote>
  <w:endnote w:type="continuationSeparator" w:id="0">
    <w:p w:rsidR="00AE7A8F" w:rsidRDefault="0087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8F" w:rsidRDefault="00AE7A8F">
    <w:pPr>
      <w:pStyle w:val="Footer"/>
      <w:tabs>
        <w:tab w:val="clear" w:pos="4153"/>
        <w:tab w:val="right" w:pos="7088"/>
      </w:tabs>
      <w:rPr>
        <w:rStyle w:val="PageNumber"/>
      </w:rPr>
    </w:pPr>
  </w:p>
  <w:p w:rsidR="00AE7A8F" w:rsidRDefault="008701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74584">
      <w:rPr>
        <w:rFonts w:ascii="Arial" w:hAnsi="Arial" w:cs="Arial"/>
        <w:sz w:val="20"/>
      </w:rPr>
      <w:t>01-a0-09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74584">
      <w:rPr>
        <w:rFonts w:ascii="Arial" w:hAnsi="Arial" w:cs="Arial"/>
        <w:sz w:val="20"/>
      </w:rPr>
      <w:t>26 Oct 1999</w:t>
    </w:r>
    <w:r>
      <w:rPr>
        <w:rFonts w:ascii="Arial" w:hAnsi="Arial" w:cs="Arial"/>
        <w:sz w:val="20"/>
      </w:rPr>
      <w:fldChar w:fldCharType="end"/>
    </w:r>
  </w:p>
  <w:p w:rsidR="00AE7A8F" w:rsidRDefault="00870121">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8F" w:rsidRDefault="00AE7A8F">
    <w:pPr>
      <w:pStyle w:val="Footer"/>
      <w:tabs>
        <w:tab w:val="clear" w:pos="4153"/>
        <w:tab w:val="right" w:pos="7088"/>
      </w:tabs>
      <w:rPr>
        <w:rStyle w:val="PageNumber"/>
      </w:rPr>
    </w:pPr>
  </w:p>
  <w:p w:rsidR="00AE7A8F" w:rsidRDefault="008701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74584">
      <w:rPr>
        <w:rFonts w:ascii="Arial" w:hAnsi="Arial" w:cs="Arial"/>
        <w:sz w:val="20"/>
      </w:rPr>
      <w:t>26 Oct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74584">
      <w:rPr>
        <w:rFonts w:ascii="Arial" w:hAnsi="Arial" w:cs="Arial"/>
        <w:sz w:val="20"/>
      </w:rPr>
      <w:t>01-a0-09</w:t>
    </w:r>
    <w:r>
      <w:rPr>
        <w:rFonts w:ascii="Arial" w:hAnsi="Arial" w:cs="Arial"/>
        <w:sz w:val="20"/>
      </w:rPr>
      <w:fldChar w:fldCharType="end"/>
    </w:r>
    <w:r>
      <w:rPr>
        <w:rFonts w:ascii="Arial" w:hAnsi="Arial" w:cs="Arial"/>
        <w:sz w:val="20"/>
      </w:rPr>
      <w:tab/>
    </w:r>
  </w:p>
  <w:p w:rsidR="00AE7A8F" w:rsidRDefault="00870121">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8F" w:rsidRDefault="00AE7A8F">
    <w:pPr>
      <w:pStyle w:val="Footer"/>
      <w:tabs>
        <w:tab w:val="clear" w:pos="4153"/>
        <w:tab w:val="right" w:pos="7088"/>
      </w:tabs>
      <w:rPr>
        <w:rStyle w:val="PageNumber"/>
      </w:rPr>
    </w:pPr>
  </w:p>
  <w:p w:rsidR="00AE7A8F" w:rsidRDefault="008701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74584">
      <w:rPr>
        <w:rFonts w:ascii="Arial" w:hAnsi="Arial" w:cs="Arial"/>
        <w:sz w:val="20"/>
      </w:rPr>
      <w:t>26 Oct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74584">
      <w:rPr>
        <w:rFonts w:ascii="Arial" w:hAnsi="Arial" w:cs="Arial"/>
        <w:sz w:val="20"/>
      </w:rPr>
      <w:t>01-a0-09</w:t>
    </w:r>
    <w:r>
      <w:rPr>
        <w:rFonts w:ascii="Arial" w:hAnsi="Arial" w:cs="Arial"/>
        <w:sz w:val="20"/>
      </w:rPr>
      <w:fldChar w:fldCharType="end"/>
    </w:r>
    <w:r>
      <w:rPr>
        <w:rFonts w:ascii="Arial" w:hAnsi="Arial" w:cs="Arial"/>
        <w:sz w:val="20"/>
      </w:rPr>
      <w:tab/>
    </w:r>
  </w:p>
  <w:p w:rsidR="00AE7A8F" w:rsidRDefault="00870121">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8F" w:rsidRDefault="00AE7A8F">
    <w:pPr>
      <w:pStyle w:val="Footer"/>
      <w:tabs>
        <w:tab w:val="clear" w:pos="4153"/>
        <w:tab w:val="right" w:pos="7088"/>
      </w:tabs>
      <w:rPr>
        <w:rStyle w:val="PageNumber"/>
      </w:rPr>
    </w:pPr>
  </w:p>
  <w:p w:rsidR="00AE7A8F" w:rsidRDefault="008701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21F8E">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74584">
      <w:rPr>
        <w:rFonts w:ascii="Arial" w:hAnsi="Arial" w:cs="Arial"/>
        <w:sz w:val="20"/>
      </w:rPr>
      <w:t>01-a0-09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74584">
      <w:rPr>
        <w:rFonts w:ascii="Arial" w:hAnsi="Arial" w:cs="Arial"/>
        <w:sz w:val="20"/>
      </w:rPr>
      <w:t>26 Oct 1999</w:t>
    </w:r>
    <w:r>
      <w:rPr>
        <w:rFonts w:ascii="Arial" w:hAnsi="Arial" w:cs="Arial"/>
        <w:sz w:val="20"/>
      </w:rPr>
      <w:fldChar w:fldCharType="end"/>
    </w:r>
  </w:p>
  <w:p w:rsidR="00AE7A8F" w:rsidRDefault="00870121">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8F" w:rsidRDefault="00AE7A8F">
    <w:pPr>
      <w:pStyle w:val="Footer"/>
      <w:tabs>
        <w:tab w:val="clear" w:pos="4153"/>
        <w:tab w:val="right" w:pos="7088"/>
      </w:tabs>
      <w:rPr>
        <w:rStyle w:val="PageNumber"/>
      </w:rPr>
    </w:pPr>
  </w:p>
  <w:p w:rsidR="00AE7A8F" w:rsidRDefault="008701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74584">
      <w:rPr>
        <w:rFonts w:ascii="Arial" w:hAnsi="Arial" w:cs="Arial"/>
        <w:sz w:val="20"/>
      </w:rPr>
      <w:t>26 Oct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74584">
      <w:rPr>
        <w:rFonts w:ascii="Arial" w:hAnsi="Arial" w:cs="Arial"/>
        <w:sz w:val="20"/>
      </w:rPr>
      <w:t>01-a0-09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21F8E">
      <w:rPr>
        <w:rStyle w:val="PageNumber"/>
        <w:rFonts w:ascii="Arial" w:hAnsi="Arial" w:cs="Arial"/>
        <w:noProof/>
      </w:rPr>
      <w:t>i</w:t>
    </w:r>
    <w:r>
      <w:rPr>
        <w:rStyle w:val="PageNumber"/>
        <w:rFonts w:ascii="Arial" w:hAnsi="Arial" w:cs="Arial"/>
      </w:rPr>
      <w:fldChar w:fldCharType="end"/>
    </w:r>
  </w:p>
  <w:p w:rsidR="00AE7A8F" w:rsidRDefault="00870121">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8F" w:rsidRDefault="00AE7A8F">
    <w:pPr>
      <w:pStyle w:val="Footer"/>
      <w:tabs>
        <w:tab w:val="clear" w:pos="4153"/>
        <w:tab w:val="right" w:pos="7088"/>
      </w:tabs>
      <w:rPr>
        <w:rStyle w:val="PageNumber"/>
      </w:rPr>
    </w:pPr>
  </w:p>
  <w:p w:rsidR="00AE7A8F" w:rsidRDefault="008701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74584">
      <w:rPr>
        <w:rFonts w:ascii="Arial" w:hAnsi="Arial" w:cs="Arial"/>
        <w:sz w:val="20"/>
      </w:rPr>
      <w:t>26 Oct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74584">
      <w:rPr>
        <w:rFonts w:ascii="Arial" w:hAnsi="Arial" w:cs="Arial"/>
        <w:sz w:val="20"/>
      </w:rPr>
      <w:t>01-a0-09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74584">
      <w:rPr>
        <w:rStyle w:val="PageNumber"/>
        <w:rFonts w:ascii="Arial" w:hAnsi="Arial" w:cs="Arial"/>
        <w:noProof/>
      </w:rPr>
      <w:t>i</w:t>
    </w:r>
    <w:r>
      <w:rPr>
        <w:rStyle w:val="PageNumber"/>
        <w:rFonts w:ascii="Arial" w:hAnsi="Arial" w:cs="Arial"/>
      </w:rPr>
      <w:fldChar w:fldCharType="end"/>
    </w:r>
  </w:p>
  <w:p w:rsidR="00AE7A8F" w:rsidRDefault="00870121">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8F" w:rsidRDefault="00AE7A8F">
    <w:pPr>
      <w:pStyle w:val="Footer"/>
      <w:tabs>
        <w:tab w:val="clear" w:pos="4153"/>
        <w:tab w:val="right" w:pos="7088"/>
      </w:tabs>
      <w:rPr>
        <w:rStyle w:val="PageNumber"/>
      </w:rPr>
    </w:pPr>
  </w:p>
  <w:p w:rsidR="00AE7A8F" w:rsidRDefault="008701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4584">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74584">
      <w:rPr>
        <w:rFonts w:ascii="Arial" w:hAnsi="Arial" w:cs="Arial"/>
        <w:sz w:val="20"/>
      </w:rPr>
      <w:t>01-a0-09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74584">
      <w:rPr>
        <w:rFonts w:ascii="Arial" w:hAnsi="Arial" w:cs="Arial"/>
        <w:sz w:val="20"/>
      </w:rPr>
      <w:t>26 Oct 1999</w:t>
    </w:r>
    <w:r>
      <w:rPr>
        <w:rFonts w:ascii="Arial" w:hAnsi="Arial" w:cs="Arial"/>
        <w:sz w:val="20"/>
      </w:rPr>
      <w:fldChar w:fldCharType="end"/>
    </w:r>
    <w:r>
      <w:rPr>
        <w:rFonts w:ascii="Arial" w:hAnsi="Arial" w:cs="Arial"/>
        <w:sz w:val="20"/>
      </w:rPr>
      <w:t xml:space="preserve"> </w:t>
    </w:r>
  </w:p>
  <w:p w:rsidR="00AE7A8F" w:rsidRDefault="00870121">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8F" w:rsidRDefault="00AE7A8F">
    <w:pPr>
      <w:pStyle w:val="Footer"/>
      <w:tabs>
        <w:tab w:val="clear" w:pos="4153"/>
        <w:tab w:val="right" w:pos="7088"/>
      </w:tabs>
      <w:rPr>
        <w:rStyle w:val="PageNumber"/>
      </w:rPr>
    </w:pPr>
  </w:p>
  <w:p w:rsidR="00AE7A8F" w:rsidRDefault="008701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74584">
      <w:rPr>
        <w:rFonts w:ascii="Arial" w:hAnsi="Arial" w:cs="Arial"/>
        <w:sz w:val="20"/>
      </w:rPr>
      <w:t>26 Oct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74584">
      <w:rPr>
        <w:rFonts w:ascii="Arial" w:hAnsi="Arial" w:cs="Arial"/>
        <w:sz w:val="20"/>
      </w:rPr>
      <w:t>01-a0-09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4584">
      <w:rPr>
        <w:rStyle w:val="CharPageNo"/>
        <w:rFonts w:ascii="Arial" w:hAnsi="Arial"/>
        <w:noProof/>
      </w:rPr>
      <w:t>5</w:t>
    </w:r>
    <w:r>
      <w:rPr>
        <w:rStyle w:val="CharPageNo"/>
        <w:rFonts w:ascii="Arial" w:hAnsi="Arial"/>
      </w:rPr>
      <w:fldChar w:fldCharType="end"/>
    </w:r>
  </w:p>
  <w:p w:rsidR="00AE7A8F" w:rsidRDefault="00870121">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8F" w:rsidRDefault="00AE7A8F">
    <w:pPr>
      <w:pStyle w:val="Footer"/>
      <w:tabs>
        <w:tab w:val="clear" w:pos="4153"/>
        <w:tab w:val="right" w:pos="7088"/>
      </w:tabs>
      <w:rPr>
        <w:rStyle w:val="PageNumber"/>
      </w:rPr>
    </w:pPr>
  </w:p>
  <w:p w:rsidR="00AE7A8F" w:rsidRDefault="008701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74584">
      <w:rPr>
        <w:rFonts w:ascii="Arial" w:hAnsi="Arial" w:cs="Arial"/>
        <w:sz w:val="20"/>
      </w:rPr>
      <w:t>26 Oct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74584">
      <w:rPr>
        <w:rFonts w:ascii="Arial" w:hAnsi="Arial" w:cs="Arial"/>
        <w:sz w:val="20"/>
      </w:rPr>
      <w:t>01-a0-09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4584">
      <w:rPr>
        <w:rStyle w:val="CharPageNo"/>
        <w:rFonts w:ascii="Arial" w:hAnsi="Arial"/>
        <w:noProof/>
      </w:rPr>
      <w:t>1</w:t>
    </w:r>
    <w:r>
      <w:rPr>
        <w:rStyle w:val="CharPageNo"/>
        <w:rFonts w:ascii="Arial" w:hAnsi="Arial"/>
      </w:rPr>
      <w:fldChar w:fldCharType="end"/>
    </w:r>
  </w:p>
  <w:p w:rsidR="00AE7A8F" w:rsidRDefault="00870121">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A8F" w:rsidRDefault="00870121">
      <w:r>
        <w:separator/>
      </w:r>
    </w:p>
  </w:footnote>
  <w:footnote w:type="continuationSeparator" w:id="0">
    <w:p w:rsidR="00AE7A8F" w:rsidRDefault="00870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8F" w:rsidRDefault="00870121">
    <w:pPr>
      <w:pStyle w:val="headerpartodd"/>
      <w:ind w:left="0" w:firstLine="0"/>
      <w:rPr>
        <w:i/>
      </w:rPr>
    </w:pPr>
    <w:r>
      <w:rPr>
        <w:i/>
      </w:rPr>
      <w:fldChar w:fldCharType="begin"/>
    </w:r>
    <w:r>
      <w:rPr>
        <w:i/>
      </w:rPr>
      <w:instrText xml:space="preserve"> Styleref "Name of Act/Reg" </w:instrText>
    </w:r>
    <w:r>
      <w:rPr>
        <w:i/>
      </w:rPr>
      <w:fldChar w:fldCharType="separate"/>
    </w:r>
    <w:r w:rsidR="00874584">
      <w:rPr>
        <w:i/>
        <w:noProof/>
      </w:rPr>
      <w:t>Imperial Acts Adopting Ordinance 1849</w:t>
    </w:r>
    <w:r>
      <w:rPr>
        <w:i/>
      </w:rPr>
      <w:fldChar w:fldCharType="end"/>
    </w:r>
  </w:p>
  <w:p w:rsidR="00AE7A8F" w:rsidRDefault="0087012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E7A8F" w:rsidRDefault="0087012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E7A8F" w:rsidRDefault="00AE7A8F">
    <w:pPr>
      <w:pStyle w:val="headerpart"/>
    </w:pPr>
  </w:p>
  <w:p w:rsidR="00AE7A8F" w:rsidRDefault="00AE7A8F">
    <w:pPr>
      <w:pBdr>
        <w:bottom w:val="single" w:sz="6" w:space="1" w:color="auto"/>
      </w:pBdr>
      <w:rPr>
        <w:b/>
      </w:rPr>
    </w:pPr>
  </w:p>
  <w:p w:rsidR="00AE7A8F" w:rsidRDefault="00AE7A8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E7A8F">
      <w:trPr>
        <w:cantSplit/>
      </w:trPr>
      <w:tc>
        <w:tcPr>
          <w:tcW w:w="7312" w:type="dxa"/>
          <w:gridSpan w:val="2"/>
        </w:tcPr>
        <w:p w:rsidR="00AE7A8F" w:rsidRDefault="00874584">
          <w:pPr>
            <w:pStyle w:val="HeaderActNameLeft"/>
          </w:pPr>
          <w:r>
            <w:fldChar w:fldCharType="begin"/>
          </w:r>
          <w:r>
            <w:instrText xml:space="preserve"> Styleref "Name of Act/Reg" </w:instrText>
          </w:r>
          <w:r>
            <w:fldChar w:fldCharType="separate"/>
          </w:r>
          <w:r>
            <w:rPr>
              <w:noProof/>
            </w:rPr>
            <w:t>Imperial Acts Adopting Ordinance 1849</w:t>
          </w:r>
          <w:r>
            <w:rPr>
              <w:noProof/>
            </w:rPr>
            <w:fldChar w:fldCharType="end"/>
          </w:r>
        </w:p>
      </w:tc>
    </w:tr>
    <w:tr w:rsidR="00AE7A8F">
      <w:tc>
        <w:tcPr>
          <w:tcW w:w="1548" w:type="dxa"/>
        </w:tcPr>
        <w:p w:rsidR="00AE7A8F" w:rsidRDefault="00AE7A8F">
          <w:pPr>
            <w:pStyle w:val="HeaderNumberLeft"/>
          </w:pPr>
        </w:p>
      </w:tc>
      <w:tc>
        <w:tcPr>
          <w:tcW w:w="5764" w:type="dxa"/>
        </w:tcPr>
        <w:p w:rsidR="00AE7A8F" w:rsidRDefault="00AE7A8F">
          <w:pPr>
            <w:pStyle w:val="HeaderTextLeft"/>
          </w:pPr>
        </w:p>
      </w:tc>
    </w:tr>
    <w:tr w:rsidR="00AE7A8F">
      <w:tc>
        <w:tcPr>
          <w:tcW w:w="1548" w:type="dxa"/>
        </w:tcPr>
        <w:p w:rsidR="00AE7A8F" w:rsidRDefault="00AE7A8F">
          <w:pPr>
            <w:pStyle w:val="HeaderNumberLeft"/>
          </w:pPr>
        </w:p>
      </w:tc>
      <w:tc>
        <w:tcPr>
          <w:tcW w:w="5764" w:type="dxa"/>
        </w:tcPr>
        <w:p w:rsidR="00AE7A8F" w:rsidRDefault="00AE7A8F">
          <w:pPr>
            <w:pStyle w:val="HeaderTextLeft"/>
          </w:pPr>
        </w:p>
      </w:tc>
    </w:tr>
    <w:tr w:rsidR="00AE7A8F">
      <w:trPr>
        <w:cantSplit/>
      </w:trPr>
      <w:tc>
        <w:tcPr>
          <w:tcW w:w="7312" w:type="dxa"/>
          <w:gridSpan w:val="2"/>
        </w:tcPr>
        <w:p w:rsidR="00AE7A8F" w:rsidRDefault="00AE7A8F">
          <w:pPr>
            <w:pStyle w:val="HeaderSectionLeft"/>
          </w:pPr>
        </w:p>
      </w:tc>
    </w:tr>
  </w:tbl>
  <w:p w:rsidR="00AE7A8F" w:rsidRDefault="00AE7A8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E7A8F">
      <w:trPr>
        <w:cantSplit/>
      </w:trPr>
      <w:tc>
        <w:tcPr>
          <w:tcW w:w="7312" w:type="dxa"/>
          <w:gridSpan w:val="2"/>
        </w:tcPr>
        <w:p w:rsidR="00AE7A8F" w:rsidRDefault="00874584">
          <w:pPr>
            <w:pStyle w:val="HeaderActNameRight"/>
          </w:pPr>
          <w:r>
            <w:fldChar w:fldCharType="begin"/>
          </w:r>
          <w:r>
            <w:instrText xml:space="preserve"> Styleref "Name of Act/Reg" </w:instrText>
          </w:r>
          <w:r>
            <w:fldChar w:fldCharType="separate"/>
          </w:r>
          <w:r>
            <w:rPr>
              <w:noProof/>
            </w:rPr>
            <w:t>Imperial Acts Adopting Ordinance 1849</w:t>
          </w:r>
          <w:r>
            <w:rPr>
              <w:noProof/>
            </w:rPr>
            <w:fldChar w:fldCharType="end"/>
          </w:r>
        </w:p>
      </w:tc>
    </w:tr>
    <w:tr w:rsidR="00AE7A8F">
      <w:tc>
        <w:tcPr>
          <w:tcW w:w="5760" w:type="dxa"/>
        </w:tcPr>
        <w:p w:rsidR="00AE7A8F" w:rsidRDefault="00AE7A8F">
          <w:pPr>
            <w:pStyle w:val="HeaderTextRight"/>
          </w:pPr>
        </w:p>
      </w:tc>
      <w:tc>
        <w:tcPr>
          <w:tcW w:w="1552" w:type="dxa"/>
        </w:tcPr>
        <w:p w:rsidR="00AE7A8F" w:rsidRDefault="00AE7A8F">
          <w:pPr>
            <w:pStyle w:val="HeaderNumberRight"/>
          </w:pPr>
        </w:p>
      </w:tc>
    </w:tr>
    <w:tr w:rsidR="00AE7A8F">
      <w:tc>
        <w:tcPr>
          <w:tcW w:w="5760" w:type="dxa"/>
        </w:tcPr>
        <w:p w:rsidR="00AE7A8F" w:rsidRDefault="00AE7A8F">
          <w:pPr>
            <w:pStyle w:val="HeaderTextRight"/>
          </w:pPr>
        </w:p>
      </w:tc>
      <w:tc>
        <w:tcPr>
          <w:tcW w:w="1552" w:type="dxa"/>
        </w:tcPr>
        <w:p w:rsidR="00AE7A8F" w:rsidRDefault="00AE7A8F">
          <w:pPr>
            <w:pStyle w:val="HeaderNumberRight"/>
          </w:pPr>
        </w:p>
      </w:tc>
    </w:tr>
    <w:tr w:rsidR="00AE7A8F">
      <w:trPr>
        <w:cantSplit/>
      </w:trPr>
      <w:tc>
        <w:tcPr>
          <w:tcW w:w="7312" w:type="dxa"/>
          <w:gridSpan w:val="2"/>
        </w:tcPr>
        <w:p w:rsidR="00AE7A8F" w:rsidRDefault="00AE7A8F">
          <w:pPr>
            <w:pStyle w:val="HeaderSectionRight"/>
          </w:pPr>
        </w:p>
      </w:tc>
    </w:tr>
  </w:tbl>
  <w:p w:rsidR="00AE7A8F" w:rsidRDefault="00AE7A8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8F" w:rsidRDefault="00AE7A8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8F" w:rsidRDefault="00870121">
    <w:pPr>
      <w:pStyle w:val="headerpartodd"/>
      <w:ind w:left="0" w:firstLine="0"/>
      <w:rPr>
        <w:i/>
      </w:rPr>
    </w:pPr>
    <w:r>
      <w:rPr>
        <w:i/>
      </w:rPr>
      <w:fldChar w:fldCharType="begin"/>
    </w:r>
    <w:r>
      <w:rPr>
        <w:i/>
      </w:rPr>
      <w:instrText xml:space="preserve"> Styleref "Name of Act/Reg" </w:instrText>
    </w:r>
    <w:r>
      <w:rPr>
        <w:i/>
      </w:rPr>
      <w:fldChar w:fldCharType="separate"/>
    </w:r>
    <w:r w:rsidR="00874584">
      <w:rPr>
        <w:i/>
        <w:noProof/>
      </w:rPr>
      <w:t>Imperial Acts Adopting Ordinance 1849</w:t>
    </w:r>
    <w:r>
      <w:rPr>
        <w:i/>
      </w:rPr>
      <w:fldChar w:fldCharType="end"/>
    </w:r>
  </w:p>
  <w:p w:rsidR="00AE7A8F" w:rsidRDefault="00AE7A8F">
    <w:pPr>
      <w:pStyle w:val="headerpartodd"/>
      <w:ind w:left="0" w:firstLine="0"/>
      <w:rPr>
        <w:b w:val="0"/>
        <w:i/>
      </w:rPr>
    </w:pPr>
  </w:p>
  <w:p w:rsidR="00AE7A8F" w:rsidRDefault="00AE7A8F">
    <w:pPr>
      <w:pStyle w:val="headerpart"/>
    </w:pPr>
  </w:p>
  <w:p w:rsidR="00AE7A8F" w:rsidRDefault="00AE7A8F">
    <w:pPr>
      <w:pStyle w:val="headerpart"/>
    </w:pPr>
  </w:p>
  <w:p w:rsidR="00AE7A8F" w:rsidRDefault="00AE7A8F">
    <w:pPr>
      <w:pBdr>
        <w:bottom w:val="single" w:sz="6" w:space="1" w:color="auto"/>
      </w:pBdr>
      <w:rPr>
        <w:b/>
      </w:rPr>
    </w:pPr>
  </w:p>
  <w:p w:rsidR="00AE7A8F" w:rsidRDefault="00AE7A8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8F" w:rsidRDefault="00870121">
    <w:pPr>
      <w:pStyle w:val="headerpartodd"/>
      <w:ind w:left="0" w:firstLine="0"/>
      <w:jc w:val="right"/>
      <w:rPr>
        <w:i/>
      </w:rPr>
    </w:pPr>
    <w:r>
      <w:rPr>
        <w:i/>
      </w:rPr>
      <w:fldChar w:fldCharType="begin"/>
    </w:r>
    <w:r>
      <w:rPr>
        <w:i/>
      </w:rPr>
      <w:instrText xml:space="preserve"> Styleref "Name of Act/Reg" </w:instrText>
    </w:r>
    <w:r>
      <w:rPr>
        <w:i/>
      </w:rPr>
      <w:fldChar w:fldCharType="separate"/>
    </w:r>
    <w:r w:rsidR="00874584">
      <w:rPr>
        <w:i/>
        <w:noProof/>
      </w:rPr>
      <w:t>Imperial Acts Adopting Ordinance 1849</w:t>
    </w:r>
    <w:r>
      <w:rPr>
        <w:i/>
      </w:rPr>
      <w:fldChar w:fldCharType="end"/>
    </w:r>
  </w:p>
  <w:p w:rsidR="00AE7A8F" w:rsidRDefault="00AE7A8F">
    <w:pPr>
      <w:pStyle w:val="headerpartodd"/>
      <w:ind w:left="0" w:firstLine="0"/>
      <w:jc w:val="right"/>
      <w:rPr>
        <w:b w:val="0"/>
        <w:i/>
      </w:rPr>
    </w:pPr>
  </w:p>
  <w:p w:rsidR="00AE7A8F" w:rsidRDefault="00AE7A8F">
    <w:pPr>
      <w:pStyle w:val="headerpart"/>
      <w:jc w:val="right"/>
    </w:pPr>
  </w:p>
  <w:p w:rsidR="00AE7A8F" w:rsidRDefault="00AE7A8F">
    <w:pPr>
      <w:pStyle w:val="headerpart"/>
      <w:jc w:val="right"/>
    </w:pPr>
  </w:p>
  <w:p w:rsidR="00AE7A8F" w:rsidRDefault="00AE7A8F">
    <w:pPr>
      <w:pBdr>
        <w:bottom w:val="single" w:sz="6" w:space="1" w:color="auto"/>
      </w:pBdr>
      <w:jc w:val="right"/>
      <w:rPr>
        <w:b/>
      </w:rPr>
    </w:pPr>
  </w:p>
  <w:p w:rsidR="00AE7A8F" w:rsidRDefault="00AE7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4" w:rsidRDefault="008745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4" w:rsidRDefault="008745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E7A8F">
      <w:trPr>
        <w:cantSplit/>
      </w:trPr>
      <w:tc>
        <w:tcPr>
          <w:tcW w:w="7312" w:type="dxa"/>
          <w:gridSpan w:val="2"/>
        </w:tcPr>
        <w:p w:rsidR="00AE7A8F" w:rsidRDefault="00870121">
          <w:pPr>
            <w:pStyle w:val="HeaderActNameLeft"/>
          </w:pPr>
          <w:r>
            <w:rPr>
              <w:i w:val="0"/>
            </w:rPr>
            <w:fldChar w:fldCharType="begin"/>
          </w:r>
          <w:r>
            <w:rPr>
              <w:i w:val="0"/>
            </w:rPr>
            <w:instrText xml:space="preserve"> Styleref "Name of Act/Reg" </w:instrText>
          </w:r>
          <w:r>
            <w:rPr>
              <w:i w:val="0"/>
            </w:rPr>
            <w:fldChar w:fldCharType="separate"/>
          </w:r>
          <w:r w:rsidR="00874584">
            <w:rPr>
              <w:i w:val="0"/>
              <w:noProof/>
            </w:rPr>
            <w:t>Imperial Acts Adopting Ordinance 1849</w:t>
          </w:r>
          <w:r>
            <w:rPr>
              <w:i w:val="0"/>
            </w:rPr>
            <w:fldChar w:fldCharType="end"/>
          </w:r>
        </w:p>
      </w:tc>
    </w:tr>
    <w:tr w:rsidR="00AE7A8F">
      <w:tc>
        <w:tcPr>
          <w:tcW w:w="1548" w:type="dxa"/>
        </w:tcPr>
        <w:p w:rsidR="00AE7A8F" w:rsidRDefault="00AE7A8F">
          <w:pPr>
            <w:pStyle w:val="HeaderNumberLeft"/>
          </w:pPr>
        </w:p>
      </w:tc>
      <w:tc>
        <w:tcPr>
          <w:tcW w:w="5764" w:type="dxa"/>
        </w:tcPr>
        <w:p w:rsidR="00AE7A8F" w:rsidRDefault="00AE7A8F">
          <w:pPr>
            <w:pStyle w:val="HeaderTextLeft"/>
          </w:pPr>
        </w:p>
      </w:tc>
    </w:tr>
    <w:tr w:rsidR="00AE7A8F">
      <w:tc>
        <w:tcPr>
          <w:tcW w:w="1548" w:type="dxa"/>
        </w:tcPr>
        <w:p w:rsidR="00AE7A8F" w:rsidRDefault="00AE7A8F">
          <w:pPr>
            <w:pStyle w:val="HeaderNumberLeft"/>
          </w:pPr>
        </w:p>
      </w:tc>
      <w:tc>
        <w:tcPr>
          <w:tcW w:w="5764" w:type="dxa"/>
        </w:tcPr>
        <w:p w:rsidR="00AE7A8F" w:rsidRDefault="00AE7A8F">
          <w:pPr>
            <w:pStyle w:val="HeaderTextLeft"/>
          </w:pPr>
        </w:p>
      </w:tc>
    </w:tr>
    <w:tr w:rsidR="00AE7A8F">
      <w:trPr>
        <w:cantSplit/>
      </w:trPr>
      <w:tc>
        <w:tcPr>
          <w:tcW w:w="7312" w:type="dxa"/>
          <w:gridSpan w:val="2"/>
        </w:tcPr>
        <w:p w:rsidR="00AE7A8F" w:rsidRDefault="00AE7A8F">
          <w:pPr>
            <w:pStyle w:val="HeaderSectionLeft"/>
          </w:pPr>
        </w:p>
      </w:tc>
    </w:tr>
  </w:tbl>
  <w:p w:rsidR="00AE7A8F" w:rsidRDefault="00AE7A8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E7A8F">
      <w:trPr>
        <w:cantSplit/>
      </w:trPr>
      <w:tc>
        <w:tcPr>
          <w:tcW w:w="7312" w:type="dxa"/>
          <w:gridSpan w:val="2"/>
        </w:tcPr>
        <w:p w:rsidR="00AE7A8F" w:rsidRDefault="00874584">
          <w:pPr>
            <w:pStyle w:val="HeaderActNameRight"/>
          </w:pPr>
          <w:r>
            <w:fldChar w:fldCharType="begin"/>
          </w:r>
          <w:r>
            <w:instrText xml:space="preserve"> Styleref "Name of Act/Reg" </w:instrText>
          </w:r>
          <w:r>
            <w:fldChar w:fldCharType="separate"/>
          </w:r>
          <w:r>
            <w:rPr>
              <w:noProof/>
            </w:rPr>
            <w:t>Imperial Acts Adopting Ordinance 1849</w:t>
          </w:r>
          <w:r>
            <w:rPr>
              <w:noProof/>
            </w:rPr>
            <w:fldChar w:fldCharType="end"/>
          </w:r>
        </w:p>
      </w:tc>
    </w:tr>
    <w:tr w:rsidR="00AE7A8F">
      <w:tc>
        <w:tcPr>
          <w:tcW w:w="5760" w:type="dxa"/>
        </w:tcPr>
        <w:p w:rsidR="00AE7A8F" w:rsidRDefault="00AE7A8F">
          <w:pPr>
            <w:pStyle w:val="HeaderTextRight"/>
          </w:pPr>
        </w:p>
      </w:tc>
      <w:tc>
        <w:tcPr>
          <w:tcW w:w="1552" w:type="dxa"/>
        </w:tcPr>
        <w:p w:rsidR="00AE7A8F" w:rsidRDefault="00AE7A8F">
          <w:pPr>
            <w:pStyle w:val="HeaderNumberRight"/>
          </w:pPr>
        </w:p>
      </w:tc>
    </w:tr>
    <w:tr w:rsidR="00AE7A8F">
      <w:tc>
        <w:tcPr>
          <w:tcW w:w="5760" w:type="dxa"/>
        </w:tcPr>
        <w:p w:rsidR="00AE7A8F" w:rsidRDefault="00AE7A8F">
          <w:pPr>
            <w:pStyle w:val="HeaderTextRight"/>
          </w:pPr>
        </w:p>
      </w:tc>
      <w:tc>
        <w:tcPr>
          <w:tcW w:w="1552" w:type="dxa"/>
        </w:tcPr>
        <w:p w:rsidR="00AE7A8F" w:rsidRDefault="00AE7A8F">
          <w:pPr>
            <w:pStyle w:val="HeaderNumberRight"/>
          </w:pPr>
        </w:p>
      </w:tc>
    </w:tr>
    <w:tr w:rsidR="00AE7A8F">
      <w:trPr>
        <w:cantSplit/>
      </w:trPr>
      <w:tc>
        <w:tcPr>
          <w:tcW w:w="7312" w:type="dxa"/>
          <w:gridSpan w:val="2"/>
        </w:tcPr>
        <w:p w:rsidR="00AE7A8F" w:rsidRDefault="00AE7A8F">
          <w:pPr>
            <w:pStyle w:val="HeaderSectionRight"/>
          </w:pPr>
        </w:p>
      </w:tc>
    </w:tr>
  </w:tbl>
  <w:p w:rsidR="00AE7A8F" w:rsidRDefault="00AE7A8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8F" w:rsidRDefault="00AE7A8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E7A8F">
      <w:trPr>
        <w:cantSplit/>
      </w:trPr>
      <w:tc>
        <w:tcPr>
          <w:tcW w:w="7312" w:type="dxa"/>
          <w:gridSpan w:val="2"/>
        </w:tcPr>
        <w:p w:rsidR="00AE7A8F" w:rsidRDefault="00874584">
          <w:pPr>
            <w:pStyle w:val="HeaderActNameLeft"/>
          </w:pPr>
          <w:r>
            <w:fldChar w:fldCharType="begin"/>
          </w:r>
          <w:r>
            <w:instrText xml:space="preserve"> Styleref "Name of Act/Reg" </w:instrText>
          </w:r>
          <w:r>
            <w:fldChar w:fldCharType="separate"/>
          </w:r>
          <w:r>
            <w:rPr>
              <w:noProof/>
            </w:rPr>
            <w:t>Imperial Acts Adopting Ordinance 1849</w:t>
          </w:r>
          <w:r>
            <w:rPr>
              <w:noProof/>
            </w:rPr>
            <w:fldChar w:fldCharType="end"/>
          </w:r>
        </w:p>
      </w:tc>
    </w:tr>
    <w:tr w:rsidR="00AE7A8F">
      <w:tc>
        <w:tcPr>
          <w:tcW w:w="1305" w:type="dxa"/>
        </w:tcPr>
        <w:p w:rsidR="00AE7A8F" w:rsidRDefault="00870121">
          <w:pPr>
            <w:pStyle w:val="HeaderNumberLeft"/>
          </w:pPr>
          <w:r>
            <w:fldChar w:fldCharType="begin"/>
          </w:r>
          <w:r>
            <w:instrText xml:space="preserve"> styleref CharPartNo </w:instrText>
          </w:r>
          <w:r>
            <w:fldChar w:fldCharType="end"/>
          </w:r>
        </w:p>
      </w:tc>
      <w:tc>
        <w:tcPr>
          <w:tcW w:w="6007" w:type="dxa"/>
        </w:tcPr>
        <w:p w:rsidR="00AE7A8F" w:rsidRDefault="00870121">
          <w:pPr>
            <w:pStyle w:val="HeaderTextLeft"/>
          </w:pPr>
          <w:r>
            <w:fldChar w:fldCharType="begin"/>
          </w:r>
          <w:r>
            <w:instrText xml:space="preserve"> styleref CharPartText </w:instrText>
          </w:r>
          <w:r>
            <w:fldChar w:fldCharType="end"/>
          </w:r>
        </w:p>
      </w:tc>
    </w:tr>
    <w:tr w:rsidR="00AE7A8F">
      <w:tc>
        <w:tcPr>
          <w:tcW w:w="1305" w:type="dxa"/>
        </w:tcPr>
        <w:p w:rsidR="00AE7A8F" w:rsidRDefault="00870121">
          <w:pPr>
            <w:pStyle w:val="HeaderNumberLeft"/>
          </w:pPr>
          <w:r>
            <w:fldChar w:fldCharType="begin"/>
          </w:r>
          <w:r>
            <w:instrText xml:space="preserve"> styleref CharDivNo </w:instrText>
          </w:r>
          <w:r>
            <w:fldChar w:fldCharType="end"/>
          </w:r>
        </w:p>
      </w:tc>
      <w:tc>
        <w:tcPr>
          <w:tcW w:w="6007" w:type="dxa"/>
        </w:tcPr>
        <w:p w:rsidR="00AE7A8F" w:rsidRDefault="00870121">
          <w:pPr>
            <w:pStyle w:val="HeaderTextLeft"/>
          </w:pPr>
          <w:r>
            <w:fldChar w:fldCharType="begin"/>
          </w:r>
          <w:r>
            <w:instrText xml:space="preserve"> styleref CharDivText </w:instrText>
          </w:r>
          <w:r>
            <w:fldChar w:fldCharType="end"/>
          </w:r>
        </w:p>
      </w:tc>
    </w:tr>
    <w:tr w:rsidR="00AE7A8F">
      <w:trPr>
        <w:cantSplit/>
      </w:trPr>
      <w:tc>
        <w:tcPr>
          <w:tcW w:w="7312" w:type="dxa"/>
          <w:gridSpan w:val="2"/>
        </w:tcPr>
        <w:p w:rsidR="00AE7A8F" w:rsidRDefault="00AE7A8F">
          <w:pPr>
            <w:pStyle w:val="HeaderSectionLeft"/>
          </w:pPr>
        </w:p>
      </w:tc>
    </w:tr>
  </w:tbl>
  <w:p w:rsidR="00AE7A8F" w:rsidRDefault="00AE7A8F">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E7A8F">
      <w:trPr>
        <w:cantSplit/>
      </w:trPr>
      <w:tc>
        <w:tcPr>
          <w:tcW w:w="7312" w:type="dxa"/>
          <w:gridSpan w:val="2"/>
        </w:tcPr>
        <w:p w:rsidR="00AE7A8F" w:rsidRDefault="00874584">
          <w:pPr>
            <w:pStyle w:val="HeaderActNameRight"/>
          </w:pPr>
          <w:r>
            <w:fldChar w:fldCharType="begin"/>
          </w:r>
          <w:r>
            <w:instrText xml:space="preserve"> Styleref "Name of Act/Reg" </w:instrText>
          </w:r>
          <w:r>
            <w:fldChar w:fldCharType="separate"/>
          </w:r>
          <w:r>
            <w:rPr>
              <w:noProof/>
            </w:rPr>
            <w:t>Imperial Acts Adopting Ordinance 1849</w:t>
          </w:r>
          <w:r>
            <w:rPr>
              <w:noProof/>
            </w:rPr>
            <w:fldChar w:fldCharType="end"/>
          </w:r>
        </w:p>
      </w:tc>
    </w:tr>
    <w:tr w:rsidR="00AE7A8F">
      <w:tc>
        <w:tcPr>
          <w:tcW w:w="5985" w:type="dxa"/>
        </w:tcPr>
        <w:p w:rsidR="00AE7A8F" w:rsidRDefault="00870121">
          <w:pPr>
            <w:pStyle w:val="HeaderTextRight"/>
          </w:pPr>
          <w:r>
            <w:fldChar w:fldCharType="begin"/>
          </w:r>
          <w:r>
            <w:instrText xml:space="preserve"> styleref CharPartText </w:instrText>
          </w:r>
          <w:r>
            <w:fldChar w:fldCharType="end"/>
          </w:r>
        </w:p>
      </w:tc>
      <w:tc>
        <w:tcPr>
          <w:tcW w:w="1327" w:type="dxa"/>
        </w:tcPr>
        <w:p w:rsidR="00AE7A8F" w:rsidRDefault="00870121">
          <w:pPr>
            <w:pStyle w:val="HeaderNumberRight"/>
          </w:pPr>
          <w:r>
            <w:fldChar w:fldCharType="begin"/>
          </w:r>
          <w:r>
            <w:instrText xml:space="preserve"> styleref CharPartNo </w:instrText>
          </w:r>
          <w:r>
            <w:fldChar w:fldCharType="end"/>
          </w:r>
        </w:p>
      </w:tc>
    </w:tr>
    <w:tr w:rsidR="00AE7A8F">
      <w:tc>
        <w:tcPr>
          <w:tcW w:w="5985" w:type="dxa"/>
        </w:tcPr>
        <w:p w:rsidR="00AE7A8F" w:rsidRDefault="00870121">
          <w:pPr>
            <w:pStyle w:val="HeaderTextRight"/>
          </w:pPr>
          <w:r>
            <w:fldChar w:fldCharType="begin"/>
          </w:r>
          <w:r>
            <w:instrText xml:space="preserve"> styleref CharDivText </w:instrText>
          </w:r>
          <w:r>
            <w:fldChar w:fldCharType="end"/>
          </w:r>
        </w:p>
      </w:tc>
      <w:tc>
        <w:tcPr>
          <w:tcW w:w="1327" w:type="dxa"/>
        </w:tcPr>
        <w:p w:rsidR="00AE7A8F" w:rsidRDefault="00870121">
          <w:pPr>
            <w:pStyle w:val="HeaderNumberRight"/>
          </w:pPr>
          <w:r>
            <w:fldChar w:fldCharType="begin"/>
          </w:r>
          <w:r>
            <w:instrText xml:space="preserve"> styleref CharDivNo </w:instrText>
          </w:r>
          <w:r>
            <w:fldChar w:fldCharType="end"/>
          </w:r>
        </w:p>
      </w:tc>
    </w:tr>
    <w:tr w:rsidR="00AE7A8F">
      <w:trPr>
        <w:cantSplit/>
      </w:trPr>
      <w:tc>
        <w:tcPr>
          <w:tcW w:w="7312" w:type="dxa"/>
          <w:gridSpan w:val="2"/>
        </w:tcPr>
        <w:p w:rsidR="00AE7A8F" w:rsidRDefault="00AE7A8F">
          <w:pPr>
            <w:pStyle w:val="HeaderSectionRight"/>
          </w:pPr>
        </w:p>
      </w:tc>
    </w:tr>
  </w:tbl>
  <w:p w:rsidR="00AE7A8F" w:rsidRDefault="00AE7A8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8F" w:rsidRDefault="00AE7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9162831"/>
    <w:docVar w:name="WAFER_20140129162831" w:val="RemoveTocBookmarks,RemoveUnusedBookmarks,RemoveLanguageTags,UsedStyles,ResetPageSize,UpdateArrangement"/>
    <w:docVar w:name="WAFER_20140129162831_GUID" w:val="2bc7a974-b289-412f-add5-fbe0f5b205f3"/>
  </w:docVars>
  <w:rsids>
    <w:rsidRoot w:val="00870121"/>
    <w:rsid w:val="00401F8D"/>
    <w:rsid w:val="00621F8E"/>
    <w:rsid w:val="00870121"/>
    <w:rsid w:val="00874584"/>
    <w:rsid w:val="008815F8"/>
    <w:rsid w:val="00AE7A8F"/>
    <w:rsid w:val="00EC4E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next w:val="Normal"/>
    <w:autoRedefine/>
    <w:semiHidden/>
    <w:pPr>
      <w:spacing w:before="120" w:after="60"/>
      <w:ind w:left="1200" w:right="567"/>
    </w:pPr>
    <w:rPr>
      <w:smallCaps/>
      <w:sz w:val="18"/>
    </w:rPr>
  </w:style>
  <w:style w:type="paragraph" w:styleId="TOC8">
    <w:name w:val="toc 8"/>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next w:val="Normal"/>
    <w:autoRedefine/>
    <w:semiHidden/>
    <w:pPr>
      <w:spacing w:before="120" w:after="60"/>
      <w:ind w:left="1200" w:right="567"/>
    </w:pPr>
    <w:rPr>
      <w:smallCaps/>
      <w:sz w:val="18"/>
    </w:rPr>
  </w:style>
  <w:style w:type="paragraph" w:styleId="TOC8">
    <w:name w:val="toc 8"/>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1057</Words>
  <Characters>4719</Characters>
  <Application>Microsoft Office Word</Application>
  <DocSecurity>0</DocSecurity>
  <Lines>143</Lines>
  <Paragraphs>80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Acts Adopting Ordinance 1849 - 01-a0-09</dc:title>
  <dc:subject/>
  <dc:creator>Dave Harrold</dc:creator>
  <cp:keywords/>
  <cp:lastModifiedBy>svcMRProcess</cp:lastModifiedBy>
  <cp:revision>4</cp:revision>
  <cp:lastPrinted>1998-01-23T10:09:00Z</cp:lastPrinted>
  <dcterms:created xsi:type="dcterms:W3CDTF">2014-01-29T08:44:00Z</dcterms:created>
  <dcterms:modified xsi:type="dcterms:W3CDTF">2014-01-29T08:44:00Z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1849</vt:lpwstr>
  </property>
  <property fmtid="{D5CDD505-2E9C-101B-9397-08002B2CF9AE}" pid="3" name="CommencementDate">
    <vt:lpwstr>19991026</vt:lpwstr>
  </property>
  <property fmtid="{D5CDD505-2E9C-101B-9397-08002B2CF9AE}" pid="4" name="DocumentType">
    <vt:lpwstr>Act</vt:lpwstr>
  </property>
  <property fmtid="{D5CDD505-2E9C-101B-9397-08002B2CF9AE}" pid="5" name="AsAtDate">
    <vt:lpwstr>26 Oct 1999</vt:lpwstr>
  </property>
  <property fmtid="{D5CDD505-2E9C-101B-9397-08002B2CF9AE}" pid="6" name="Suffix">
    <vt:lpwstr>01-a0-09</vt:lpwstr>
  </property>
</Properties>
</file>