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Argentine Ant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Argentine Ant Act 1968</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_Toc155591623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_Toc155591624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_Toc155591625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_Toc155591626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Minister to be body corporate</w:t>
      </w:r>
      <w:r>
        <w:tab/>
      </w:r>
      <w:r>
        <w:fldChar w:fldCharType="begin"/>
      </w:r>
      <w:r>
        <w:instrText xml:space="preserve"> PAGEREF _Toc155591627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Functions of Minister</w:t>
      </w:r>
      <w:r>
        <w:tab/>
      </w:r>
      <w:r>
        <w:fldChar w:fldCharType="begin"/>
      </w:r>
      <w:r>
        <w:instrText xml:space="preserve"> PAGEREF _Toc155591628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Appointment of authorised persons</w:t>
      </w:r>
      <w:r>
        <w:tab/>
      </w:r>
      <w:r>
        <w:fldChar w:fldCharType="begin"/>
      </w:r>
      <w:r>
        <w:instrText xml:space="preserve"> PAGEREF _Toc155591629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Vesting of property</w:t>
      </w:r>
      <w:r>
        <w:tab/>
      </w:r>
      <w:r>
        <w:fldChar w:fldCharType="begin"/>
      </w:r>
      <w:r>
        <w:instrText xml:space="preserve"> PAGEREF _Toc155591630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Minister may give certain notices by advertisement</w:t>
      </w:r>
      <w:r>
        <w:tab/>
      </w:r>
      <w:r>
        <w:fldChar w:fldCharType="begin"/>
      </w:r>
      <w:r>
        <w:instrText xml:space="preserve"> PAGEREF _Toc155591631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Power of person authorised by Minister to enter and treat premises</w:t>
      </w:r>
      <w:r>
        <w:tab/>
      </w:r>
      <w:r>
        <w:fldChar w:fldCharType="begin"/>
      </w:r>
      <w:r>
        <w:instrText xml:space="preserve"> PAGEREF _Toc155591632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Persons acting in good faith are not liable personally</w:t>
      </w:r>
      <w:r>
        <w:tab/>
      </w:r>
      <w:r>
        <w:fldChar w:fldCharType="begin"/>
      </w:r>
      <w:r>
        <w:instrText xml:space="preserve"> PAGEREF _Toc155591633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Obstruction is an offence</w:t>
      </w:r>
      <w:r>
        <w:tab/>
      </w:r>
      <w:r>
        <w:fldChar w:fldCharType="begin"/>
      </w:r>
      <w:r>
        <w:instrText xml:space="preserve"> PAGEREF _Toc155591634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Offences generally</w:t>
      </w:r>
      <w:r>
        <w:tab/>
      </w:r>
      <w:r>
        <w:fldChar w:fldCharType="begin"/>
      </w:r>
      <w:r>
        <w:instrText xml:space="preserve"> PAGEREF _Toc155591635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Penalties</w:t>
      </w:r>
      <w:r>
        <w:tab/>
      </w:r>
      <w:r>
        <w:fldChar w:fldCharType="begin"/>
      </w:r>
      <w:r>
        <w:instrText xml:space="preserve"> PAGEREF _Toc155591636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Proof of ownership or occupancy</w:t>
      </w:r>
      <w:r>
        <w:tab/>
      </w:r>
      <w:r>
        <w:fldChar w:fldCharType="begin"/>
      </w:r>
      <w:r>
        <w:instrText xml:space="preserve"> PAGEREF _Toc155591637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_Toc155591638 \h </w:instrText>
      </w:r>
      <w:r>
        <w:fldChar w:fldCharType="separate"/>
      </w:r>
      <w:r>
        <w:t>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_Toc155591640 \h </w:instrText>
      </w:r>
      <w:r>
        <w:fldChar w:fldCharType="separate"/>
      </w:r>
      <w:r>
        <w:t>10</w:t>
      </w:r>
      <w:r>
        <w:fldChar w:fldCharType="end"/>
      </w:r>
    </w:p>
    <w:p>
      <w:pPr>
        <w:pStyle w:val="TOC8"/>
        <w:rPr>
          <w:sz w:val="24"/>
        </w:rPr>
      </w:pPr>
      <w:r>
        <w:rPr>
          <w:snapToGrid w:val="0"/>
        </w:rPr>
        <w:tab/>
        <w:t>Provisions that have not come into operation</w:t>
      </w:r>
      <w:r>
        <w:tab/>
      </w:r>
      <w:r>
        <w:fldChar w:fldCharType="begin"/>
      </w:r>
      <w:r>
        <w:instrText xml:space="preserve"> PAGEREF _Toc155591641 \h </w:instrText>
      </w:r>
      <w:r>
        <w:fldChar w:fldCharType="separate"/>
      </w:r>
      <w:r>
        <w:t>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Argentine Ant Act 1968 </w:t>
      </w:r>
    </w:p>
    <w:p>
      <w:pPr>
        <w:pStyle w:val="LongTitle"/>
        <w:rPr>
          <w:snapToGrid w:val="0"/>
        </w:rPr>
      </w:pPr>
      <w:r>
        <w:rPr>
          <w:snapToGrid w:val="0"/>
        </w:rPr>
        <w:t xml:space="preserve">An Act to provide for the control, prevention, and destruction of Argentine ants; to repeal the </w:t>
      </w:r>
      <w:r>
        <w:rPr>
          <w:i/>
          <w:snapToGrid w:val="0"/>
        </w:rPr>
        <w:t>Argentine Ant Act 1959</w:t>
      </w:r>
      <w:r>
        <w:rPr>
          <w:snapToGrid w:val="0"/>
        </w:rPr>
        <w:t xml:space="preserve"> and for incidental and other purposes. </w:t>
      </w:r>
    </w:p>
    <w:p>
      <w:pPr>
        <w:pStyle w:val="Heading5"/>
        <w:rPr>
          <w:snapToGrid w:val="0"/>
        </w:rPr>
      </w:pPr>
      <w:bookmarkStart w:id="2" w:name="_Toc411400313"/>
      <w:bookmarkStart w:id="3" w:name="_Toc4378441"/>
      <w:bookmarkStart w:id="4" w:name="_Toc4378523"/>
      <w:bookmarkStart w:id="5" w:name="_Toc102725243"/>
      <w:bookmarkStart w:id="6" w:name="_Toc15559162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pPr>
        <w:pStyle w:val="Heading5"/>
        <w:rPr>
          <w:snapToGrid w:val="0"/>
        </w:rPr>
      </w:pPr>
      <w:bookmarkStart w:id="7" w:name="_Toc411400314"/>
      <w:bookmarkStart w:id="8" w:name="_Toc4378442"/>
      <w:bookmarkStart w:id="9" w:name="_Toc4378524"/>
      <w:bookmarkStart w:id="10" w:name="_Toc102725244"/>
      <w:bookmarkStart w:id="11" w:name="_Toc15559162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2" w:name="_Toc411400315"/>
      <w:bookmarkStart w:id="13" w:name="_Toc4378443"/>
      <w:bookmarkStart w:id="14" w:name="_Toc4378525"/>
      <w:bookmarkStart w:id="15" w:name="_Toc102725245"/>
      <w:bookmarkStart w:id="16" w:name="_Toc155591625"/>
      <w:r>
        <w:rPr>
          <w:rStyle w:val="CharSectno"/>
        </w:rPr>
        <w:t>3</w:t>
      </w:r>
      <w:r>
        <w:rPr>
          <w:snapToGrid w:val="0"/>
        </w:rPr>
        <w:t>.</w:t>
      </w:r>
      <w:r>
        <w:rPr>
          <w:snapToGrid w:val="0"/>
        </w:rPr>
        <w:tab/>
        <w:t>Repeal</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pPr>
        <w:pStyle w:val="Heading5"/>
        <w:rPr>
          <w:snapToGrid w:val="0"/>
        </w:rPr>
      </w:pPr>
      <w:bookmarkStart w:id="17" w:name="_Toc411400316"/>
      <w:bookmarkStart w:id="18" w:name="_Toc4378444"/>
      <w:bookmarkStart w:id="19" w:name="_Toc4378526"/>
      <w:bookmarkStart w:id="20" w:name="_Toc102725246"/>
      <w:bookmarkStart w:id="21" w:name="_Toc155591626"/>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ants</w:t>
      </w:r>
      <w:r>
        <w:rPr>
          <w:b/>
        </w:rPr>
        <w:t>”</w:t>
      </w:r>
      <w:r>
        <w:t xml:space="preserve"> means Argentine ants;</w:t>
      </w:r>
    </w:p>
    <w:p>
      <w:pPr>
        <w:pStyle w:val="Defstart"/>
      </w:pPr>
      <w:r>
        <w:rPr>
          <w:b/>
        </w:rPr>
        <w:tab/>
        <w:t>“</w:t>
      </w:r>
      <w:r>
        <w:rPr>
          <w:rStyle w:val="CharDefText"/>
        </w:rPr>
        <w:t>authorised person</w:t>
      </w:r>
      <w:r>
        <w:rPr>
          <w:b/>
        </w:rPr>
        <w:t>”</w:t>
      </w:r>
      <w:r>
        <w:t xml:space="preserve"> means a person appointed to be an authorised person under section 7;</w:t>
      </w:r>
    </w:p>
    <w:p>
      <w:pPr>
        <w:pStyle w:val="Defstart"/>
      </w:pPr>
      <w:r>
        <w:rPr>
          <w:b/>
        </w:rPr>
        <w:tab/>
        <w:t>“</w:t>
      </w:r>
      <w:r>
        <w:rPr>
          <w:rStyle w:val="CharDefText"/>
        </w:rPr>
        <w:t>Committee</w:t>
      </w:r>
      <w:r>
        <w:rPr>
          <w:b/>
        </w:rPr>
        <w:t>”</w:t>
      </w:r>
      <w:r>
        <w:t xml:space="preserve"> means The Argentine Ant Control Committee as constituted under the </w:t>
      </w:r>
      <w:r>
        <w:rPr>
          <w:i/>
        </w:rPr>
        <w:t>Argentine Ant Act 1959</w:t>
      </w:r>
      <w:r>
        <w:t>, immediately prior to the coming into operation of this Act;</w:t>
      </w:r>
    </w:p>
    <w:p>
      <w:pPr>
        <w:pStyle w:val="Defstart"/>
      </w:pPr>
      <w:r>
        <w:rPr>
          <w:b/>
        </w:rPr>
        <w:tab/>
        <w:t>“</w:t>
      </w:r>
      <w:r>
        <w:rPr>
          <w:rStyle w:val="CharDefText"/>
        </w:rPr>
        <w:t>Fund</w:t>
      </w:r>
      <w:r>
        <w:rPr>
          <w:b/>
        </w:rPr>
        <w:t>”</w:t>
      </w:r>
      <w:r>
        <w:t xml:space="preserve"> means The Argentine Ant Control Committee Fund maintained under the </w:t>
      </w:r>
      <w:r>
        <w:rPr>
          <w:i/>
        </w:rPr>
        <w:t>Argentine Ant Act 1959</w:t>
      </w:r>
      <w:r>
        <w:t>;</w:t>
      </w:r>
    </w:p>
    <w:p>
      <w:pPr>
        <w:pStyle w:val="Defstart"/>
      </w:pPr>
      <w:r>
        <w:rPr>
          <w:b/>
        </w:rPr>
        <w:tab/>
        <w:t>“</w:t>
      </w:r>
      <w:r>
        <w:rPr>
          <w:rStyle w:val="CharDefText"/>
        </w:rPr>
        <w:t>litter</w:t>
      </w:r>
      <w:r>
        <w:rPr>
          <w:b/>
        </w:rPr>
        <w:t>”</w:t>
      </w:r>
      <w:r>
        <w:t xml:space="preserve"> includes refuse, garbage and rank vegetation;</w:t>
      </w:r>
    </w:p>
    <w:p>
      <w:pPr>
        <w:pStyle w:val="Defstart"/>
      </w:pPr>
      <w:r>
        <w:rPr>
          <w:b/>
        </w:rPr>
        <w:tab/>
        <w:t>“</w:t>
      </w:r>
      <w:r>
        <w:rPr>
          <w:rStyle w:val="CharDefText"/>
        </w:rPr>
        <w:t>occupier</w:t>
      </w:r>
      <w:r>
        <w:rPr>
          <w:b/>
        </w:rPr>
        <w:t>”</w:t>
      </w:r>
      <w:r>
        <w:t xml:space="preserve"> has the same meaning as in the </w:t>
      </w:r>
      <w:r>
        <w:rPr>
          <w:i/>
        </w:rPr>
        <w:t>Local Government Act 1995</w:t>
      </w:r>
      <w:r>
        <w:t>;</w:t>
      </w:r>
    </w:p>
    <w:p>
      <w:pPr>
        <w:pStyle w:val="Defstart"/>
      </w:pPr>
      <w:r>
        <w:rPr>
          <w:b/>
        </w:rPr>
        <w:tab/>
        <w:t>“</w:t>
      </w:r>
      <w:r>
        <w:rPr>
          <w:rStyle w:val="CharDefText"/>
        </w:rPr>
        <w:t>owner</w:t>
      </w:r>
      <w:r>
        <w:rPr>
          <w:b/>
        </w:rPr>
        <w:t>”</w:t>
      </w:r>
      <w:r>
        <w:t xml:space="preserve"> has the same meaning as in the </w:t>
      </w:r>
      <w:r>
        <w:rPr>
          <w:i/>
        </w:rPr>
        <w:t>Local Government Act 1995</w:t>
      </w:r>
      <w:r>
        <w:t>;</w:t>
      </w:r>
    </w:p>
    <w:p>
      <w:pPr>
        <w:pStyle w:val="Defstart"/>
      </w:pPr>
      <w:r>
        <w:rPr>
          <w:b/>
        </w:rPr>
        <w:tab/>
        <w:t>“</w:t>
      </w:r>
      <w:r>
        <w:rPr>
          <w:rStyle w:val="CharDefText"/>
        </w:rPr>
        <w:t>treatment</w:t>
      </w:r>
      <w:r>
        <w:rPr>
          <w:b/>
        </w:rPr>
        <w:t>”</w:t>
      </w:r>
      <w:r>
        <w:t xml:space="preserve"> means any manner of treatment having as its object the control, prevention or destruction of ants, and includes the application by spraying, and laying of baits, of substances which destroy ants.</w:t>
      </w:r>
    </w:p>
    <w:p>
      <w:pPr>
        <w:pStyle w:val="Footnotesection"/>
      </w:pPr>
      <w:r>
        <w:tab/>
        <w:t xml:space="preserve">[Section 4 amended by No. 14 of 1996 s. 4.] </w:t>
      </w:r>
    </w:p>
    <w:p>
      <w:pPr>
        <w:pStyle w:val="Heading5"/>
        <w:rPr>
          <w:snapToGrid w:val="0"/>
        </w:rPr>
      </w:pPr>
      <w:bookmarkStart w:id="22" w:name="_Toc411400317"/>
      <w:bookmarkStart w:id="23" w:name="_Toc4378445"/>
      <w:bookmarkStart w:id="24" w:name="_Toc4378527"/>
      <w:bookmarkStart w:id="25" w:name="_Toc102725247"/>
      <w:bookmarkStart w:id="26" w:name="_Toc155591627"/>
      <w:r>
        <w:rPr>
          <w:rStyle w:val="CharSectno"/>
        </w:rPr>
        <w:t>5</w:t>
      </w:r>
      <w:r>
        <w:rPr>
          <w:snapToGrid w:val="0"/>
        </w:rPr>
        <w:t>.</w:t>
      </w:r>
      <w:r>
        <w:rPr>
          <w:snapToGrid w:val="0"/>
        </w:rPr>
        <w:tab/>
        <w:t>Minister to be body corporate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pPr>
        <w:pStyle w:val="Heading5"/>
        <w:rPr>
          <w:snapToGrid w:val="0"/>
        </w:rPr>
      </w:pPr>
      <w:bookmarkStart w:id="27" w:name="_Toc411400318"/>
      <w:bookmarkStart w:id="28" w:name="_Toc4378446"/>
      <w:bookmarkStart w:id="29" w:name="_Toc4378528"/>
      <w:bookmarkStart w:id="30" w:name="_Toc102725248"/>
      <w:bookmarkStart w:id="31" w:name="_Toc155591628"/>
      <w:r>
        <w:rPr>
          <w:rStyle w:val="CharSectno"/>
        </w:rPr>
        <w:t>6</w:t>
      </w:r>
      <w:r>
        <w:rPr>
          <w:snapToGrid w:val="0"/>
        </w:rPr>
        <w:t>.</w:t>
      </w:r>
      <w:r>
        <w:rPr>
          <w:snapToGrid w:val="0"/>
        </w:rPr>
        <w:tab/>
        <w:t>Functions of Minister</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this Act, the functions of the Minister include — </w:t>
      </w:r>
    </w:p>
    <w:p>
      <w:pPr>
        <w:pStyle w:val="Indenta"/>
        <w:rPr>
          <w:snapToGrid w:val="0"/>
        </w:rPr>
      </w:pPr>
      <w:r>
        <w:rPr>
          <w:snapToGrid w:val="0"/>
        </w:rPr>
        <w:tab/>
        <w:t>(a)</w:t>
      </w:r>
      <w:r>
        <w:rPr>
          <w:snapToGrid w:val="0"/>
        </w:rPr>
        <w:tab/>
        <w:t>the control and direction of the treatment and eradication of ants;</w:t>
      </w:r>
    </w:p>
    <w:p>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pPr>
        <w:pStyle w:val="Indenta"/>
        <w:rPr>
          <w:snapToGrid w:val="0"/>
        </w:rPr>
      </w:pPr>
      <w:r>
        <w:rPr>
          <w:snapToGrid w:val="0"/>
        </w:rPr>
        <w:tab/>
        <w:t>(b)</w:t>
      </w:r>
      <w:r>
        <w:rPr>
          <w:snapToGrid w:val="0"/>
        </w:rPr>
        <w:tab/>
        <w:t>vary or revoke any delegation made by him; and</w:t>
      </w:r>
    </w:p>
    <w:p>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pPr>
        <w:pStyle w:val="Footnotesection"/>
      </w:pPr>
      <w:r>
        <w:tab/>
        <w:t xml:space="preserve">[Section 6 amended by No. 32 of 1994 s. 3(1); No. 14 of 1996 s. 4.] </w:t>
      </w:r>
    </w:p>
    <w:p>
      <w:pPr>
        <w:pStyle w:val="Heading5"/>
        <w:rPr>
          <w:snapToGrid w:val="0"/>
        </w:rPr>
      </w:pPr>
      <w:bookmarkStart w:id="32" w:name="_Toc411400319"/>
      <w:bookmarkStart w:id="33" w:name="_Toc4378447"/>
      <w:bookmarkStart w:id="34" w:name="_Toc4378529"/>
      <w:bookmarkStart w:id="35" w:name="_Toc102725249"/>
      <w:bookmarkStart w:id="36" w:name="_Toc155591629"/>
      <w:r>
        <w:rPr>
          <w:rStyle w:val="CharSectno"/>
        </w:rPr>
        <w:t>7</w:t>
      </w:r>
      <w:r>
        <w:rPr>
          <w:snapToGrid w:val="0"/>
        </w:rPr>
        <w:t>.</w:t>
      </w:r>
      <w:r>
        <w:rPr>
          <w:snapToGrid w:val="0"/>
        </w:rPr>
        <w:tab/>
        <w:t>Appointment of authorised persons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Minister or his delegate may appoint such persons as he thinks fit to be authorised persons for the purposes of this Act.</w:t>
      </w:r>
    </w:p>
    <w:p>
      <w:pPr>
        <w:pStyle w:val="Heading5"/>
        <w:rPr>
          <w:snapToGrid w:val="0"/>
        </w:rPr>
      </w:pPr>
      <w:bookmarkStart w:id="37" w:name="_Toc411400320"/>
      <w:bookmarkStart w:id="38" w:name="_Toc4378448"/>
      <w:bookmarkStart w:id="39" w:name="_Toc4378530"/>
      <w:bookmarkStart w:id="40" w:name="_Toc102725250"/>
      <w:bookmarkStart w:id="41" w:name="_Toc155591630"/>
      <w:r>
        <w:rPr>
          <w:rStyle w:val="CharSectno"/>
        </w:rPr>
        <w:t>8</w:t>
      </w:r>
      <w:r>
        <w:rPr>
          <w:snapToGrid w:val="0"/>
        </w:rPr>
        <w:t>.</w:t>
      </w:r>
      <w:r>
        <w:rPr>
          <w:snapToGrid w:val="0"/>
        </w:rPr>
        <w:tab/>
        <w:t>Vesting of property</w:t>
      </w:r>
      <w:bookmarkEnd w:id="37"/>
      <w:bookmarkEnd w:id="38"/>
      <w:bookmarkEnd w:id="39"/>
      <w:bookmarkEnd w:id="40"/>
      <w:bookmarkEnd w:id="41"/>
      <w:r>
        <w:rPr>
          <w:snapToGrid w:val="0"/>
        </w:rPr>
        <w:t xml:space="preserve"> </w:t>
      </w:r>
    </w:p>
    <w:p>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pPr>
        <w:pStyle w:val="Subsection"/>
        <w:rPr>
          <w:snapToGrid w:val="0"/>
        </w:rPr>
      </w:pPr>
      <w:r>
        <w:rPr>
          <w:snapToGrid w:val="0"/>
        </w:rPr>
        <w:tab/>
        <w:t>(3)</w:t>
      </w:r>
      <w:r>
        <w:rPr>
          <w:snapToGrid w:val="0"/>
        </w:rPr>
        <w:tab/>
        <w:t>The Minister shall credit to the Consolidated Fund — </w:t>
      </w:r>
    </w:p>
    <w:p>
      <w:pPr>
        <w:pStyle w:val="Indenta"/>
        <w:rPr>
          <w:snapToGrid w:val="0"/>
        </w:rPr>
      </w:pPr>
      <w:r>
        <w:rPr>
          <w:snapToGrid w:val="0"/>
        </w:rPr>
        <w:tab/>
        <w:t>(a)</w:t>
      </w:r>
      <w:r>
        <w:rPr>
          <w:snapToGrid w:val="0"/>
        </w:rPr>
        <w:tab/>
        <w:t>any money that results from such disposal or sale and apply the money for the purposes of this Act; and</w:t>
      </w:r>
    </w:p>
    <w:p>
      <w:pPr>
        <w:pStyle w:val="Indenta"/>
        <w:rPr>
          <w:snapToGrid w:val="0"/>
        </w:rPr>
      </w:pPr>
      <w:r>
        <w:rPr>
          <w:snapToGrid w:val="0"/>
        </w:rPr>
        <w:tab/>
        <w:t>(b)</w:t>
      </w:r>
      <w:r>
        <w:rPr>
          <w:snapToGrid w:val="0"/>
        </w:rPr>
        <w:tab/>
        <w:t>the moneys standing to the credit of the Fund on the coming into operation of this Act.</w:t>
      </w:r>
    </w:p>
    <w:p>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pPr>
        <w:pStyle w:val="Footnotesection"/>
      </w:pPr>
      <w:r>
        <w:tab/>
        <w:t>[Section 8 amended by No. 6 of 1993 s. 11; No. 49 of 1996 s. 64.]</w:t>
      </w:r>
    </w:p>
    <w:p>
      <w:pPr>
        <w:pStyle w:val="Heading5"/>
        <w:spacing w:before="120"/>
        <w:rPr>
          <w:snapToGrid w:val="0"/>
        </w:rPr>
      </w:pPr>
      <w:bookmarkStart w:id="42" w:name="_Toc411400321"/>
      <w:bookmarkStart w:id="43" w:name="_Toc4378449"/>
      <w:bookmarkStart w:id="44" w:name="_Toc4378531"/>
      <w:bookmarkStart w:id="45" w:name="_Toc102725251"/>
      <w:bookmarkStart w:id="46" w:name="_Toc155591631"/>
      <w:r>
        <w:rPr>
          <w:rStyle w:val="CharSectno"/>
        </w:rPr>
        <w:t>9</w:t>
      </w:r>
      <w:r>
        <w:rPr>
          <w:snapToGrid w:val="0"/>
        </w:rPr>
        <w:t>.</w:t>
      </w:r>
      <w:r>
        <w:rPr>
          <w:snapToGrid w:val="0"/>
        </w:rPr>
        <w:tab/>
        <w:t>Minister may give certain notices by advertisement</w:t>
      </w:r>
      <w:bookmarkEnd w:id="42"/>
      <w:bookmarkEnd w:id="43"/>
      <w:bookmarkEnd w:id="44"/>
      <w:bookmarkEnd w:id="45"/>
      <w:bookmarkEnd w:id="46"/>
      <w:r>
        <w:rPr>
          <w:snapToGrid w:val="0"/>
        </w:rPr>
        <w:t xml:space="preserve"> </w:t>
      </w:r>
    </w:p>
    <w:p>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pPr>
        <w:pStyle w:val="Heading5"/>
        <w:rPr>
          <w:snapToGrid w:val="0"/>
        </w:rPr>
      </w:pPr>
      <w:bookmarkStart w:id="47" w:name="_Toc411400322"/>
      <w:bookmarkStart w:id="48" w:name="_Toc4378450"/>
      <w:bookmarkStart w:id="49" w:name="_Toc4378532"/>
      <w:bookmarkStart w:id="50" w:name="_Toc102725252"/>
      <w:bookmarkStart w:id="51" w:name="_Toc155591632"/>
      <w:r>
        <w:rPr>
          <w:rStyle w:val="CharSectno"/>
        </w:rPr>
        <w:t>10</w:t>
      </w:r>
      <w:r>
        <w:rPr>
          <w:snapToGrid w:val="0"/>
        </w:rPr>
        <w:t>.</w:t>
      </w:r>
      <w:r>
        <w:rPr>
          <w:snapToGrid w:val="0"/>
        </w:rPr>
        <w:tab/>
        <w:t>Power of person authorised by Minister to enter and treat premises</w:t>
      </w:r>
      <w:bookmarkEnd w:id="47"/>
      <w:bookmarkEnd w:id="48"/>
      <w:bookmarkEnd w:id="49"/>
      <w:bookmarkEnd w:id="50"/>
      <w:bookmarkEnd w:id="51"/>
      <w:r>
        <w:rPr>
          <w:snapToGrid w:val="0"/>
        </w:rPr>
        <w:t xml:space="preserve"> </w:t>
      </w:r>
    </w:p>
    <w:p>
      <w:pPr>
        <w:pStyle w:val="Subsection"/>
        <w:keepNext/>
        <w:spacing w:before="120"/>
        <w:rPr>
          <w:snapToGrid w:val="0"/>
        </w:rPr>
      </w:pPr>
      <w:r>
        <w:rPr>
          <w:snapToGrid w:val="0"/>
        </w:rPr>
        <w:tab/>
        <w:t>(1)</w:t>
      </w:r>
      <w:r>
        <w:rPr>
          <w:snapToGrid w:val="0"/>
        </w:rPr>
        <w:tab/>
        <w:t>An authorised person with or without assistants, plant and materials, may — </w:t>
      </w:r>
    </w:p>
    <w:p>
      <w:pPr>
        <w:pStyle w:val="Indenta"/>
        <w:rPr>
          <w:snapToGrid w:val="0"/>
        </w:rPr>
      </w:pPr>
      <w:r>
        <w:rPr>
          <w:snapToGrid w:val="0"/>
        </w:rPr>
        <w:tab/>
        <w:t>(a)</w:t>
      </w:r>
      <w:r>
        <w:rPr>
          <w:snapToGrid w:val="0"/>
        </w:rPr>
        <w:tab/>
        <w:t>lawfully enter premises;</w:t>
      </w:r>
    </w:p>
    <w:p>
      <w:pPr>
        <w:pStyle w:val="Indenta"/>
        <w:rPr>
          <w:snapToGrid w:val="0"/>
        </w:rPr>
      </w:pPr>
      <w:r>
        <w:rPr>
          <w:snapToGrid w:val="0"/>
        </w:rPr>
        <w:tab/>
        <w:t>(b)</w:t>
      </w:r>
      <w:r>
        <w:rPr>
          <w:snapToGrid w:val="0"/>
        </w:rPr>
        <w:tab/>
        <w:t>inspect the premises and anything in or upon them for the purpose of detecting ants;</w:t>
      </w:r>
    </w:p>
    <w:p>
      <w:pPr>
        <w:pStyle w:val="Indenta"/>
        <w:rPr>
          <w:snapToGrid w:val="0"/>
        </w:rPr>
      </w:pPr>
      <w:r>
        <w:rPr>
          <w:snapToGrid w:val="0"/>
        </w:rPr>
        <w:tab/>
        <w:t>(c)</w:t>
      </w:r>
      <w:r>
        <w:rPr>
          <w:snapToGrid w:val="0"/>
        </w:rPr>
        <w:tab/>
        <w:t>rid the premises, or by written notice served upon him, require the owner or occupier to rid the premises of litter;</w:t>
      </w:r>
    </w:p>
    <w:p>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pPr>
        <w:pStyle w:val="Heading5"/>
        <w:rPr>
          <w:snapToGrid w:val="0"/>
        </w:rPr>
      </w:pPr>
      <w:bookmarkStart w:id="52" w:name="_Toc411400323"/>
      <w:bookmarkStart w:id="53" w:name="_Toc4378451"/>
      <w:bookmarkStart w:id="54" w:name="_Toc4378533"/>
      <w:bookmarkStart w:id="55" w:name="_Toc102725253"/>
      <w:bookmarkStart w:id="56" w:name="_Toc155591633"/>
      <w:r>
        <w:rPr>
          <w:rStyle w:val="CharSectno"/>
        </w:rPr>
        <w:t>11</w:t>
      </w:r>
      <w:r>
        <w:rPr>
          <w:snapToGrid w:val="0"/>
        </w:rPr>
        <w:t>.</w:t>
      </w:r>
      <w:r>
        <w:rPr>
          <w:snapToGrid w:val="0"/>
        </w:rPr>
        <w:tab/>
        <w:t>Persons acting in good faith are not liable personally</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pPr>
        <w:pStyle w:val="Heading5"/>
        <w:rPr>
          <w:snapToGrid w:val="0"/>
        </w:rPr>
      </w:pPr>
      <w:bookmarkStart w:id="57" w:name="_Toc411400324"/>
      <w:bookmarkStart w:id="58" w:name="_Toc4378452"/>
      <w:bookmarkStart w:id="59" w:name="_Toc4378534"/>
      <w:bookmarkStart w:id="60" w:name="_Toc102725254"/>
      <w:bookmarkStart w:id="61" w:name="_Toc155591634"/>
      <w:r>
        <w:rPr>
          <w:rStyle w:val="CharSectno"/>
        </w:rPr>
        <w:t>12</w:t>
      </w:r>
      <w:r>
        <w:rPr>
          <w:snapToGrid w:val="0"/>
        </w:rPr>
        <w:t>.</w:t>
      </w:r>
      <w:r>
        <w:rPr>
          <w:snapToGrid w:val="0"/>
        </w:rPr>
        <w:tab/>
        <w:t>Obstruction is an offence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pPr>
        <w:pStyle w:val="Heading5"/>
        <w:rPr>
          <w:snapToGrid w:val="0"/>
        </w:rPr>
      </w:pPr>
      <w:bookmarkStart w:id="62" w:name="_Toc411400325"/>
      <w:bookmarkStart w:id="63" w:name="_Toc4378453"/>
      <w:bookmarkStart w:id="64" w:name="_Toc4378535"/>
      <w:bookmarkStart w:id="65" w:name="_Toc102725255"/>
      <w:bookmarkStart w:id="66" w:name="_Toc155591635"/>
      <w:r>
        <w:rPr>
          <w:rStyle w:val="CharSectno"/>
        </w:rPr>
        <w:t>13</w:t>
      </w:r>
      <w:r>
        <w:rPr>
          <w:snapToGrid w:val="0"/>
        </w:rPr>
        <w:t>.</w:t>
      </w:r>
      <w:r>
        <w:rPr>
          <w:snapToGrid w:val="0"/>
        </w:rPr>
        <w:tab/>
        <w:t>Offences generally</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pPr>
        <w:pStyle w:val="Heading5"/>
        <w:rPr>
          <w:snapToGrid w:val="0"/>
        </w:rPr>
      </w:pPr>
      <w:bookmarkStart w:id="67" w:name="_Toc411400326"/>
      <w:bookmarkStart w:id="68" w:name="_Toc4378454"/>
      <w:bookmarkStart w:id="69" w:name="_Toc4378536"/>
      <w:bookmarkStart w:id="70" w:name="_Toc102725256"/>
      <w:bookmarkStart w:id="71" w:name="_Toc155591636"/>
      <w:r>
        <w:rPr>
          <w:rStyle w:val="CharSectno"/>
        </w:rPr>
        <w:t>14</w:t>
      </w:r>
      <w:r>
        <w:rPr>
          <w:snapToGrid w:val="0"/>
        </w:rPr>
        <w:t>.</w:t>
      </w:r>
      <w:r>
        <w:rPr>
          <w:snapToGrid w:val="0"/>
        </w:rPr>
        <w:tab/>
        <w:t>Penalties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$2 000; and</w:t>
      </w:r>
    </w:p>
    <w:p>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pPr>
        <w:pStyle w:val="Footnotesection"/>
      </w:pPr>
      <w:r>
        <w:tab/>
        <w:t>[Section 14 amended by No. 20 of 1989 s. 3.]</w:t>
      </w:r>
    </w:p>
    <w:p>
      <w:pPr>
        <w:pStyle w:val="Heading5"/>
        <w:rPr>
          <w:snapToGrid w:val="0"/>
        </w:rPr>
      </w:pPr>
      <w:bookmarkStart w:id="72" w:name="_Toc411400327"/>
      <w:bookmarkStart w:id="73" w:name="_Toc4378455"/>
      <w:bookmarkStart w:id="74" w:name="_Toc4378537"/>
      <w:bookmarkStart w:id="75" w:name="_Toc102725257"/>
      <w:bookmarkStart w:id="76" w:name="_Toc155591637"/>
      <w:r>
        <w:rPr>
          <w:rStyle w:val="CharSectno"/>
        </w:rPr>
        <w:t>15</w:t>
      </w:r>
      <w:r>
        <w:rPr>
          <w:snapToGrid w:val="0"/>
        </w:rPr>
        <w:t>.</w:t>
      </w:r>
      <w:r>
        <w:rPr>
          <w:snapToGrid w:val="0"/>
        </w:rPr>
        <w:tab/>
        <w:t>Proof of ownership or occupancy</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addition to other methods of proof available, production — </w:t>
      </w:r>
    </w:p>
    <w:p>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pPr>
        <w:pStyle w:val="Indenta"/>
        <w:rPr>
          <w:snapToGrid w:val="0"/>
        </w:rPr>
      </w:pPr>
      <w:r>
        <w:rPr>
          <w:snapToGrid w:val="0"/>
        </w:rPr>
        <w:tab/>
        <w:t>(b)</w:t>
      </w:r>
      <w:r>
        <w:rPr>
          <w:snapToGrid w:val="0"/>
        </w:rPr>
        <w:tab/>
        <w:t>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premises; or</w:t>
      </w:r>
    </w:p>
    <w:p>
      <w:pPr>
        <w:pStyle w:val="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Subsection"/>
        <w:rPr>
          <w:snapToGrid w:val="0"/>
        </w:rPr>
      </w:pPr>
      <w:r>
        <w:tab/>
      </w:r>
      <w:r>
        <w:tab/>
        <w:t>is, until the contrary is proved, evidence that the person is the owner, lessee or occupier, as the case may be, of the premises.</w:t>
      </w:r>
    </w:p>
    <w:p>
      <w:pPr>
        <w:pStyle w:val="Subsection"/>
        <w:rPr>
          <w:snapToGrid w:val="0"/>
        </w:rPr>
      </w:pPr>
      <w:r>
        <w:rPr>
          <w:snapToGrid w:val="0"/>
        </w:rPr>
        <w:tab/>
        <w:t>(2)</w:t>
      </w:r>
      <w:r>
        <w:rPr>
          <w:snapToGrid w:val="0"/>
        </w:rPr>
        <w:tab/>
        <w:t>Courts and persons having authority to hear, receive and examine evidence shall, for the purposes of this Act,</w:t>
      </w:r>
    </w:p>
    <w:p>
      <w:pPr>
        <w:pStyle w:val="Indenta"/>
        <w:rPr>
          <w:snapToGrid w:val="0"/>
        </w:rPr>
      </w:pPr>
      <w:r>
        <w:rPr>
          <w:snapToGrid w:val="0"/>
        </w:rPr>
        <w:tab/>
        <w:t>(a)</w:t>
      </w:r>
      <w:r>
        <w:rPr>
          <w:snapToGrid w:val="0"/>
        </w:rPr>
        <w:tab/>
        <w:t>take judicial notice of a certificate and signature mentioned in subsection (1); and</w:t>
      </w:r>
    </w:p>
    <w:p>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pPr>
        <w:pStyle w:val="Footnotesection"/>
      </w:pPr>
      <w:r>
        <w:tab/>
        <w:t xml:space="preserve">[Section 15 amended by No. 14 of 1996 s. 4; No. 81 of 1996 s. 153(1); No. 84 of 2004 s. 79; No. 60 of 2006 s. 125.] </w:t>
      </w:r>
    </w:p>
    <w:p>
      <w:pPr>
        <w:pStyle w:val="Heading5"/>
        <w:rPr>
          <w:snapToGrid w:val="0"/>
        </w:rPr>
      </w:pPr>
      <w:bookmarkStart w:id="77" w:name="_Toc411400328"/>
      <w:bookmarkStart w:id="78" w:name="_Toc4378456"/>
      <w:bookmarkStart w:id="79" w:name="_Toc4378538"/>
      <w:bookmarkStart w:id="80" w:name="_Toc102725258"/>
      <w:bookmarkStart w:id="81" w:name="_Toc155591638"/>
      <w:r>
        <w:rPr>
          <w:rStyle w:val="CharSectno"/>
        </w:rPr>
        <w:t>16</w:t>
      </w:r>
      <w:r>
        <w:rPr>
          <w:snapToGrid w:val="0"/>
        </w:rPr>
        <w:t>.</w:t>
      </w:r>
      <w:r>
        <w:rPr>
          <w:snapToGrid w:val="0"/>
        </w:rPr>
        <w:tab/>
        <w:t>Regulations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pPr>
        <w:pStyle w:val="Subsection"/>
        <w:rPr>
          <w:snapToGrid w:val="0"/>
        </w:rPr>
      </w:pPr>
      <w:r>
        <w:rPr>
          <w:snapToGrid w:val="0"/>
        </w:rPr>
        <w:tab/>
        <w:t>(2)</w:t>
      </w:r>
      <w:r>
        <w:rPr>
          <w:snapToGrid w:val="0"/>
        </w:rPr>
        <w:tab/>
        <w:t>Without affecting the generality of the power conferred by subsection (1), the Governor by the regulations — </w:t>
      </w:r>
    </w:p>
    <w:p>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pPr>
        <w:pStyle w:val="Footnotesection"/>
      </w:pPr>
      <w:r>
        <w:tab/>
        <w:t>[Section 16 amended by No. 20 of 1989 s. 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82" w:name="_Toc95644955"/>
      <w:bookmarkStart w:id="83" w:name="_Toc95644995"/>
      <w:bookmarkStart w:id="84" w:name="_Toc96921415"/>
      <w:bookmarkStart w:id="85" w:name="_Toc102725259"/>
      <w:bookmarkStart w:id="86" w:name="_Toc151787882"/>
      <w:bookmarkStart w:id="87" w:name="_Toc151788134"/>
      <w:bookmarkStart w:id="88" w:name="_Toc155591639"/>
      <w:r>
        <w:t>Notes</w:t>
      </w:r>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previous reprint.</w:t>
      </w:r>
    </w:p>
    <w:p>
      <w:pPr>
        <w:pStyle w:val="nHeading3"/>
        <w:rPr>
          <w:snapToGrid w:val="0"/>
        </w:rPr>
      </w:pPr>
      <w:bookmarkStart w:id="89" w:name="_Toc102725260"/>
      <w:bookmarkStart w:id="90" w:name="_Toc155591640"/>
      <w:r>
        <w:rPr>
          <w:snapToGrid w:val="0"/>
        </w:rPr>
        <w:t>Compilation table</w:t>
      </w:r>
      <w:bookmarkEnd w:id="89"/>
      <w:bookmarkEnd w:id="9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Argentine Ant Act 1968</w:t>
            </w:r>
          </w:p>
        </w:tc>
        <w:tc>
          <w:tcPr>
            <w:tcW w:w="1134" w:type="dxa"/>
          </w:tcPr>
          <w:p>
            <w:pPr>
              <w:pStyle w:val="nTable"/>
              <w:spacing w:before="120"/>
              <w:rPr>
                <w:sz w:val="19"/>
              </w:rPr>
            </w:pPr>
            <w:r>
              <w:rPr>
                <w:sz w:val="19"/>
              </w:rPr>
              <w:t>36 of 1968</w:t>
            </w:r>
          </w:p>
        </w:tc>
        <w:tc>
          <w:tcPr>
            <w:tcW w:w="1134" w:type="dxa"/>
          </w:tcPr>
          <w:p>
            <w:pPr>
              <w:pStyle w:val="nTable"/>
              <w:spacing w:before="120"/>
              <w:rPr>
                <w:sz w:val="19"/>
              </w:rPr>
            </w:pPr>
            <w:r>
              <w:rPr>
                <w:sz w:val="19"/>
              </w:rPr>
              <w:t>4 Nov 1968</w:t>
            </w:r>
          </w:p>
        </w:tc>
        <w:tc>
          <w:tcPr>
            <w:tcW w:w="2552" w:type="dxa"/>
          </w:tcPr>
          <w:p>
            <w:pPr>
              <w:pStyle w:val="nTable"/>
              <w:spacing w:before="120"/>
              <w:rPr>
                <w:sz w:val="19"/>
              </w:rPr>
            </w:pPr>
            <w:r>
              <w:rPr>
                <w:sz w:val="19"/>
              </w:rPr>
              <w:t xml:space="preserve">1 Jan 1969 (see s. 2 and </w:t>
            </w:r>
            <w:r>
              <w:rPr>
                <w:i/>
                <w:sz w:val="19"/>
              </w:rPr>
              <w:t>Gazette</w:t>
            </w:r>
            <w:r>
              <w:rPr>
                <w:sz w:val="19"/>
              </w:rPr>
              <w:t xml:space="preserve"> 24 Dec 1968 p. 3920)</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3(1)</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40"/>
              <w:ind w:right="113"/>
              <w:rPr>
                <w:sz w:val="19"/>
              </w:rPr>
            </w:pPr>
            <w:r>
              <w:rPr>
                <w:i/>
                <w:sz w:val="19"/>
              </w:rPr>
              <w:t>Transfer of Land Amendment Act 1996</w:t>
            </w:r>
            <w:r>
              <w:rPr>
                <w:sz w:val="19"/>
              </w:rPr>
              <w:t xml:space="preserve"> 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trPr>
          <w:cantSplit/>
        </w:trPr>
        <w:tc>
          <w:tcPr>
            <w:tcW w:w="2268" w:type="dxa"/>
          </w:tcPr>
          <w:p>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 </w:t>
            </w:r>
            <w:r>
              <w:rPr>
                <w:snapToGrid w:val="0"/>
                <w:sz w:val="19"/>
                <w:vertAlign w:val="superscript"/>
                <w:lang w:val="en-US"/>
              </w:rPr>
              <w:t>4</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before="120"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125 </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before="120"/>
              <w:rPr>
                <w:sz w:val="19"/>
              </w:rPr>
            </w:pPr>
            <w:r>
              <w:rPr>
                <w:snapToGrid w:val="0"/>
                <w:sz w:val="19"/>
                <w:lang w:val="en-US"/>
              </w:rPr>
              <w:t>16 Nov 2006</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 w:name="_Toc534778309"/>
      <w:bookmarkStart w:id="92" w:name="_Toc7405063"/>
      <w:bookmarkStart w:id="93" w:name="_Toc155591641"/>
      <w:r>
        <w:rPr>
          <w:snapToGrid w:val="0"/>
        </w:rPr>
        <w:t>Provisions that have not come into operation</w:t>
      </w:r>
      <w:bookmarkEnd w:id="91"/>
      <w:bookmarkEnd w:id="92"/>
      <w:bookmarkEnd w:id="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w:t>
            </w:r>
            <w:r>
              <w:rPr>
                <w:iCs/>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the names of departments can be changed. At the time of this reprint the former Department of Lands and Surveys is called the Department of Land Administration and its administrative head is called the Chief Executive.</w:t>
      </w:r>
    </w:p>
    <w:p>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reprint the former Department of Mines is called the Department of Mineral and Petroleum Resources.</w:t>
      </w:r>
    </w:p>
    <w:p>
      <w:pPr>
        <w:pStyle w:val="nSubsection"/>
        <w:rPr>
          <w:snapToGrid w:val="0"/>
        </w:rPr>
      </w:pPr>
      <w:bookmarkStart w:id="94" w:name="_Hlt63842594"/>
      <w:bookmarkEnd w:id="94"/>
      <w:r>
        <w:rPr>
          <w:vertAlign w:val="superscript"/>
        </w:rPr>
        <w:t>4</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w:t>
      </w:r>
      <w:r>
        <w:rPr>
          <w:snapToGrid w:val="0"/>
          <w:lang w:val="en-US"/>
        </w:rPr>
        <w:t xml:space="preserve"> had</w:t>
      </w:r>
      <w:r>
        <w:rPr>
          <w:snapToGrid w:val="0"/>
        </w:rPr>
        <w:t xml:space="preserve"> not come into operation.  It reads as follows:</w:t>
      </w:r>
    </w:p>
    <w:p>
      <w:pPr>
        <w:pStyle w:val="MiscOpen"/>
        <w:rPr>
          <w:snapToGrid w:val="0"/>
        </w:rPr>
      </w:pPr>
      <w:r>
        <w:rPr>
          <w:snapToGrid w:val="0"/>
        </w:rPr>
        <w:t>“</w:t>
      </w:r>
    </w:p>
    <w:p>
      <w:pPr>
        <w:pStyle w:val="nzHeading5"/>
      </w:pPr>
      <w:bookmarkStart w:id="95" w:name="_Toc112559522"/>
      <w:bookmarkStart w:id="96" w:name="_Toc154313263"/>
      <w:bookmarkStart w:id="97" w:name="_Toc154556176"/>
      <w:r>
        <w:rPr>
          <w:rStyle w:val="CharSectno"/>
        </w:rPr>
        <w:t>4</w:t>
      </w:r>
      <w:r>
        <w:t>.</w:t>
      </w:r>
      <w:r>
        <w:tab/>
        <w:t>References to “Consolidated Fund” changed to “Consolidated Account”</w:t>
      </w:r>
      <w:bookmarkEnd w:id="95"/>
      <w:bookmarkEnd w:id="96"/>
      <w:bookmarkEnd w:id="97"/>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Argentine Ant Act 1968</w:t>
            </w:r>
          </w:p>
        </w:tc>
        <w:tc>
          <w:tcPr>
            <w:tcW w:w="1213" w:type="dxa"/>
          </w:tcPr>
          <w:p>
            <w:pPr>
              <w:pStyle w:val="nzTable"/>
            </w:pPr>
            <w:r>
              <w:t>s. 8(3)</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98" w:name="_Toc112660518"/>
      <w:bookmarkStart w:id="99" w:name="_Toc112663622"/>
      <w:bookmarkStart w:id="100" w:name="_Toc113271868"/>
      <w:bookmarkStart w:id="101" w:name="_Toc113275074"/>
      <w:bookmarkStart w:id="102" w:name="_Toc113275539"/>
      <w:bookmarkStart w:id="103" w:name="_Toc119208169"/>
      <w:bookmarkStart w:id="104" w:name="_Toc119208414"/>
      <w:bookmarkStart w:id="105" w:name="_Toc119210162"/>
      <w:bookmarkStart w:id="106" w:name="_Toc119215595"/>
      <w:bookmarkStart w:id="107" w:name="_Toc119217448"/>
      <w:bookmarkStart w:id="108" w:name="_Toc119227738"/>
      <w:bookmarkStart w:id="109" w:name="_Toc119229196"/>
      <w:bookmarkStart w:id="110" w:name="_Toc119234910"/>
      <w:bookmarkStart w:id="111" w:name="_Toc119731288"/>
      <w:bookmarkStart w:id="112" w:name="_Toc119897393"/>
      <w:bookmarkStart w:id="113" w:name="_Toc119904347"/>
      <w:bookmarkStart w:id="114" w:name="_Toc120012756"/>
      <w:bookmarkStart w:id="115" w:name="_Toc120077238"/>
      <w:bookmarkStart w:id="116" w:name="_Toc120514588"/>
      <w:bookmarkStart w:id="117" w:name="_Toc120522454"/>
      <w:bookmarkStart w:id="118" w:name="_Toc120526579"/>
      <w:bookmarkStart w:id="119" w:name="_Toc120527207"/>
      <w:bookmarkStart w:id="120" w:name="_Toc120939269"/>
      <w:bookmarkStart w:id="121" w:name="_Toc121040456"/>
      <w:bookmarkStart w:id="122" w:name="_Toc121047475"/>
      <w:bookmarkStart w:id="123" w:name="_Toc121109338"/>
      <w:bookmarkStart w:id="124" w:name="_Toc121119154"/>
      <w:bookmarkStart w:id="125" w:name="_Toc121130106"/>
      <w:bookmarkStart w:id="126" w:name="_Toc121291809"/>
      <w:bookmarkStart w:id="127" w:name="_Toc121298658"/>
      <w:bookmarkStart w:id="128" w:name="_Toc121649182"/>
      <w:bookmarkStart w:id="129" w:name="_Toc122428439"/>
      <w:bookmarkStart w:id="130" w:name="_Toc122864441"/>
      <w:bookmarkStart w:id="131" w:name="_Toc122942895"/>
      <w:bookmarkStart w:id="132" w:name="_Toc122948322"/>
      <w:bookmarkStart w:id="133" w:name="_Toc123102899"/>
      <w:bookmarkStart w:id="134" w:name="_Toc123115023"/>
      <w:bookmarkStart w:id="135" w:name="_Toc123530921"/>
      <w:bookmarkStart w:id="136" w:name="_Toc123545363"/>
      <w:bookmarkStart w:id="137" w:name="_Toc124306331"/>
      <w:bookmarkStart w:id="138" w:name="_Toc124315415"/>
      <w:bookmarkStart w:id="139" w:name="_Toc125197443"/>
      <w:bookmarkStart w:id="140" w:name="_Toc126993001"/>
      <w:bookmarkStart w:id="141" w:name="_Toc127250498"/>
      <w:bookmarkStart w:id="142" w:name="_Toc127271919"/>
      <w:bookmarkStart w:id="143" w:name="_Toc127332054"/>
      <w:bookmarkStart w:id="144" w:name="_Toc127339705"/>
      <w:bookmarkStart w:id="145" w:name="_Toc127352115"/>
      <w:bookmarkStart w:id="146" w:name="_Toc127591212"/>
      <w:bookmarkStart w:id="147" w:name="_Toc127610339"/>
      <w:bookmarkStart w:id="148" w:name="_Toc127616697"/>
      <w:bookmarkStart w:id="149" w:name="_Toc127685046"/>
      <w:bookmarkStart w:id="150" w:name="_Toc127685536"/>
      <w:bookmarkStart w:id="151" w:name="_Toc127702761"/>
      <w:bookmarkStart w:id="152" w:name="_Toc127762571"/>
      <w:bookmarkStart w:id="153" w:name="_Toc127771492"/>
      <w:bookmarkStart w:id="154" w:name="_Toc127784675"/>
      <w:bookmarkStart w:id="155" w:name="_Toc127785285"/>
      <w:bookmarkStart w:id="156" w:name="_Toc127848031"/>
      <w:bookmarkStart w:id="157" w:name="_Toc127857315"/>
      <w:bookmarkStart w:id="158" w:name="_Toc127866102"/>
      <w:bookmarkStart w:id="159" w:name="_Toc127868566"/>
      <w:bookmarkStart w:id="160" w:name="_Toc127871835"/>
      <w:bookmarkStart w:id="161" w:name="_Toc127938065"/>
      <w:bookmarkStart w:id="162" w:name="_Toc127944049"/>
      <w:bookmarkStart w:id="163" w:name="_Toc127959526"/>
      <w:bookmarkStart w:id="164" w:name="_Toc128199037"/>
      <w:bookmarkStart w:id="165" w:name="_Toc128203717"/>
      <w:bookmarkStart w:id="166" w:name="_Toc128209474"/>
      <w:bookmarkStart w:id="167" w:name="_Toc128562907"/>
      <w:bookmarkStart w:id="168" w:name="_Toc128808596"/>
      <w:bookmarkStart w:id="169" w:name="_Toc128808851"/>
      <w:bookmarkStart w:id="170" w:name="_Toc129074229"/>
      <w:bookmarkStart w:id="171" w:name="_Toc133226013"/>
      <w:bookmarkStart w:id="172" w:name="_Toc133231391"/>
      <w:bookmarkStart w:id="173" w:name="_Toc133232583"/>
      <w:bookmarkStart w:id="174" w:name="_Toc133291819"/>
      <w:bookmarkStart w:id="175" w:name="_Toc133301262"/>
      <w:bookmarkStart w:id="176" w:name="_Toc133320331"/>
      <w:bookmarkStart w:id="177" w:name="_Toc133379916"/>
      <w:bookmarkStart w:id="178" w:name="_Toc133837585"/>
      <w:bookmarkStart w:id="179" w:name="_Toc133901043"/>
      <w:bookmarkStart w:id="180" w:name="_Toc133989689"/>
      <w:bookmarkStart w:id="181" w:name="_Toc134010141"/>
      <w:bookmarkStart w:id="182" w:name="_Toc134188871"/>
      <w:bookmarkStart w:id="183" w:name="_Toc134241056"/>
      <w:bookmarkStart w:id="184" w:name="_Toc134260189"/>
      <w:bookmarkStart w:id="185" w:name="_Toc134261529"/>
      <w:bookmarkStart w:id="186" w:name="_Toc134269187"/>
      <w:bookmarkStart w:id="187" w:name="_Toc134345963"/>
      <w:bookmarkStart w:id="188" w:name="_Toc134346686"/>
      <w:bookmarkStart w:id="189" w:name="_Toc134355554"/>
      <w:bookmarkStart w:id="190" w:name="_Toc134420852"/>
      <w:bookmarkStart w:id="191" w:name="_Toc134425017"/>
      <w:bookmarkStart w:id="192" w:name="_Toc134431919"/>
      <w:bookmarkStart w:id="193" w:name="_Toc134437576"/>
      <w:bookmarkStart w:id="194" w:name="_Toc134440690"/>
      <w:bookmarkStart w:id="195" w:name="_Toc134503195"/>
      <w:bookmarkStart w:id="196" w:name="_Toc135115972"/>
      <w:bookmarkStart w:id="197" w:name="_Toc135132895"/>
      <w:bookmarkStart w:id="198" w:name="_Toc135133144"/>
      <w:bookmarkStart w:id="199" w:name="_Toc135190060"/>
      <w:bookmarkStart w:id="200" w:name="_Toc135190518"/>
      <w:bookmarkStart w:id="201" w:name="_Toc135634277"/>
      <w:bookmarkStart w:id="202" w:name="_Toc135642059"/>
      <w:bookmarkStart w:id="203" w:name="_Toc135642927"/>
      <w:bookmarkStart w:id="204" w:name="_Toc135715955"/>
      <w:bookmarkStart w:id="205" w:name="_Toc135814018"/>
      <w:bookmarkStart w:id="206" w:name="_Toc135814817"/>
      <w:bookmarkStart w:id="207" w:name="_Toc135815596"/>
      <w:bookmarkStart w:id="208" w:name="_Toc135816368"/>
      <w:bookmarkStart w:id="209" w:name="_Toc138497179"/>
      <w:bookmarkStart w:id="210" w:name="_Toc138497429"/>
      <w:bookmarkStart w:id="211" w:name="_Toc138497824"/>
      <w:bookmarkStart w:id="212" w:name="_Toc138656931"/>
      <w:bookmarkStart w:id="213" w:name="_Toc138833853"/>
      <w:bookmarkStart w:id="214" w:name="_Toc139083717"/>
      <w:bookmarkStart w:id="215" w:name="_Toc153783619"/>
      <w:bookmarkStart w:id="216" w:name="_Toc153783868"/>
      <w:bookmarkStart w:id="217" w:name="_Toc154312843"/>
      <w:bookmarkStart w:id="218" w:name="_Toc154313283"/>
      <w:bookmarkStart w:id="219" w:name="_Toc154556196"/>
      <w:bookmarkStart w:id="220" w:name="_Toc112559520"/>
      <w:bookmarkStart w:id="221" w:name="_Toc154313279"/>
      <w:bookmarkStart w:id="222" w:name="_Toc154556192"/>
      <w:r>
        <w:rPr>
          <w:snapToGrid w:val="0"/>
        </w:rPr>
        <w:t>”.</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Pr>
        <w:pStyle w:val="nzMiscellaneousBody"/>
        <w:jc w:val="right"/>
      </w:pPr>
      <w:r>
        <w:t>17]</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Argentine Ant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Argentine Ant Act 1968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Argentine Ant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Argentine Ant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50"/>
    <w:docVar w:name="WAFER_20151204144550" w:val="RemoveTrackChanges"/>
    <w:docVar w:name="WAFER_20151204144550_GUID" w:val="6acf40d8-6ced-46bc-8324-78fc606e4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3099</Words>
  <Characters>14443</Characters>
  <Application>Microsoft Office Word</Application>
  <DocSecurity>0</DocSecurity>
  <Lines>437</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1968 - 02-d0-04</dc:title>
  <dc:subject/>
  <dc:creator/>
  <cp:keywords/>
  <dc:description/>
  <cp:lastModifiedBy>svcMRProcess</cp:lastModifiedBy>
  <cp:revision>4</cp:revision>
  <cp:lastPrinted>2002-04-10T00:15:00Z</cp:lastPrinted>
  <dcterms:created xsi:type="dcterms:W3CDTF">2015-12-04T16:55:00Z</dcterms:created>
  <dcterms:modified xsi:type="dcterms:W3CDTF">2015-12-04T16:55:00Z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51</vt:i4>
  </property>
  <property fmtid="{D5CDD505-2E9C-101B-9397-08002B2CF9AE}" pid="6" name="AsAtDate">
    <vt:lpwstr>01 Jan 2007</vt:lpwstr>
  </property>
  <property fmtid="{D5CDD505-2E9C-101B-9397-08002B2CF9AE}" pid="7" name="Suffix">
    <vt:lpwstr>02-d0-04</vt:lpwstr>
  </property>
</Properties>
</file>