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_Toc170184195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_Toc170184196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_Toc170184197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z w:val="24"/>
          <w:szCs w:val="24"/>
        </w:rPr>
        <w:tab/>
      </w:r>
      <w:r>
        <w:rPr>
          <w:noProof/>
          <w:szCs w:val="24"/>
        </w:rPr>
        <w:t>Eligible community organisations</w:t>
      </w:r>
      <w:r>
        <w:rPr>
          <w:noProof/>
        </w:rPr>
        <w:tab/>
      </w:r>
      <w:r>
        <w:rPr>
          <w:noProof/>
        </w:rPr>
        <w:fldChar w:fldCharType="begin"/>
      </w:r>
      <w:r>
        <w:rPr>
          <w:noProof/>
        </w:rPr>
        <w:instrText xml:space="preserve"> PAGEREF _Toc170184198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Insurance Commission of Western Australia</w:t>
      </w:r>
    </w:p>
    <w:p>
      <w:pPr>
        <w:pStyle w:val="TOC3"/>
        <w:rPr>
          <w:b w:val="0"/>
          <w:noProof/>
          <w:sz w:val="24"/>
          <w:szCs w:val="24"/>
        </w:rPr>
      </w:pPr>
      <w:r>
        <w:rPr>
          <w:noProof/>
          <w:szCs w:val="26"/>
        </w:rPr>
        <w:t>Division 1</w:t>
      </w:r>
      <w:r>
        <w:rPr>
          <w:noProof/>
          <w:snapToGrid w:val="0"/>
          <w:szCs w:val="26"/>
        </w:rPr>
        <w:t> — </w:t>
      </w:r>
      <w:r>
        <w:rPr>
          <w:noProof/>
          <w:szCs w:val="26"/>
        </w:rPr>
        <w:t>The Commission and the board of commissioners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Insurance Commission of Western Australia: corporate identity and status</w:t>
      </w:r>
      <w:r>
        <w:rPr>
          <w:noProof/>
        </w:rPr>
        <w:tab/>
      </w:r>
      <w:r>
        <w:rPr>
          <w:noProof/>
        </w:rPr>
        <w:fldChar w:fldCharType="begin"/>
      </w:r>
      <w:r>
        <w:rPr>
          <w:noProof/>
        </w:rPr>
        <w:instrText xml:space="preserve"> PAGEREF _Toc170184201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Agent of Crown</w:t>
      </w:r>
      <w:r>
        <w:rPr>
          <w:noProof/>
        </w:rPr>
        <w:tab/>
      </w:r>
      <w:r>
        <w:rPr>
          <w:noProof/>
        </w:rPr>
        <w:fldChar w:fldCharType="begin"/>
      </w:r>
      <w:r>
        <w:rPr>
          <w:noProof/>
        </w:rPr>
        <w:instrText xml:space="preserve"> PAGEREF _Toc170184202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Board of commissioners</w:t>
      </w:r>
      <w:r>
        <w:rPr>
          <w:noProof/>
        </w:rPr>
        <w:tab/>
      </w:r>
      <w:r>
        <w:rPr>
          <w:noProof/>
        </w:rPr>
        <w:fldChar w:fldCharType="begin"/>
      </w:r>
      <w:r>
        <w:rPr>
          <w:noProof/>
        </w:rPr>
        <w:instrText xml:space="preserve"> PAGEREF _Toc170184203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and powers of the Commission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w:t>
      </w:r>
      <w:r>
        <w:rPr>
          <w:noProof/>
        </w:rPr>
        <w:tab/>
      </w:r>
      <w:r>
        <w:rPr>
          <w:noProof/>
        </w:rPr>
        <w:fldChar w:fldCharType="begin"/>
      </w:r>
      <w:r>
        <w:rPr>
          <w:noProof/>
        </w:rPr>
        <w:instrText xml:space="preserve"> PAGEREF _Toc170184205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Powers</w:t>
      </w:r>
      <w:r>
        <w:rPr>
          <w:noProof/>
        </w:rPr>
        <w:tab/>
      </w:r>
      <w:r>
        <w:rPr>
          <w:noProof/>
        </w:rPr>
        <w:fldChar w:fldCharType="begin"/>
      </w:r>
      <w:r>
        <w:rPr>
          <w:noProof/>
        </w:rPr>
        <w:instrText xml:space="preserve"> PAGEREF _Toc170184206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Commission to act efficiently and economically</w:t>
      </w:r>
      <w:r>
        <w:rPr>
          <w:noProof/>
        </w:rPr>
        <w:tab/>
      </w:r>
      <w:r>
        <w:rPr>
          <w:noProof/>
        </w:rPr>
        <w:fldChar w:fldCharType="begin"/>
      </w:r>
      <w:r>
        <w:rPr>
          <w:noProof/>
        </w:rPr>
        <w:instrText xml:space="preserve"> PAGEREF _Toc170184207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_Toc170184208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Directions by Minister</w:t>
      </w:r>
      <w:r>
        <w:rPr>
          <w:noProof/>
        </w:rPr>
        <w:tab/>
      </w:r>
      <w:r>
        <w:rPr>
          <w:noProof/>
        </w:rPr>
        <w:fldChar w:fldCharType="begin"/>
      </w:r>
      <w:r>
        <w:rPr>
          <w:noProof/>
        </w:rPr>
        <w:instrText xml:space="preserve"> PAGEREF _Toc170184209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_Toc170184210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10B</w:t>
      </w:r>
      <w:r>
        <w:rPr>
          <w:noProof/>
          <w:snapToGrid w:val="0"/>
          <w:szCs w:val="24"/>
        </w:rPr>
        <w:t>.</w:t>
      </w:r>
      <w:r>
        <w:rPr>
          <w:noProof/>
          <w:sz w:val="24"/>
          <w:szCs w:val="24"/>
        </w:rPr>
        <w:tab/>
      </w:r>
      <w:r>
        <w:rPr>
          <w:noProof/>
          <w:snapToGrid w:val="0"/>
          <w:szCs w:val="24"/>
        </w:rPr>
        <w:t>Confidential information</w:t>
      </w:r>
      <w:r>
        <w:rPr>
          <w:noProof/>
        </w:rPr>
        <w:tab/>
      </w:r>
      <w:r>
        <w:rPr>
          <w:noProof/>
        </w:rPr>
        <w:fldChar w:fldCharType="begin"/>
      </w:r>
      <w:r>
        <w:rPr>
          <w:noProof/>
        </w:rPr>
        <w:instrText xml:space="preserve"> PAGEREF _Toc170184211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Staff of the Commission</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Managing director</w:t>
      </w:r>
      <w:r>
        <w:rPr>
          <w:noProof/>
        </w:rPr>
        <w:tab/>
      </w:r>
      <w:r>
        <w:rPr>
          <w:noProof/>
        </w:rPr>
        <w:fldChar w:fldCharType="begin"/>
      </w:r>
      <w:r>
        <w:rPr>
          <w:noProof/>
        </w:rPr>
        <w:instrText xml:space="preserve"> PAGEREF _Toc170184213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Appointment of staff and consultants</w:t>
      </w:r>
      <w:r>
        <w:rPr>
          <w:noProof/>
        </w:rPr>
        <w:tab/>
      </w:r>
      <w:r>
        <w:rPr>
          <w:noProof/>
        </w:rPr>
        <w:fldChar w:fldCharType="begin"/>
      </w:r>
      <w:r>
        <w:rPr>
          <w:noProof/>
        </w:rPr>
        <w:instrText xml:space="preserve"> PAGEREF _Toc170184214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Status of managing director and officers and employees of Commission</w:t>
      </w:r>
      <w:r>
        <w:rPr>
          <w:noProof/>
        </w:rPr>
        <w:tab/>
      </w:r>
      <w:r>
        <w:rPr>
          <w:noProof/>
        </w:rPr>
        <w:fldChar w:fldCharType="begin"/>
      </w:r>
      <w:r>
        <w:rPr>
          <w:noProof/>
        </w:rPr>
        <w:instrText xml:space="preserve"> PAGEREF _Toc170184215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Use of staff and facilities of departments and instrumentalities</w:t>
      </w:r>
      <w:r>
        <w:rPr>
          <w:noProof/>
        </w:rPr>
        <w:tab/>
      </w:r>
      <w:r>
        <w:rPr>
          <w:noProof/>
        </w:rPr>
        <w:fldChar w:fldCharType="begin"/>
      </w:r>
      <w:r>
        <w:rPr>
          <w:noProof/>
        </w:rPr>
        <w:instrText xml:space="preserve"> PAGEREF _Toc170184216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Use of staff and facilities of an insurer</w:t>
      </w:r>
      <w:r>
        <w:rPr>
          <w:noProof/>
        </w:rPr>
        <w:tab/>
      </w:r>
      <w:r>
        <w:rPr>
          <w:noProof/>
        </w:rPr>
        <w:fldChar w:fldCharType="begin"/>
      </w:r>
      <w:r>
        <w:rPr>
          <w:noProof/>
        </w:rPr>
        <w:instrText xml:space="preserve"> PAGEREF _Toc170184217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Superannuation</w:t>
      </w:r>
      <w:r>
        <w:rPr>
          <w:noProof/>
        </w:rPr>
        <w:tab/>
      </w:r>
      <w:r>
        <w:rPr>
          <w:noProof/>
        </w:rPr>
        <w:fldChar w:fldCharType="begin"/>
      </w:r>
      <w:r>
        <w:rPr>
          <w:noProof/>
        </w:rPr>
        <w:instrText xml:space="preserve"> PAGEREF _Toc170184218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 relating to the Commission</w:t>
      </w:r>
    </w:p>
    <w:p>
      <w:pPr>
        <w:pStyle w:val="TOC3"/>
        <w:rPr>
          <w:b w:val="0"/>
          <w:noProof/>
          <w:sz w:val="24"/>
          <w:szCs w:val="24"/>
        </w:rPr>
      </w:pPr>
      <w:r>
        <w:rPr>
          <w:noProof/>
          <w:snapToGrid w:val="0"/>
          <w:szCs w:val="24"/>
        </w:rPr>
        <w:t>Subdivision A — Income, expenditure and property of the Commission</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Moneys available to the Commission</w:t>
      </w:r>
      <w:r>
        <w:rPr>
          <w:noProof/>
        </w:rPr>
        <w:tab/>
      </w:r>
      <w:r>
        <w:rPr>
          <w:noProof/>
        </w:rPr>
        <w:fldChar w:fldCharType="begin"/>
      </w:r>
      <w:r>
        <w:rPr>
          <w:noProof/>
        </w:rPr>
        <w:instrText xml:space="preserve"> PAGEREF _Toc170184221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Establishment and composition of Funds</w:t>
      </w:r>
      <w:r>
        <w:rPr>
          <w:noProof/>
        </w:rPr>
        <w:tab/>
      </w:r>
      <w:r>
        <w:rPr>
          <w:noProof/>
        </w:rPr>
        <w:fldChar w:fldCharType="begin"/>
      </w:r>
      <w:r>
        <w:rPr>
          <w:noProof/>
        </w:rPr>
        <w:instrText xml:space="preserve"> PAGEREF _Toc170184222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Apportionment of income, expenditure and assets</w:t>
      </w:r>
      <w:r>
        <w:rPr>
          <w:noProof/>
        </w:rPr>
        <w:tab/>
      </w:r>
      <w:r>
        <w:rPr>
          <w:noProof/>
        </w:rPr>
        <w:fldChar w:fldCharType="begin"/>
      </w:r>
      <w:r>
        <w:rPr>
          <w:noProof/>
        </w:rPr>
        <w:instrText xml:space="preserve"> PAGEREF _Toc170184223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Transfer between Funds</w:t>
      </w:r>
      <w:r>
        <w:rPr>
          <w:noProof/>
        </w:rPr>
        <w:tab/>
      </w:r>
      <w:r>
        <w:rPr>
          <w:noProof/>
        </w:rPr>
        <w:fldChar w:fldCharType="begin"/>
      </w:r>
      <w:r>
        <w:rPr>
          <w:noProof/>
        </w:rPr>
        <w:instrText xml:space="preserve"> PAGEREF _Toc170184224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napToGrid w:val="0"/>
          <w:szCs w:val="24"/>
        </w:rPr>
        <w:t>Subdivision Aa — Investment and property management</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Arrangements for appointment of investment managers</w:t>
      </w:r>
      <w:r>
        <w:rPr>
          <w:noProof/>
        </w:rPr>
        <w:tab/>
      </w:r>
      <w:r>
        <w:rPr>
          <w:noProof/>
        </w:rPr>
        <w:fldChar w:fldCharType="begin"/>
      </w:r>
      <w:r>
        <w:rPr>
          <w:noProof/>
        </w:rPr>
        <w:instrText xml:space="preserve"> PAGEREF _Toc170184226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Investment policy</w:t>
      </w:r>
      <w:r>
        <w:rPr>
          <w:noProof/>
        </w:rPr>
        <w:tab/>
      </w:r>
      <w:r>
        <w:rPr>
          <w:noProof/>
        </w:rPr>
        <w:fldChar w:fldCharType="begin"/>
      </w:r>
      <w:r>
        <w:rPr>
          <w:noProof/>
        </w:rPr>
        <w:instrText xml:space="preserve"> PAGEREF _Toc170184227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napToGrid w:val="0"/>
          <w:szCs w:val="24"/>
        </w:rPr>
        <w:t>Subdivision B — Financial administration, audit and reporting</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snapToGrid w:val="0"/>
          <w:szCs w:val="24"/>
        </w:rPr>
        <w:t xml:space="preserve"> to the Commission</w:t>
      </w:r>
      <w:r>
        <w:rPr>
          <w:noProof/>
        </w:rPr>
        <w:tab/>
      </w:r>
      <w:r>
        <w:rPr>
          <w:noProof/>
        </w:rPr>
        <w:fldChar w:fldCharType="begin"/>
      </w:r>
      <w:r>
        <w:rPr>
          <w:noProof/>
        </w:rPr>
        <w:instrText xml:space="preserve"> PAGEREF _Toc170184229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Provisions and reserves</w:t>
      </w:r>
      <w:r>
        <w:rPr>
          <w:noProof/>
        </w:rPr>
        <w:tab/>
      </w:r>
      <w:r>
        <w:rPr>
          <w:noProof/>
        </w:rPr>
        <w:fldChar w:fldCharType="begin"/>
      </w:r>
      <w:r>
        <w:rPr>
          <w:noProof/>
        </w:rPr>
        <w:instrText xml:space="preserve"> PAGEREF _Toc170184230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_Toc170184231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Annual reports, financial statements</w:t>
      </w:r>
      <w:r>
        <w:rPr>
          <w:noProof/>
        </w:rPr>
        <w:tab/>
      </w:r>
      <w:r>
        <w:rPr>
          <w:noProof/>
        </w:rPr>
        <w:fldChar w:fldCharType="begin"/>
      </w:r>
      <w:r>
        <w:rPr>
          <w:noProof/>
        </w:rPr>
        <w:instrText xml:space="preserve"> PAGEREF _Toc170184232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napToGrid w:val="0"/>
          <w:szCs w:val="24"/>
        </w:rPr>
        <w:t>Subdivision C — Borrowing and financial accommodation</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Power to borrow etc., generally</w:t>
      </w:r>
      <w:r>
        <w:rPr>
          <w:noProof/>
        </w:rPr>
        <w:tab/>
      </w:r>
      <w:r>
        <w:rPr>
          <w:noProof/>
        </w:rPr>
        <w:fldChar w:fldCharType="begin"/>
      </w:r>
      <w:r>
        <w:rPr>
          <w:noProof/>
        </w:rPr>
        <w:instrText xml:space="preserve"> PAGEREF _Toc170184234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make provision to pay off loans</w:t>
      </w:r>
      <w:r>
        <w:rPr>
          <w:noProof/>
        </w:rPr>
        <w:tab/>
      </w:r>
      <w:r>
        <w:rPr>
          <w:noProof/>
        </w:rPr>
        <w:fldChar w:fldCharType="begin"/>
      </w:r>
      <w:r>
        <w:rPr>
          <w:noProof/>
        </w:rPr>
        <w:instrText xml:space="preserve"> PAGEREF _Toc170184235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Borrowing power, from Treasury sources</w:t>
      </w:r>
      <w:r>
        <w:rPr>
          <w:noProof/>
        </w:rPr>
        <w:tab/>
      </w:r>
      <w:r>
        <w:rPr>
          <w:noProof/>
        </w:rPr>
        <w:fldChar w:fldCharType="begin"/>
      </w:r>
      <w:r>
        <w:rPr>
          <w:noProof/>
        </w:rPr>
        <w:instrText xml:space="preserve"> PAGEREF _Toc170184236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Specific State guarantees</w:t>
      </w:r>
      <w:r>
        <w:rPr>
          <w:noProof/>
        </w:rPr>
        <w:tab/>
      </w:r>
      <w:r>
        <w:rPr>
          <w:noProof/>
        </w:rPr>
        <w:fldChar w:fldCharType="begin"/>
      </w:r>
      <w:r>
        <w:rPr>
          <w:noProof/>
        </w:rPr>
        <w:instrText xml:space="preserve"> PAGEREF _Toc170184237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III — State Government Insurance Corporation</w:t>
      </w:r>
    </w:p>
    <w:p>
      <w:pPr>
        <w:pStyle w:val="TOC3"/>
        <w:rPr>
          <w:b w:val="0"/>
          <w:noProof/>
          <w:sz w:val="24"/>
          <w:szCs w:val="24"/>
        </w:rPr>
      </w:pPr>
      <w:r>
        <w:rPr>
          <w:noProof/>
          <w:szCs w:val="26"/>
        </w:rPr>
        <w:t>Division 1</w:t>
      </w:r>
      <w:r>
        <w:rPr>
          <w:noProof/>
          <w:snapToGrid w:val="0"/>
          <w:szCs w:val="26"/>
        </w:rPr>
        <w:t> — </w:t>
      </w:r>
      <w:r>
        <w:rPr>
          <w:noProof/>
          <w:szCs w:val="26"/>
        </w:rPr>
        <w:t>Establishment of the Corporation</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State Government Insurance Corporation established as a body corporate</w:t>
      </w:r>
      <w:r>
        <w:rPr>
          <w:noProof/>
        </w:rPr>
        <w:tab/>
      </w:r>
      <w:r>
        <w:rPr>
          <w:noProof/>
        </w:rPr>
        <w:fldChar w:fldCharType="begin"/>
      </w:r>
      <w:r>
        <w:rPr>
          <w:noProof/>
        </w:rPr>
        <w:instrText xml:space="preserve"> PAGEREF _Toc170184240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Board of directors</w:t>
      </w:r>
      <w:r>
        <w:rPr>
          <w:noProof/>
        </w:rPr>
        <w:tab/>
      </w:r>
      <w:r>
        <w:rPr>
          <w:noProof/>
        </w:rPr>
        <w:fldChar w:fldCharType="begin"/>
      </w:r>
      <w:r>
        <w:rPr>
          <w:noProof/>
        </w:rPr>
        <w:instrText xml:space="preserve"> PAGEREF _Toc170184241 \h </w:instrText>
      </w:r>
      <w:r>
        <w:rPr>
          <w:noProof/>
        </w:rPr>
      </w:r>
      <w:r>
        <w:rPr>
          <w:noProof/>
        </w:rPr>
        <w:fldChar w:fldCharType="separate"/>
      </w:r>
      <w:r>
        <w:rPr>
          <w:noProof/>
        </w:rPr>
        <w:t>27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 and powers of the Corporation</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Function and powers</w:t>
      </w:r>
      <w:r>
        <w:rPr>
          <w:noProof/>
        </w:rPr>
        <w:tab/>
      </w:r>
      <w:r>
        <w:rPr>
          <w:noProof/>
        </w:rPr>
        <w:fldChar w:fldCharType="begin"/>
      </w:r>
      <w:r>
        <w:rPr>
          <w:noProof/>
        </w:rPr>
        <w:instrText xml:space="preserve"> PAGEREF _Toc170184243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Liability in respect or in lieu of taxation</w:t>
      </w:r>
      <w:r>
        <w:rPr>
          <w:noProof/>
        </w:rPr>
        <w:tab/>
      </w:r>
      <w:r>
        <w:rPr>
          <w:noProof/>
        </w:rPr>
        <w:fldChar w:fldCharType="begin"/>
      </w:r>
      <w:r>
        <w:rPr>
          <w:noProof/>
        </w:rPr>
        <w:instrText xml:space="preserve"> PAGEREF _Toc170184244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_Toc170184245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Directions by the Commission</w:t>
      </w:r>
      <w:r>
        <w:rPr>
          <w:noProof/>
        </w:rPr>
        <w:tab/>
      </w:r>
      <w:r>
        <w:rPr>
          <w:noProof/>
        </w:rPr>
        <w:fldChar w:fldCharType="begin"/>
      </w:r>
      <w:r>
        <w:rPr>
          <w:noProof/>
        </w:rPr>
        <w:instrText xml:space="preserve"> PAGEREF _Toc170184246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Staff of the Corporation</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Classification, employment conditions, and duties of staff allocated to the Corporation</w:t>
      </w:r>
      <w:r>
        <w:rPr>
          <w:noProof/>
        </w:rPr>
        <w:tab/>
      </w:r>
      <w:r>
        <w:rPr>
          <w:noProof/>
        </w:rPr>
        <w:fldChar w:fldCharType="begin"/>
      </w:r>
      <w:r>
        <w:rPr>
          <w:noProof/>
        </w:rPr>
        <w:instrText xml:space="preserve"> PAGEREF _Toc170184248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Use of services and facilities of the Commission, departments and instrumentalities</w:t>
      </w:r>
      <w:r>
        <w:rPr>
          <w:noProof/>
        </w:rPr>
        <w:tab/>
      </w:r>
      <w:r>
        <w:rPr>
          <w:noProof/>
        </w:rPr>
        <w:fldChar w:fldCharType="begin"/>
      </w:r>
      <w:r>
        <w:rPr>
          <w:noProof/>
        </w:rPr>
        <w:instrText xml:space="preserve"> PAGEREF _Toc170184249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 relating to the Corporation</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Capital of the Corporation</w:t>
      </w:r>
      <w:r>
        <w:rPr>
          <w:noProof/>
        </w:rPr>
        <w:tab/>
      </w:r>
      <w:r>
        <w:rPr>
          <w:noProof/>
        </w:rPr>
        <w:fldChar w:fldCharType="begin"/>
      </w:r>
      <w:r>
        <w:rPr>
          <w:noProof/>
        </w:rPr>
        <w:instrText xml:space="preserve"> PAGEREF _Toc170184251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Temporary investment of funds</w:t>
      </w:r>
      <w:r>
        <w:rPr>
          <w:noProof/>
        </w:rPr>
        <w:tab/>
      </w:r>
      <w:r>
        <w:rPr>
          <w:noProof/>
        </w:rPr>
        <w:fldChar w:fldCharType="begin"/>
      </w:r>
      <w:r>
        <w:rPr>
          <w:noProof/>
        </w:rPr>
        <w:instrText xml:space="preserve"> PAGEREF _Toc170184252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snapToGrid w:val="0"/>
          <w:szCs w:val="24"/>
        </w:rPr>
        <w:t xml:space="preserve"> to the Corporation</w:t>
      </w:r>
      <w:r>
        <w:rPr>
          <w:noProof/>
        </w:rPr>
        <w:tab/>
      </w:r>
      <w:r>
        <w:rPr>
          <w:noProof/>
        </w:rPr>
        <w:fldChar w:fldCharType="begin"/>
      </w:r>
      <w:r>
        <w:rPr>
          <w:noProof/>
        </w:rPr>
        <w:instrText xml:space="preserve"> PAGEREF _Toc170184253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IV — General</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_Toc170184255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Execution of documents and entry into contracts</w:t>
      </w:r>
      <w:r>
        <w:rPr>
          <w:noProof/>
        </w:rPr>
        <w:tab/>
      </w:r>
      <w:r>
        <w:rPr>
          <w:noProof/>
        </w:rPr>
        <w:fldChar w:fldCharType="begin"/>
      </w:r>
      <w:r>
        <w:rPr>
          <w:noProof/>
        </w:rPr>
        <w:instrText xml:space="preserve"> PAGEREF _Toc170184256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Exemption of certain public authorities from workers’ compensation insurance requirements</w:t>
      </w:r>
      <w:r>
        <w:rPr>
          <w:noProof/>
        </w:rPr>
        <w:tab/>
      </w:r>
      <w:r>
        <w:rPr>
          <w:noProof/>
        </w:rPr>
        <w:fldChar w:fldCharType="begin"/>
      </w:r>
      <w:r>
        <w:rPr>
          <w:noProof/>
        </w:rPr>
        <w:instrText xml:space="preserve"> PAGEREF _Toc170184257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_Toc170184258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V — Repeal, amendments, saving, validation and transitional</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Repeal and amendments</w:t>
      </w:r>
      <w:r>
        <w:rPr>
          <w:noProof/>
        </w:rPr>
        <w:tab/>
      </w:r>
      <w:r>
        <w:rPr>
          <w:noProof/>
        </w:rPr>
        <w:fldChar w:fldCharType="begin"/>
      </w:r>
      <w:r>
        <w:rPr>
          <w:noProof/>
        </w:rPr>
        <w:instrText xml:space="preserve"> PAGEREF _Toc170184260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Saving, validation and transitional provisions</w:t>
      </w:r>
      <w:r>
        <w:rPr>
          <w:noProof/>
        </w:rPr>
        <w:tab/>
      </w:r>
      <w:r>
        <w:rPr>
          <w:noProof/>
        </w:rPr>
        <w:fldChar w:fldCharType="begin"/>
      </w:r>
      <w:r>
        <w:rPr>
          <w:noProof/>
        </w:rPr>
        <w:instrText xml:space="preserve"> PAGEREF _Toc170184261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Oversight by Public Accounts Committee</w:t>
      </w:r>
      <w:r>
        <w:rPr>
          <w:noProof/>
        </w:rPr>
        <w:tab/>
      </w:r>
      <w:r>
        <w:rPr>
          <w:noProof/>
        </w:rPr>
        <w:fldChar w:fldCharType="begin"/>
      </w:r>
      <w:r>
        <w:rPr>
          <w:noProof/>
        </w:rPr>
        <w:instrText xml:space="preserve"> PAGEREF _Toc170184262 \h </w:instrText>
      </w:r>
      <w:r>
        <w:rPr>
          <w:noProof/>
        </w:rPr>
      </w:r>
      <w:r>
        <w:rPr>
          <w:noProof/>
        </w:rPr>
        <w:fldChar w:fldCharType="separate"/>
      </w:r>
      <w:r>
        <w:rPr>
          <w:noProof/>
        </w:rPr>
        <w:t>37</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_Toc170184263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Definitions</w:t>
      </w:r>
      <w:r>
        <w:rPr>
          <w:noProof/>
        </w:rPr>
        <w:tab/>
      </w:r>
      <w:r>
        <w:rPr>
          <w:noProof/>
        </w:rPr>
        <w:fldChar w:fldCharType="begin"/>
      </w:r>
      <w:r>
        <w:rPr>
          <w:noProof/>
        </w:rPr>
        <w:instrText xml:space="preserve"> PAGEREF _Toc170184264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Commissioners — terms and vacation of office</w:t>
      </w:r>
      <w:r>
        <w:rPr>
          <w:noProof/>
        </w:rPr>
        <w:tab/>
      </w:r>
      <w:r>
        <w:rPr>
          <w:noProof/>
        </w:rPr>
        <w:fldChar w:fldCharType="begin"/>
      </w:r>
      <w:r>
        <w:rPr>
          <w:noProof/>
        </w:rPr>
        <w:instrText xml:space="preserve"> PAGEREF _Toc170184265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Alternate commissioners</w:t>
      </w:r>
      <w:r>
        <w:rPr>
          <w:noProof/>
        </w:rPr>
        <w:tab/>
      </w:r>
      <w:r>
        <w:rPr>
          <w:noProof/>
        </w:rPr>
        <w:fldChar w:fldCharType="begin"/>
      </w:r>
      <w:r>
        <w:rPr>
          <w:noProof/>
        </w:rPr>
        <w:instrText xml:space="preserve"> PAGEREF _Toc170184266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Chairman and deputy chairman — term and vacation of office</w:t>
      </w:r>
      <w:r>
        <w:rPr>
          <w:noProof/>
        </w:rPr>
        <w:tab/>
      </w:r>
      <w:r>
        <w:rPr>
          <w:noProof/>
        </w:rPr>
        <w:fldChar w:fldCharType="begin"/>
      </w:r>
      <w:r>
        <w:rPr>
          <w:noProof/>
        </w:rPr>
        <w:instrText xml:space="preserve"> PAGEREF _Toc170184267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Disclosure of pecuniary interests</w:t>
      </w:r>
      <w:r>
        <w:rPr>
          <w:noProof/>
        </w:rPr>
        <w:tab/>
      </w:r>
      <w:r>
        <w:rPr>
          <w:noProof/>
        </w:rPr>
        <w:fldChar w:fldCharType="begin"/>
      </w:r>
      <w:r>
        <w:rPr>
          <w:noProof/>
        </w:rPr>
        <w:instrText xml:space="preserve"> PAGEREF _Toc170184268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Meetings</w:t>
      </w:r>
      <w:r>
        <w:rPr>
          <w:noProof/>
        </w:rPr>
        <w:tab/>
      </w:r>
      <w:r>
        <w:rPr>
          <w:noProof/>
        </w:rPr>
        <w:fldChar w:fldCharType="begin"/>
      </w:r>
      <w:r>
        <w:rPr>
          <w:noProof/>
        </w:rPr>
        <w:instrText xml:space="preserve"> PAGEREF _Toc170184269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napToGrid w:val="0"/>
          <w:szCs w:val="22"/>
        </w:rPr>
        <w:t>6A.</w:t>
      </w:r>
      <w:r>
        <w:rPr>
          <w:noProof/>
          <w:sz w:val="24"/>
          <w:szCs w:val="24"/>
        </w:rPr>
        <w:tab/>
      </w:r>
      <w:r>
        <w:rPr>
          <w:noProof/>
          <w:snapToGrid w:val="0"/>
          <w:szCs w:val="22"/>
        </w:rPr>
        <w:t>Telephone and video meetings</w:t>
      </w:r>
      <w:r>
        <w:rPr>
          <w:noProof/>
        </w:rPr>
        <w:tab/>
      </w:r>
      <w:r>
        <w:rPr>
          <w:noProof/>
        </w:rPr>
        <w:fldChar w:fldCharType="begin"/>
      </w:r>
      <w:r>
        <w:rPr>
          <w:noProof/>
        </w:rPr>
        <w:instrText xml:space="preserve"> PAGEREF _Toc170184270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Committees</w:t>
      </w:r>
      <w:r>
        <w:rPr>
          <w:noProof/>
        </w:rPr>
        <w:tab/>
      </w:r>
      <w:r>
        <w:rPr>
          <w:noProof/>
        </w:rPr>
        <w:fldChar w:fldCharType="begin"/>
      </w:r>
      <w:r>
        <w:rPr>
          <w:noProof/>
        </w:rPr>
        <w:instrText xml:space="preserve"> PAGEREF _Toc170184271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_Toc170184272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napToGrid w:val="0"/>
          <w:szCs w:val="22"/>
        </w:rPr>
        <w:t>8A.</w:t>
      </w:r>
      <w:r>
        <w:rPr>
          <w:noProof/>
          <w:sz w:val="24"/>
          <w:szCs w:val="24"/>
        </w:rPr>
        <w:tab/>
      </w:r>
      <w:r>
        <w:rPr>
          <w:noProof/>
          <w:snapToGrid w:val="0"/>
          <w:szCs w:val="22"/>
        </w:rPr>
        <w:t>Minutes of meetings etc.</w:t>
      </w:r>
      <w:r>
        <w:rPr>
          <w:noProof/>
        </w:rPr>
        <w:tab/>
      </w:r>
      <w:r>
        <w:rPr>
          <w:noProof/>
        </w:rPr>
        <w:fldChar w:fldCharType="begin"/>
      </w:r>
      <w:r>
        <w:rPr>
          <w:noProof/>
        </w:rPr>
        <w:instrText xml:space="preserve"> PAGEREF _Toc170184273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_Toc170184274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_Toc170184275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Protection of commissioners</w:t>
      </w:r>
      <w:r>
        <w:rPr>
          <w:noProof/>
        </w:rPr>
        <w:tab/>
      </w:r>
      <w:r>
        <w:rPr>
          <w:noProof/>
        </w:rPr>
        <w:fldChar w:fldCharType="begin"/>
      </w:r>
      <w:r>
        <w:rPr>
          <w:noProof/>
        </w:rPr>
        <w:instrText xml:space="preserve"> PAGEREF _Toc170184276 \h </w:instrText>
      </w:r>
      <w:r>
        <w:rPr>
          <w:noProof/>
        </w:rPr>
      </w:r>
      <w:r>
        <w:rPr>
          <w:noProof/>
        </w:rPr>
        <w:fldChar w:fldCharType="separate"/>
      </w:r>
      <w:r>
        <w:rPr>
          <w:noProof/>
        </w:rPr>
        <w:t>42</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_Toc170184277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w:t>
      </w:r>
      <w:r>
        <w:rPr>
          <w:noProof/>
        </w:rPr>
        <w:tab/>
      </w:r>
      <w:r>
        <w:rPr>
          <w:noProof/>
        </w:rPr>
        <w:fldChar w:fldCharType="begin"/>
      </w:r>
      <w:r>
        <w:rPr>
          <w:noProof/>
        </w:rPr>
        <w:instrText xml:space="preserve"> PAGEREF _Toc170184278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Directors — terms and vacation of office</w:t>
      </w:r>
      <w:r>
        <w:rPr>
          <w:noProof/>
        </w:rPr>
        <w:tab/>
      </w:r>
      <w:r>
        <w:rPr>
          <w:noProof/>
        </w:rPr>
        <w:fldChar w:fldCharType="begin"/>
      </w:r>
      <w:r>
        <w:rPr>
          <w:noProof/>
        </w:rPr>
        <w:instrText xml:space="preserve"> PAGEREF _Toc170184279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Alternate directors</w:t>
      </w:r>
      <w:r>
        <w:rPr>
          <w:noProof/>
        </w:rPr>
        <w:tab/>
      </w:r>
      <w:r>
        <w:rPr>
          <w:noProof/>
        </w:rPr>
        <w:fldChar w:fldCharType="begin"/>
      </w:r>
      <w:r>
        <w:rPr>
          <w:noProof/>
        </w:rPr>
        <w:instrText xml:space="preserve"> PAGEREF _Toc170184280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Deputy chairman — term and vacation of office</w:t>
      </w:r>
      <w:r>
        <w:rPr>
          <w:noProof/>
        </w:rPr>
        <w:tab/>
      </w:r>
      <w:r>
        <w:rPr>
          <w:noProof/>
        </w:rPr>
        <w:fldChar w:fldCharType="begin"/>
      </w:r>
      <w:r>
        <w:rPr>
          <w:noProof/>
        </w:rPr>
        <w:instrText xml:space="preserve"> PAGEREF _Toc170184281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w:t>
      </w:r>
      <w:r>
        <w:rPr>
          <w:noProof/>
        </w:rPr>
        <w:tab/>
      </w:r>
      <w:r>
        <w:rPr>
          <w:noProof/>
        </w:rPr>
        <w:fldChar w:fldCharType="begin"/>
      </w:r>
      <w:r>
        <w:rPr>
          <w:noProof/>
        </w:rPr>
        <w:instrText xml:space="preserve"> PAGEREF _Toc170184282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Certain provisions of Schedule 1 to apply</w:t>
      </w:r>
      <w:r>
        <w:rPr>
          <w:noProof/>
        </w:rPr>
        <w:tab/>
      </w:r>
      <w:r>
        <w:rPr>
          <w:noProof/>
        </w:rPr>
        <w:fldChar w:fldCharType="begin"/>
      </w:r>
      <w:r>
        <w:rPr>
          <w:noProof/>
        </w:rPr>
        <w:instrText xml:space="preserve"> PAGEREF _Toc170184283 \h </w:instrText>
      </w:r>
      <w:r>
        <w:rPr>
          <w:noProof/>
        </w:rPr>
      </w:r>
      <w:r>
        <w:rPr>
          <w:noProof/>
        </w:rPr>
        <w:fldChar w:fldCharType="separate"/>
      </w:r>
      <w:r>
        <w:rPr>
          <w:noProof/>
        </w:rPr>
        <w:t>46</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_Toc170184284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Terms used</w:t>
      </w:r>
      <w:r>
        <w:rPr>
          <w:noProof/>
        </w:rPr>
        <w:tab/>
      </w:r>
      <w:r>
        <w:rPr>
          <w:noProof/>
        </w:rPr>
        <w:fldChar w:fldCharType="begin"/>
      </w:r>
      <w:r>
        <w:rPr>
          <w:noProof/>
        </w:rPr>
        <w:instrText xml:space="preserve"> PAGEREF _Toc170184285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Transfer of assets, liabilities and records of the MVIT</w:t>
      </w:r>
      <w:r>
        <w:rPr>
          <w:noProof/>
        </w:rPr>
        <w:tab/>
      </w:r>
      <w:r>
        <w:rPr>
          <w:noProof/>
        </w:rPr>
        <w:fldChar w:fldCharType="begin"/>
      </w:r>
      <w:r>
        <w:rPr>
          <w:noProof/>
        </w:rPr>
        <w:instrText xml:space="preserve"> PAGEREF _Toc170184286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MVIT insurance policies</w:t>
      </w:r>
      <w:r>
        <w:rPr>
          <w:noProof/>
        </w:rPr>
        <w:tab/>
      </w:r>
      <w:r>
        <w:rPr>
          <w:noProof/>
        </w:rPr>
        <w:fldChar w:fldCharType="begin"/>
      </w:r>
      <w:r>
        <w:rPr>
          <w:noProof/>
        </w:rPr>
        <w:instrText xml:space="preserve"> PAGEREF _Toc170184287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Agreements, instruments, determinations and proceedings generally</w:t>
      </w:r>
      <w:r>
        <w:rPr>
          <w:noProof/>
        </w:rPr>
        <w:tab/>
      </w:r>
      <w:r>
        <w:rPr>
          <w:noProof/>
        </w:rPr>
        <w:fldChar w:fldCharType="begin"/>
      </w:r>
      <w:r>
        <w:rPr>
          <w:noProof/>
        </w:rPr>
        <w:instrText xml:space="preserve"> PAGEREF _Toc170184288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Final reports on the operations of the MVIT</w:t>
      </w:r>
      <w:r>
        <w:rPr>
          <w:noProof/>
        </w:rPr>
        <w:tab/>
      </w:r>
      <w:r>
        <w:rPr>
          <w:noProof/>
        </w:rPr>
        <w:fldChar w:fldCharType="begin"/>
      </w:r>
      <w:r>
        <w:rPr>
          <w:noProof/>
        </w:rPr>
        <w:instrText xml:space="preserve"> PAGEREF _Toc170184289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Assessment as to sufficiency of income</w:t>
      </w:r>
      <w:r>
        <w:rPr>
          <w:noProof/>
        </w:rPr>
        <w:tab/>
      </w:r>
      <w:r>
        <w:rPr>
          <w:noProof/>
        </w:rPr>
        <w:fldChar w:fldCharType="begin"/>
      </w:r>
      <w:r>
        <w:rPr>
          <w:noProof/>
        </w:rPr>
        <w:instrText xml:space="preserve"> PAGEREF _Toc170184290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Employment of current officers</w:t>
      </w:r>
      <w:r>
        <w:rPr>
          <w:noProof/>
        </w:rPr>
        <w:tab/>
      </w:r>
      <w:r>
        <w:rPr>
          <w:noProof/>
        </w:rPr>
        <w:fldChar w:fldCharType="begin"/>
      </w:r>
      <w:r>
        <w:rPr>
          <w:noProof/>
        </w:rPr>
        <w:instrText xml:space="preserve"> PAGEREF _Toc170184291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References to the MVIT in laws</w:t>
      </w:r>
      <w:r>
        <w:rPr>
          <w:noProof/>
        </w:rPr>
        <w:tab/>
      </w:r>
      <w:r>
        <w:rPr>
          <w:noProof/>
        </w:rPr>
        <w:fldChar w:fldCharType="begin"/>
      </w:r>
      <w:r>
        <w:rPr>
          <w:noProof/>
        </w:rPr>
        <w:instrText xml:space="preserve"> PAGEREF _Toc170184292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Transfer of assets, liabilities and records of the SGIO</w:t>
      </w:r>
      <w:r>
        <w:rPr>
          <w:noProof/>
        </w:rPr>
        <w:tab/>
      </w:r>
      <w:r>
        <w:rPr>
          <w:noProof/>
        </w:rPr>
        <w:fldChar w:fldCharType="begin"/>
      </w:r>
      <w:r>
        <w:rPr>
          <w:noProof/>
        </w:rPr>
        <w:instrText xml:space="preserve"> PAGEREF _Toc170184293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SGIO insurance policies and re</w:t>
      </w:r>
      <w:r>
        <w:rPr>
          <w:noProof/>
          <w:snapToGrid w:val="0"/>
          <w:szCs w:val="22"/>
        </w:rPr>
        <w:noBreakHyphen/>
        <w:t>insurance</w:t>
      </w:r>
      <w:r>
        <w:rPr>
          <w:noProof/>
        </w:rPr>
        <w:tab/>
      </w:r>
      <w:r>
        <w:rPr>
          <w:noProof/>
        </w:rPr>
        <w:fldChar w:fldCharType="begin"/>
      </w:r>
      <w:r>
        <w:rPr>
          <w:noProof/>
        </w:rPr>
        <w:instrText xml:space="preserve"> PAGEREF _Toc170184294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Agents and brokers</w:t>
      </w:r>
      <w:r>
        <w:rPr>
          <w:noProof/>
        </w:rPr>
        <w:tab/>
      </w:r>
      <w:r>
        <w:rPr>
          <w:noProof/>
        </w:rPr>
        <w:fldChar w:fldCharType="begin"/>
      </w:r>
      <w:r>
        <w:rPr>
          <w:noProof/>
        </w:rPr>
        <w:instrText xml:space="preserve"> PAGEREF _Toc170184295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Agreements, instruments and proceedings generally</w:t>
      </w:r>
      <w:r>
        <w:rPr>
          <w:noProof/>
        </w:rPr>
        <w:tab/>
      </w:r>
      <w:r>
        <w:rPr>
          <w:noProof/>
        </w:rPr>
        <w:fldChar w:fldCharType="begin"/>
      </w:r>
      <w:r>
        <w:rPr>
          <w:noProof/>
        </w:rPr>
        <w:instrText xml:space="preserve"> PAGEREF _Toc170184296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Final reports on the operations of the SGIO</w:t>
      </w:r>
      <w:r>
        <w:rPr>
          <w:noProof/>
        </w:rPr>
        <w:tab/>
      </w:r>
      <w:r>
        <w:rPr>
          <w:noProof/>
        </w:rPr>
        <w:fldChar w:fldCharType="begin"/>
      </w:r>
      <w:r>
        <w:rPr>
          <w:noProof/>
        </w:rPr>
        <w:instrText xml:space="preserve"> PAGEREF _Toc170184297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Certain outstanding obligations to be met by the Commission</w:t>
      </w:r>
      <w:r>
        <w:rPr>
          <w:noProof/>
        </w:rPr>
        <w:tab/>
      </w:r>
      <w:r>
        <w:rPr>
          <w:noProof/>
        </w:rPr>
        <w:fldChar w:fldCharType="begin"/>
      </w:r>
      <w:r>
        <w:rPr>
          <w:noProof/>
        </w:rPr>
        <w:instrText xml:space="preserve"> PAGEREF _Toc170184298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Saving of presumption and protection</w:t>
      </w:r>
      <w:r>
        <w:rPr>
          <w:noProof/>
        </w:rPr>
        <w:tab/>
      </w:r>
      <w:r>
        <w:rPr>
          <w:noProof/>
        </w:rPr>
        <w:fldChar w:fldCharType="begin"/>
      </w:r>
      <w:r>
        <w:rPr>
          <w:noProof/>
        </w:rPr>
        <w:instrText xml:space="preserve"> PAGEREF _Toc170184299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Employment of staff of the SGIO</w:t>
      </w:r>
      <w:r>
        <w:rPr>
          <w:noProof/>
        </w:rPr>
        <w:tab/>
      </w:r>
      <w:r>
        <w:rPr>
          <w:noProof/>
        </w:rPr>
        <w:fldChar w:fldCharType="begin"/>
      </w:r>
      <w:r>
        <w:rPr>
          <w:noProof/>
        </w:rPr>
        <w:instrText xml:space="preserve"> PAGEREF _Toc170184300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References to the SGIO in laws</w:t>
      </w:r>
      <w:r>
        <w:rPr>
          <w:noProof/>
        </w:rPr>
        <w:tab/>
      </w:r>
      <w:r>
        <w:rPr>
          <w:noProof/>
        </w:rPr>
        <w:fldChar w:fldCharType="begin"/>
      </w:r>
      <w:r>
        <w:rPr>
          <w:noProof/>
        </w:rPr>
        <w:instrText xml:space="preserve"> PAGEREF _Toc170184301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Apportionment of assets and liabilities</w:t>
      </w:r>
      <w:r>
        <w:rPr>
          <w:noProof/>
        </w:rPr>
        <w:tab/>
      </w:r>
      <w:r>
        <w:rPr>
          <w:noProof/>
        </w:rPr>
        <w:fldChar w:fldCharType="begin"/>
      </w:r>
      <w:r>
        <w:rPr>
          <w:noProof/>
        </w:rPr>
        <w:instrText xml:space="preserve"> PAGEREF _Toc170184302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Interpretation Act to apply</w:t>
      </w:r>
      <w:r>
        <w:rPr>
          <w:noProof/>
        </w:rPr>
        <w:tab/>
      </w:r>
      <w:r>
        <w:rPr>
          <w:noProof/>
        </w:rPr>
        <w:fldChar w:fldCharType="begin"/>
      </w:r>
      <w:r>
        <w:rPr>
          <w:noProof/>
        </w:rPr>
        <w:instrText xml:space="preserve"> PAGEREF _Toc170184303 \h </w:instrText>
      </w:r>
      <w:r>
        <w:rPr>
          <w:noProof/>
        </w:rPr>
      </w:r>
      <w:r>
        <w:rPr>
          <w:noProof/>
        </w:rPr>
        <w:fldChar w:fldCharType="separate"/>
      </w:r>
      <w:r>
        <w:rPr>
          <w:noProof/>
        </w:rPr>
        <w:t>56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_Toc170184305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_Toc170184306 \h </w:instrText>
      </w:r>
      <w:r>
        <w:rPr>
          <w:noProof/>
        </w:rPr>
      </w:r>
      <w:r>
        <w:rPr>
          <w:noProof/>
        </w:rPr>
        <w:fldChar w:fldCharType="separate"/>
      </w:r>
      <w:r>
        <w:rPr>
          <w:noProof/>
        </w:rPr>
        <w:t>59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s.4.]</w:t>
      </w:r>
    </w:p>
    <w:p>
      <w:pPr>
        <w:pStyle w:val="Heading2"/>
      </w:pPr>
      <w:bookmarkStart w:id="1" w:name="_Toc92782859"/>
      <w:bookmarkStart w:id="2" w:name="_Toc92782973"/>
      <w:bookmarkStart w:id="3" w:name="_Toc170184194"/>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517674442"/>
      <w:bookmarkStart w:id="5" w:name="_Toc170184195"/>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s.5.]</w:t>
      </w:r>
    </w:p>
    <w:p>
      <w:pPr>
        <w:pStyle w:val="Heading5"/>
        <w:rPr>
          <w:snapToGrid w:val="0"/>
        </w:rPr>
      </w:pPr>
      <w:bookmarkStart w:id="6" w:name="_Toc517674443"/>
      <w:bookmarkStart w:id="7" w:name="_Toc17018419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 w:name="_Toc517674444"/>
      <w:bookmarkStart w:id="9" w:name="_Toc170184197"/>
      <w:r>
        <w:rPr>
          <w:rStyle w:val="CharSectno"/>
        </w:rPr>
        <w:t>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s.6; No. 34 of 2002 s.4.] </w:t>
      </w:r>
    </w:p>
    <w:p>
      <w:pPr>
        <w:pStyle w:val="Heading5"/>
      </w:pPr>
      <w:bookmarkStart w:id="10" w:name="_Toc170184198"/>
      <w:r>
        <w:rPr>
          <w:rStyle w:val="CharSectno"/>
        </w:rPr>
        <w:t>3A</w:t>
      </w:r>
      <w:r>
        <w:t>.</w:t>
      </w:r>
      <w:r>
        <w:tab/>
        <w:t>Eligible community organisations</w:t>
      </w:r>
      <w:bookmarkEnd w:id="10"/>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s.5.]</w:t>
      </w:r>
    </w:p>
    <w:p>
      <w:pPr>
        <w:pStyle w:val="Heading2"/>
      </w:pPr>
      <w:bookmarkStart w:id="11" w:name="_Toc92782864"/>
      <w:bookmarkStart w:id="12" w:name="_Toc92782978"/>
      <w:bookmarkStart w:id="13" w:name="_Toc170184199"/>
      <w:r>
        <w:rPr>
          <w:rStyle w:val="CharPartNo"/>
        </w:rPr>
        <w:t>Part II</w:t>
      </w:r>
      <w:r>
        <w:t> — </w:t>
      </w:r>
      <w:r>
        <w:rPr>
          <w:rStyle w:val="CharPartText"/>
        </w:rPr>
        <w:t>Insurance Commission of Western Australia</w:t>
      </w:r>
      <w:bookmarkEnd w:id="11"/>
      <w:bookmarkEnd w:id="12"/>
      <w:bookmarkEnd w:id="13"/>
      <w:r>
        <w:rPr>
          <w:rStyle w:val="CharPartText"/>
        </w:rPr>
        <w:t xml:space="preserve"> </w:t>
      </w:r>
    </w:p>
    <w:p>
      <w:pPr>
        <w:pStyle w:val="Footnoteheading"/>
        <w:rPr>
          <w:snapToGrid w:val="0"/>
        </w:rPr>
      </w:pPr>
      <w:r>
        <w:rPr>
          <w:snapToGrid w:val="0"/>
        </w:rPr>
        <w:tab/>
        <w:t xml:space="preserve">[Heading inserted by No. 45 of 1996 s.7.] </w:t>
      </w:r>
    </w:p>
    <w:p>
      <w:pPr>
        <w:pStyle w:val="Heading3"/>
        <w:rPr>
          <w:snapToGrid w:val="0"/>
        </w:rPr>
      </w:pPr>
      <w:bookmarkStart w:id="14" w:name="_Toc92782865"/>
      <w:bookmarkStart w:id="15" w:name="_Toc92782979"/>
      <w:bookmarkStart w:id="16" w:name="_Toc170184200"/>
      <w:r>
        <w:rPr>
          <w:rStyle w:val="CharDivNo"/>
        </w:rPr>
        <w:t>Division 1</w:t>
      </w:r>
      <w:r>
        <w:rPr>
          <w:snapToGrid w:val="0"/>
        </w:rPr>
        <w:t> — </w:t>
      </w:r>
      <w:r>
        <w:rPr>
          <w:rStyle w:val="CharDivText"/>
        </w:rPr>
        <w:t>The Commission and the board of commissioners</w:t>
      </w:r>
      <w:bookmarkEnd w:id="14"/>
      <w:bookmarkEnd w:id="15"/>
      <w:bookmarkEnd w:id="16"/>
      <w:r>
        <w:rPr>
          <w:rStyle w:val="CharDivText"/>
        </w:rPr>
        <w:t xml:space="preserve"> </w:t>
      </w:r>
    </w:p>
    <w:p>
      <w:pPr>
        <w:pStyle w:val="Footnoteheading"/>
        <w:rPr>
          <w:snapToGrid w:val="0"/>
        </w:rPr>
      </w:pPr>
      <w:r>
        <w:rPr>
          <w:snapToGrid w:val="0"/>
        </w:rPr>
        <w:tab/>
        <w:t xml:space="preserve">[Heading inserted by No. 45 of 1996 s.7.] </w:t>
      </w:r>
    </w:p>
    <w:p>
      <w:pPr>
        <w:pStyle w:val="Heading5"/>
        <w:rPr>
          <w:snapToGrid w:val="0"/>
        </w:rPr>
      </w:pPr>
      <w:bookmarkStart w:id="17" w:name="_Toc517674445"/>
      <w:bookmarkStart w:id="18" w:name="_Toc170184201"/>
      <w:r>
        <w:rPr>
          <w:rStyle w:val="CharSectno"/>
        </w:rPr>
        <w:t>4</w:t>
      </w:r>
      <w:r>
        <w:rPr>
          <w:snapToGrid w:val="0"/>
        </w:rPr>
        <w:t>.</w:t>
      </w:r>
      <w:r>
        <w:rPr>
          <w:snapToGrid w:val="0"/>
        </w:rPr>
        <w:tab/>
        <w:t>Insurance Commission of Western Australia: corporate identity and status</w:t>
      </w:r>
      <w:bookmarkEnd w:id="17"/>
      <w:bookmarkEnd w:id="18"/>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s.8.] </w:t>
      </w:r>
    </w:p>
    <w:p>
      <w:pPr>
        <w:pStyle w:val="Heading5"/>
        <w:rPr>
          <w:snapToGrid w:val="0"/>
        </w:rPr>
      </w:pPr>
      <w:bookmarkStart w:id="19" w:name="_Toc517674446"/>
      <w:bookmarkStart w:id="20" w:name="_Toc170184202"/>
      <w:r>
        <w:rPr>
          <w:rStyle w:val="CharSectno"/>
        </w:rPr>
        <w:t>4A</w:t>
      </w:r>
      <w:r>
        <w:rPr>
          <w:snapToGrid w:val="0"/>
        </w:rPr>
        <w:t>.</w:t>
      </w:r>
      <w:r>
        <w:rPr>
          <w:snapToGrid w:val="0"/>
        </w:rPr>
        <w:tab/>
        <w:t>Agent of Crown</w:t>
      </w:r>
      <w:bookmarkEnd w:id="19"/>
      <w:bookmarkEnd w:id="20"/>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s.8.]</w:t>
      </w:r>
    </w:p>
    <w:p>
      <w:pPr>
        <w:pStyle w:val="Heading5"/>
        <w:rPr>
          <w:snapToGrid w:val="0"/>
        </w:rPr>
      </w:pPr>
      <w:bookmarkStart w:id="21" w:name="_Toc517674447"/>
      <w:bookmarkStart w:id="22" w:name="_Toc170184203"/>
      <w:r>
        <w:rPr>
          <w:rStyle w:val="CharSectno"/>
        </w:rPr>
        <w:t>5</w:t>
      </w:r>
      <w:r>
        <w:rPr>
          <w:snapToGrid w:val="0"/>
        </w:rPr>
        <w:t>.</w:t>
      </w:r>
      <w:r>
        <w:rPr>
          <w:snapToGrid w:val="0"/>
        </w:rPr>
        <w:tab/>
        <w:t>Board of commissioners</w:t>
      </w:r>
      <w:bookmarkEnd w:id="21"/>
      <w:bookmarkEnd w:id="22"/>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s.9.]</w:t>
      </w:r>
    </w:p>
    <w:p>
      <w:pPr>
        <w:pStyle w:val="Heading3"/>
        <w:rPr>
          <w:snapToGrid w:val="0"/>
        </w:rPr>
      </w:pPr>
      <w:bookmarkStart w:id="23" w:name="_Toc92782869"/>
      <w:bookmarkStart w:id="24" w:name="_Toc92782983"/>
      <w:bookmarkStart w:id="25" w:name="_Toc170184204"/>
      <w:r>
        <w:rPr>
          <w:rStyle w:val="CharDivNo"/>
        </w:rPr>
        <w:t>Division 2</w:t>
      </w:r>
      <w:r>
        <w:rPr>
          <w:snapToGrid w:val="0"/>
        </w:rPr>
        <w:t> — </w:t>
      </w:r>
      <w:r>
        <w:rPr>
          <w:rStyle w:val="CharDivText"/>
        </w:rPr>
        <w:t>Functions and powers of the Commission</w:t>
      </w:r>
      <w:bookmarkEnd w:id="23"/>
      <w:bookmarkEnd w:id="24"/>
      <w:bookmarkEnd w:id="25"/>
      <w:r>
        <w:rPr>
          <w:rStyle w:val="CharDivText"/>
        </w:rPr>
        <w:t xml:space="preserve"> </w:t>
      </w:r>
    </w:p>
    <w:p>
      <w:pPr>
        <w:pStyle w:val="Heading5"/>
        <w:rPr>
          <w:snapToGrid w:val="0"/>
        </w:rPr>
      </w:pPr>
      <w:bookmarkStart w:id="26" w:name="_Toc517674448"/>
      <w:bookmarkStart w:id="27" w:name="_Toc170184205"/>
      <w:r>
        <w:rPr>
          <w:rStyle w:val="CharSectno"/>
        </w:rPr>
        <w:t>6</w:t>
      </w:r>
      <w:r>
        <w:rPr>
          <w:snapToGrid w:val="0"/>
        </w:rPr>
        <w:t>.</w:t>
      </w:r>
      <w:r>
        <w:rPr>
          <w:snapToGrid w:val="0"/>
        </w:rPr>
        <w:tab/>
        <w:t>Functions</w:t>
      </w:r>
      <w:bookmarkEnd w:id="26"/>
      <w:bookmarkEnd w:id="2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authorized or required to do or engage in under any written law.</w:t>
      </w:r>
    </w:p>
    <w:p>
      <w:pPr>
        <w:pStyle w:val="Footnotesection"/>
      </w:pPr>
      <w:r>
        <w:tab/>
        <w:t xml:space="preserve">[Section 6 amended by No. 49 of 1992 s.28; No. 45 of 1996 s.10; No. 34 of 2002 s.6; No. 42 of 2004 s. 174.] </w:t>
      </w:r>
    </w:p>
    <w:p>
      <w:pPr>
        <w:pStyle w:val="Heading5"/>
        <w:rPr>
          <w:snapToGrid w:val="0"/>
        </w:rPr>
      </w:pPr>
      <w:bookmarkStart w:id="28" w:name="_Toc517674449"/>
      <w:bookmarkStart w:id="29" w:name="_Toc170184206"/>
      <w:r>
        <w:rPr>
          <w:rStyle w:val="CharSectno"/>
        </w:rPr>
        <w:t>7</w:t>
      </w:r>
      <w:r>
        <w:rPr>
          <w:snapToGrid w:val="0"/>
        </w:rPr>
        <w:t>.</w:t>
      </w:r>
      <w:r>
        <w:rPr>
          <w:snapToGrid w:val="0"/>
        </w:rPr>
        <w:tab/>
        <w:t>Powers</w:t>
      </w:r>
      <w:bookmarkEnd w:id="28"/>
      <w:bookmarkEnd w:id="29"/>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w:t>
      </w:r>
    </w:p>
    <w:p>
      <w:pPr>
        <w:pStyle w:val="Ednotepara"/>
        <w:rPr>
          <w:snapToGrid w:val="0"/>
        </w:rPr>
      </w:pPr>
      <w:r>
        <w:rPr>
          <w:snapToGrid w:val="0"/>
        </w:rPr>
        <w:tab/>
        <w:t>[(o)</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pPr>
      <w:r>
        <w:tab/>
        <w:t xml:space="preserve">[Section 7 amended by No. 49 of 1992 s.28; No. 45 of 1996 s.11; No. 34 of 2002 s.7; No. 42 of 2004 s. 174.] </w:t>
      </w:r>
    </w:p>
    <w:p>
      <w:pPr>
        <w:pStyle w:val="Heading5"/>
        <w:spacing w:before="120"/>
        <w:rPr>
          <w:snapToGrid w:val="0"/>
        </w:rPr>
      </w:pPr>
      <w:bookmarkStart w:id="30" w:name="_Toc517674450"/>
      <w:bookmarkStart w:id="31" w:name="_Toc170184207"/>
      <w:r>
        <w:rPr>
          <w:rStyle w:val="CharSectno"/>
        </w:rPr>
        <w:t>8</w:t>
      </w:r>
      <w:r>
        <w:rPr>
          <w:snapToGrid w:val="0"/>
        </w:rPr>
        <w:t>.</w:t>
      </w:r>
      <w:r>
        <w:rPr>
          <w:snapToGrid w:val="0"/>
        </w:rPr>
        <w:tab/>
        <w:t>Commission to act efficiently and economically</w:t>
      </w:r>
      <w:bookmarkEnd w:id="30"/>
      <w:bookmarkEnd w:id="31"/>
      <w:r>
        <w:rPr>
          <w:snapToGrid w:val="0"/>
        </w:rPr>
        <w:t xml:space="preserve"> </w:t>
      </w:r>
    </w:p>
    <w:p>
      <w:pPr>
        <w:pStyle w:val="Subsection"/>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20"/>
        <w:rPr>
          <w:snapToGrid w:val="0"/>
        </w:rPr>
      </w:pPr>
      <w:bookmarkStart w:id="32" w:name="_Toc517674451"/>
      <w:bookmarkStart w:id="33" w:name="_Toc170184208"/>
      <w:r>
        <w:rPr>
          <w:rStyle w:val="CharSectno"/>
        </w:rPr>
        <w:t>9</w:t>
      </w:r>
      <w:r>
        <w:rPr>
          <w:snapToGrid w:val="0"/>
        </w:rPr>
        <w:t>.</w:t>
      </w:r>
      <w:r>
        <w:rPr>
          <w:snapToGrid w:val="0"/>
        </w:rPr>
        <w:tab/>
        <w:t>Delegation</w:t>
      </w:r>
      <w:bookmarkEnd w:id="32"/>
      <w:bookmarkEnd w:id="33"/>
      <w:r>
        <w:rPr>
          <w:snapToGrid w:val="0"/>
        </w:rPr>
        <w:t xml:space="preserve"> </w:t>
      </w:r>
    </w:p>
    <w:p>
      <w:pPr>
        <w:pStyle w:val="Subsection"/>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pPr>
      <w:r>
        <w:tab/>
        <w:t>[Section 9 amended by No. 49 of 1992 s.28.]</w:t>
      </w:r>
    </w:p>
    <w:p>
      <w:pPr>
        <w:pStyle w:val="Heading5"/>
        <w:rPr>
          <w:snapToGrid w:val="0"/>
        </w:rPr>
      </w:pPr>
      <w:bookmarkStart w:id="34" w:name="_Toc517674452"/>
      <w:bookmarkStart w:id="35" w:name="_Toc170184209"/>
      <w:r>
        <w:rPr>
          <w:rStyle w:val="CharSectno"/>
        </w:rPr>
        <w:t>10</w:t>
      </w:r>
      <w:r>
        <w:rPr>
          <w:snapToGrid w:val="0"/>
        </w:rPr>
        <w:t>.</w:t>
      </w:r>
      <w:r>
        <w:rPr>
          <w:snapToGrid w:val="0"/>
        </w:rPr>
        <w:tab/>
        <w:t>Directions by Minister</w:t>
      </w:r>
      <w:bookmarkEnd w:id="34"/>
      <w:bookmarkEnd w:id="3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s.16; No. 41 of 1996 s.3.]</w:t>
      </w:r>
    </w:p>
    <w:p>
      <w:pPr>
        <w:pStyle w:val="Heading5"/>
        <w:rPr>
          <w:snapToGrid w:val="0"/>
        </w:rPr>
      </w:pPr>
      <w:bookmarkStart w:id="36" w:name="_Toc517674453"/>
      <w:bookmarkStart w:id="37" w:name="_Toc170184210"/>
      <w:r>
        <w:rPr>
          <w:rStyle w:val="CharSectno"/>
        </w:rPr>
        <w:t>10A</w:t>
      </w:r>
      <w:r>
        <w:rPr>
          <w:snapToGrid w:val="0"/>
        </w:rPr>
        <w:t>.</w:t>
      </w:r>
      <w:r>
        <w:rPr>
          <w:snapToGrid w:val="0"/>
        </w:rPr>
        <w:tab/>
        <w:t>Minister to have access to information</w:t>
      </w:r>
      <w:bookmarkEnd w:id="36"/>
      <w:bookmarkEnd w:id="3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pPr>
      <w:r>
        <w:tab/>
        <w:t xml:space="preserve">[Section 10A inserted by No. 45 of 1996 s.12.] </w:t>
      </w:r>
    </w:p>
    <w:p>
      <w:pPr>
        <w:pStyle w:val="Heading5"/>
        <w:rPr>
          <w:snapToGrid w:val="0"/>
        </w:rPr>
      </w:pPr>
      <w:bookmarkStart w:id="38" w:name="_Toc517674454"/>
      <w:bookmarkStart w:id="39" w:name="_Toc170184211"/>
      <w:r>
        <w:rPr>
          <w:rStyle w:val="CharSectno"/>
        </w:rPr>
        <w:t>10B</w:t>
      </w:r>
      <w:r>
        <w:rPr>
          <w:snapToGrid w:val="0"/>
        </w:rPr>
        <w:t>.</w:t>
      </w:r>
      <w:r>
        <w:rPr>
          <w:snapToGrid w:val="0"/>
        </w:rPr>
        <w:tab/>
        <w:t>Confidential information</w:t>
      </w:r>
      <w:bookmarkEnd w:id="38"/>
      <w:bookmarkEnd w:id="39"/>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authorized by the customer.</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pPr>
      <w:r>
        <w:tab/>
        <w:t xml:space="preserve">[Section 10B inserted by No. 45 of 1996 s.12.] </w:t>
      </w:r>
    </w:p>
    <w:p>
      <w:pPr>
        <w:pStyle w:val="Heading3"/>
        <w:rPr>
          <w:snapToGrid w:val="0"/>
        </w:rPr>
      </w:pPr>
      <w:bookmarkStart w:id="40" w:name="_Toc92782877"/>
      <w:bookmarkStart w:id="41" w:name="_Toc92782991"/>
      <w:bookmarkStart w:id="42" w:name="_Toc170184212"/>
      <w:r>
        <w:rPr>
          <w:rStyle w:val="CharDivNo"/>
        </w:rPr>
        <w:t>Division 3</w:t>
      </w:r>
      <w:r>
        <w:rPr>
          <w:snapToGrid w:val="0"/>
        </w:rPr>
        <w:t> — </w:t>
      </w:r>
      <w:r>
        <w:rPr>
          <w:rStyle w:val="CharDivText"/>
        </w:rPr>
        <w:t>Staff of the Commission</w:t>
      </w:r>
      <w:bookmarkEnd w:id="40"/>
      <w:bookmarkEnd w:id="41"/>
      <w:bookmarkEnd w:id="42"/>
      <w:r>
        <w:rPr>
          <w:rStyle w:val="CharDivText"/>
        </w:rPr>
        <w:t xml:space="preserve"> </w:t>
      </w:r>
    </w:p>
    <w:p>
      <w:pPr>
        <w:pStyle w:val="Heading5"/>
        <w:rPr>
          <w:snapToGrid w:val="0"/>
        </w:rPr>
      </w:pPr>
      <w:bookmarkStart w:id="43" w:name="_Toc517674455"/>
      <w:bookmarkStart w:id="44" w:name="_Toc170184213"/>
      <w:r>
        <w:rPr>
          <w:rStyle w:val="CharSectno"/>
        </w:rPr>
        <w:t>11</w:t>
      </w:r>
      <w:r>
        <w:rPr>
          <w:snapToGrid w:val="0"/>
        </w:rPr>
        <w:t>.</w:t>
      </w:r>
      <w:r>
        <w:rPr>
          <w:snapToGrid w:val="0"/>
        </w:rPr>
        <w:tab/>
        <w:t>Managing director</w:t>
      </w:r>
      <w:bookmarkEnd w:id="43"/>
      <w:bookmarkEnd w:id="44"/>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Public Service Board</w:t>
      </w:r>
      <w:r>
        <w:rPr>
          <w:snapToGrid w:val="0"/>
          <w:vertAlign w:val="superscript"/>
        </w:rPr>
        <w:t xml:space="preserve"> 3</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45" w:name="_Toc517674456"/>
      <w:bookmarkStart w:id="46" w:name="_Toc170184214"/>
      <w:r>
        <w:rPr>
          <w:rStyle w:val="CharSectno"/>
        </w:rPr>
        <w:t>12</w:t>
      </w:r>
      <w:r>
        <w:rPr>
          <w:snapToGrid w:val="0"/>
        </w:rPr>
        <w:t>.</w:t>
      </w:r>
      <w:r>
        <w:rPr>
          <w:snapToGrid w:val="0"/>
        </w:rPr>
        <w:tab/>
        <w:t>Appointment of staff and consultants</w:t>
      </w:r>
      <w:bookmarkEnd w:id="45"/>
      <w:bookmarkEnd w:id="46"/>
      <w:r>
        <w:rPr>
          <w:snapToGrid w:val="0"/>
        </w:rPr>
        <w:t xml:space="preserve"> </w:t>
      </w:r>
    </w:p>
    <w:p>
      <w:pPr>
        <w:pStyle w:val="Subsection"/>
        <w:rPr>
          <w:snapToGrid w:val="0"/>
        </w:rPr>
      </w:pPr>
      <w:r>
        <w:rPr>
          <w:snapToGrid w:val="0"/>
        </w:rPr>
        <w:tab/>
        <w:t>(1)</w:t>
      </w:r>
      <w:r>
        <w:rPr>
          <w:snapToGrid w:val="0"/>
        </w:rPr>
        <w:tab/>
        <w:t>The Commission may appoint such officers and employees, either full time or part 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considers necessary to enable the Commission and the Corporation to carry out their respective functions.</w:t>
      </w:r>
    </w:p>
    <w:p>
      <w:pPr>
        <w:pStyle w:val="Heading5"/>
        <w:rPr>
          <w:snapToGrid w:val="0"/>
        </w:rPr>
      </w:pPr>
      <w:bookmarkStart w:id="47" w:name="_Toc517674457"/>
      <w:bookmarkStart w:id="48" w:name="_Toc170184215"/>
      <w:r>
        <w:rPr>
          <w:rStyle w:val="CharSectno"/>
        </w:rPr>
        <w:t>12A</w:t>
      </w:r>
      <w:r>
        <w:rPr>
          <w:snapToGrid w:val="0"/>
        </w:rPr>
        <w:t>.</w:t>
      </w:r>
      <w:r>
        <w:rPr>
          <w:snapToGrid w:val="0"/>
        </w:rPr>
        <w:tab/>
        <w:t>Status of managing director and officers and employees of Commission</w:t>
      </w:r>
      <w:bookmarkEnd w:id="47"/>
      <w:bookmarkEnd w:id="48"/>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Service Act 1978</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s.32.] </w:t>
      </w:r>
    </w:p>
    <w:p>
      <w:pPr>
        <w:pStyle w:val="Heading5"/>
        <w:rPr>
          <w:snapToGrid w:val="0"/>
        </w:rPr>
      </w:pPr>
      <w:bookmarkStart w:id="49" w:name="_Toc517674458"/>
      <w:bookmarkStart w:id="50" w:name="_Toc170184216"/>
      <w:r>
        <w:rPr>
          <w:rStyle w:val="CharSectno"/>
        </w:rPr>
        <w:t>13</w:t>
      </w:r>
      <w:r>
        <w:rPr>
          <w:snapToGrid w:val="0"/>
        </w:rPr>
        <w:t>.</w:t>
      </w:r>
      <w:r>
        <w:rPr>
          <w:snapToGrid w:val="0"/>
        </w:rPr>
        <w:tab/>
        <w:t>Use of staff and facilities of departments and instrumentalities</w:t>
      </w:r>
      <w:bookmarkEnd w:id="49"/>
      <w:bookmarkEnd w:id="50"/>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s.19.]</w:t>
      </w:r>
    </w:p>
    <w:p>
      <w:pPr>
        <w:pStyle w:val="Heading5"/>
        <w:rPr>
          <w:snapToGrid w:val="0"/>
        </w:rPr>
      </w:pPr>
      <w:bookmarkStart w:id="51" w:name="_Toc517674459"/>
      <w:bookmarkStart w:id="52" w:name="_Toc170184217"/>
      <w:r>
        <w:rPr>
          <w:rStyle w:val="CharSectno"/>
        </w:rPr>
        <w:t>13A</w:t>
      </w:r>
      <w:r>
        <w:rPr>
          <w:snapToGrid w:val="0"/>
        </w:rPr>
        <w:t>.</w:t>
      </w:r>
      <w:r>
        <w:rPr>
          <w:snapToGrid w:val="0"/>
        </w:rPr>
        <w:tab/>
        <w:t>Use of staff and facilities of an insurer</w:t>
      </w:r>
      <w:bookmarkEnd w:id="51"/>
      <w:bookmarkEnd w:id="52"/>
      <w:r>
        <w:rPr>
          <w:snapToGrid w:val="0"/>
        </w:rPr>
        <w:t xml:space="preserve"> </w:t>
      </w:r>
    </w:p>
    <w:p>
      <w:pPr>
        <w:pStyle w:val="Subsection"/>
        <w:rPr>
          <w:snapToGrid w:val="0"/>
        </w:rPr>
      </w:pPr>
      <w:r>
        <w:rPr>
          <w:snapToGrid w:val="0"/>
        </w:rPr>
        <w:tab/>
      </w:r>
      <w:r>
        <w:rPr>
          <w:snapToGrid w:val="0"/>
        </w:rPr>
        <w:tab/>
        <w:t>The Commission may arrange to make use, either full-time or part-time,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s.28.] </w:t>
      </w:r>
    </w:p>
    <w:p>
      <w:pPr>
        <w:pStyle w:val="Heading5"/>
        <w:rPr>
          <w:snapToGrid w:val="0"/>
        </w:rPr>
      </w:pPr>
      <w:bookmarkStart w:id="53" w:name="_Toc517674460"/>
      <w:bookmarkStart w:id="54" w:name="_Toc170184218"/>
      <w:r>
        <w:rPr>
          <w:rStyle w:val="CharSectno"/>
        </w:rPr>
        <w:t>14</w:t>
      </w:r>
      <w:r>
        <w:rPr>
          <w:snapToGrid w:val="0"/>
        </w:rPr>
        <w:t>.</w:t>
      </w:r>
      <w:r>
        <w:rPr>
          <w:snapToGrid w:val="0"/>
        </w:rPr>
        <w:tab/>
        <w:t>Superannuation</w:t>
      </w:r>
      <w:bookmarkEnd w:id="53"/>
      <w:bookmarkEnd w:id="54"/>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s.28.] </w:t>
      </w:r>
    </w:p>
    <w:p>
      <w:pPr>
        <w:pStyle w:val="Heading3"/>
        <w:rPr>
          <w:snapToGrid w:val="0"/>
        </w:rPr>
      </w:pPr>
      <w:bookmarkStart w:id="55" w:name="_Toc92782884"/>
      <w:bookmarkStart w:id="56" w:name="_Toc92782998"/>
      <w:bookmarkStart w:id="57" w:name="_Toc170184219"/>
      <w:r>
        <w:rPr>
          <w:rStyle w:val="CharDivNo"/>
        </w:rPr>
        <w:t>Division 4</w:t>
      </w:r>
      <w:r>
        <w:rPr>
          <w:snapToGrid w:val="0"/>
        </w:rPr>
        <w:t> — </w:t>
      </w:r>
      <w:r>
        <w:rPr>
          <w:rStyle w:val="CharDivText"/>
        </w:rPr>
        <w:t>Financial provisions relating to the Commission</w:t>
      </w:r>
      <w:bookmarkEnd w:id="55"/>
      <w:bookmarkEnd w:id="56"/>
      <w:bookmarkEnd w:id="57"/>
      <w:r>
        <w:rPr>
          <w:rStyle w:val="CharDivText"/>
        </w:rPr>
        <w:t xml:space="preserve"> </w:t>
      </w:r>
    </w:p>
    <w:p>
      <w:pPr>
        <w:pStyle w:val="Heading4"/>
        <w:rPr>
          <w:snapToGrid w:val="0"/>
        </w:rPr>
      </w:pPr>
      <w:bookmarkStart w:id="58" w:name="_Toc92782885"/>
      <w:bookmarkStart w:id="59" w:name="_Toc92782999"/>
      <w:bookmarkStart w:id="60" w:name="_Toc170184220"/>
      <w:r>
        <w:rPr>
          <w:snapToGrid w:val="0"/>
        </w:rPr>
        <w:t>Subdivision A — Income, expenditure and property of the Commission</w:t>
      </w:r>
      <w:bookmarkEnd w:id="58"/>
      <w:bookmarkEnd w:id="59"/>
      <w:bookmarkEnd w:id="60"/>
      <w:r>
        <w:rPr>
          <w:snapToGrid w:val="0"/>
        </w:rPr>
        <w:t xml:space="preserve"> </w:t>
      </w:r>
    </w:p>
    <w:p>
      <w:pPr>
        <w:pStyle w:val="Heading5"/>
        <w:rPr>
          <w:snapToGrid w:val="0"/>
        </w:rPr>
      </w:pPr>
      <w:bookmarkStart w:id="61" w:name="_Toc517674461"/>
      <w:bookmarkStart w:id="62" w:name="_Toc170184221"/>
      <w:r>
        <w:rPr>
          <w:rStyle w:val="CharSectno"/>
        </w:rPr>
        <w:t>15</w:t>
      </w:r>
      <w:r>
        <w:rPr>
          <w:snapToGrid w:val="0"/>
        </w:rPr>
        <w:t>.</w:t>
      </w:r>
      <w:r>
        <w:rPr>
          <w:snapToGrid w:val="0"/>
        </w:rPr>
        <w:tab/>
        <w:t>Moneys available to the Commission</w:t>
      </w:r>
      <w:bookmarkEnd w:id="61"/>
      <w:bookmarkEnd w:id="62"/>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63" w:name="_Toc517674462"/>
      <w:bookmarkStart w:id="64" w:name="_Toc170184222"/>
      <w:r>
        <w:rPr>
          <w:rStyle w:val="CharSectno"/>
        </w:rPr>
        <w:t>16</w:t>
      </w:r>
      <w:r>
        <w:rPr>
          <w:snapToGrid w:val="0"/>
        </w:rPr>
        <w:t>.</w:t>
      </w:r>
      <w:r>
        <w:rPr>
          <w:snapToGrid w:val="0"/>
        </w:rPr>
        <w:tab/>
        <w:t>Establishment and composition of Funds</w:t>
      </w:r>
      <w:bookmarkEnd w:id="63"/>
      <w:bookmarkEnd w:id="64"/>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rPr>
          <w:snapToGrid w:val="0"/>
        </w:rPr>
      </w:pPr>
      <w:r>
        <w:rPr>
          <w:snapToGrid w:val="0"/>
        </w:rPr>
        <w:tab/>
        <w:t>(7)</w:t>
      </w:r>
      <w:r>
        <w:rPr>
          <w:snapToGrid w:val="0"/>
        </w:rPr>
        <w:tab/>
        <w:t xml:space="preserve">An account or accounts shall be maintained at the Treasury, forming part of the Trust Fund constituted under section 9 of the </w:t>
      </w:r>
      <w:r>
        <w:rPr>
          <w:i/>
          <w:snapToGrid w:val="0"/>
        </w:rPr>
        <w:t>Financial Administration and Audit Act 1985</w:t>
      </w:r>
      <w:r>
        <w:rPr>
          <w:snapToGrid w:val="0"/>
        </w:rPr>
        <w:t>, or in a bank or banks approved by the Treasurer under section 7(2)(c) in respect of each Fund.</w:t>
      </w:r>
    </w:p>
    <w:p>
      <w:pPr>
        <w:pStyle w:val="Subsection"/>
        <w:rPr>
          <w:snapToGrid w:val="0"/>
        </w:rPr>
      </w:pPr>
      <w:r>
        <w:rPr>
          <w:snapToGrid w:val="0"/>
        </w:rPr>
        <w:tab/>
        <w:t>(8)</w:t>
      </w:r>
      <w:r>
        <w:rPr>
          <w:snapToGrid w:val="0"/>
        </w:rPr>
        <w:tab/>
        <w:t>One account may be maintained under subsection (7) in respect of 2 or more Funds.</w:t>
      </w:r>
    </w:p>
    <w:p>
      <w:pPr>
        <w:pStyle w:val="Footnotesection"/>
      </w:pPr>
      <w:r>
        <w:tab/>
        <w:t>[Section 16 amended by No. 49 of 1996 s.64; No. 45 of 1996 s.15; No. 34 of 2002 s.8.]</w:t>
      </w:r>
    </w:p>
    <w:p>
      <w:pPr>
        <w:pStyle w:val="Heading5"/>
        <w:rPr>
          <w:snapToGrid w:val="0"/>
        </w:rPr>
      </w:pPr>
      <w:bookmarkStart w:id="65" w:name="_Toc517674463"/>
      <w:bookmarkStart w:id="66" w:name="_Toc170184223"/>
      <w:r>
        <w:rPr>
          <w:rStyle w:val="CharSectno"/>
        </w:rPr>
        <w:t>17</w:t>
      </w:r>
      <w:r>
        <w:rPr>
          <w:snapToGrid w:val="0"/>
        </w:rPr>
        <w:t>.</w:t>
      </w:r>
      <w:r>
        <w:rPr>
          <w:snapToGrid w:val="0"/>
        </w:rPr>
        <w:tab/>
        <w:t>Apportionment of income, expenditure and assets</w:t>
      </w:r>
      <w:bookmarkEnd w:id="65"/>
      <w:bookmarkEnd w:id="66"/>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s.16.] </w:t>
      </w:r>
    </w:p>
    <w:p>
      <w:pPr>
        <w:pStyle w:val="Heading5"/>
        <w:rPr>
          <w:snapToGrid w:val="0"/>
        </w:rPr>
      </w:pPr>
      <w:bookmarkStart w:id="67" w:name="_Toc517674464"/>
      <w:bookmarkStart w:id="68" w:name="_Toc170184224"/>
      <w:r>
        <w:rPr>
          <w:rStyle w:val="CharSectno"/>
        </w:rPr>
        <w:t>18</w:t>
      </w:r>
      <w:r>
        <w:rPr>
          <w:snapToGrid w:val="0"/>
        </w:rPr>
        <w:t>.</w:t>
      </w:r>
      <w:r>
        <w:rPr>
          <w:snapToGrid w:val="0"/>
        </w:rPr>
        <w:tab/>
        <w:t>Transfer between Funds</w:t>
      </w:r>
      <w:bookmarkEnd w:id="67"/>
      <w:bookmarkEnd w:id="68"/>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snapToGrid w:val="0"/>
        </w:rPr>
        <w:t>Financial Administration and Audit Act 1985</w:t>
      </w:r>
      <w:r>
        <w:rPr>
          <w:snapToGrid w:val="0"/>
        </w:rPr>
        <w:t xml:space="preserve"> 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Fund;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s.11; No. 34 of 2002 s.9.]</w:t>
      </w:r>
    </w:p>
    <w:p>
      <w:pPr>
        <w:pStyle w:val="Heading4"/>
        <w:rPr>
          <w:snapToGrid w:val="0"/>
        </w:rPr>
      </w:pPr>
      <w:bookmarkStart w:id="69" w:name="_Toc92782890"/>
      <w:bookmarkStart w:id="70" w:name="_Toc92783004"/>
      <w:bookmarkStart w:id="71" w:name="_Toc170184225"/>
      <w:r>
        <w:rPr>
          <w:snapToGrid w:val="0"/>
        </w:rPr>
        <w:t>Subdivision Aa — Investment and property management</w:t>
      </w:r>
      <w:bookmarkEnd w:id="69"/>
      <w:bookmarkEnd w:id="70"/>
      <w:bookmarkEnd w:id="71"/>
      <w:r>
        <w:rPr>
          <w:snapToGrid w:val="0"/>
        </w:rPr>
        <w:t xml:space="preserve"> </w:t>
      </w:r>
    </w:p>
    <w:p>
      <w:pPr>
        <w:pStyle w:val="Footnoteheading"/>
      </w:pPr>
      <w:r>
        <w:tab/>
        <w:t>[Heading inserted by No. 45 of 1996 s.17.]</w:t>
      </w:r>
    </w:p>
    <w:p>
      <w:pPr>
        <w:pStyle w:val="Heading5"/>
        <w:rPr>
          <w:snapToGrid w:val="0"/>
        </w:rPr>
      </w:pPr>
      <w:bookmarkStart w:id="72" w:name="_Toc517674465"/>
      <w:bookmarkStart w:id="73" w:name="_Toc170184226"/>
      <w:r>
        <w:rPr>
          <w:rStyle w:val="CharSectno"/>
        </w:rPr>
        <w:t>19</w:t>
      </w:r>
      <w:r>
        <w:rPr>
          <w:snapToGrid w:val="0"/>
        </w:rPr>
        <w:t>.</w:t>
      </w:r>
      <w:r>
        <w:rPr>
          <w:snapToGrid w:val="0"/>
        </w:rPr>
        <w:tab/>
        <w:t>Arrangements for appointment of investment managers</w:t>
      </w:r>
      <w:bookmarkEnd w:id="72"/>
      <w:bookmarkEnd w:id="73"/>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s.17.]</w:t>
      </w:r>
    </w:p>
    <w:p>
      <w:pPr>
        <w:pStyle w:val="Heading5"/>
        <w:rPr>
          <w:snapToGrid w:val="0"/>
        </w:rPr>
      </w:pPr>
      <w:bookmarkStart w:id="74" w:name="_Toc517674466"/>
      <w:bookmarkStart w:id="75" w:name="_Toc170184227"/>
      <w:r>
        <w:rPr>
          <w:rStyle w:val="CharSectno"/>
        </w:rPr>
        <w:t>19A</w:t>
      </w:r>
      <w:r>
        <w:rPr>
          <w:snapToGrid w:val="0"/>
        </w:rPr>
        <w:t>.</w:t>
      </w:r>
      <w:r>
        <w:rPr>
          <w:snapToGrid w:val="0"/>
        </w:rPr>
        <w:tab/>
        <w:t>Investment policy</w:t>
      </w:r>
      <w:bookmarkEnd w:id="74"/>
      <w:bookmarkEnd w:id="75"/>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s.17.] </w:t>
      </w:r>
    </w:p>
    <w:p>
      <w:pPr>
        <w:pStyle w:val="Heading4"/>
        <w:rPr>
          <w:snapToGrid w:val="0"/>
        </w:rPr>
      </w:pPr>
      <w:bookmarkStart w:id="76" w:name="_Toc92782893"/>
      <w:bookmarkStart w:id="77" w:name="_Toc92783007"/>
      <w:bookmarkStart w:id="78" w:name="_Toc170184228"/>
      <w:r>
        <w:rPr>
          <w:snapToGrid w:val="0"/>
        </w:rPr>
        <w:t>Subdivision B — Financial administration, audit and reporting</w:t>
      </w:r>
      <w:bookmarkEnd w:id="76"/>
      <w:bookmarkEnd w:id="77"/>
      <w:bookmarkEnd w:id="78"/>
      <w:r>
        <w:rPr>
          <w:snapToGrid w:val="0"/>
        </w:rPr>
        <w:t xml:space="preserve"> </w:t>
      </w:r>
    </w:p>
    <w:p>
      <w:pPr>
        <w:pStyle w:val="Heading5"/>
        <w:rPr>
          <w:snapToGrid w:val="0"/>
        </w:rPr>
      </w:pPr>
      <w:bookmarkStart w:id="79" w:name="_Toc517674467"/>
      <w:bookmarkStart w:id="80" w:name="_Toc170184229"/>
      <w:r>
        <w:rPr>
          <w:rStyle w:val="CharSectno"/>
        </w:rPr>
        <w:t>20</w:t>
      </w:r>
      <w:r>
        <w:rPr>
          <w:snapToGrid w:val="0"/>
        </w:rPr>
        <w:t>.</w:t>
      </w:r>
      <w:r>
        <w:rPr>
          <w:snapToGrid w:val="0"/>
        </w:rPr>
        <w:tab/>
        <w:t xml:space="preserve">Application of </w:t>
      </w:r>
      <w:r>
        <w:rPr>
          <w:i/>
          <w:snapToGrid w:val="0"/>
        </w:rPr>
        <w:t>Financial Administration and Audit Act 1985</w:t>
      </w:r>
      <w:r>
        <w:rPr>
          <w:snapToGrid w:val="0"/>
        </w:rPr>
        <w:t xml:space="preserve"> to the Commission</w:t>
      </w:r>
      <w:bookmarkEnd w:id="79"/>
      <w:bookmarkEnd w:id="8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81" w:name="_Toc517674468"/>
      <w:bookmarkStart w:id="82" w:name="_Toc170184230"/>
      <w:r>
        <w:rPr>
          <w:rStyle w:val="CharSectno"/>
        </w:rPr>
        <w:t>21</w:t>
      </w:r>
      <w:r>
        <w:rPr>
          <w:snapToGrid w:val="0"/>
        </w:rPr>
        <w:t>.</w:t>
      </w:r>
      <w:r>
        <w:rPr>
          <w:snapToGrid w:val="0"/>
        </w:rPr>
        <w:tab/>
        <w:t>Provisions and reserves</w:t>
      </w:r>
      <w:bookmarkEnd w:id="81"/>
      <w:bookmarkEnd w:id="82"/>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83" w:name="_Toc517674469"/>
      <w:bookmarkStart w:id="84" w:name="_Toc170184231"/>
      <w:r>
        <w:rPr>
          <w:rStyle w:val="CharSectno"/>
        </w:rPr>
        <w:t>22</w:t>
      </w:r>
      <w:r>
        <w:rPr>
          <w:snapToGrid w:val="0"/>
        </w:rPr>
        <w:t>.</w:t>
      </w:r>
      <w:r>
        <w:rPr>
          <w:snapToGrid w:val="0"/>
        </w:rPr>
        <w:tab/>
        <w:t>Accounts</w:t>
      </w:r>
      <w:bookmarkEnd w:id="83"/>
      <w:bookmarkEnd w:id="84"/>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snapToGrid w:val="0"/>
        </w:rPr>
        <w:t>Financial Administration and Audit Act 1985</w:t>
      </w:r>
      <w:r>
        <w:rPr>
          <w:snapToGrid w:val="0"/>
        </w:rPr>
        <w:t xml:space="preserve"> in respect of each Commission account.</w:t>
      </w:r>
    </w:p>
    <w:p>
      <w:pPr>
        <w:pStyle w:val="Footnotesection"/>
      </w:pPr>
      <w:r>
        <w:tab/>
        <w:t>[Section 22 amended by No. 45 of 1996 s.18.]</w:t>
      </w:r>
    </w:p>
    <w:p>
      <w:pPr>
        <w:pStyle w:val="Heading5"/>
        <w:rPr>
          <w:snapToGrid w:val="0"/>
        </w:rPr>
      </w:pPr>
      <w:bookmarkStart w:id="85" w:name="_Toc517674470"/>
      <w:bookmarkStart w:id="86" w:name="_Toc170184232"/>
      <w:r>
        <w:rPr>
          <w:rStyle w:val="CharSectno"/>
        </w:rPr>
        <w:t>23</w:t>
      </w:r>
      <w:r>
        <w:rPr>
          <w:snapToGrid w:val="0"/>
        </w:rPr>
        <w:t>.</w:t>
      </w:r>
      <w:r>
        <w:rPr>
          <w:snapToGrid w:val="0"/>
        </w:rPr>
        <w:tab/>
        <w:t>Annual reports, financial statements</w:t>
      </w:r>
      <w:bookmarkEnd w:id="85"/>
      <w:bookmarkEnd w:id="86"/>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 xml:space="preserve">cause a separate and distinct annual report to be prepared and submitted under section 66(1) of the </w:t>
      </w:r>
      <w:r>
        <w:rPr>
          <w:i/>
          <w:snapToGrid w:val="0"/>
        </w:rPr>
        <w:t>Financial Administration and Audit Act 1985</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section 66(1)(a) of the </w:t>
      </w:r>
      <w:r>
        <w:rPr>
          <w:i/>
          <w:snapToGrid w:val="0"/>
        </w:rPr>
        <w:t>Financial Administration and Audit Act 1985</w:t>
      </w:r>
      <w:r>
        <w:rPr>
          <w:snapToGrid w:val="0"/>
        </w:rPr>
        <w:t xml:space="preserve"> to be prepared in respect of a Commission account for inclusion in the Commission’s annual report under section 66(1) of that Act.</w:t>
      </w:r>
    </w:p>
    <w:p>
      <w:pPr>
        <w:pStyle w:val="Footnotesection"/>
      </w:pPr>
      <w:r>
        <w:tab/>
        <w:t xml:space="preserve">[Section 23 inserted by No. 45 of 1996 s.19.] </w:t>
      </w:r>
    </w:p>
    <w:p>
      <w:pPr>
        <w:pStyle w:val="Heading4"/>
        <w:rPr>
          <w:snapToGrid w:val="0"/>
        </w:rPr>
      </w:pPr>
      <w:bookmarkStart w:id="87" w:name="_Toc92782898"/>
      <w:bookmarkStart w:id="88" w:name="_Toc92783012"/>
      <w:bookmarkStart w:id="89" w:name="_Toc170184233"/>
      <w:r>
        <w:rPr>
          <w:snapToGrid w:val="0"/>
        </w:rPr>
        <w:t>Subdivision C — Borrowing and financial accommodation</w:t>
      </w:r>
      <w:bookmarkEnd w:id="87"/>
      <w:bookmarkEnd w:id="88"/>
      <w:bookmarkEnd w:id="89"/>
      <w:r>
        <w:rPr>
          <w:snapToGrid w:val="0"/>
        </w:rPr>
        <w:t xml:space="preserve"> </w:t>
      </w:r>
    </w:p>
    <w:p>
      <w:pPr>
        <w:pStyle w:val="Heading5"/>
        <w:rPr>
          <w:snapToGrid w:val="0"/>
        </w:rPr>
      </w:pPr>
      <w:bookmarkStart w:id="90" w:name="_Toc517674471"/>
      <w:bookmarkStart w:id="91" w:name="_Toc170184234"/>
      <w:r>
        <w:rPr>
          <w:rStyle w:val="CharSectno"/>
        </w:rPr>
        <w:t>24</w:t>
      </w:r>
      <w:r>
        <w:rPr>
          <w:snapToGrid w:val="0"/>
        </w:rPr>
        <w:t>.</w:t>
      </w:r>
      <w:r>
        <w:rPr>
          <w:snapToGrid w:val="0"/>
        </w:rPr>
        <w:tab/>
        <w:t>Power to borrow etc., generally</w:t>
      </w:r>
      <w:bookmarkEnd w:id="90"/>
      <w:bookmarkEnd w:id="91"/>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92" w:name="_Toc517674472"/>
      <w:bookmarkStart w:id="93" w:name="_Toc170184235"/>
      <w:r>
        <w:rPr>
          <w:rStyle w:val="CharSectno"/>
        </w:rPr>
        <w:t>25</w:t>
      </w:r>
      <w:r>
        <w:rPr>
          <w:snapToGrid w:val="0"/>
        </w:rPr>
        <w:t>.</w:t>
      </w:r>
      <w:r>
        <w:rPr>
          <w:snapToGrid w:val="0"/>
        </w:rPr>
        <w:tab/>
        <w:t>Power to make provision to pay off loans</w:t>
      </w:r>
      <w:bookmarkEnd w:id="92"/>
      <w:bookmarkEnd w:id="9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94" w:name="_Toc517674473"/>
      <w:bookmarkStart w:id="95" w:name="_Toc170184236"/>
      <w:r>
        <w:rPr>
          <w:rStyle w:val="CharSectno"/>
        </w:rPr>
        <w:t>26</w:t>
      </w:r>
      <w:r>
        <w:rPr>
          <w:snapToGrid w:val="0"/>
        </w:rPr>
        <w:t>.</w:t>
      </w:r>
      <w:r>
        <w:rPr>
          <w:snapToGrid w:val="0"/>
        </w:rPr>
        <w:tab/>
        <w:t>Borrowing power, from Treasury sources</w:t>
      </w:r>
      <w:bookmarkEnd w:id="94"/>
      <w:bookmarkEnd w:id="95"/>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96" w:name="_Toc517674474"/>
      <w:bookmarkStart w:id="97" w:name="_Toc170184237"/>
      <w:r>
        <w:rPr>
          <w:rStyle w:val="CharSectno"/>
        </w:rPr>
        <w:t>27</w:t>
      </w:r>
      <w:r>
        <w:rPr>
          <w:snapToGrid w:val="0"/>
        </w:rPr>
        <w:t>.</w:t>
      </w:r>
      <w:r>
        <w:rPr>
          <w:snapToGrid w:val="0"/>
        </w:rPr>
        <w:tab/>
        <w:t>Specific State guarantees</w:t>
      </w:r>
      <w:bookmarkEnd w:id="96"/>
      <w:bookmarkEnd w:id="97"/>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authorized, and the due payment of moneys payable thereunder with all interest thereon shall be charged to the Consolidated Fund which is hereby to the extent necessary appropriated accordingly, and any sums received or recovered by the Treasurer from the Commission or otherwise in respect of payment so charged shall be credited to the Consolidated Fund.</w:t>
      </w:r>
    </w:p>
    <w:p>
      <w:pPr>
        <w:pStyle w:val="Subsection"/>
        <w:keepNext/>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s.11; No. 49 of 1996 s.64.]</w:t>
      </w:r>
    </w:p>
    <w:p>
      <w:pPr>
        <w:pStyle w:val="Heading2"/>
      </w:pPr>
      <w:bookmarkStart w:id="98" w:name="_Toc92782903"/>
      <w:bookmarkStart w:id="99" w:name="_Toc92783017"/>
      <w:bookmarkStart w:id="100" w:name="_Toc170184238"/>
      <w:r>
        <w:rPr>
          <w:rStyle w:val="CharPartNo"/>
        </w:rPr>
        <w:t>Part III</w:t>
      </w:r>
      <w:r>
        <w:t> — </w:t>
      </w:r>
      <w:r>
        <w:rPr>
          <w:rStyle w:val="CharPartText"/>
        </w:rPr>
        <w:t>State Government Insurance Corporation</w:t>
      </w:r>
      <w:bookmarkEnd w:id="98"/>
      <w:bookmarkEnd w:id="99"/>
      <w:bookmarkEnd w:id="100"/>
      <w:r>
        <w:rPr>
          <w:rStyle w:val="CharPartText"/>
        </w:rPr>
        <w:t xml:space="preserve"> </w:t>
      </w:r>
    </w:p>
    <w:p>
      <w:pPr>
        <w:pStyle w:val="Heading3"/>
        <w:rPr>
          <w:snapToGrid w:val="0"/>
        </w:rPr>
      </w:pPr>
      <w:bookmarkStart w:id="101" w:name="_Toc92782904"/>
      <w:bookmarkStart w:id="102" w:name="_Toc92783018"/>
      <w:bookmarkStart w:id="103" w:name="_Toc170184239"/>
      <w:r>
        <w:rPr>
          <w:rStyle w:val="CharDivNo"/>
        </w:rPr>
        <w:t>Division 1</w:t>
      </w:r>
      <w:r>
        <w:rPr>
          <w:snapToGrid w:val="0"/>
        </w:rPr>
        <w:t> — </w:t>
      </w:r>
      <w:r>
        <w:rPr>
          <w:rStyle w:val="CharDivText"/>
        </w:rPr>
        <w:t>Establishment of the Corporation</w:t>
      </w:r>
      <w:bookmarkEnd w:id="101"/>
      <w:bookmarkEnd w:id="102"/>
      <w:bookmarkEnd w:id="103"/>
      <w:r>
        <w:rPr>
          <w:rStyle w:val="CharDivText"/>
        </w:rPr>
        <w:t xml:space="preserve"> </w:t>
      </w:r>
    </w:p>
    <w:p>
      <w:pPr>
        <w:pStyle w:val="Heading5"/>
        <w:rPr>
          <w:snapToGrid w:val="0"/>
        </w:rPr>
      </w:pPr>
      <w:bookmarkStart w:id="104" w:name="_Toc517674475"/>
      <w:bookmarkStart w:id="105" w:name="_Toc170184240"/>
      <w:r>
        <w:rPr>
          <w:rStyle w:val="CharSectno"/>
        </w:rPr>
        <w:t>28</w:t>
      </w:r>
      <w:r>
        <w:rPr>
          <w:snapToGrid w:val="0"/>
        </w:rPr>
        <w:t>.</w:t>
      </w:r>
      <w:r>
        <w:rPr>
          <w:snapToGrid w:val="0"/>
        </w:rPr>
        <w:tab/>
        <w:t>State Government Insurance Corporation established as a body corporate</w:t>
      </w:r>
      <w:bookmarkEnd w:id="104"/>
      <w:bookmarkEnd w:id="105"/>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Service Act 1978</w:t>
      </w:r>
      <w:r>
        <w:rPr>
          <w:snapToGrid w:val="0"/>
          <w:vertAlign w:val="superscript"/>
        </w:rPr>
        <w:t xml:space="preserve"> 4</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5</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s.28.]</w:t>
      </w:r>
    </w:p>
    <w:p>
      <w:pPr>
        <w:pStyle w:val="Heading5"/>
        <w:rPr>
          <w:snapToGrid w:val="0"/>
        </w:rPr>
      </w:pPr>
      <w:bookmarkStart w:id="106" w:name="_Toc517674476"/>
      <w:bookmarkStart w:id="107" w:name="_Toc170184241"/>
      <w:r>
        <w:rPr>
          <w:rStyle w:val="CharSectno"/>
        </w:rPr>
        <w:t>29</w:t>
      </w:r>
      <w:r>
        <w:rPr>
          <w:snapToGrid w:val="0"/>
        </w:rPr>
        <w:t>.</w:t>
      </w:r>
      <w:r>
        <w:rPr>
          <w:snapToGrid w:val="0"/>
        </w:rPr>
        <w:tab/>
        <w:t>Board of directors</w:t>
      </w:r>
      <w:bookmarkEnd w:id="106"/>
      <w:bookmarkEnd w:id="107"/>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108" w:name="_Toc92782907"/>
      <w:bookmarkStart w:id="109" w:name="_Toc92783021"/>
      <w:bookmarkStart w:id="110" w:name="_Toc170184242"/>
      <w:r>
        <w:rPr>
          <w:rStyle w:val="CharDivNo"/>
        </w:rPr>
        <w:t>Division 2</w:t>
      </w:r>
      <w:r>
        <w:rPr>
          <w:snapToGrid w:val="0"/>
        </w:rPr>
        <w:t> — </w:t>
      </w:r>
      <w:r>
        <w:rPr>
          <w:rStyle w:val="CharDivText"/>
        </w:rPr>
        <w:t>Function and powers of the Corporation</w:t>
      </w:r>
      <w:bookmarkEnd w:id="108"/>
      <w:bookmarkEnd w:id="109"/>
      <w:bookmarkEnd w:id="110"/>
      <w:r>
        <w:rPr>
          <w:rStyle w:val="CharDivText"/>
        </w:rPr>
        <w:t xml:space="preserve"> </w:t>
      </w:r>
    </w:p>
    <w:p>
      <w:pPr>
        <w:pStyle w:val="Heading5"/>
        <w:rPr>
          <w:snapToGrid w:val="0"/>
        </w:rPr>
      </w:pPr>
      <w:bookmarkStart w:id="111" w:name="_Toc517674477"/>
      <w:bookmarkStart w:id="112" w:name="_Toc170184243"/>
      <w:r>
        <w:rPr>
          <w:rStyle w:val="CharSectno"/>
        </w:rPr>
        <w:t>30</w:t>
      </w:r>
      <w:r>
        <w:rPr>
          <w:snapToGrid w:val="0"/>
        </w:rPr>
        <w:t>.</w:t>
      </w:r>
      <w:r>
        <w:rPr>
          <w:snapToGrid w:val="0"/>
        </w:rPr>
        <w:tab/>
        <w:t>Function and powers</w:t>
      </w:r>
      <w:bookmarkEnd w:id="111"/>
      <w:bookmarkEnd w:id="112"/>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6</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s.28.] </w:t>
      </w:r>
    </w:p>
    <w:p>
      <w:pPr>
        <w:pStyle w:val="Ednotesection"/>
      </w:pPr>
      <w:r>
        <w:t>[</w:t>
      </w:r>
      <w:r>
        <w:rPr>
          <w:b/>
        </w:rPr>
        <w:t>31, 32 and 33.</w:t>
      </w:r>
      <w:r>
        <w:tab/>
        <w:t>Repealed by No. 49 of 1992 s.28.]</w:t>
      </w:r>
    </w:p>
    <w:p>
      <w:pPr>
        <w:pStyle w:val="Heading5"/>
      </w:pPr>
      <w:bookmarkStart w:id="113" w:name="_Toc517674478"/>
      <w:bookmarkStart w:id="114" w:name="_Toc170184244"/>
      <w:r>
        <w:rPr>
          <w:rStyle w:val="CharSectno"/>
        </w:rPr>
        <w:t>34</w:t>
      </w:r>
      <w:r>
        <w:t>.</w:t>
      </w:r>
      <w:r>
        <w:tab/>
        <w:t>Liability in respect or in lieu of taxation</w:t>
      </w:r>
      <w:bookmarkEnd w:id="113"/>
      <w:bookmarkEnd w:id="114"/>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pPr>
      <w:r>
        <w:tab/>
        <w:t>[(2), (3) and (4)</w:t>
      </w:r>
      <w:r>
        <w:tab/>
        <w:t>repealed]</w:t>
      </w:r>
    </w:p>
    <w:p>
      <w:pPr>
        <w:pStyle w:val="Footnotesection"/>
        <w:keepLines w:val="0"/>
      </w:pPr>
      <w:r>
        <w:tab/>
        <w:t>[Section 34 amended by No. 6 of 1993 s.11; No. 49 of 1996 s.64; No. 55 of 1996 s.10(1).]</w:t>
      </w:r>
    </w:p>
    <w:p>
      <w:pPr>
        <w:pStyle w:val="Heading5"/>
        <w:rPr>
          <w:snapToGrid w:val="0"/>
        </w:rPr>
      </w:pPr>
      <w:bookmarkStart w:id="115" w:name="_Toc517674479"/>
      <w:bookmarkStart w:id="116" w:name="_Toc170184245"/>
      <w:r>
        <w:rPr>
          <w:rStyle w:val="CharSectno"/>
        </w:rPr>
        <w:t>35</w:t>
      </w:r>
      <w:r>
        <w:rPr>
          <w:snapToGrid w:val="0"/>
        </w:rPr>
        <w:t>.</w:t>
      </w:r>
      <w:r>
        <w:rPr>
          <w:snapToGrid w:val="0"/>
        </w:rPr>
        <w:tab/>
        <w:t>Delegation</w:t>
      </w:r>
      <w:bookmarkEnd w:id="115"/>
      <w:bookmarkEnd w:id="116"/>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117" w:name="_Toc517674480"/>
      <w:bookmarkStart w:id="118" w:name="_Toc170184246"/>
      <w:r>
        <w:rPr>
          <w:rStyle w:val="CharSectno"/>
        </w:rPr>
        <w:t>36</w:t>
      </w:r>
      <w:r>
        <w:rPr>
          <w:snapToGrid w:val="0"/>
        </w:rPr>
        <w:t>.</w:t>
      </w:r>
      <w:r>
        <w:rPr>
          <w:snapToGrid w:val="0"/>
        </w:rPr>
        <w:tab/>
        <w:t>Directions by the Commission</w:t>
      </w:r>
      <w:bookmarkEnd w:id="117"/>
      <w:bookmarkEnd w:id="118"/>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[Section 36 amended by No. 50 of 1989 s.18.]</w:t>
      </w:r>
    </w:p>
    <w:p>
      <w:pPr>
        <w:pStyle w:val="Heading3"/>
        <w:rPr>
          <w:snapToGrid w:val="0"/>
        </w:rPr>
      </w:pPr>
      <w:bookmarkStart w:id="119" w:name="_Toc92782912"/>
      <w:bookmarkStart w:id="120" w:name="_Toc92783026"/>
      <w:bookmarkStart w:id="121" w:name="_Toc170184247"/>
      <w:r>
        <w:rPr>
          <w:rStyle w:val="CharDivNo"/>
        </w:rPr>
        <w:t>Division 3</w:t>
      </w:r>
      <w:r>
        <w:rPr>
          <w:snapToGrid w:val="0"/>
        </w:rPr>
        <w:t> — </w:t>
      </w:r>
      <w:r>
        <w:rPr>
          <w:rStyle w:val="CharDivText"/>
        </w:rPr>
        <w:t>Staff of the Corporation</w:t>
      </w:r>
      <w:bookmarkEnd w:id="119"/>
      <w:bookmarkEnd w:id="120"/>
      <w:bookmarkEnd w:id="121"/>
      <w:r>
        <w:rPr>
          <w:rStyle w:val="CharDivText"/>
        </w:rPr>
        <w:t xml:space="preserve"> </w:t>
      </w:r>
    </w:p>
    <w:p>
      <w:pPr>
        <w:pStyle w:val="Heading5"/>
        <w:rPr>
          <w:snapToGrid w:val="0"/>
        </w:rPr>
      </w:pPr>
      <w:bookmarkStart w:id="122" w:name="_Toc517674481"/>
      <w:bookmarkStart w:id="123" w:name="_Toc170184248"/>
      <w:r>
        <w:rPr>
          <w:rStyle w:val="CharSectno"/>
        </w:rPr>
        <w:t>37</w:t>
      </w:r>
      <w:r>
        <w:rPr>
          <w:snapToGrid w:val="0"/>
        </w:rPr>
        <w:t>.</w:t>
      </w:r>
      <w:r>
        <w:rPr>
          <w:snapToGrid w:val="0"/>
        </w:rPr>
        <w:tab/>
        <w:t>Classification, employment conditions, and duties of staff allocated to the Corporation</w:t>
      </w:r>
      <w:bookmarkEnd w:id="122"/>
      <w:bookmarkEnd w:id="123"/>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124" w:name="_Toc517674482"/>
      <w:bookmarkStart w:id="125" w:name="_Toc170184249"/>
      <w:r>
        <w:rPr>
          <w:rStyle w:val="CharSectno"/>
        </w:rPr>
        <w:t>38</w:t>
      </w:r>
      <w:r>
        <w:rPr>
          <w:snapToGrid w:val="0"/>
        </w:rPr>
        <w:t>.</w:t>
      </w:r>
      <w:r>
        <w:rPr>
          <w:snapToGrid w:val="0"/>
        </w:rPr>
        <w:tab/>
        <w:t>Use of services and facilities of the Commission, departments and instrumentalities</w:t>
      </w:r>
      <w:bookmarkEnd w:id="124"/>
      <w:bookmarkEnd w:id="125"/>
      <w:r>
        <w:rPr>
          <w:snapToGrid w:val="0"/>
        </w:rPr>
        <w:t xml:space="preserve"> </w:t>
      </w:r>
    </w:p>
    <w:p>
      <w:pPr>
        <w:pStyle w:val="Subsection"/>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full-time or part-time,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and (3)</w:t>
      </w:r>
      <w:r>
        <w:tab/>
        <w:t>repealed]</w:t>
      </w:r>
    </w:p>
    <w:p>
      <w:pPr>
        <w:pStyle w:val="Footnotesection"/>
      </w:pPr>
      <w:r>
        <w:tab/>
        <w:t>[Section 38 amended by No. 49 of 1992 s.28; No. 32 of 1994 s.19.]</w:t>
      </w:r>
    </w:p>
    <w:p>
      <w:pPr>
        <w:pStyle w:val="Heading3"/>
        <w:rPr>
          <w:snapToGrid w:val="0"/>
        </w:rPr>
      </w:pPr>
      <w:bookmarkStart w:id="126" w:name="_Toc92782915"/>
      <w:bookmarkStart w:id="127" w:name="_Toc92783029"/>
      <w:bookmarkStart w:id="128" w:name="_Toc170184250"/>
      <w:r>
        <w:rPr>
          <w:rStyle w:val="CharDivNo"/>
        </w:rPr>
        <w:t>Division 4</w:t>
      </w:r>
      <w:r>
        <w:rPr>
          <w:snapToGrid w:val="0"/>
        </w:rPr>
        <w:t> — </w:t>
      </w:r>
      <w:r>
        <w:rPr>
          <w:rStyle w:val="CharDivText"/>
        </w:rPr>
        <w:t>Financial provisions relating to the Corporation</w:t>
      </w:r>
      <w:bookmarkEnd w:id="126"/>
      <w:bookmarkEnd w:id="127"/>
      <w:bookmarkEnd w:id="128"/>
      <w:r>
        <w:rPr>
          <w:rStyle w:val="CharDivText"/>
        </w:rPr>
        <w:t xml:space="preserve"> </w:t>
      </w:r>
    </w:p>
    <w:p>
      <w:pPr>
        <w:pStyle w:val="Heading5"/>
        <w:rPr>
          <w:snapToGrid w:val="0"/>
        </w:rPr>
      </w:pPr>
      <w:bookmarkStart w:id="129" w:name="_Toc517674483"/>
      <w:bookmarkStart w:id="130" w:name="_Toc170184251"/>
      <w:r>
        <w:rPr>
          <w:rStyle w:val="CharSectno"/>
        </w:rPr>
        <w:t>39</w:t>
      </w:r>
      <w:r>
        <w:rPr>
          <w:snapToGrid w:val="0"/>
        </w:rPr>
        <w:t>.</w:t>
      </w:r>
      <w:r>
        <w:rPr>
          <w:snapToGrid w:val="0"/>
        </w:rPr>
        <w:tab/>
        <w:t>Capital of the Corporation</w:t>
      </w:r>
      <w:bookmarkEnd w:id="129"/>
      <w:bookmarkEnd w:id="130"/>
      <w:r>
        <w:rPr>
          <w:snapToGrid w:val="0"/>
        </w:rPr>
        <w:t xml:space="preserve"> </w:t>
      </w:r>
    </w:p>
    <w:p>
      <w:pPr>
        <w:pStyle w:val="Subsection"/>
        <w:rPr>
          <w:snapToGrid w:val="0"/>
        </w:rPr>
      </w:pPr>
      <w:r>
        <w:rPr>
          <w:snapToGrid w:val="0"/>
        </w:rPr>
        <w:tab/>
        <w:t>(1)</w:t>
      </w:r>
      <w:r>
        <w:rPr>
          <w:snapToGrid w:val="0"/>
        </w:rPr>
        <w:tab/>
        <w:t>The authorized capital of the Corporation shall be $40 000 000 divided into 400 000 shares of $100 each.</w:t>
      </w:r>
    </w:p>
    <w:p>
      <w:pPr>
        <w:pStyle w:val="Subsection"/>
        <w:rPr>
          <w:snapToGrid w:val="0"/>
        </w:rPr>
      </w:pPr>
      <w:r>
        <w:rPr>
          <w:snapToGrid w:val="0"/>
        </w:rPr>
        <w:tab/>
        <w:t>(2)</w:t>
      </w:r>
      <w:r>
        <w:rPr>
          <w:snapToGrid w:val="0"/>
        </w:rPr>
        <w:tab/>
        <w:t>The Governor may on the recommendation of the Commission by regulation increase the authorized capital of the Corporation.</w:t>
      </w:r>
    </w:p>
    <w:p>
      <w:pPr>
        <w:pStyle w:val="Subsection"/>
        <w:rPr>
          <w:snapToGrid w:val="0"/>
        </w:rPr>
      </w:pPr>
      <w:r>
        <w:rPr>
          <w:snapToGrid w:val="0"/>
        </w:rPr>
        <w:tab/>
        <w:t>(3)</w:t>
      </w:r>
      <w:r>
        <w:rPr>
          <w:snapToGrid w:val="0"/>
        </w:rPr>
        <w:tab/>
        <w:t>The Commission shall take up 200 000 shares in the authorized capital of the Corporation at par as soon as is practicable after the commencement of this section, and those shares shall be paid for out of moneys standing to the credit of the Insurance Commission General Fund.</w:t>
      </w:r>
    </w:p>
    <w:p>
      <w:pPr>
        <w:pStyle w:val="Subsection"/>
        <w:rPr>
          <w:snapToGrid w:val="0"/>
        </w:rPr>
      </w:pPr>
      <w:r>
        <w:rPr>
          <w:snapToGrid w:val="0"/>
        </w:rPr>
        <w:tab/>
        <w:t>(4)</w:t>
      </w:r>
      <w:r>
        <w:rPr>
          <w:snapToGrid w:val="0"/>
        </w:rPr>
        <w:tab/>
        <w:t>Further shares in the authorized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authorized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authorized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s.64.]</w:t>
      </w:r>
    </w:p>
    <w:p>
      <w:pPr>
        <w:pStyle w:val="Heading5"/>
        <w:rPr>
          <w:snapToGrid w:val="0"/>
        </w:rPr>
      </w:pPr>
      <w:bookmarkStart w:id="131" w:name="_Toc517674484"/>
      <w:bookmarkStart w:id="132" w:name="_Toc170184252"/>
      <w:r>
        <w:rPr>
          <w:rStyle w:val="CharSectno"/>
        </w:rPr>
        <w:t>40</w:t>
      </w:r>
      <w:r>
        <w:rPr>
          <w:snapToGrid w:val="0"/>
        </w:rPr>
        <w:t>.</w:t>
      </w:r>
      <w:r>
        <w:rPr>
          <w:snapToGrid w:val="0"/>
        </w:rPr>
        <w:tab/>
        <w:t>Temporary investment of funds</w:t>
      </w:r>
      <w:bookmarkEnd w:id="131"/>
      <w:bookmarkEnd w:id="132"/>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133" w:name="_Toc517674485"/>
      <w:bookmarkStart w:id="134" w:name="_Toc170184253"/>
      <w:r>
        <w:rPr>
          <w:rStyle w:val="CharSectno"/>
        </w:rPr>
        <w:t>41</w:t>
      </w:r>
      <w:r>
        <w:rPr>
          <w:snapToGrid w:val="0"/>
        </w:rPr>
        <w:t>.</w:t>
      </w:r>
      <w:r>
        <w:rPr>
          <w:snapToGrid w:val="0"/>
        </w:rPr>
        <w:tab/>
        <w:t xml:space="preserve">Application of </w:t>
      </w:r>
      <w:r>
        <w:rPr>
          <w:i/>
          <w:snapToGrid w:val="0"/>
        </w:rPr>
        <w:t>Financial Administration and Audit Act 1985</w:t>
      </w:r>
      <w:r>
        <w:rPr>
          <w:snapToGrid w:val="0"/>
        </w:rPr>
        <w:t xml:space="preserve"> to the Corporation</w:t>
      </w:r>
      <w:bookmarkEnd w:id="133"/>
      <w:bookmarkEnd w:id="13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Heading2"/>
      </w:pPr>
      <w:bookmarkStart w:id="135" w:name="_Toc92782919"/>
      <w:bookmarkStart w:id="136" w:name="_Toc92783033"/>
      <w:bookmarkStart w:id="137" w:name="_Toc170184254"/>
      <w:r>
        <w:rPr>
          <w:rStyle w:val="CharPartNo"/>
        </w:rPr>
        <w:t>Part IV</w:t>
      </w:r>
      <w:r>
        <w:rPr>
          <w:rStyle w:val="CharDivNo"/>
        </w:rPr>
        <w:t> </w:t>
      </w:r>
      <w:r>
        <w:t>—</w:t>
      </w:r>
      <w:r>
        <w:rPr>
          <w:rStyle w:val="CharDivText"/>
        </w:rPr>
        <w:t> </w:t>
      </w:r>
      <w:r>
        <w:rPr>
          <w:rStyle w:val="CharPartText"/>
        </w:rPr>
        <w:t>General</w:t>
      </w:r>
      <w:bookmarkEnd w:id="135"/>
      <w:bookmarkEnd w:id="136"/>
      <w:bookmarkEnd w:id="137"/>
      <w:r>
        <w:rPr>
          <w:rStyle w:val="CharPartText"/>
        </w:rPr>
        <w:t xml:space="preserve"> </w:t>
      </w:r>
    </w:p>
    <w:p>
      <w:pPr>
        <w:pStyle w:val="Heading5"/>
        <w:rPr>
          <w:snapToGrid w:val="0"/>
        </w:rPr>
      </w:pPr>
      <w:bookmarkStart w:id="138" w:name="_Toc517674486"/>
      <w:bookmarkStart w:id="139" w:name="_Toc170184255"/>
      <w:r>
        <w:rPr>
          <w:rStyle w:val="CharSectno"/>
        </w:rPr>
        <w:t>42</w:t>
      </w:r>
      <w:r>
        <w:rPr>
          <w:snapToGrid w:val="0"/>
        </w:rPr>
        <w:t>.</w:t>
      </w:r>
      <w:r>
        <w:rPr>
          <w:snapToGrid w:val="0"/>
        </w:rPr>
        <w:tab/>
        <w:t>Secrecy</w:t>
      </w:r>
      <w:bookmarkEnd w:id="138"/>
      <w:bookmarkEnd w:id="139"/>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s.28.] </w:t>
      </w:r>
    </w:p>
    <w:p>
      <w:pPr>
        <w:pStyle w:val="Heading5"/>
        <w:rPr>
          <w:snapToGrid w:val="0"/>
        </w:rPr>
      </w:pPr>
      <w:bookmarkStart w:id="140" w:name="_Toc517674487"/>
      <w:bookmarkStart w:id="141" w:name="_Toc170184256"/>
      <w:r>
        <w:rPr>
          <w:rStyle w:val="CharSectno"/>
        </w:rPr>
        <w:t>43</w:t>
      </w:r>
      <w:r>
        <w:rPr>
          <w:snapToGrid w:val="0"/>
        </w:rPr>
        <w:t>.</w:t>
      </w:r>
      <w:r>
        <w:rPr>
          <w:snapToGrid w:val="0"/>
        </w:rPr>
        <w:tab/>
        <w:t>Execution of documents and entry into contracts</w:t>
      </w:r>
      <w:bookmarkEnd w:id="140"/>
      <w:bookmarkEnd w:id="141"/>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142" w:name="_Toc517674488"/>
      <w:bookmarkStart w:id="143" w:name="_Toc170184257"/>
      <w:r>
        <w:rPr>
          <w:rStyle w:val="CharSectno"/>
        </w:rPr>
        <w:t>44</w:t>
      </w:r>
      <w:r>
        <w:rPr>
          <w:snapToGrid w:val="0"/>
        </w:rPr>
        <w:t>.</w:t>
      </w:r>
      <w:r>
        <w:rPr>
          <w:snapToGrid w:val="0"/>
        </w:rPr>
        <w:tab/>
        <w:t>Exemption of certain public authorities from workers’ compensation insurance requirements</w:t>
      </w:r>
      <w:bookmarkEnd w:id="142"/>
      <w:bookmarkEnd w:id="143"/>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s.23; amended by No. 42 of 2004 s. 174.]</w:t>
      </w:r>
    </w:p>
    <w:p>
      <w:pPr>
        <w:pStyle w:val="Heading5"/>
        <w:rPr>
          <w:snapToGrid w:val="0"/>
        </w:rPr>
      </w:pPr>
      <w:bookmarkStart w:id="144" w:name="_Toc517674489"/>
      <w:bookmarkStart w:id="145" w:name="_Toc170184258"/>
      <w:r>
        <w:rPr>
          <w:rStyle w:val="CharSectno"/>
        </w:rPr>
        <w:t>45</w:t>
      </w:r>
      <w:r>
        <w:rPr>
          <w:snapToGrid w:val="0"/>
        </w:rPr>
        <w:t>.</w:t>
      </w:r>
      <w:r>
        <w:rPr>
          <w:snapToGrid w:val="0"/>
        </w:rPr>
        <w:tab/>
        <w:t>Regulations</w:t>
      </w:r>
      <w:bookmarkEnd w:id="144"/>
      <w:bookmarkEnd w:id="1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146" w:name="_Toc92782924"/>
      <w:bookmarkStart w:id="147" w:name="_Toc92783038"/>
      <w:bookmarkStart w:id="148" w:name="_Toc170184259"/>
      <w:r>
        <w:rPr>
          <w:rStyle w:val="CharPartNo"/>
        </w:rPr>
        <w:t>Part V</w:t>
      </w:r>
      <w:r>
        <w:rPr>
          <w:rStyle w:val="CharDivNo"/>
        </w:rPr>
        <w:t> </w:t>
      </w:r>
      <w:r>
        <w:t>—</w:t>
      </w:r>
      <w:r>
        <w:rPr>
          <w:rStyle w:val="CharDivText"/>
        </w:rPr>
        <w:t> </w:t>
      </w:r>
      <w:r>
        <w:rPr>
          <w:rStyle w:val="CharPartText"/>
        </w:rPr>
        <w:t>Repeal, amendments, saving, validation and transitional</w:t>
      </w:r>
      <w:bookmarkEnd w:id="146"/>
      <w:bookmarkEnd w:id="147"/>
      <w:bookmarkEnd w:id="148"/>
      <w:r>
        <w:rPr>
          <w:rStyle w:val="CharPartText"/>
        </w:rPr>
        <w:t xml:space="preserve"> </w:t>
      </w:r>
    </w:p>
    <w:p>
      <w:pPr>
        <w:pStyle w:val="Heading5"/>
        <w:rPr>
          <w:snapToGrid w:val="0"/>
        </w:rPr>
      </w:pPr>
      <w:bookmarkStart w:id="149" w:name="_Toc517674490"/>
      <w:bookmarkStart w:id="150" w:name="_Toc170184260"/>
      <w:r>
        <w:rPr>
          <w:rStyle w:val="CharSectno"/>
        </w:rPr>
        <w:t>46</w:t>
      </w:r>
      <w:r>
        <w:rPr>
          <w:snapToGrid w:val="0"/>
        </w:rPr>
        <w:t>.</w:t>
      </w:r>
      <w:r>
        <w:rPr>
          <w:snapToGrid w:val="0"/>
        </w:rPr>
        <w:tab/>
        <w:t>Repeal and amendments</w:t>
      </w:r>
      <w:bookmarkEnd w:id="149"/>
      <w:bookmarkEnd w:id="15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s.7(4)(e).]</w:t>
      </w:r>
    </w:p>
    <w:p>
      <w:pPr>
        <w:pStyle w:val="Heading5"/>
        <w:rPr>
          <w:snapToGrid w:val="0"/>
        </w:rPr>
      </w:pPr>
      <w:bookmarkStart w:id="151" w:name="_Toc517674491"/>
      <w:bookmarkStart w:id="152" w:name="_Toc170184261"/>
      <w:r>
        <w:rPr>
          <w:rStyle w:val="CharSectno"/>
        </w:rPr>
        <w:t>47</w:t>
      </w:r>
      <w:r>
        <w:rPr>
          <w:snapToGrid w:val="0"/>
        </w:rPr>
        <w:t>.</w:t>
      </w:r>
      <w:r>
        <w:rPr>
          <w:snapToGrid w:val="0"/>
        </w:rPr>
        <w:tab/>
        <w:t>Saving, validation and transitional provisions</w:t>
      </w:r>
      <w:bookmarkEnd w:id="151"/>
      <w:bookmarkEnd w:id="152"/>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153" w:name="_Toc517674492"/>
      <w:bookmarkStart w:id="154" w:name="_Toc170184262"/>
      <w:r>
        <w:rPr>
          <w:rStyle w:val="CharSectno"/>
        </w:rPr>
        <w:t>48</w:t>
      </w:r>
      <w:r>
        <w:rPr>
          <w:snapToGrid w:val="0"/>
        </w:rPr>
        <w:t>.</w:t>
      </w:r>
      <w:r>
        <w:rPr>
          <w:snapToGrid w:val="0"/>
        </w:rPr>
        <w:tab/>
        <w:t>Oversight by Public Accounts Committee</w:t>
      </w:r>
      <w:bookmarkEnd w:id="153"/>
      <w:bookmarkEnd w:id="154"/>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5" w:name="_Toc170184263"/>
      <w:r>
        <w:rPr>
          <w:rStyle w:val="CharSchNo"/>
        </w:rPr>
        <w:t>Schedule 1</w:t>
      </w:r>
      <w:bookmarkEnd w:id="155"/>
    </w:p>
    <w:p>
      <w:pPr>
        <w:pStyle w:val="yShoulderClause"/>
        <w:rPr>
          <w:snapToGrid w:val="0"/>
        </w:rPr>
      </w:pPr>
      <w:r>
        <w:rPr>
          <w:snapToGrid w:val="0"/>
        </w:rPr>
        <w:t>[Section 5(4)]</w:t>
      </w:r>
    </w:p>
    <w:p>
      <w:pPr>
        <w:pStyle w:val="MiscellaneousHeading"/>
        <w:rPr>
          <w:b/>
          <w:snapToGrid w:val="0"/>
          <w:sz w:val="22"/>
        </w:rPr>
      </w:pPr>
      <w:r>
        <w:rPr>
          <w:b/>
          <w:snapToGrid w:val="0"/>
          <w:sz w:val="22"/>
        </w:rPr>
        <w:t>Provisions as to Commissioners</w:t>
      </w:r>
    </w:p>
    <w:p>
      <w:pPr>
        <w:pStyle w:val="yHeading5"/>
        <w:ind w:left="890" w:hanging="890"/>
        <w:outlineLvl w:val="9"/>
        <w:rPr>
          <w:snapToGrid w:val="0"/>
        </w:rPr>
      </w:pPr>
      <w:bookmarkStart w:id="156" w:name="_Toc170184264"/>
      <w:r>
        <w:rPr>
          <w:snapToGrid w:val="0"/>
        </w:rPr>
        <w:t>1.</w:t>
      </w:r>
      <w:r>
        <w:rPr>
          <w:snapToGrid w:val="0"/>
        </w:rPr>
        <w:tab/>
        <w:t>Definitions</w:t>
      </w:r>
      <w:bookmarkEnd w:id="156"/>
    </w:p>
    <w:p>
      <w:pPr>
        <w:pStyle w:val="ySubsection"/>
        <w:rPr>
          <w:snapToGrid w:val="0"/>
        </w:rPr>
      </w:pPr>
      <w:r>
        <w:rPr>
          <w:snapToGrid w:val="0"/>
        </w:rPr>
        <w:tab/>
      </w:r>
      <w:r>
        <w:rPr>
          <w:snapToGrid w:val="0"/>
        </w:rPr>
        <w:tab/>
        <w:t>In this Schedule — </w:t>
      </w:r>
    </w:p>
    <w:p>
      <w:pPr>
        <w:pStyle w:val="yDefstart"/>
      </w:pPr>
      <w:r>
        <w:tab/>
        <w:t>“</w:t>
      </w:r>
      <w:r>
        <w:rPr>
          <w:rStyle w:val="CharDefText"/>
        </w:rPr>
        <w:t>ordinary commissioner</w:t>
      </w:r>
      <w:r>
        <w:t>”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157" w:name="_Toc170184265"/>
      <w:r>
        <w:rPr>
          <w:snapToGrid w:val="0"/>
        </w:rPr>
        <w:t>2.</w:t>
      </w:r>
      <w:r>
        <w:rPr>
          <w:snapToGrid w:val="0"/>
        </w:rPr>
        <w:tab/>
        <w:t>Commissioners — terms and vacation of office</w:t>
      </w:r>
      <w:bookmarkEnd w:id="157"/>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158" w:name="_Toc170184266"/>
      <w:r>
        <w:rPr>
          <w:snapToGrid w:val="0"/>
        </w:rPr>
        <w:t>3.</w:t>
      </w:r>
      <w:r>
        <w:rPr>
          <w:snapToGrid w:val="0"/>
        </w:rPr>
        <w:tab/>
        <w:t>Alternate commissioners</w:t>
      </w:r>
      <w:bookmarkEnd w:id="158"/>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159" w:name="_Toc170184267"/>
      <w:r>
        <w:rPr>
          <w:snapToGrid w:val="0"/>
        </w:rPr>
        <w:t>4.</w:t>
      </w:r>
      <w:r>
        <w:rPr>
          <w:snapToGrid w:val="0"/>
        </w:rPr>
        <w:tab/>
        <w:t>Chairman and deputy chairman — term and vacation of office</w:t>
      </w:r>
      <w:bookmarkEnd w:id="159"/>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160" w:name="_Toc170184268"/>
      <w:r>
        <w:rPr>
          <w:snapToGrid w:val="0"/>
        </w:rPr>
        <w:t>5.</w:t>
      </w:r>
      <w:r>
        <w:rPr>
          <w:snapToGrid w:val="0"/>
        </w:rPr>
        <w:tab/>
        <w:t>Disclosure of pecuniary interests</w:t>
      </w:r>
      <w:bookmarkEnd w:id="160"/>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161" w:name="_Toc170184269"/>
      <w:r>
        <w:rPr>
          <w:snapToGrid w:val="0"/>
        </w:rPr>
        <w:t>6.</w:t>
      </w:r>
      <w:r>
        <w:rPr>
          <w:snapToGrid w:val="0"/>
        </w:rPr>
        <w:tab/>
        <w:t>Meetings</w:t>
      </w:r>
      <w:bookmarkEnd w:id="161"/>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162" w:name="_Toc170184270"/>
      <w:r>
        <w:rPr>
          <w:snapToGrid w:val="0"/>
        </w:rPr>
        <w:t>6A.</w:t>
      </w:r>
      <w:r>
        <w:rPr>
          <w:snapToGrid w:val="0"/>
        </w:rPr>
        <w:tab/>
        <w:t>Telephone and video meetings</w:t>
      </w:r>
      <w:bookmarkEnd w:id="162"/>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Heading5"/>
        <w:ind w:left="890" w:hanging="890"/>
        <w:outlineLvl w:val="9"/>
        <w:rPr>
          <w:snapToGrid w:val="0"/>
        </w:rPr>
      </w:pPr>
      <w:bookmarkStart w:id="163" w:name="_Toc170184271"/>
      <w:r>
        <w:rPr>
          <w:snapToGrid w:val="0"/>
        </w:rPr>
        <w:t>7.</w:t>
      </w:r>
      <w:r>
        <w:rPr>
          <w:snapToGrid w:val="0"/>
        </w:rPr>
        <w:tab/>
        <w:t>Committees</w:t>
      </w:r>
      <w:bookmarkEnd w:id="163"/>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Heading5"/>
        <w:ind w:left="890" w:hanging="890"/>
        <w:outlineLvl w:val="9"/>
        <w:rPr>
          <w:snapToGrid w:val="0"/>
        </w:rPr>
      </w:pPr>
      <w:bookmarkStart w:id="164" w:name="_Toc170184272"/>
      <w:r>
        <w:rPr>
          <w:snapToGrid w:val="0"/>
        </w:rPr>
        <w:t>8.</w:t>
      </w:r>
      <w:r>
        <w:rPr>
          <w:snapToGrid w:val="0"/>
        </w:rPr>
        <w:tab/>
        <w:t>Resolution may be passed without meeting</w:t>
      </w:r>
      <w:bookmarkEnd w:id="164"/>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ind w:left="890" w:hanging="890"/>
        <w:outlineLvl w:val="9"/>
        <w:rPr>
          <w:snapToGrid w:val="0"/>
        </w:rPr>
      </w:pPr>
      <w:bookmarkStart w:id="165" w:name="_Toc170184273"/>
      <w:r>
        <w:rPr>
          <w:snapToGrid w:val="0"/>
        </w:rPr>
        <w:t>8A.</w:t>
      </w:r>
      <w:r>
        <w:rPr>
          <w:snapToGrid w:val="0"/>
        </w:rPr>
        <w:tab/>
        <w:t>Minutes of meetings etc.</w:t>
      </w:r>
      <w:bookmarkEnd w:id="165"/>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ind w:left="890" w:hanging="890"/>
        <w:outlineLvl w:val="9"/>
        <w:rPr>
          <w:snapToGrid w:val="0"/>
        </w:rPr>
      </w:pPr>
      <w:bookmarkStart w:id="166" w:name="_Toc170184274"/>
      <w:r>
        <w:rPr>
          <w:snapToGrid w:val="0"/>
        </w:rPr>
        <w:t>9.</w:t>
      </w:r>
      <w:r>
        <w:rPr>
          <w:snapToGrid w:val="0"/>
        </w:rPr>
        <w:tab/>
        <w:t>Leave of absence</w:t>
      </w:r>
      <w:bookmarkEnd w:id="166"/>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167" w:name="_Toc170184275"/>
      <w:r>
        <w:rPr>
          <w:snapToGrid w:val="0"/>
        </w:rPr>
        <w:t>10.</w:t>
      </w:r>
      <w:r>
        <w:rPr>
          <w:snapToGrid w:val="0"/>
        </w:rPr>
        <w:tab/>
        <w:t>Board to determine own procedures</w:t>
      </w:r>
      <w:bookmarkEnd w:id="167"/>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168" w:name="_Toc170184276"/>
      <w:r>
        <w:rPr>
          <w:snapToGrid w:val="0"/>
        </w:rPr>
        <w:t>11.</w:t>
      </w:r>
      <w:r>
        <w:rPr>
          <w:snapToGrid w:val="0"/>
        </w:rPr>
        <w:tab/>
        <w:t>Protection of commissioners</w:t>
      </w:r>
      <w:bookmarkEnd w:id="168"/>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[Schedule 1 amended by No. 41 of 1996 s.3; No. 45 of 1996 s.26.]</w:t>
      </w:r>
    </w:p>
    <w:p>
      <w:pPr>
        <w:pStyle w:val="yScheduleHeading"/>
      </w:pPr>
      <w:bookmarkStart w:id="169" w:name="_Toc170184277"/>
      <w:r>
        <w:rPr>
          <w:rStyle w:val="CharSchNo"/>
        </w:rPr>
        <w:t>Schedule 2</w:t>
      </w:r>
      <w:bookmarkEnd w:id="169"/>
    </w:p>
    <w:p>
      <w:pPr>
        <w:pStyle w:val="yShoulderClause"/>
        <w:rPr>
          <w:snapToGrid w:val="0"/>
        </w:rPr>
      </w:pPr>
      <w:r>
        <w:rPr>
          <w:snapToGrid w:val="0"/>
        </w:rPr>
        <w:t>[Section 29(4)]</w:t>
      </w:r>
    </w:p>
    <w:p>
      <w:pPr>
        <w:pStyle w:val="MiscellaneousHeading"/>
        <w:rPr>
          <w:b/>
          <w:snapToGrid w:val="0"/>
          <w:sz w:val="22"/>
        </w:rPr>
      </w:pPr>
      <w:r>
        <w:rPr>
          <w:b/>
          <w:snapToGrid w:val="0"/>
          <w:sz w:val="22"/>
        </w:rPr>
        <w:t>Provisions as to directors</w:t>
      </w:r>
    </w:p>
    <w:p>
      <w:pPr>
        <w:pStyle w:val="yHeading5"/>
        <w:ind w:left="890" w:hanging="890"/>
        <w:outlineLvl w:val="9"/>
        <w:rPr>
          <w:snapToGrid w:val="0"/>
        </w:rPr>
      </w:pPr>
      <w:bookmarkStart w:id="170" w:name="_Toc170184278"/>
      <w:r>
        <w:rPr>
          <w:snapToGrid w:val="0"/>
        </w:rPr>
        <w:t>1.</w:t>
      </w:r>
      <w:r>
        <w:rPr>
          <w:snapToGrid w:val="0"/>
        </w:rPr>
        <w:tab/>
        <w:t>Definition</w:t>
      </w:r>
      <w:bookmarkEnd w:id="170"/>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171" w:name="_Toc170184279"/>
      <w:r>
        <w:rPr>
          <w:snapToGrid w:val="0"/>
        </w:rPr>
        <w:t>2.</w:t>
      </w:r>
      <w:r>
        <w:rPr>
          <w:snapToGrid w:val="0"/>
        </w:rPr>
        <w:tab/>
        <w:t>Directors — terms and vacation of office</w:t>
      </w:r>
      <w:bookmarkEnd w:id="171"/>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 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172" w:name="_Toc170184280"/>
      <w:r>
        <w:rPr>
          <w:snapToGrid w:val="0"/>
        </w:rPr>
        <w:t>3.</w:t>
      </w:r>
      <w:r>
        <w:rPr>
          <w:snapToGrid w:val="0"/>
        </w:rPr>
        <w:tab/>
        <w:t>Alternate directors</w:t>
      </w:r>
      <w:bookmarkEnd w:id="172"/>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173" w:name="_Toc170184281"/>
      <w:r>
        <w:rPr>
          <w:snapToGrid w:val="0"/>
        </w:rPr>
        <w:t>4.</w:t>
      </w:r>
      <w:r>
        <w:rPr>
          <w:snapToGrid w:val="0"/>
        </w:rPr>
        <w:tab/>
        <w:t>Deputy chairman — term and vacation of office</w:t>
      </w:r>
      <w:bookmarkEnd w:id="173"/>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174" w:name="_Toc170184282"/>
      <w:r>
        <w:rPr>
          <w:snapToGrid w:val="0"/>
        </w:rPr>
        <w:t>5.</w:t>
      </w:r>
      <w:r>
        <w:rPr>
          <w:snapToGrid w:val="0"/>
        </w:rPr>
        <w:tab/>
        <w:t>Meetings</w:t>
      </w:r>
      <w:bookmarkEnd w:id="174"/>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175" w:name="_Toc170184283"/>
      <w:r>
        <w:rPr>
          <w:snapToGrid w:val="0"/>
        </w:rPr>
        <w:t>6.</w:t>
      </w:r>
      <w:r>
        <w:rPr>
          <w:snapToGrid w:val="0"/>
        </w:rPr>
        <w:tab/>
        <w:t>Certain provisions of Schedule 1 to apply</w:t>
      </w:r>
      <w:bookmarkEnd w:id="175"/>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 xml:space="preserve"> [Schedule 3 omitted under the Reprints Act 1984 s.7(4)(e).]</w:t>
      </w:r>
    </w:p>
    <w:p>
      <w:pPr>
        <w:pStyle w:val="yScheduleHeading"/>
      </w:pPr>
      <w:bookmarkStart w:id="176" w:name="_Toc170184284"/>
      <w:r>
        <w:rPr>
          <w:rStyle w:val="CharSchNo"/>
        </w:rPr>
        <w:t>Schedule 4</w:t>
      </w:r>
      <w:bookmarkEnd w:id="176"/>
    </w:p>
    <w:p>
      <w:pPr>
        <w:pStyle w:val="yShoulderClause"/>
        <w:rPr>
          <w:snapToGrid w:val="0"/>
        </w:rPr>
      </w:pPr>
      <w:r>
        <w:rPr>
          <w:snapToGrid w:val="0"/>
        </w:rPr>
        <w:t>[Section 47]</w:t>
      </w:r>
    </w:p>
    <w:p>
      <w:pPr>
        <w:pStyle w:val="MiscellaneousHeading"/>
        <w:spacing w:after="80"/>
        <w:rPr>
          <w:b/>
          <w:snapToGrid w:val="0"/>
          <w:sz w:val="22"/>
        </w:rPr>
      </w:pPr>
      <w:r>
        <w:rPr>
          <w:b/>
          <w:snapToGrid w:val="0"/>
          <w:sz w:val="22"/>
        </w:rPr>
        <w:t>Saving, Validation and Transitional Provisions</w:t>
      </w:r>
    </w:p>
    <w:p>
      <w:pPr>
        <w:pStyle w:val="yHeading5"/>
        <w:ind w:left="890" w:hanging="890"/>
        <w:outlineLvl w:val="9"/>
        <w:rPr>
          <w:snapToGrid w:val="0"/>
        </w:rPr>
      </w:pPr>
      <w:bookmarkStart w:id="177" w:name="_Toc170184285"/>
      <w:r>
        <w:rPr>
          <w:snapToGrid w:val="0"/>
        </w:rPr>
        <w:t>1.</w:t>
      </w:r>
      <w:r>
        <w:rPr>
          <w:snapToGrid w:val="0"/>
        </w:rPr>
        <w:tab/>
        <w:t>Terms used</w:t>
      </w:r>
      <w:bookmarkEnd w:id="177"/>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xml:space="preserve"> 7</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178" w:name="_Toc170184286"/>
      <w:r>
        <w:rPr>
          <w:snapToGrid w:val="0"/>
        </w:rPr>
        <w:t>2.</w:t>
      </w:r>
      <w:r>
        <w:rPr>
          <w:snapToGrid w:val="0"/>
        </w:rPr>
        <w:tab/>
        <w:t>Transfer of assets, liabilities and records of the MVIT</w:t>
      </w:r>
      <w:bookmarkEnd w:id="178"/>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179" w:name="_Toc170184287"/>
      <w:r>
        <w:rPr>
          <w:snapToGrid w:val="0"/>
        </w:rPr>
        <w:t>3.</w:t>
      </w:r>
      <w:r>
        <w:rPr>
          <w:snapToGrid w:val="0"/>
        </w:rPr>
        <w:tab/>
        <w:t>MVIT insurance policies</w:t>
      </w:r>
      <w:bookmarkEnd w:id="179"/>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180" w:name="_Toc170184288"/>
      <w:r>
        <w:rPr>
          <w:snapToGrid w:val="0"/>
        </w:rPr>
        <w:t>4.</w:t>
      </w:r>
      <w:r>
        <w:rPr>
          <w:snapToGrid w:val="0"/>
        </w:rPr>
        <w:tab/>
        <w:t>Agreements, instruments, determinations and proceedings generally</w:t>
      </w:r>
      <w:bookmarkEnd w:id="180"/>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181" w:name="_Toc170184289"/>
      <w:r>
        <w:rPr>
          <w:snapToGrid w:val="0"/>
        </w:rPr>
        <w:t>5.</w:t>
      </w:r>
      <w:r>
        <w:rPr>
          <w:snapToGrid w:val="0"/>
        </w:rPr>
        <w:tab/>
        <w:t>Final reports on the operations of the MVIT</w:t>
      </w:r>
      <w:bookmarkEnd w:id="181"/>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ind w:left="890" w:hanging="890"/>
        <w:outlineLvl w:val="9"/>
        <w:rPr>
          <w:snapToGrid w:val="0"/>
        </w:rPr>
      </w:pPr>
      <w:bookmarkStart w:id="182" w:name="_Toc170184290"/>
      <w:r>
        <w:rPr>
          <w:snapToGrid w:val="0"/>
        </w:rPr>
        <w:t>6.</w:t>
      </w:r>
      <w:r>
        <w:rPr>
          <w:snapToGrid w:val="0"/>
        </w:rPr>
        <w:tab/>
        <w:t>Assessment as to sufficiency of income</w:t>
      </w:r>
      <w:bookmarkEnd w:id="182"/>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ind w:left="890" w:hanging="890"/>
        <w:outlineLvl w:val="9"/>
        <w:rPr>
          <w:snapToGrid w:val="0"/>
        </w:rPr>
      </w:pPr>
      <w:bookmarkStart w:id="183" w:name="_Toc170184291"/>
      <w:r>
        <w:rPr>
          <w:snapToGrid w:val="0"/>
        </w:rPr>
        <w:t>7.</w:t>
      </w:r>
      <w:r>
        <w:rPr>
          <w:snapToGrid w:val="0"/>
        </w:rPr>
        <w:tab/>
        <w:t>Employment of current officers</w:t>
      </w:r>
      <w:bookmarkEnd w:id="183"/>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184" w:name="_Toc170184292"/>
      <w:r>
        <w:rPr>
          <w:snapToGrid w:val="0"/>
        </w:rPr>
        <w:t>8.</w:t>
      </w:r>
      <w:r>
        <w:rPr>
          <w:snapToGrid w:val="0"/>
        </w:rPr>
        <w:tab/>
        <w:t>References to the MVIT in laws</w:t>
      </w:r>
      <w:bookmarkEnd w:id="184"/>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85" w:name="_Toc170184293"/>
      <w:r>
        <w:rPr>
          <w:snapToGrid w:val="0"/>
        </w:rPr>
        <w:t>9.</w:t>
      </w:r>
      <w:r>
        <w:rPr>
          <w:snapToGrid w:val="0"/>
        </w:rPr>
        <w:tab/>
        <w:t>Transfer of assets, liabilities and records of the SGIO</w:t>
      </w:r>
      <w:bookmarkEnd w:id="18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186" w:name="_Toc170184294"/>
      <w:r>
        <w:rPr>
          <w:snapToGrid w:val="0"/>
        </w:rPr>
        <w:t>10.</w:t>
      </w:r>
      <w:r>
        <w:rPr>
          <w:snapToGrid w:val="0"/>
        </w:rPr>
        <w:tab/>
        <w:t>SGIO insurance policies and re</w:t>
      </w:r>
      <w:r>
        <w:rPr>
          <w:snapToGrid w:val="0"/>
        </w:rPr>
        <w:noBreakHyphen/>
        <w:t>insurance</w:t>
      </w:r>
      <w:bookmarkEnd w:id="186"/>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xml:space="preserve">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187" w:name="_Toc170184295"/>
      <w:r>
        <w:rPr>
          <w:snapToGrid w:val="0"/>
        </w:rPr>
        <w:t>11.</w:t>
      </w:r>
      <w:r>
        <w:rPr>
          <w:snapToGrid w:val="0"/>
        </w:rPr>
        <w:tab/>
        <w:t>Agents and brokers</w:t>
      </w:r>
      <w:bookmarkEnd w:id="187"/>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188" w:name="_Toc170184296"/>
      <w:r>
        <w:rPr>
          <w:snapToGrid w:val="0"/>
        </w:rPr>
        <w:t>12.</w:t>
      </w:r>
      <w:r>
        <w:rPr>
          <w:snapToGrid w:val="0"/>
        </w:rPr>
        <w:tab/>
        <w:t>Agreements, instruments and proceedings generally</w:t>
      </w:r>
      <w:bookmarkEnd w:id="188"/>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189" w:name="_Toc170184297"/>
      <w:r>
        <w:rPr>
          <w:snapToGrid w:val="0"/>
        </w:rPr>
        <w:t>13.</w:t>
      </w:r>
      <w:r>
        <w:rPr>
          <w:snapToGrid w:val="0"/>
        </w:rPr>
        <w:tab/>
        <w:t>Final reports on the operations of the SGIO</w:t>
      </w:r>
      <w:bookmarkEnd w:id="189"/>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7</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7</w:t>
      </w:r>
      <w:r>
        <w:rPr>
          <w:snapToGrid w:val="0"/>
        </w:rPr>
        <w:t xml:space="preserve"> in respect of the prescribed period if that Act had not been repealed by section 46(1).</w:t>
      </w:r>
    </w:p>
    <w:p>
      <w:pPr>
        <w:pStyle w:val="yHeading5"/>
        <w:ind w:left="890" w:hanging="890"/>
        <w:outlineLvl w:val="9"/>
        <w:rPr>
          <w:snapToGrid w:val="0"/>
        </w:rPr>
      </w:pPr>
      <w:bookmarkStart w:id="190" w:name="_Toc170184298"/>
      <w:r>
        <w:rPr>
          <w:snapToGrid w:val="0"/>
        </w:rPr>
        <w:t>14.</w:t>
      </w:r>
      <w:r>
        <w:rPr>
          <w:snapToGrid w:val="0"/>
        </w:rPr>
        <w:tab/>
        <w:t>Certain outstanding obligations to be met by the Commission</w:t>
      </w:r>
      <w:bookmarkEnd w:id="190"/>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7</w:t>
      </w:r>
      <w:r>
        <w:rPr>
          <w:snapToGrid w:val="0"/>
        </w:rPr>
        <w:t xml:space="preserve"> in respect of the prescribed period if that Act had not been repealed by section 46(1).</w:t>
      </w:r>
    </w:p>
    <w:p>
      <w:pPr>
        <w:pStyle w:val="yHeading5"/>
        <w:ind w:left="890" w:hanging="890"/>
        <w:outlineLvl w:val="9"/>
        <w:rPr>
          <w:snapToGrid w:val="0"/>
        </w:rPr>
      </w:pPr>
      <w:bookmarkStart w:id="191" w:name="_Toc170184299"/>
      <w:r>
        <w:rPr>
          <w:snapToGrid w:val="0"/>
        </w:rPr>
        <w:t>15.</w:t>
      </w:r>
      <w:r>
        <w:rPr>
          <w:snapToGrid w:val="0"/>
        </w:rPr>
        <w:tab/>
        <w:t>Saving of presumption and protection</w:t>
      </w:r>
      <w:bookmarkEnd w:id="191"/>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192" w:name="_Toc170184300"/>
      <w:r>
        <w:rPr>
          <w:snapToGrid w:val="0"/>
        </w:rPr>
        <w:t>16.</w:t>
      </w:r>
      <w:r>
        <w:rPr>
          <w:snapToGrid w:val="0"/>
        </w:rPr>
        <w:tab/>
        <w:t>Employment of staff of the SGIO</w:t>
      </w:r>
      <w:bookmarkEnd w:id="192"/>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4</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3</w:t>
      </w:r>
      <w:r>
        <w:rPr>
          <w:snapToGrid w:val="0"/>
        </w:rPr>
        <w:t xml:space="preserve"> 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193" w:name="_Toc170184301"/>
      <w:r>
        <w:rPr>
          <w:snapToGrid w:val="0"/>
        </w:rPr>
        <w:t>17.</w:t>
      </w:r>
      <w:r>
        <w:rPr>
          <w:snapToGrid w:val="0"/>
        </w:rPr>
        <w:tab/>
        <w:t>References to the SGIO in laws</w:t>
      </w:r>
      <w:bookmarkEnd w:id="193"/>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194" w:name="_Toc170184302"/>
      <w:r>
        <w:rPr>
          <w:snapToGrid w:val="0"/>
        </w:rPr>
        <w:t>18.</w:t>
      </w:r>
      <w:r>
        <w:rPr>
          <w:snapToGrid w:val="0"/>
        </w:rPr>
        <w:tab/>
        <w:t>Apportionment of assets and liabilities</w:t>
      </w:r>
      <w:bookmarkEnd w:id="194"/>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195" w:name="_Toc170184303"/>
      <w:r>
        <w:rPr>
          <w:snapToGrid w:val="0"/>
        </w:rPr>
        <w:t>19.</w:t>
      </w:r>
      <w:r>
        <w:rPr>
          <w:snapToGrid w:val="0"/>
        </w:rPr>
        <w:tab/>
        <w:t>Interpretation Act to apply</w:t>
      </w:r>
      <w:bookmarkEnd w:id="195"/>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6" w:name="_Toc92782970"/>
      <w:bookmarkStart w:id="197" w:name="_Toc92783084"/>
      <w:bookmarkStart w:id="198" w:name="_Toc170184304"/>
      <w:r>
        <w:t>Notes</w:t>
      </w:r>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99" w:name="_Toc170184305"/>
      <w:r>
        <w:t>Compilation Table</w:t>
      </w:r>
      <w:bookmarkEnd w:id="199"/>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State Government Insurance Commission Act 1986</w:t>
            </w:r>
          </w:p>
        </w:tc>
        <w:tc>
          <w:tcPr>
            <w:tcW w:w="992" w:type="dxa"/>
          </w:tcPr>
          <w:p>
            <w:pPr>
              <w:pStyle w:val="nTable"/>
              <w:spacing w:before="120"/>
              <w:rPr>
                <w:sz w:val="19"/>
              </w:rPr>
            </w:pPr>
            <w:r>
              <w:rPr>
                <w:sz w:val="19"/>
              </w:rPr>
              <w:t>51 of 1986</w:t>
            </w:r>
          </w:p>
        </w:tc>
        <w:tc>
          <w:tcPr>
            <w:tcW w:w="1276" w:type="dxa"/>
          </w:tcPr>
          <w:p>
            <w:pPr>
              <w:pStyle w:val="nTable"/>
              <w:spacing w:before="120"/>
              <w:rPr>
                <w:sz w:val="19"/>
              </w:rPr>
            </w:pPr>
            <w:r>
              <w:rPr>
                <w:sz w:val="19"/>
              </w:rPr>
              <w:t>5 Aug 1986</w:t>
            </w:r>
          </w:p>
        </w:tc>
        <w:tc>
          <w:tcPr>
            <w:tcW w:w="1757" w:type="dxa"/>
          </w:tcPr>
          <w:p>
            <w:pPr>
              <w:pStyle w:val="nTable"/>
              <w:spacing w:before="120"/>
              <w:rPr>
                <w:sz w:val="19"/>
              </w:rPr>
            </w:pPr>
            <w:r>
              <w:rPr>
                <w:sz w:val="19"/>
              </w:rPr>
              <w:t>1 Jan 1987 (see s. 2 and </w:t>
            </w:r>
            <w:r>
              <w:rPr>
                <w:i/>
                <w:sz w:val="19"/>
              </w:rPr>
              <w:t>Gazette</w:t>
            </w:r>
            <w:r>
              <w:rPr>
                <w:sz w:val="19"/>
              </w:rPr>
              <w:t xml:space="preserve"> 19 Dec 1986 p.4859)</w:t>
            </w:r>
          </w:p>
        </w:tc>
        <w:tc>
          <w:tcPr>
            <w:tcW w:w="1417" w:type="dxa"/>
          </w:tcPr>
          <w:p>
            <w:pPr>
              <w:pStyle w:val="nTable"/>
              <w:spacing w:before="120"/>
              <w:rPr>
                <w:sz w:val="19"/>
              </w:rPr>
            </w:pPr>
            <w:r>
              <w:rPr>
                <w:sz w:val="19"/>
              </w:rPr>
              <w:t>Short title subsequently amended (see footnote to section 1)</w:t>
            </w:r>
          </w:p>
        </w:tc>
      </w:tr>
      <w:tr>
        <w:trPr>
          <w:cantSplit/>
        </w:trPr>
        <w:tc>
          <w:tcPr>
            <w:tcW w:w="1701" w:type="dxa"/>
          </w:tcPr>
          <w:p>
            <w:pPr>
              <w:pStyle w:val="nTable"/>
              <w:spacing w:before="120"/>
              <w:ind w:right="113"/>
              <w:rPr>
                <w:i/>
                <w:sz w:val="19"/>
              </w:rPr>
            </w:pPr>
            <w:r>
              <w:rPr>
                <w:i/>
                <w:sz w:val="19"/>
              </w:rPr>
              <w:t>Acts Amendment (Public Service) Act 1987,</w:t>
            </w:r>
          </w:p>
          <w:p>
            <w:pPr>
              <w:pStyle w:val="nTable"/>
              <w:spacing w:before="0"/>
              <w:ind w:right="113"/>
              <w:rPr>
                <w:sz w:val="19"/>
              </w:rPr>
            </w:pPr>
            <w:r>
              <w:rPr>
                <w:sz w:val="19"/>
              </w:rPr>
              <w:t>section 32</w:t>
            </w:r>
          </w:p>
        </w:tc>
        <w:tc>
          <w:tcPr>
            <w:tcW w:w="992" w:type="dxa"/>
          </w:tcPr>
          <w:p>
            <w:pPr>
              <w:pStyle w:val="nTable"/>
              <w:spacing w:before="120"/>
              <w:rPr>
                <w:sz w:val="19"/>
              </w:rPr>
            </w:pPr>
            <w:r>
              <w:rPr>
                <w:sz w:val="19"/>
              </w:rPr>
              <w:t>113 of 1987</w:t>
            </w:r>
          </w:p>
        </w:tc>
        <w:tc>
          <w:tcPr>
            <w:tcW w:w="1276" w:type="dxa"/>
          </w:tcPr>
          <w:p>
            <w:pPr>
              <w:pStyle w:val="nTable"/>
              <w:spacing w:before="120"/>
              <w:rPr>
                <w:sz w:val="19"/>
              </w:rPr>
            </w:pPr>
            <w:r>
              <w:rPr>
                <w:sz w:val="19"/>
              </w:rPr>
              <w:t>31 Dec 1987</w:t>
            </w:r>
          </w:p>
        </w:tc>
        <w:tc>
          <w:tcPr>
            <w:tcW w:w="1757" w:type="dxa"/>
          </w:tcPr>
          <w:p>
            <w:pPr>
              <w:pStyle w:val="nTable"/>
              <w:spacing w:before="120"/>
              <w:rPr>
                <w:sz w:val="19"/>
              </w:rPr>
            </w:pPr>
            <w:r>
              <w:rPr>
                <w:sz w:val="19"/>
              </w:rPr>
              <w:t xml:space="preserve">16 Mar 1988 (see section 2 and </w:t>
            </w:r>
            <w:r>
              <w:rPr>
                <w:i/>
                <w:sz w:val="19"/>
              </w:rPr>
              <w:t>Gazette</w:t>
            </w:r>
            <w:r>
              <w:rPr>
                <w:sz w:val="19"/>
              </w:rPr>
              <w:t xml:space="preserve"> 16 March 1988 p.813)</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(Accountability) Act 1989</w:t>
            </w:r>
            <w:r>
              <w:rPr>
                <w:sz w:val="19"/>
              </w:rPr>
              <w:t>,</w:t>
            </w:r>
          </w:p>
          <w:p>
            <w:pPr>
              <w:pStyle w:val="nTable"/>
              <w:spacing w:before="0"/>
              <w:ind w:right="113"/>
              <w:rPr>
                <w:sz w:val="19"/>
              </w:rPr>
            </w:pPr>
            <w:r>
              <w:rPr>
                <w:sz w:val="19"/>
              </w:rPr>
              <w:t>Part 6</w:t>
            </w:r>
          </w:p>
        </w:tc>
        <w:tc>
          <w:tcPr>
            <w:tcW w:w="992" w:type="dxa"/>
          </w:tcPr>
          <w:p>
            <w:pPr>
              <w:pStyle w:val="nTable"/>
              <w:spacing w:before="120"/>
              <w:rPr>
                <w:sz w:val="19"/>
              </w:rPr>
            </w:pPr>
            <w:r>
              <w:rPr>
                <w:sz w:val="19"/>
              </w:rPr>
              <w:t>5 of 1989</w:t>
            </w:r>
          </w:p>
        </w:tc>
        <w:tc>
          <w:tcPr>
            <w:tcW w:w="1276" w:type="dxa"/>
          </w:tcPr>
          <w:p>
            <w:pPr>
              <w:pStyle w:val="nTable"/>
              <w:spacing w:before="120"/>
              <w:rPr>
                <w:sz w:val="19"/>
              </w:rPr>
            </w:pPr>
            <w:r>
              <w:rPr>
                <w:sz w:val="19"/>
              </w:rPr>
              <w:t>26 Apr 1989</w:t>
            </w:r>
          </w:p>
        </w:tc>
        <w:tc>
          <w:tcPr>
            <w:tcW w:w="1757" w:type="dxa"/>
          </w:tcPr>
          <w:p>
            <w:pPr>
              <w:pStyle w:val="nTable"/>
              <w:spacing w:before="120"/>
              <w:rPr>
                <w:sz w:val="19"/>
              </w:rPr>
            </w:pPr>
            <w:r>
              <w:rPr>
                <w:sz w:val="19"/>
              </w:rPr>
              <w:t xml:space="preserve"> 1 July 1989 (see section 2 and </w:t>
            </w:r>
            <w:r>
              <w:rPr>
                <w:i/>
                <w:sz w:val="19"/>
              </w:rPr>
              <w:t>Gazette</w:t>
            </w:r>
            <w:r>
              <w:rPr>
                <w:sz w:val="19"/>
              </w:rPr>
              <w:t xml:space="preserve"> 30 June 1989 p.1893)</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SGIO Privatisation Act 1992</w:t>
            </w:r>
            <w:r>
              <w:rPr>
                <w:sz w:val="19"/>
              </w:rPr>
              <w:t>,</w:t>
            </w:r>
          </w:p>
          <w:p>
            <w:pPr>
              <w:pStyle w:val="nTable"/>
              <w:spacing w:before="0"/>
              <w:ind w:right="113"/>
              <w:rPr>
                <w:sz w:val="19"/>
              </w:rPr>
            </w:pPr>
            <w:r>
              <w:rPr>
                <w:sz w:val="19"/>
              </w:rPr>
              <w:t>section 28</w:t>
            </w:r>
          </w:p>
        </w:tc>
        <w:tc>
          <w:tcPr>
            <w:tcW w:w="992" w:type="dxa"/>
          </w:tcPr>
          <w:p>
            <w:pPr>
              <w:pStyle w:val="nTable"/>
              <w:spacing w:before="120"/>
              <w:rPr>
                <w:sz w:val="19"/>
              </w:rPr>
            </w:pPr>
            <w:r>
              <w:rPr>
                <w:sz w:val="19"/>
              </w:rPr>
              <w:t>49 of 1992</w:t>
            </w:r>
          </w:p>
        </w:tc>
        <w:tc>
          <w:tcPr>
            <w:tcW w:w="1276" w:type="dxa"/>
          </w:tcPr>
          <w:p>
            <w:pPr>
              <w:pStyle w:val="nTable"/>
              <w:spacing w:before="120"/>
              <w:rPr>
                <w:sz w:val="19"/>
              </w:rPr>
            </w:pPr>
            <w:r>
              <w:rPr>
                <w:sz w:val="19"/>
              </w:rPr>
              <w:t>9 Dec 1992</w:t>
            </w:r>
          </w:p>
        </w:tc>
        <w:tc>
          <w:tcPr>
            <w:tcW w:w="1757" w:type="dxa"/>
          </w:tcPr>
          <w:p>
            <w:pPr>
              <w:pStyle w:val="nTable"/>
              <w:spacing w:before="120"/>
              <w:rPr>
                <w:sz w:val="19"/>
              </w:rPr>
            </w:pPr>
            <w:r>
              <w:rPr>
                <w:sz w:val="19"/>
              </w:rPr>
              <w:t xml:space="preserve">7 January 1993 (see section 2(3) and </w:t>
            </w:r>
            <w:r>
              <w:rPr>
                <w:i/>
                <w:sz w:val="19"/>
              </w:rPr>
              <w:t>Gazette</w:t>
            </w:r>
            <w:r>
              <w:rPr>
                <w:sz w:val="19"/>
              </w:rPr>
              <w:t xml:space="preserve"> 7 January 1993 p.15)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Financial Administration Legislation Amendment Act 1993</w:t>
            </w:r>
            <w:r>
              <w:rPr>
                <w:sz w:val="19"/>
              </w:rPr>
              <w:t>,</w:t>
            </w:r>
          </w:p>
          <w:p>
            <w:pPr>
              <w:pStyle w:val="nTable"/>
              <w:spacing w:before="0"/>
              <w:ind w:right="113"/>
              <w:rPr>
                <w:sz w:val="19"/>
              </w:rPr>
            </w:pPr>
            <w:r>
              <w:rPr>
                <w:sz w:val="19"/>
              </w:rPr>
              <w:t>Part 4</w:t>
            </w:r>
          </w:p>
        </w:tc>
        <w:tc>
          <w:tcPr>
            <w:tcW w:w="992" w:type="dxa"/>
          </w:tcPr>
          <w:p>
            <w:pPr>
              <w:pStyle w:val="nTable"/>
              <w:spacing w:before="120"/>
              <w:rPr>
                <w:sz w:val="19"/>
              </w:rPr>
            </w:pPr>
            <w:r>
              <w:rPr>
                <w:sz w:val="19"/>
              </w:rPr>
              <w:t>6 of 1993</w:t>
            </w:r>
          </w:p>
        </w:tc>
        <w:tc>
          <w:tcPr>
            <w:tcW w:w="1276" w:type="dxa"/>
          </w:tcPr>
          <w:p>
            <w:pPr>
              <w:pStyle w:val="nTable"/>
              <w:spacing w:before="120"/>
              <w:rPr>
                <w:sz w:val="19"/>
              </w:rPr>
            </w:pPr>
            <w:r>
              <w:rPr>
                <w:sz w:val="19"/>
              </w:rPr>
              <w:t>27 Aug 1993</w:t>
            </w:r>
          </w:p>
        </w:tc>
        <w:tc>
          <w:tcPr>
            <w:tcW w:w="1757" w:type="dxa"/>
          </w:tcPr>
          <w:p>
            <w:pPr>
              <w:pStyle w:val="nTable"/>
              <w:spacing w:before="120"/>
              <w:rPr>
                <w:sz w:val="19"/>
              </w:rPr>
            </w:pPr>
            <w:r>
              <w:rPr>
                <w:sz w:val="19"/>
              </w:rPr>
              <w:t>Deemed operative 1 July 1993 (see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Acts Amendment (Public Sector Management) Act 1994</w:t>
            </w:r>
            <w:r>
              <w:rPr>
                <w:sz w:val="19"/>
              </w:rPr>
              <w:t>,</w:t>
            </w:r>
          </w:p>
          <w:p>
            <w:pPr>
              <w:pStyle w:val="nTable"/>
              <w:spacing w:before="0"/>
              <w:ind w:right="113"/>
              <w:rPr>
                <w:sz w:val="19"/>
              </w:rPr>
            </w:pPr>
            <w:r>
              <w:rPr>
                <w:sz w:val="19"/>
              </w:rPr>
              <w:t>Part 4</w:t>
            </w:r>
          </w:p>
        </w:tc>
        <w:tc>
          <w:tcPr>
            <w:tcW w:w="992"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 1994</w:t>
            </w:r>
          </w:p>
        </w:tc>
        <w:tc>
          <w:tcPr>
            <w:tcW w:w="1757" w:type="dxa"/>
          </w:tcPr>
          <w:p>
            <w:pPr>
              <w:pStyle w:val="nTable"/>
              <w:spacing w:before="120"/>
              <w:rPr>
                <w:sz w:val="19"/>
              </w:rPr>
            </w:pPr>
            <w:r>
              <w:rPr>
                <w:sz w:val="19"/>
              </w:rPr>
              <w:t xml:space="preserve">1 October 1994 (see section 2 and </w:t>
            </w:r>
            <w:r>
              <w:rPr>
                <w:i/>
                <w:sz w:val="19"/>
              </w:rPr>
              <w:t>Gazette</w:t>
            </w:r>
            <w:r>
              <w:rPr>
                <w:sz w:val="19"/>
              </w:rPr>
              <w:t xml:space="preserve"> 30 September 1994 p.4948)</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Statutory Corporations (Liability of Directors) Act 1996</w:t>
            </w:r>
            <w:r>
              <w:rPr>
                <w:sz w:val="19"/>
              </w:rPr>
              <w:t>,</w:t>
            </w:r>
          </w:p>
          <w:p>
            <w:pPr>
              <w:pStyle w:val="nTable"/>
              <w:spacing w:before="0"/>
              <w:ind w:right="113"/>
              <w:rPr>
                <w:sz w:val="19"/>
              </w:rPr>
            </w:pPr>
            <w:r>
              <w:rPr>
                <w:sz w:val="19"/>
              </w:rPr>
              <w:t>section 3</w:t>
            </w:r>
          </w:p>
        </w:tc>
        <w:tc>
          <w:tcPr>
            <w:tcW w:w="992" w:type="dxa"/>
          </w:tcPr>
          <w:p>
            <w:pPr>
              <w:pStyle w:val="nTable"/>
              <w:spacing w:before="120"/>
              <w:rPr>
                <w:sz w:val="19"/>
              </w:rPr>
            </w:pPr>
            <w:r>
              <w:rPr>
                <w:sz w:val="19"/>
              </w:rPr>
              <w:t>41 of 1996</w:t>
            </w:r>
          </w:p>
        </w:tc>
        <w:tc>
          <w:tcPr>
            <w:tcW w:w="1276" w:type="dxa"/>
          </w:tcPr>
          <w:p>
            <w:pPr>
              <w:pStyle w:val="nTable"/>
              <w:spacing w:before="120"/>
              <w:rPr>
                <w:sz w:val="19"/>
              </w:rPr>
            </w:pPr>
            <w:r>
              <w:rPr>
                <w:sz w:val="19"/>
              </w:rPr>
              <w:t>10 Oct 1996</w:t>
            </w:r>
          </w:p>
        </w:tc>
        <w:tc>
          <w:tcPr>
            <w:tcW w:w="1757" w:type="dxa"/>
          </w:tcPr>
          <w:p>
            <w:pPr>
              <w:pStyle w:val="nTable"/>
              <w:spacing w:before="120"/>
              <w:rPr>
                <w:sz w:val="19"/>
              </w:rPr>
            </w:pPr>
            <w:r>
              <w:rPr>
                <w:sz w:val="19"/>
              </w:rPr>
              <w:t xml:space="preserve">1 December 1996 (see section 2 and </w:t>
            </w:r>
            <w:r>
              <w:rPr>
                <w:i/>
                <w:sz w:val="19"/>
              </w:rPr>
              <w:t>Gazette</w:t>
            </w:r>
            <w:r>
              <w:rPr>
                <w:sz w:val="19"/>
              </w:rPr>
              <w:t xml:space="preserve"> 12 November 1996 p.6301)</w:t>
            </w:r>
          </w:p>
        </w:tc>
        <w:tc>
          <w:tcPr>
            <w:tcW w:w="1417" w:type="dxa"/>
          </w:tcPr>
          <w:p>
            <w:pPr>
              <w:pStyle w:val="nTable"/>
              <w:spacing w:before="120"/>
              <w:rPr>
                <w:sz w:val="19"/>
              </w:rPr>
            </w:pPr>
          </w:p>
        </w:tc>
      </w:tr>
      <w:tr>
        <w:trPr>
          <w:cantSplit/>
        </w:trPr>
        <w:tc>
          <w:tcPr>
            <w:tcW w:w="1701" w:type="dxa"/>
          </w:tcPr>
          <w:p>
            <w:pPr>
              <w:pStyle w:val="nTable"/>
              <w:keepNext/>
              <w:spacing w:before="120"/>
              <w:ind w:right="113"/>
              <w:rPr>
                <w:sz w:val="19"/>
              </w:rPr>
            </w:pPr>
            <w:r>
              <w:rPr>
                <w:i/>
                <w:sz w:val="19"/>
              </w:rPr>
              <w:t>Acts Amendment (ICWA) Act 1996</w:t>
            </w:r>
          </w:p>
        </w:tc>
        <w:tc>
          <w:tcPr>
            <w:tcW w:w="992" w:type="dxa"/>
          </w:tcPr>
          <w:p>
            <w:pPr>
              <w:pStyle w:val="nTable"/>
              <w:keepNext/>
              <w:spacing w:before="120"/>
              <w:rPr>
                <w:sz w:val="19"/>
              </w:rPr>
            </w:pPr>
            <w:r>
              <w:rPr>
                <w:sz w:val="19"/>
              </w:rPr>
              <w:t>45 of 1996</w:t>
            </w:r>
          </w:p>
        </w:tc>
        <w:tc>
          <w:tcPr>
            <w:tcW w:w="1276" w:type="dxa"/>
          </w:tcPr>
          <w:p>
            <w:pPr>
              <w:pStyle w:val="nTable"/>
              <w:keepNext/>
              <w:spacing w:before="120"/>
              <w:rPr>
                <w:sz w:val="19"/>
              </w:rPr>
            </w:pPr>
            <w:r>
              <w:rPr>
                <w:sz w:val="19"/>
              </w:rPr>
              <w:t>25 Oct 1996</w:t>
            </w:r>
          </w:p>
        </w:tc>
        <w:tc>
          <w:tcPr>
            <w:tcW w:w="1757" w:type="dxa"/>
          </w:tcPr>
          <w:p>
            <w:pPr>
              <w:pStyle w:val="nTable"/>
              <w:keepNext/>
              <w:spacing w:before="120"/>
              <w:rPr>
                <w:sz w:val="19"/>
              </w:rPr>
            </w:pPr>
            <w:r>
              <w:rPr>
                <w:sz w:val="19"/>
              </w:rPr>
              <w:t>Sections 3, 6(b) to the extent it inserts definition of “Commission Account”, 6(c), 9 to 12, 15 to 19,</w:t>
            </w:r>
          </w:p>
          <w:p>
            <w:pPr>
              <w:pStyle w:val="nTable"/>
              <w:spacing w:before="0"/>
              <w:rPr>
                <w:sz w:val="19"/>
              </w:rPr>
            </w:pPr>
            <w:r>
              <w:rPr>
                <w:sz w:val="19"/>
              </w:rPr>
              <w:t>23 and 26: 14 December 1996 (see section 2 and </w:t>
            </w:r>
            <w:r>
              <w:rPr>
                <w:i/>
                <w:sz w:val="19"/>
              </w:rPr>
              <w:t>Gazette</w:t>
            </w:r>
            <w:r>
              <w:rPr>
                <w:sz w:val="19"/>
              </w:rPr>
              <w:t xml:space="preserve"> 13 December 1996 p. 6901);</w:t>
            </w:r>
          </w:p>
          <w:p>
            <w:pPr>
              <w:pStyle w:val="nTable"/>
              <w:spacing w:before="0"/>
              <w:rPr>
                <w:sz w:val="19"/>
              </w:rPr>
            </w:pPr>
            <w:r>
              <w:rPr>
                <w:sz w:val="19"/>
              </w:rPr>
              <w:t>Sections 4, 5, 6(b) to the extent it inserts the definition of “Commission”, 7, 8, Part 3  (ss.29</w:t>
            </w:r>
            <w:r>
              <w:rPr>
                <w:sz w:val="19"/>
              </w:rPr>
              <w:noBreakHyphen/>
              <w:t>37): 1 October 1997 (see section 2 and </w:t>
            </w:r>
            <w:r>
              <w:rPr>
                <w:i/>
                <w:sz w:val="19"/>
              </w:rPr>
              <w:t>Gazette</w:t>
            </w:r>
            <w:r>
              <w:rPr>
                <w:sz w:val="19"/>
              </w:rPr>
              <w:t xml:space="preserve"> 23 September 1997 p. 5357); balance to be proclaimed </w:t>
            </w:r>
            <w:r>
              <w:rPr>
                <w:caps/>
                <w:sz w:val="19"/>
                <w:vertAlign w:val="superscript"/>
              </w:rPr>
              <w:t>1</w:t>
            </w:r>
            <w:r>
              <w:rPr>
                <w:sz w:val="19"/>
                <w:vertAlign w:val="superscript"/>
              </w:rPr>
              <w:t>a</w:t>
            </w:r>
          </w:p>
        </w:tc>
        <w:tc>
          <w:tcPr>
            <w:tcW w:w="1417" w:type="dxa"/>
            <w:tcBorders>
              <w:bottom w:val="nil"/>
            </w:tcBorders>
          </w:tcPr>
          <w:p>
            <w:pPr>
              <w:pStyle w:val="nTable"/>
              <w:keepNext/>
              <w:spacing w:before="120"/>
              <w:rPr>
                <w:sz w:val="19"/>
              </w:rPr>
            </w:pPr>
            <w:r>
              <w:rPr>
                <w:sz w:val="19"/>
              </w:rPr>
              <w:t>Section 11(9) validation</w:t>
            </w:r>
            <w:r>
              <w:rPr>
                <w:sz w:val="19"/>
                <w:vertAlign w:val="superscript"/>
              </w:rPr>
              <w:t xml:space="preserve"> 10</w:t>
            </w:r>
          </w:p>
          <w:p>
            <w:pPr>
              <w:pStyle w:val="nTable"/>
              <w:spacing w:before="0"/>
              <w:rPr>
                <w:sz w:val="19"/>
              </w:rPr>
            </w:pPr>
            <w:r>
              <w:rPr>
                <w:sz w:val="19"/>
              </w:rPr>
              <w:t>Part 3 Transitional and saving</w:t>
            </w:r>
            <w:r>
              <w:rPr>
                <w:sz w:val="19"/>
                <w:vertAlign w:val="superscript"/>
              </w:rPr>
              <w:t xml:space="preserve"> 11</w:t>
            </w:r>
          </w:p>
        </w:tc>
      </w:tr>
      <w:tr>
        <w:trPr>
          <w:cantSplit/>
        </w:trPr>
        <w:tc>
          <w:tcPr>
            <w:tcW w:w="1701" w:type="dxa"/>
          </w:tcPr>
          <w:p>
            <w:pPr>
              <w:pStyle w:val="nTable"/>
              <w:spacing w:before="120"/>
              <w:ind w:right="113"/>
              <w:rPr>
                <w:sz w:val="19"/>
              </w:rPr>
            </w:pPr>
            <w:r>
              <w:rPr>
                <w:i/>
                <w:sz w:val="19"/>
              </w:rPr>
              <w:t>Financial Legislation Amendment Act 1996</w:t>
            </w:r>
            <w:r>
              <w:rPr>
                <w:sz w:val="19"/>
              </w:rPr>
              <w:t>,</w:t>
            </w:r>
          </w:p>
          <w:p>
            <w:pPr>
              <w:pStyle w:val="nTable"/>
              <w:spacing w:before="0"/>
              <w:ind w:right="113"/>
              <w:rPr>
                <w:sz w:val="19"/>
              </w:rPr>
            </w:pPr>
            <w:r>
              <w:rPr>
                <w:sz w:val="19"/>
              </w:rPr>
              <w:t>section 64</w:t>
            </w:r>
          </w:p>
        </w:tc>
        <w:tc>
          <w:tcPr>
            <w:tcW w:w="992" w:type="dxa"/>
          </w:tcPr>
          <w:p>
            <w:pPr>
              <w:pStyle w:val="nTable"/>
              <w:spacing w:before="120"/>
              <w:rPr>
                <w:sz w:val="19"/>
              </w:rPr>
            </w:pPr>
            <w:r>
              <w:rPr>
                <w:sz w:val="19"/>
              </w:rPr>
              <w:t>49 of 1996</w:t>
            </w:r>
          </w:p>
        </w:tc>
        <w:tc>
          <w:tcPr>
            <w:tcW w:w="1276" w:type="dxa"/>
          </w:tcPr>
          <w:p>
            <w:pPr>
              <w:pStyle w:val="nTable"/>
              <w:spacing w:before="120"/>
              <w:rPr>
                <w:sz w:val="19"/>
              </w:rPr>
            </w:pPr>
            <w:r>
              <w:rPr>
                <w:sz w:val="19"/>
              </w:rPr>
              <w:t>25 Oct 1996</w:t>
            </w:r>
          </w:p>
        </w:tc>
        <w:tc>
          <w:tcPr>
            <w:tcW w:w="1757" w:type="dxa"/>
          </w:tcPr>
          <w:p>
            <w:pPr>
              <w:pStyle w:val="nTable"/>
              <w:spacing w:before="120"/>
              <w:rPr>
                <w:sz w:val="19"/>
              </w:rPr>
            </w:pPr>
            <w:r>
              <w:rPr>
                <w:sz w:val="19"/>
              </w:rPr>
              <w:t>25 October 1996 (see section 2(1))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State Enterprises (Commonwealth Tax Equivalents) Act 1996</w:t>
            </w:r>
            <w:r>
              <w:rPr>
                <w:sz w:val="19"/>
              </w:rPr>
              <w:t>,</w:t>
            </w:r>
          </w:p>
          <w:p>
            <w:pPr>
              <w:pStyle w:val="nTable"/>
              <w:spacing w:before="0"/>
              <w:ind w:right="113"/>
              <w:rPr>
                <w:sz w:val="19"/>
              </w:rPr>
            </w:pPr>
            <w:r>
              <w:rPr>
                <w:sz w:val="19"/>
              </w:rPr>
              <w:t>section 10(1)</w:t>
            </w:r>
          </w:p>
        </w:tc>
        <w:tc>
          <w:tcPr>
            <w:tcW w:w="992" w:type="dxa"/>
          </w:tcPr>
          <w:p>
            <w:pPr>
              <w:pStyle w:val="nTable"/>
              <w:spacing w:before="120"/>
              <w:rPr>
                <w:sz w:val="19"/>
              </w:rPr>
            </w:pPr>
            <w:r>
              <w:rPr>
                <w:sz w:val="19"/>
              </w:rPr>
              <w:t>55 of 1996</w:t>
            </w:r>
          </w:p>
        </w:tc>
        <w:tc>
          <w:tcPr>
            <w:tcW w:w="1276" w:type="dxa"/>
          </w:tcPr>
          <w:p>
            <w:pPr>
              <w:pStyle w:val="nTable"/>
              <w:spacing w:before="120"/>
              <w:rPr>
                <w:sz w:val="19"/>
              </w:rPr>
            </w:pPr>
            <w:r>
              <w:rPr>
                <w:sz w:val="19"/>
              </w:rPr>
              <w:t>11 Nov 1996</w:t>
            </w:r>
          </w:p>
        </w:tc>
        <w:tc>
          <w:tcPr>
            <w:tcW w:w="1757" w:type="dxa"/>
          </w:tcPr>
          <w:p>
            <w:pPr>
              <w:pStyle w:val="nTable"/>
              <w:spacing w:before="120"/>
              <w:rPr>
                <w:sz w:val="19"/>
              </w:rPr>
            </w:pPr>
            <w:r>
              <w:rPr>
                <w:sz w:val="19"/>
              </w:rPr>
              <w:t>Deemed operative 1 July 1996 (see sections 2 and 3(3))</w:t>
            </w:r>
          </w:p>
        </w:tc>
        <w:tc>
          <w:tcPr>
            <w:tcW w:w="1417" w:type="dxa"/>
          </w:tcPr>
          <w:p>
            <w:pPr>
              <w:pStyle w:val="nTable"/>
              <w:spacing w:before="120"/>
              <w:rPr>
                <w:sz w:val="19"/>
              </w:rPr>
            </w:pPr>
          </w:p>
        </w:tc>
      </w:tr>
      <w:tr>
        <w:trPr>
          <w:cantSplit/>
        </w:trPr>
        <w:tc>
          <w:tcPr>
            <w:tcW w:w="1701" w:type="dxa"/>
          </w:tcPr>
          <w:p>
            <w:pPr>
              <w:pStyle w:val="nTable"/>
              <w:spacing w:before="120"/>
              <w:ind w:right="113"/>
            </w:pPr>
            <w:r>
              <w:rPr>
                <w:i/>
                <w:sz w:val="19"/>
              </w:rPr>
              <w:t>Insurance Commission of Western Australia Amendment Act 2002</w:t>
            </w:r>
            <w:r>
              <w:rPr>
                <w:vertAlign w:val="superscript"/>
              </w:rPr>
              <w:t> 13</w:t>
            </w:r>
          </w:p>
        </w:tc>
        <w:tc>
          <w:tcPr>
            <w:tcW w:w="992" w:type="dxa"/>
          </w:tcPr>
          <w:p>
            <w:pPr>
              <w:pStyle w:val="nTable"/>
              <w:spacing w:before="120"/>
              <w:rPr>
                <w:sz w:val="19"/>
              </w:rPr>
            </w:pPr>
            <w:r>
              <w:rPr>
                <w:sz w:val="19"/>
              </w:rPr>
              <w:t>34 of 2002</w:t>
            </w:r>
          </w:p>
        </w:tc>
        <w:tc>
          <w:tcPr>
            <w:tcW w:w="1276" w:type="dxa"/>
          </w:tcPr>
          <w:p>
            <w:pPr>
              <w:pStyle w:val="nTable"/>
              <w:spacing w:before="120"/>
              <w:rPr>
                <w:sz w:val="19"/>
              </w:rPr>
            </w:pPr>
            <w:r>
              <w:rPr>
                <w:sz w:val="19"/>
              </w:rPr>
              <w:t>20 Nov 2002</w:t>
            </w:r>
          </w:p>
        </w:tc>
        <w:tc>
          <w:tcPr>
            <w:tcW w:w="1757" w:type="dxa"/>
          </w:tcPr>
          <w:p>
            <w:pPr>
              <w:pStyle w:val="nTable"/>
              <w:spacing w:before="120"/>
              <w:rPr>
                <w:sz w:val="19"/>
              </w:rPr>
            </w:pPr>
            <w:r>
              <w:rPr>
                <w:sz w:val="19"/>
              </w:rPr>
              <w:t>20 November 2002 (see s.2)</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13"/>
              <w:rPr>
                <w:i/>
                <w:sz w:val="19"/>
              </w:rPr>
            </w:pPr>
            <w:r>
              <w:rPr>
                <w:i/>
                <w:snapToGrid w:val="0"/>
                <w:sz w:val="19"/>
                <w:lang w:val="en-US"/>
              </w:rPr>
              <w:t>Workers’ Compensation Reform Act 2004</w:t>
            </w:r>
            <w:r>
              <w:rPr>
                <w:snapToGrid w:val="0"/>
                <w:sz w:val="19"/>
                <w:lang w:val="en-US"/>
              </w:rPr>
              <w:t xml:space="preserve"> s. 174</w:t>
            </w:r>
          </w:p>
        </w:tc>
        <w:tc>
          <w:tcPr>
            <w:tcW w:w="992" w:type="dxa"/>
            <w:tcBorders>
              <w:bottom w:val="single" w:sz="4" w:space="0" w:color="auto"/>
            </w:tcBorders>
          </w:tcPr>
          <w:p>
            <w:pPr>
              <w:pStyle w:val="nTable"/>
              <w:spacing w:before="120"/>
              <w:rPr>
                <w:sz w:val="19"/>
              </w:rPr>
            </w:pPr>
            <w:r>
              <w:rPr>
                <w:snapToGrid w:val="0"/>
                <w:sz w:val="19"/>
                <w:lang w:val="en-US"/>
              </w:rPr>
              <w:t>42 of 2004</w:t>
            </w:r>
          </w:p>
        </w:tc>
        <w:tc>
          <w:tcPr>
            <w:tcW w:w="1276" w:type="dxa"/>
            <w:tcBorders>
              <w:bottom w:val="single" w:sz="4" w:space="0" w:color="auto"/>
            </w:tcBorders>
          </w:tcPr>
          <w:p>
            <w:pPr>
              <w:pStyle w:val="nTable"/>
              <w:spacing w:before="120"/>
              <w:rPr>
                <w:sz w:val="19"/>
              </w:rPr>
            </w:pPr>
            <w:r>
              <w:t>9 Nov 2004</w:t>
            </w:r>
          </w:p>
        </w:tc>
        <w:tc>
          <w:tcPr>
            <w:tcW w:w="1757" w:type="dxa"/>
            <w:tcBorders>
              <w:bottom w:val="single" w:sz="4" w:space="0" w:color="auto"/>
            </w:tcBorders>
          </w:tcPr>
          <w:p>
            <w:pPr>
              <w:pStyle w:val="nTable"/>
              <w:spacing w:before="12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c>
          <w:tcPr>
            <w:tcW w:w="1417" w:type="dxa"/>
            <w:tcBorders>
              <w:bottom w:val="single" w:sz="4" w:space="0" w:color="auto"/>
            </w:tcBorders>
          </w:tcPr>
          <w:p>
            <w:pPr>
              <w:pStyle w:val="nTable"/>
              <w:spacing w:before="120"/>
              <w:rPr>
                <w:sz w:val="19"/>
              </w:rPr>
            </w:pP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00" w:name="_Toc511102521"/>
      <w:bookmarkStart w:id="201" w:name="_Toc170184306"/>
      <w:r>
        <w:t>Provision</w:t>
      </w:r>
      <w:bookmarkStart w:id="202" w:name="UpToHere"/>
      <w:bookmarkEnd w:id="202"/>
      <w:r>
        <w:t>s that have not come into operation</w:t>
      </w:r>
      <w:bookmarkEnd w:id="200"/>
      <w:bookmarkEnd w:id="20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rPr>
              <w:t>Acts Amendment (ICWA) Act 1996</w:t>
            </w:r>
            <w:r>
              <w:rPr>
                <w:snapToGrid w:val="0"/>
              </w:rPr>
              <w:t xml:space="preserve">  s. 6(a), 13, 14, 20, 21, 22, 24, 25, 27 and 28 </w:t>
            </w:r>
            <w:r>
              <w:rPr>
                <w:snapToGrid w:val="0"/>
                <w:vertAlign w:val="superscript"/>
              </w:rPr>
              <w:t>12</w:t>
            </w:r>
          </w:p>
        </w:tc>
        <w:tc>
          <w:tcPr>
            <w:tcW w:w="1134" w:type="dxa"/>
            <w:tcBorders>
              <w:top w:val="single" w:sz="8" w:space="0" w:color="auto"/>
            </w:tcBorders>
          </w:tcPr>
          <w:p>
            <w:pPr>
              <w:pStyle w:val="nTable"/>
              <w:keepNext/>
              <w:spacing w:before="120"/>
              <w:rPr>
                <w:sz w:val="19"/>
              </w:rPr>
            </w:pPr>
            <w:r>
              <w:rPr>
                <w:sz w:val="19"/>
              </w:rPr>
              <w:t>45 of 1996</w:t>
            </w:r>
          </w:p>
        </w:tc>
        <w:tc>
          <w:tcPr>
            <w:tcW w:w="1134" w:type="dxa"/>
            <w:tcBorders>
              <w:top w:val="single" w:sz="8" w:space="0" w:color="auto"/>
            </w:tcBorders>
          </w:tcPr>
          <w:p>
            <w:pPr>
              <w:pStyle w:val="nTable"/>
              <w:keepNext/>
              <w:spacing w:before="120"/>
              <w:rPr>
                <w:sz w:val="19"/>
              </w:rPr>
            </w:pPr>
            <w:r>
              <w:rPr>
                <w:sz w:val="19"/>
              </w:rPr>
              <w:t>25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spacing w:before="12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13</w:t>
            </w:r>
          </w:p>
        </w:tc>
        <w:tc>
          <w:tcPr>
            <w:tcW w:w="1134" w:type="dxa"/>
            <w:tcBorders>
              <w:bottom w:val="single" w:sz="4" w:space="0" w:color="auto"/>
            </w:tcBorders>
          </w:tcPr>
          <w:p>
            <w:pPr>
              <w:pStyle w:val="nTable"/>
              <w:keepNext/>
              <w:spacing w:before="120"/>
              <w:rPr>
                <w:sz w:val="19"/>
              </w:rPr>
            </w:pPr>
            <w:r>
              <w:rPr>
                <w:sz w:val="19"/>
              </w:rPr>
              <w:t>43 of 2000</w:t>
            </w:r>
          </w:p>
        </w:tc>
        <w:tc>
          <w:tcPr>
            <w:tcW w:w="1134" w:type="dxa"/>
            <w:tcBorders>
              <w:bottom w:val="single" w:sz="4" w:space="0" w:color="auto"/>
            </w:tcBorders>
          </w:tcPr>
          <w:p>
            <w:pPr>
              <w:pStyle w:val="nTable"/>
              <w:keepNext/>
              <w:spacing w:before="120"/>
              <w:rPr>
                <w:sz w:val="19"/>
              </w:rPr>
            </w:pPr>
            <w:r>
              <w:rPr>
                <w:sz w:val="19"/>
              </w:rPr>
              <w:t>2 Nov 2000</w:t>
            </w:r>
          </w:p>
        </w:tc>
        <w:tc>
          <w:tcPr>
            <w:tcW w:w="2552" w:type="dxa"/>
            <w:tcBorders>
              <w:bottom w:val="single" w:sz="4"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Under section 112(2) of the </w:t>
      </w:r>
      <w:r>
        <w:rPr>
          <w:i/>
          <w:snapToGrid w:val="0"/>
        </w:rPr>
        <w:t>Public Sector Management Act 1994</w:t>
      </w:r>
      <w:r>
        <w:rPr>
          <w:snapToGrid w:val="0"/>
        </w:rPr>
        <w:t xml:space="preserve"> (No. 31 of 1994) references to the Public Service Board are to be construed as references to the Minister for Public Sector Management.</w:t>
      </w:r>
    </w:p>
    <w:p>
      <w:pPr>
        <w:pStyle w:val="nSubsection"/>
        <w:rPr>
          <w:snapToGrid w:val="0"/>
        </w:rPr>
      </w:pPr>
      <w:r>
        <w:rPr>
          <w:snapToGrid w:val="0"/>
          <w:vertAlign w:val="superscript"/>
        </w:rPr>
        <w:t>4</w:t>
      </w:r>
      <w:r>
        <w:rPr>
          <w:snapToGrid w:val="0"/>
        </w:rPr>
        <w:tab/>
        <w:t xml:space="preserve">Under section 112(1) of the </w:t>
      </w:r>
      <w:r>
        <w:rPr>
          <w:i/>
          <w:snapToGrid w:val="0"/>
        </w:rPr>
        <w:t>Public Sector Management Act 1994</w:t>
      </w:r>
      <w:r>
        <w:rPr>
          <w:snapToGrid w:val="0"/>
        </w:rPr>
        <w:t xml:space="preserve"> (No. 31 of 1994) references to the </w:t>
      </w:r>
      <w:r>
        <w:rPr>
          <w:i/>
          <w:snapToGrid w:val="0"/>
        </w:rPr>
        <w:t>Public Service Act 1978</w:t>
      </w:r>
      <w:r>
        <w:rPr>
          <w:snapToGrid w:val="0"/>
        </w:rPr>
        <w:t xml:space="preserve"> are to be construed as references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Part 3 of the </w:t>
      </w:r>
      <w:r>
        <w:rPr>
          <w:i/>
          <w:snapToGrid w:val="0"/>
        </w:rPr>
        <w:t>SGIO Privatisation Act 1992</w:t>
      </w:r>
      <w:r>
        <w:rPr>
          <w:snapToGrid w:val="0"/>
        </w:rPr>
        <w:t xml:space="preserve"> (No. 49 of 1992) was operative on 24 December 1992.</w:t>
      </w:r>
    </w:p>
    <w:p>
      <w:pPr>
        <w:pStyle w:val="nSubsection"/>
        <w:keepNext/>
        <w:rPr>
          <w:snapToGrid w:val="0"/>
        </w:rPr>
      </w:pPr>
      <w:r>
        <w:rPr>
          <w:snapToGrid w:val="0"/>
          <w:vertAlign w:val="superscript"/>
        </w:rPr>
        <w:t>6</w:t>
      </w:r>
      <w:r>
        <w:rPr>
          <w:snapToGrid w:val="0"/>
        </w:rPr>
        <w:tab/>
        <w:t xml:space="preserve">The “appointed day” of the </w:t>
      </w:r>
      <w:r>
        <w:rPr>
          <w:i/>
          <w:snapToGrid w:val="0"/>
        </w:rPr>
        <w:t>SGIO Privatisation Act 1992</w:t>
      </w:r>
      <w:r>
        <w:rPr>
          <w:snapToGrid w:val="0"/>
        </w:rPr>
        <w:t xml:space="preserve"> (No. 49 of 1992) was 7 January 1993.</w:t>
      </w:r>
    </w:p>
    <w:p>
      <w:pPr>
        <w:pStyle w:val="nSubsection"/>
        <w:keepNext/>
        <w:rPr>
          <w:snapToGrid w:val="0"/>
        </w:rPr>
      </w:pPr>
      <w:r>
        <w:rPr>
          <w:snapToGrid w:val="0"/>
          <w:vertAlign w:val="superscript"/>
        </w:rPr>
        <w:t>7</w:t>
      </w:r>
      <w:r>
        <w:rPr>
          <w:snapToGrid w:val="0"/>
        </w:rPr>
        <w:tab/>
        <w:t>Repealed under s.46(1) of this Act.</w:t>
      </w:r>
    </w:p>
    <w:p>
      <w:pPr>
        <w:pStyle w:val="nSubsection"/>
        <w:keepNext/>
        <w:rPr>
          <w:snapToGrid w:val="0"/>
        </w:rPr>
      </w:pPr>
      <w:r>
        <w:rPr>
          <w:snapToGrid w:val="0"/>
          <w:vertAlign w:val="superscript"/>
        </w:rPr>
        <w:t>8</w:t>
      </w:r>
      <w:r>
        <w:rPr>
          <w:snapToGrid w:val="0"/>
        </w:rPr>
        <w:tab/>
        <w:t xml:space="preserve">Now cited as the </w:t>
      </w:r>
      <w:r>
        <w:rPr>
          <w:i/>
          <w:snapToGrid w:val="0"/>
        </w:rPr>
        <w:t>Workers’ Compensation and Rehabilitation Act 1981</w:t>
      </w:r>
      <w:r>
        <w:rPr>
          <w:snapToGrid w:val="0"/>
        </w:rPr>
        <w:t>.</w:t>
      </w:r>
    </w:p>
    <w:p>
      <w:pPr>
        <w:pStyle w:val="nSubsection"/>
        <w:keepNext/>
        <w:rPr>
          <w:snapToGrid w:val="0"/>
        </w:rPr>
      </w:pPr>
      <w:r>
        <w:rPr>
          <w:snapToGrid w:val="0"/>
          <w:vertAlign w:val="superscript"/>
        </w:rPr>
        <w:t>9</w:t>
      </w:r>
      <w:r>
        <w:rPr>
          <w:snapToGrid w:val="0"/>
        </w:rPr>
        <w:tab/>
        <w:t xml:space="preserve">Section 31(2)(k) was repealed by section 28 of the </w:t>
      </w:r>
      <w:r>
        <w:rPr>
          <w:i/>
          <w:snapToGrid w:val="0"/>
        </w:rPr>
        <w:t>SGIO Privatisation Act 1992</w:t>
      </w:r>
      <w:r>
        <w:rPr>
          <w:snapToGrid w:val="0"/>
        </w:rPr>
        <w:t xml:space="preserve"> (No. 49 of 1992).</w:t>
      </w:r>
    </w:p>
    <w:p>
      <w:pPr>
        <w:pStyle w:val="nSubsection"/>
        <w:keepNext/>
        <w:rPr>
          <w:snapToGrid w:val="0"/>
        </w:rPr>
      </w:pPr>
      <w:r>
        <w:rPr>
          <w:snapToGrid w:val="0"/>
          <w:vertAlign w:val="superscript"/>
        </w:rPr>
        <w:t>10</w:t>
      </w:r>
      <w:r>
        <w:rPr>
          <w:snapToGrid w:val="0"/>
        </w:rPr>
        <w:tab/>
        <w:t xml:space="preserve">Section 11(9) of the </w:t>
      </w:r>
      <w:r>
        <w:rPr>
          <w:i/>
          <w:snapToGrid w:val="0"/>
        </w:rPr>
        <w:t>Acts Amendment (ICWA) Act 1996</w:t>
      </w:r>
      <w:r>
        <w:rPr>
          <w:snapToGrid w:val="0"/>
        </w:rPr>
        <w:t xml:space="preserve"> (No. 45 of 1996) reads as follows — </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Part 3 of the </w:t>
      </w:r>
      <w:r>
        <w:rPr>
          <w:i/>
          <w:snapToGrid w:val="0"/>
        </w:rPr>
        <w:t>Acts Amendment (ICWA) Act 1996</w:t>
      </w:r>
      <w:r>
        <w:rPr>
          <w:snapToGrid w:val="0"/>
        </w:rPr>
        <w:t xml:space="preserve"> (No. 45 of 1996) reads as follows — </w:t>
      </w:r>
    </w:p>
    <w:p>
      <w:pPr>
        <w:pStyle w:val="MiscOpen"/>
        <w:rPr>
          <w:snapToGrid w:val="0"/>
        </w:rPr>
      </w:pPr>
      <w:r>
        <w:rPr>
          <w:snapToGrid w:val="0"/>
        </w:rPr>
        <w:t>“</w:t>
      </w:r>
    </w:p>
    <w:p>
      <w:pPr>
        <w:pStyle w:val="nzHeading2"/>
        <w:keepNext w:val="0"/>
      </w:pPr>
      <w:r>
        <w:t>Part 3 — Transitional and saving provisions</w:t>
      </w:r>
    </w:p>
    <w:p>
      <w:pPr>
        <w:pStyle w:val="nzHeading5"/>
      </w:pPr>
      <w:r>
        <w:t>29.</w:t>
      </w:r>
      <w:r>
        <w:tab/>
        <w:t xml:space="preserve">Terms used in this Part </w:t>
      </w:r>
    </w:p>
    <w:p>
      <w:pPr>
        <w:pStyle w:val="nzSubsection"/>
        <w:rPr>
          <w:snapToGrid w:val="0"/>
        </w:rPr>
      </w:pPr>
      <w:r>
        <w:rPr>
          <w:snapToGrid w:val="0"/>
        </w:rPr>
        <w:tab/>
      </w:r>
      <w:r>
        <w:rPr>
          <w:snapToGrid w:val="0"/>
        </w:rPr>
        <w:tab/>
        <w:t>In this Part, unless the contrary intention appears — </w:t>
      </w:r>
    </w:p>
    <w:p>
      <w:pPr>
        <w:pStyle w:val="nzDefstart"/>
      </w:pPr>
      <w:r>
        <w:rPr>
          <w:b/>
        </w:rPr>
        <w:tab/>
        <w:t>“Commission”</w:t>
      </w:r>
      <w:r>
        <w:t xml:space="preserve"> and </w:t>
      </w:r>
      <w:r>
        <w:rPr>
          <w:b/>
        </w:rPr>
        <w:t>“Corporation”</w:t>
      </w:r>
      <w:r>
        <w:t xml:space="preserve"> have the same meanings as they have, respectively, in the principal Act;</w:t>
      </w:r>
    </w:p>
    <w:p>
      <w:pPr>
        <w:pStyle w:val="nzDefstart"/>
      </w:pPr>
      <w:r>
        <w:rPr>
          <w:b/>
        </w:rPr>
        <w:tab/>
        <w:t>“ICWA”</w:t>
      </w:r>
      <w:r>
        <w:t xml:space="preserve"> means the body continued by section 4 of the ICWA Act;</w:t>
      </w:r>
    </w:p>
    <w:p>
      <w:pPr>
        <w:pStyle w:val="nzDefstart"/>
      </w:pPr>
      <w:r>
        <w:rPr>
          <w:b/>
        </w:rPr>
        <w:tab/>
        <w:t>“ICWA Act”</w:t>
      </w:r>
      <w:r>
        <w:t xml:space="preserve"> means the principal Act as amended by this Act.</w:t>
      </w:r>
    </w:p>
    <w:p>
      <w:pPr>
        <w:pStyle w:val="nzHeading5"/>
      </w:pPr>
      <w:r>
        <w:t>30.</w:t>
      </w:r>
      <w:r>
        <w:tab/>
        <w:t xml:space="preserve">References to the Commission under its former name in laws and documents </w:t>
      </w:r>
    </w:p>
    <w:p>
      <w:pPr>
        <w:pStyle w:val="nzSubsection"/>
        <w:rPr>
          <w:snapToGrid w:val="0"/>
        </w:rPr>
      </w:pPr>
      <w:r>
        <w:rPr>
          <w:snapToGrid w:val="0"/>
        </w:rPr>
        <w:tab/>
        <w:t>(1)</w:t>
      </w:r>
      <w:r>
        <w:rPr>
          <w:snapToGrid w:val="0"/>
        </w:rPr>
        <w:tab/>
        <w:t>In this section — </w:t>
      </w:r>
    </w:p>
    <w:p>
      <w:pPr>
        <w:pStyle w:val="nzDefstart"/>
      </w:pPr>
      <w:r>
        <w:rPr>
          <w:b/>
        </w:rPr>
        <w:tab/>
        <w:t>“former name”</w:t>
      </w:r>
      <w:r>
        <w:t xml:space="preserve"> means “State Government Insurance Commission”;</w:t>
      </w:r>
    </w:p>
    <w:p>
      <w:pPr>
        <w:pStyle w:val="nzDefstart"/>
      </w:pPr>
      <w:r>
        <w:rPr>
          <w:b/>
        </w:rPr>
        <w:tab/>
        <w:t>“new name”</w:t>
      </w:r>
      <w:r>
        <w:t xml:space="preserve"> means “Insurance Commission of Western Australia”.</w:t>
      </w:r>
    </w:p>
    <w:p>
      <w:pPr>
        <w:pStyle w:val="nzSubsection"/>
        <w:rPr>
          <w:snapToGrid w:val="0"/>
        </w:rPr>
      </w:pPr>
      <w:r>
        <w:rPr>
          <w:snapToGrid w:val="0"/>
        </w:rPr>
        <w:tab/>
        <w:t>(2)</w:t>
      </w:r>
      <w:r>
        <w:rPr>
          <w:snapToGrid w:val="0"/>
        </w:rPr>
        <w:tab/>
        <w:t>Without limiting section 4(1) of the ICWA Act, where, in a written law or in any document of any kind, there is — </w:t>
      </w:r>
    </w:p>
    <w:p>
      <w:pPr>
        <w:pStyle w:val="nzIndenta"/>
        <w:rPr>
          <w:snapToGrid w:val="0"/>
        </w:rPr>
      </w:pPr>
      <w:r>
        <w:rPr>
          <w:snapToGrid w:val="0"/>
        </w:rPr>
        <w:tab/>
        <w:t>(a)</w:t>
      </w:r>
      <w:r>
        <w:rPr>
          <w:snapToGrid w:val="0"/>
        </w:rPr>
        <w:tab/>
        <w:t>a reference to ICWA by its former name; or</w:t>
      </w:r>
    </w:p>
    <w:p>
      <w:pPr>
        <w:pStyle w:val="nzIndenta"/>
        <w:rPr>
          <w:snapToGrid w:val="0"/>
        </w:rPr>
      </w:pPr>
      <w:r>
        <w:rPr>
          <w:snapToGrid w:val="0"/>
        </w:rPr>
        <w:tab/>
        <w:t>(b)</w:t>
      </w:r>
      <w:r>
        <w:rPr>
          <w:snapToGrid w:val="0"/>
        </w:rPr>
        <w:tab/>
        <w:t>a reference that was directed by Schedule 4 of the principal Act to be read and construed, or have effect, as a reference to ICWA by its former name,</w:t>
      </w:r>
    </w:p>
    <w:p>
      <w:pPr>
        <w:pStyle w:val="nzSubsection"/>
        <w:rPr>
          <w:snapToGrid w:val="0"/>
        </w:rPr>
      </w:pPr>
      <w:r>
        <w:rPr>
          <w:snapToGrid w:val="0"/>
        </w:rPr>
        <w:tab/>
      </w:r>
      <w:r>
        <w:rPr>
          <w:snapToGrid w:val="0"/>
        </w:rPr>
        <w:tab/>
        <w:t>that reference is, unless because of the context it would be inappropriate to do so, to be construed, or have effect, after section 8 commences as if it had been amended to be a reference to ICWA by its new name.</w:t>
      </w:r>
    </w:p>
    <w:p>
      <w:pPr>
        <w:pStyle w:val="nzHeading5"/>
      </w:pPr>
      <w:r>
        <w:t>31.</w:t>
      </w:r>
      <w:r>
        <w:tab/>
        <w:t xml:space="preserve">Transfer of Corporation’s assets and liabilities to ICWA </w:t>
      </w:r>
    </w:p>
    <w:p>
      <w:pPr>
        <w:pStyle w:val="nzSubsection"/>
        <w:rPr>
          <w:snapToGrid w:val="0"/>
        </w:rPr>
      </w:pPr>
      <w:r>
        <w:rPr>
          <w:snapToGrid w:val="0"/>
        </w:rPr>
        <w:tab/>
        <w:t>(1)</w:t>
      </w:r>
      <w:r>
        <w:rPr>
          <w:snapToGrid w:val="0"/>
        </w:rPr>
        <w:tab/>
        <w:t>In this section — </w:t>
      </w:r>
    </w:p>
    <w:p>
      <w:pPr>
        <w:pStyle w:val="nzDefstart"/>
      </w:pPr>
      <w:r>
        <w:rPr>
          <w:b/>
        </w:rPr>
        <w:tab/>
        <w:t>“commencement day”</w:t>
      </w:r>
      <w:r>
        <w:t xml:space="preserve"> means the day on which section 20 commences;</w:t>
      </w:r>
    </w:p>
    <w:p>
      <w:pPr>
        <w:pStyle w:val="nzDefstart"/>
      </w:pPr>
      <w:r>
        <w:rPr>
          <w:b/>
        </w:rPr>
        <w:tab/>
        <w:t>“existing policies”</w:t>
      </w:r>
      <w:r>
        <w:t xml:space="preserve"> means all policies of insurance existing immediately before the commencement day being policies that were issued by the Corporation or policies under which the Corporation had undertaken liability;</w:t>
      </w:r>
    </w:p>
    <w:p>
      <w:pPr>
        <w:pStyle w:val="nzDefstart"/>
        <w:keepNext/>
      </w:pPr>
      <w:r>
        <w:rPr>
          <w:b/>
        </w:rPr>
        <w:tab/>
        <w:t>“existing reinsurance policies”</w:t>
      </w:r>
      <w:r>
        <w:t xml:space="preserve"> means all reinsurance policies existing immediately before the commencement day issued by another person under which the Corporation was reinsured in respect of all or part of its liabilities or risks under existing policies.</w:t>
      </w:r>
    </w:p>
    <w:p>
      <w:pPr>
        <w:pStyle w:val="nzSubsection"/>
        <w:rPr>
          <w:snapToGrid w:val="0"/>
        </w:rPr>
      </w:pPr>
      <w:r>
        <w:rPr>
          <w:snapToGrid w:val="0"/>
        </w:rPr>
        <w:tab/>
        <w:t>(2)</w:t>
      </w:r>
      <w:r>
        <w:rPr>
          <w:snapToGrid w:val="0"/>
        </w:rPr>
        <w:tab/>
        <w:t>On and after the commencement day — </w:t>
      </w:r>
    </w:p>
    <w:p>
      <w:pPr>
        <w:pStyle w:val="nzIndenta"/>
        <w:rPr>
          <w:snapToGrid w:val="0"/>
        </w:rPr>
      </w:pPr>
      <w:r>
        <w:rPr>
          <w:snapToGrid w:val="0"/>
        </w:rPr>
        <w:tab/>
        <w:t>(a)</w:t>
      </w:r>
      <w:r>
        <w:rPr>
          <w:snapToGrid w:val="0"/>
        </w:rPr>
        <w:tab/>
        <w:t>all of the assets and rights of the Corporation immediately before the commencement day vest in ICWA by force of this section;</w:t>
      </w:r>
    </w:p>
    <w:p>
      <w:pPr>
        <w:pStyle w:val="nzIndenta"/>
        <w:rPr>
          <w:snapToGrid w:val="0"/>
        </w:rPr>
      </w:pPr>
      <w:r>
        <w:rPr>
          <w:snapToGrid w:val="0"/>
        </w:rPr>
        <w:tab/>
        <w:t>(b)</w:t>
      </w:r>
      <w:r>
        <w:rPr>
          <w:snapToGrid w:val="0"/>
        </w:rPr>
        <w:tab/>
        <w:t>all the liabilities of the Corporation immediately before the commencement day vest in ICWA by force of this section, so far as they have not been paid or discharged;</w:t>
      </w:r>
    </w:p>
    <w:p>
      <w:pPr>
        <w:pStyle w:val="nzIndenta"/>
        <w:rPr>
          <w:snapToGrid w:val="0"/>
        </w:rPr>
      </w:pPr>
      <w:r>
        <w:rPr>
          <w:snapToGrid w:val="0"/>
        </w:rPr>
        <w:tab/>
        <w:t>(c)</w:t>
      </w:r>
      <w:r>
        <w:rPr>
          <w:snapToGrid w:val="0"/>
        </w:rPr>
        <w:tab/>
        <w:t>any agreement or instrument relating to the assets, rights and liabilities referred to in paragraphs (a) and (b) has effect, by force of this section, as if ICWA were substituted for the Corporation as a party to the agreement or instrument;</w:t>
      </w:r>
    </w:p>
    <w:p>
      <w:pPr>
        <w:pStyle w:val="nzIndenta"/>
        <w:rPr>
          <w:snapToGrid w:val="0"/>
        </w:rPr>
      </w:pPr>
      <w:r>
        <w:rPr>
          <w:snapToGrid w:val="0"/>
        </w:rPr>
        <w:tab/>
        <w:t>(d)</w:t>
      </w:r>
      <w:r>
        <w:rPr>
          <w:snapToGrid w:val="0"/>
        </w:rPr>
        <w:tab/>
        <w:t>all proceedings commenced before the commencement day by or against the Corporation are to be taken to be proceedings by or against ICWA;</w:t>
      </w:r>
    </w:p>
    <w:p>
      <w:pPr>
        <w:pStyle w:val="nzIndenta"/>
        <w:rPr>
          <w:snapToGrid w:val="0"/>
        </w:rPr>
      </w:pPr>
      <w:r>
        <w:rPr>
          <w:snapToGrid w:val="0"/>
        </w:rPr>
        <w:tab/>
        <w:t>(e)</w:t>
      </w:r>
      <w:r>
        <w:rPr>
          <w:snapToGrid w:val="0"/>
        </w:rPr>
        <w:tab/>
        <w:t>any act, matter or thing done or omitted to be done in relation to the assets, rights and liabilities referred to in paragraphs (a) and (b) before the commencement day by, to or in respect of the Corporation (to the extent that that act, matter or thing has any force or effect) is to be taken to have been done by or omitted, to or in respect of ICWA;</w:t>
      </w:r>
    </w:p>
    <w:p>
      <w:pPr>
        <w:pStyle w:val="nzIndenta"/>
        <w:rPr>
          <w:snapToGrid w:val="0"/>
        </w:rPr>
      </w:pPr>
      <w:r>
        <w:rPr>
          <w:snapToGrid w:val="0"/>
        </w:rPr>
        <w:tab/>
        <w:t>(f)</w:t>
      </w:r>
      <w:r>
        <w:rPr>
          <w:snapToGrid w:val="0"/>
        </w:rPr>
        <w:tab/>
        <w:t>all existing policies are to be taken to be, and, subject to the terms and conditions of any particular policy, continue to have effect as if they were, policies issued by ICWA;</w:t>
      </w:r>
    </w:p>
    <w:p>
      <w:pPr>
        <w:pStyle w:val="nzIndenta"/>
        <w:rPr>
          <w:snapToGrid w:val="0"/>
        </w:rPr>
      </w:pPr>
      <w:r>
        <w:rPr>
          <w:snapToGrid w:val="0"/>
        </w:rPr>
        <w:tab/>
        <w:t>(g)</w:t>
      </w:r>
      <w:r>
        <w:rPr>
          <w:snapToGrid w:val="0"/>
        </w:rPr>
        <w:tab/>
        <w:t>all existing reinsurance policies that relate to existing policies are to be taken to be, and, subject to the terms and conditions of any particular reinsurance policy, continue to have effect as if they were, policies that reinsure ICWA in respect of existing policies; and</w:t>
      </w:r>
    </w:p>
    <w:p>
      <w:pPr>
        <w:pStyle w:val="nzIndenta"/>
        <w:rPr>
          <w:snapToGrid w:val="0"/>
        </w:rPr>
      </w:pPr>
      <w:r>
        <w:rPr>
          <w:snapToGrid w:val="0"/>
        </w:rPr>
        <w:tab/>
        <w:t>(h)</w:t>
      </w:r>
      <w:r>
        <w:rPr>
          <w:snapToGrid w:val="0"/>
        </w:rPr>
        <w:tab/>
        <w:t>a reference to the Corporation in a written law or in any document of any kind is, unless because of the context it would be inappropriate so to do, to be construed, or have effect, as if it had been amended to be a reference to ICWA.</w:t>
      </w:r>
    </w:p>
    <w:p>
      <w:pPr>
        <w:pStyle w:val="nzHeading5"/>
      </w:pPr>
      <w:r>
        <w:t>32.</w:t>
      </w:r>
      <w:r>
        <w:tab/>
        <w:t xml:space="preserve">Saving provisions relating to transfer of assets and liabilities </w:t>
      </w:r>
    </w:p>
    <w:p>
      <w:pPr>
        <w:pStyle w:val="nzSubsection"/>
        <w:rPr>
          <w:snapToGrid w:val="0"/>
        </w:rPr>
      </w:pPr>
      <w:r>
        <w:rPr>
          <w:snapToGrid w:val="0"/>
        </w:rPr>
        <w:tab/>
      </w:r>
      <w:r>
        <w:rPr>
          <w:snapToGrid w:val="0"/>
        </w:rPr>
        <w:tab/>
        <w:t>The operation of section 31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 or</w:t>
      </w:r>
    </w:p>
    <w:p>
      <w:pPr>
        <w:pStyle w:val="nzIndenta"/>
        <w:rPr>
          <w:snapToGrid w:val="0"/>
        </w:rPr>
      </w:pPr>
      <w:r>
        <w:rPr>
          <w:snapToGrid w:val="0"/>
        </w:rPr>
        <w:tab/>
        <w:t>(d)</w:t>
      </w:r>
      <w:r>
        <w:rPr>
          <w:snapToGrid w:val="0"/>
        </w:rPr>
        <w:tab/>
        <w:t>as releasing, or allowing the release of, any surety.</w:t>
      </w:r>
    </w:p>
    <w:p>
      <w:pPr>
        <w:pStyle w:val="nzHeading5"/>
      </w:pPr>
      <w:r>
        <w:t>33.</w:t>
      </w:r>
      <w:r>
        <w:tab/>
        <w:t xml:space="preserve">Registration of documents </w:t>
      </w:r>
    </w:p>
    <w:p>
      <w:pPr>
        <w:pStyle w:val="nzSubsection"/>
        <w:rPr>
          <w:snapToGrid w:val="0"/>
        </w:rPr>
      </w:pPr>
      <w:r>
        <w:rPr>
          <w:snapToGrid w:val="0"/>
        </w:rPr>
        <w:tab/>
        <w:t>(1)</w:t>
      </w:r>
      <w:r>
        <w:rPr>
          <w:snapToGrid w:val="0"/>
        </w:rPr>
        <w:tab/>
        <w:t xml:space="preserve">The Registrar of Titles, the Registrar of Deeds, the Ministers respectively administering the </w:t>
      </w:r>
      <w:r>
        <w:rPr>
          <w:i/>
          <w:snapToGrid w:val="0"/>
        </w:rPr>
        <w:t>Land Act 1933</w:t>
      </w:r>
      <w:r>
        <w:rPr>
          <w:snapToGrid w:val="0"/>
        </w:rPr>
        <w:t xml:space="preserve"> and the </w:t>
      </w:r>
      <w:r>
        <w:rPr>
          <w:i/>
          <w:snapToGrid w:val="0"/>
        </w:rPr>
        <w:t>Mining Act 1978</w:t>
      </w:r>
      <w:r>
        <w:rPr>
          <w:snapToGrid w:val="0"/>
        </w:rPr>
        <w:t>, and any other person authorized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ICWA that any estate or interest in land or other property has become vested in it under section 31 is evidence of that fact.</w:t>
      </w:r>
    </w:p>
    <w:p>
      <w:pPr>
        <w:pStyle w:val="nzHeading5"/>
      </w:pPr>
      <w:r>
        <w:t>34.</w:t>
      </w:r>
      <w:r>
        <w:tab/>
        <w:t xml:space="preserve">Cancellation of shares in State Government Insurance Corporation </w:t>
      </w:r>
    </w:p>
    <w:p>
      <w:pPr>
        <w:pStyle w:val="nzSubsection"/>
        <w:rPr>
          <w:snapToGrid w:val="0"/>
        </w:rPr>
      </w:pPr>
      <w:r>
        <w:rPr>
          <w:snapToGrid w:val="0"/>
        </w:rPr>
        <w:tab/>
      </w:r>
      <w:r>
        <w:rPr>
          <w:snapToGrid w:val="0"/>
        </w:rPr>
        <w:tab/>
        <w:t>When section 20 commences the shares held by the Commission under section 39 of the principal Act are cancelled and all rights attached to them are extinguished by force of this section.</w:t>
      </w:r>
    </w:p>
    <w:p>
      <w:pPr>
        <w:pStyle w:val="nzHeading5"/>
      </w:pPr>
      <w:r>
        <w:t>35.</w:t>
      </w:r>
      <w:r>
        <w:tab/>
        <w:t xml:space="preserve">Exemption from State taxation </w:t>
      </w:r>
    </w:p>
    <w:p>
      <w:pPr>
        <w:pStyle w:val="nzSubsection"/>
        <w:rPr>
          <w:snapToGrid w:val="0"/>
        </w:rPr>
      </w:pPr>
      <w:r>
        <w:rPr>
          <w:snapToGrid w:val="0"/>
        </w:rPr>
        <w:tab/>
        <w:t>(1)</w:t>
      </w:r>
      <w:r>
        <w:rPr>
          <w:snapToGrid w:val="0"/>
        </w:rP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rPr>
          <w:snapToGrid w:val="0"/>
        </w:rPr>
      </w:pPr>
      <w:r>
        <w:rPr>
          <w:snapToGrid w:val="0"/>
        </w:rPr>
        <w:tab/>
        <w:t>(2)</w:t>
      </w:r>
      <w:r>
        <w:rPr>
          <w:snapToGrid w:val="0"/>
        </w:rP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snapToGrid w:val="0"/>
        </w:rPr>
      </w:pPr>
      <w:r>
        <w:rPr>
          <w:snapToGrid w:val="0"/>
        </w:rPr>
        <w:tab/>
        <w:t>(3)</w:t>
      </w:r>
      <w:r>
        <w:rPr>
          <w:snapToGrid w:val="0"/>
        </w:rPr>
        <w:tab/>
        <w:t>The Treasurer or a person authorized by the Treasurer may, on request by ICWA,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nzHeading5"/>
      </w:pPr>
      <w:r>
        <w:t>36.</w:t>
      </w:r>
      <w:r>
        <w:tab/>
        <w:t xml:space="preserve">Financial reporting </w:t>
      </w:r>
    </w:p>
    <w:p>
      <w:pPr>
        <w:pStyle w:val="nzSubsection"/>
        <w:rPr>
          <w:snapToGrid w:val="0"/>
        </w:rPr>
      </w:pPr>
      <w:r>
        <w:rPr>
          <w:snapToGrid w:val="0"/>
        </w:rPr>
        <w:tab/>
        <w:t>(1)</w:t>
      </w:r>
      <w:r>
        <w:rPr>
          <w:snapToGrid w:val="0"/>
        </w:rPr>
        <w:tab/>
        <w:t xml:space="preserve">If sections 66 to 69 of the </w:t>
      </w:r>
      <w:r>
        <w:rPr>
          <w:i/>
          <w:snapToGrid w:val="0"/>
        </w:rPr>
        <w:t>Financial Administration and Audit Act 1985</w:t>
      </w:r>
      <w:r>
        <w:rPr>
          <w:snapToGrid w:val="0"/>
        </w:rPr>
        <w:t xml:space="preserve"> have not been complied with before the commencement of section 20 in relation to the affairs of the Corporation for a financial year that ended before that commencement, the Minister is to cause those sections to be complied with in relation to that year as soon as practicable after that commencement.</w:t>
      </w:r>
    </w:p>
    <w:p>
      <w:pPr>
        <w:pStyle w:val="nzSubsection"/>
        <w:rPr>
          <w:snapToGrid w:val="0"/>
        </w:rPr>
      </w:pPr>
      <w:r>
        <w:rPr>
          <w:snapToGrid w:val="0"/>
        </w:rPr>
        <w:tab/>
        <w:t>(2)</w:t>
      </w:r>
      <w:r>
        <w:rPr>
          <w:snapToGrid w:val="0"/>
        </w:rPr>
        <w:tab/>
        <w:t xml:space="preserve">As soon as practicable after the commencement of section 20 the Minister is to cause sections 66 to 69 of the </w:t>
      </w:r>
      <w:r>
        <w:rPr>
          <w:i/>
          <w:snapToGrid w:val="0"/>
        </w:rPr>
        <w:t>Financial Administration and Audit Act 1985</w:t>
      </w:r>
      <w:r>
        <w:rPr>
          <w:snapToGrid w:val="0"/>
        </w:rPr>
        <w:t xml:space="preserve"> to be complied with in relation to the affairs of the Corporation for the period from 1 July last preceding that commencement to that commencement, and the report is to be regarded as an annual report for the purposes of section 69 of that Act.</w:t>
      </w:r>
    </w:p>
    <w:p>
      <w:pPr>
        <w:pStyle w:val="nzSubsection"/>
        <w:rPr>
          <w:snapToGrid w:val="0"/>
        </w:rPr>
      </w:pPr>
      <w:r>
        <w:rPr>
          <w:snapToGrid w:val="0"/>
        </w:rPr>
        <w:tab/>
        <w:t>(3)</w:t>
      </w:r>
      <w:r>
        <w:rPr>
          <w:snapToGrid w:val="0"/>
        </w:rPr>
        <w:tab/>
        <w:t>If section 20 commences on 1 July in a year — </w:t>
      </w:r>
    </w:p>
    <w:p>
      <w:pPr>
        <w:pStyle w:val="nzIndenta"/>
        <w:rPr>
          <w:snapToGrid w:val="0"/>
        </w:rPr>
      </w:pPr>
      <w:r>
        <w:rPr>
          <w:snapToGrid w:val="0"/>
        </w:rPr>
        <w:tab/>
        <w:t>(a)</w:t>
      </w:r>
      <w:r>
        <w:rPr>
          <w:snapToGrid w:val="0"/>
        </w:rPr>
        <w:tab/>
        <w:t>subsection (2) does not apply; and</w:t>
      </w:r>
    </w:p>
    <w:p>
      <w:pPr>
        <w:pStyle w:val="nzIndenta"/>
        <w:rPr>
          <w:snapToGrid w:val="0"/>
        </w:rPr>
      </w:pPr>
      <w:r>
        <w:rPr>
          <w:snapToGrid w:val="0"/>
        </w:rPr>
        <w:tab/>
        <w:t>(b)</w:t>
      </w:r>
      <w:r>
        <w:rPr>
          <w:snapToGrid w:val="0"/>
        </w:rPr>
        <w:tab/>
        <w:t xml:space="preserve">the Minister is to cause sections 66 to 69 of the </w:t>
      </w:r>
      <w:r>
        <w:rPr>
          <w:i/>
          <w:snapToGrid w:val="0"/>
        </w:rPr>
        <w:t>Financial Administration and Audit Act 1985</w:t>
      </w:r>
      <w:r>
        <w:rPr>
          <w:snapToGrid w:val="0"/>
        </w:rPr>
        <w:t xml:space="preserve"> to be complied with in relation to the affairs of the Commission for the year ending on 30 June in that year.</w:t>
      </w:r>
    </w:p>
    <w:p>
      <w:pPr>
        <w:pStyle w:val="nzSubsection"/>
        <w:rPr>
          <w:snapToGrid w:val="0"/>
        </w:rPr>
      </w:pPr>
      <w:r>
        <w:rPr>
          <w:snapToGrid w:val="0"/>
        </w:rPr>
        <w:tab/>
        <w:t>(4)</w:t>
      </w:r>
      <w:r>
        <w:rPr>
          <w:snapToGrid w:val="0"/>
        </w:rPr>
        <w:tab/>
        <w:t>Any acts or things done in the administration of this Part are to be regarded — </w:t>
      </w:r>
    </w:p>
    <w:p>
      <w:pPr>
        <w:pStyle w:val="nzIndenta"/>
        <w:rPr>
          <w:snapToGrid w:val="0"/>
        </w:rPr>
      </w:pPr>
      <w:r>
        <w:rPr>
          <w:snapToGrid w:val="0"/>
        </w:rPr>
        <w:tab/>
        <w:t>(a)</w:t>
      </w:r>
      <w:r>
        <w:rPr>
          <w:snapToGrid w:val="0"/>
        </w:rPr>
        <w:tab/>
        <w:t xml:space="preserve">as services for which ICWA is responsible for the purposes of Part II, Division 11 of the </w:t>
      </w:r>
      <w:r>
        <w:rPr>
          <w:i/>
          <w:snapToGrid w:val="0"/>
        </w:rPr>
        <w:t>Financial Administration and Audit Act 1985</w:t>
      </w:r>
      <w:r>
        <w:rPr>
          <w:snapToGrid w:val="0"/>
        </w:rPr>
        <w:t>; and</w:t>
      </w:r>
    </w:p>
    <w:p>
      <w:pPr>
        <w:pStyle w:val="nzIndenta"/>
        <w:rPr>
          <w:snapToGrid w:val="0"/>
        </w:rPr>
      </w:pPr>
      <w:r>
        <w:rPr>
          <w:snapToGrid w:val="0"/>
        </w:rPr>
        <w:tab/>
        <w:t>(b)</w:t>
      </w:r>
      <w:r>
        <w:rPr>
          <w:snapToGrid w:val="0"/>
        </w:rPr>
        <w:tab/>
        <w:t xml:space="preserve">as operations of ICWA for the purposes of Part II, Division 14 of the </w:t>
      </w:r>
      <w:r>
        <w:rPr>
          <w:i/>
          <w:snapToGrid w:val="0"/>
        </w:rPr>
        <w:t>Financial Administration and Audit Act 1985</w:t>
      </w:r>
      <w:r>
        <w:rPr>
          <w:snapToGrid w:val="0"/>
        </w:rPr>
        <w:t>.</w:t>
      </w:r>
    </w:p>
    <w:p>
      <w:pPr>
        <w:pStyle w:val="nzSubsection"/>
        <w:rPr>
          <w:snapToGrid w:val="0"/>
        </w:rPr>
      </w:pPr>
      <w:r>
        <w:rPr>
          <w:snapToGrid w:val="0"/>
        </w:rPr>
        <w:tab/>
        <w:t>(5)</w:t>
      </w:r>
      <w:r>
        <w:rPr>
          <w:snapToGrid w:val="0"/>
        </w:rPr>
        <w:tab/>
        <w:t>In this section — </w:t>
      </w:r>
    </w:p>
    <w:p>
      <w:pPr>
        <w:pStyle w:val="nzDefstart"/>
      </w:pPr>
      <w:r>
        <w:rPr>
          <w:b/>
        </w:rPr>
        <w:tab/>
        <w:t>“Minister”</w:t>
      </w:r>
      <w:r>
        <w:t xml:space="preserve"> means the Minister administering the ICWA Act.</w:t>
      </w:r>
    </w:p>
    <w:p>
      <w:pPr>
        <w:pStyle w:val="nzHeading5"/>
        <w:rPr>
          <w:snapToGrid w:val="0"/>
        </w:rPr>
      </w:pPr>
      <w:r>
        <w:rPr>
          <w:snapToGrid w:val="0"/>
        </w:rPr>
        <w:t>37.</w:t>
      </w:r>
      <w:r>
        <w:rPr>
          <w:snapToGrid w:val="0"/>
        </w:rPr>
        <w:tab/>
        <w:t xml:space="preserve">Saving provisions in relation to Schedule 4 </w:t>
      </w:r>
    </w:p>
    <w:p>
      <w:pPr>
        <w:pStyle w:val="nzSubsection"/>
        <w:rPr>
          <w:snapToGrid w:val="0"/>
        </w:rPr>
      </w:pPr>
      <w:r>
        <w:rPr>
          <w:snapToGrid w:val="0"/>
        </w:rPr>
        <w:tab/>
        <w:t>(1)</w:t>
      </w:r>
      <w:r>
        <w:rPr>
          <w:snapToGrid w:val="0"/>
        </w:rPr>
        <w:tab/>
        <w:t>In this section — </w:t>
      </w:r>
    </w:p>
    <w:p>
      <w:pPr>
        <w:pStyle w:val="nzDefstart"/>
      </w:pPr>
      <w:r>
        <w:rPr>
          <w:b/>
        </w:rPr>
        <w:tab/>
        <w:t>“the schedule</w:t>
      </w:r>
      <w:bookmarkStart w:id="203" w:name="endcomma"/>
      <w:bookmarkEnd w:id="203"/>
      <w:r>
        <w:rPr>
          <w:b/>
        </w:rPr>
        <w:t>”</w:t>
      </w:r>
      <w:r>
        <w:t xml:space="preserve"> </w:t>
      </w:r>
      <w:bookmarkStart w:id="204" w:name="comma"/>
      <w:bookmarkEnd w:id="204"/>
      <w:r>
        <w:t>means Schedule 4 to the principal Act.</w:t>
      </w:r>
    </w:p>
    <w:p>
      <w:pPr>
        <w:pStyle w:val="nzSubsection"/>
        <w:rPr>
          <w:snapToGrid w:val="0"/>
        </w:rPr>
      </w:pPr>
      <w:r>
        <w:rPr>
          <w:snapToGrid w:val="0"/>
        </w:rPr>
        <w:tab/>
        <w:t>(2)</w:t>
      </w:r>
      <w:r>
        <w:rPr>
          <w:snapToGrid w:val="0"/>
        </w:rPr>
        <w:tab/>
        <w:t>Despite the repeal of the schedule — </w:t>
      </w:r>
    </w:p>
    <w:p>
      <w:pPr>
        <w:pStyle w:val="nzIndenta"/>
        <w:rPr>
          <w:snapToGrid w:val="0"/>
        </w:rPr>
      </w:pPr>
      <w:r>
        <w:rPr>
          <w:snapToGrid w:val="0"/>
        </w:rPr>
        <w:tab/>
        <w:t>(a)</w:t>
      </w:r>
      <w:r>
        <w:rPr>
          <w:snapToGrid w:val="0"/>
        </w:rPr>
        <w:tab/>
        <w:t>assets which were vested in, and liabilities which were imposed on, the Commission under clauses 2 and 9 of the schedule and which are still assets and liabilities of the Commission immediately before section 28 commences continue to be assets and liabilities of ICWA; and</w:t>
      </w:r>
    </w:p>
    <w:p>
      <w:pPr>
        <w:pStyle w:val="nzIndenta"/>
        <w:rPr>
          <w:snapToGrid w:val="0"/>
        </w:rPr>
      </w:pPr>
      <w:r>
        <w:rPr>
          <w:snapToGrid w:val="0"/>
        </w:rPr>
        <w:tab/>
        <w:t>(b)</w:t>
      </w:r>
      <w:r>
        <w:rPr>
          <w:snapToGrid w:val="0"/>
        </w:rPr>
        <w:tab/>
        <w:t>clauses 1, 3, 4, 10(1), (2)(a) and (6)(a), 12(1), (2) and (3), 15 and 19 of the schedule continue to have effect as if references in them to the Commission were references to ICWA.</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On the date as at which this compilation was prepared, the </w:t>
      </w:r>
      <w:r>
        <w:rPr>
          <w:i/>
          <w:snapToGrid w:val="0"/>
        </w:rPr>
        <w:t>Acts Amendment (ICWA) Act 1996</w:t>
      </w:r>
      <w:r>
        <w:rPr>
          <w:snapToGrid w:val="0"/>
        </w:rPr>
        <w:t xml:space="preserve"> s. 6(a), 13, 14, 20-22, 24, 25, 27 and 28 had not come into operation.  They read —</w:t>
      </w:r>
    </w:p>
    <w:p>
      <w:pPr>
        <w:pStyle w:val="MiscOpen"/>
        <w:rPr>
          <w:snapToGrid w:val="0"/>
        </w:rPr>
      </w:pPr>
      <w:r>
        <w:rPr>
          <w:snapToGrid w:val="0"/>
        </w:rPr>
        <w:t>“</w:t>
      </w:r>
    </w:p>
    <w:p>
      <w:pPr>
        <w:pStyle w:val="nzHeading5"/>
        <w:rPr>
          <w:snapToGrid w:val="0"/>
        </w:rPr>
      </w:pPr>
      <w:r>
        <w:rPr>
          <w:snapToGrid w:val="0"/>
        </w:rPr>
        <w:t>6.</w:t>
      </w:r>
      <w:r>
        <w:rPr>
          <w:snapToGrid w:val="0"/>
        </w:rPr>
        <w:tab/>
        <w:t>Section 3 amended</w:t>
      </w:r>
    </w:p>
    <w:p>
      <w:pPr>
        <w:pStyle w:val="nzIndenta"/>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jc w:val="right"/>
        <w:rPr>
          <w:snapToGrid w:val="0"/>
        </w:rPr>
      </w:pPr>
      <w:r>
        <w:rPr>
          <w:snapToGrid w:val="0"/>
        </w:rPr>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w:t>
      </w:r>
    </w:p>
    <w:p>
      <w:pPr>
        <w:pStyle w:val="MiscOpen"/>
        <w:rPr>
          <w:snapToGrid w:val="0"/>
          <w:sz w:val="20"/>
        </w:rPr>
      </w:pPr>
      <w:r>
        <w:rPr>
          <w:snapToGrid w:val="0"/>
          <w:sz w:val="20"/>
        </w:rPr>
        <w:t>“</w:t>
      </w:r>
    </w:p>
    <w:p>
      <w:pPr>
        <w:pStyle w:val="nzHeading5"/>
      </w:pPr>
      <w:bookmarkStart w:id="205" w:name="_Toc497533369"/>
      <w:r>
        <w:rPr>
          <w:rStyle w:val="CharSectno"/>
        </w:rPr>
        <w:t>50</w:t>
      </w:r>
      <w:r>
        <w:t>.</w:t>
      </w:r>
      <w:r>
        <w:tab/>
      </w:r>
      <w:r>
        <w:rPr>
          <w:i/>
        </w:rPr>
        <w:t>Insurance Commission of Western Australia Act 1986</w:t>
      </w:r>
      <w:r>
        <w:t xml:space="preserve"> amended</w:t>
      </w:r>
      <w:bookmarkEnd w:id="205"/>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Pr>
        <w:pStyle w:val="nSubsection"/>
        <w:keepNext/>
        <w:rPr>
          <w:snapToGrid w:val="0"/>
        </w:rPr>
      </w:pPr>
      <w:r>
        <w:rPr>
          <w:snapToGrid w:val="0"/>
          <w:vertAlign w:val="superscript"/>
        </w:rPr>
        <w:t>14</w:t>
      </w:r>
      <w:r>
        <w:rPr>
          <w:snapToGrid w:val="0"/>
        </w:rPr>
        <w:tab/>
        <w:t xml:space="preserve">The </w:t>
      </w:r>
      <w:r>
        <w:rPr>
          <w:i/>
          <w:snapToGrid w:val="0"/>
        </w:rPr>
        <w:t xml:space="preserve">Insurance Commission of Western Australia Amendment Act </w:t>
      </w:r>
      <w:r>
        <w:rPr>
          <w:i/>
        </w:rPr>
        <w:t>2002</w:t>
      </w:r>
      <w:r>
        <w:t xml:space="preserve"> s. 10 </w:t>
      </w:r>
      <w:r>
        <w:rPr>
          <w:snapToGrid w:val="0"/>
        </w:rPr>
        <w:t>reads as follows — </w:t>
      </w:r>
    </w:p>
    <w:p>
      <w:pPr>
        <w:pStyle w:val="MiscOpen"/>
        <w:rPr>
          <w:snapToGrid w:val="0"/>
        </w:rPr>
      </w:pPr>
      <w:r>
        <w:rPr>
          <w:snapToGrid w:val="0"/>
        </w:rPr>
        <w:t>“</w:t>
      </w:r>
    </w:p>
    <w:p>
      <w:pPr>
        <w:pStyle w:val="nzHeading5"/>
      </w:pPr>
      <w:bookmarkStart w:id="206" w:name="_Toc25064649"/>
      <w:r>
        <w:t>10.</w:t>
      </w:r>
      <w:r>
        <w:tab/>
        <w:t>Transition and savings</w:t>
      </w:r>
      <w:bookmarkEnd w:id="206"/>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C3E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388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DC1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C44E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EC8E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AC7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AE6D7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722F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F48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990E1B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0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B45F7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17815</Words>
  <Characters>88363</Characters>
  <Application>Microsoft Office Word</Application>
  <DocSecurity>0</DocSecurity>
  <Lines>2325</Lines>
  <Paragraphs>1206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1986 - 01-c0-07</dc:title>
  <dc:subject/>
  <dc:creator/>
  <cp:keywords/>
  <dc:description/>
  <cp:lastModifiedBy>svcMRProcess</cp:lastModifiedBy>
  <cp:revision>4</cp:revision>
  <cp:lastPrinted>1999-12-03T03:04:00Z</cp:lastPrinted>
  <dcterms:created xsi:type="dcterms:W3CDTF">2018-09-03T05:20:00Z</dcterms:created>
  <dcterms:modified xsi:type="dcterms:W3CDTF">2018-09-03T05:20:00Z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20050104</vt:lpwstr>
  </property>
  <property fmtid="{D5CDD505-2E9C-101B-9397-08002B2CF9AE}" pid="4" name="DocumentType">
    <vt:lpwstr>Act</vt:lpwstr>
  </property>
  <property fmtid="{D5CDD505-2E9C-101B-9397-08002B2CF9AE}" pid="5" name="AsAtDate">
    <vt:lpwstr>04 Jan 2005</vt:lpwstr>
  </property>
  <property fmtid="{D5CDD505-2E9C-101B-9397-08002B2CF9AE}" pid="6" name="Suffix">
    <vt:lpwstr>01-c0-07</vt:lpwstr>
  </property>
</Properties>
</file>