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ind w:left="240" w:right="248"/>
      </w:pPr>
      <w:r>
        <w:rPr>
          <w:noProof/>
        </w:rPr>
        <w:t>Insurance Commission of Western Australia Act 1986</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8 September 2006</w:t>
            </w:r>
          </w:p>
        </w:tc>
      </w:tr>
    </w:tbl>
    <w:p>
      <w:pPr>
        <w:pStyle w:val="WA"/>
      </w:pPr>
      <w:r>
        <w:t>Western Australia</w:t>
      </w:r>
    </w:p>
    <w:p>
      <w:pPr>
        <w:pStyle w:val="NameofActRegPage1"/>
        <w:ind w:right="150"/>
      </w:pPr>
      <w:r>
        <w:fldChar w:fldCharType="begin"/>
      </w:r>
      <w:r>
        <w:instrText xml:space="preserve"> STYLEREF "Name Of Act/Reg"</w:instrText>
      </w:r>
      <w:r>
        <w:fldChar w:fldCharType="separate"/>
      </w:r>
      <w:r>
        <w:rPr>
          <w:noProof/>
        </w:rPr>
        <w:t>Insurance Commission of Western Australia Act 1986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_Toc146528220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_Toc146528221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_Toc146528222 \h </w:instrText>
      </w:r>
      <w:r>
        <w:fldChar w:fldCharType="separate"/>
      </w:r>
      <w:r>
        <w:t>2</w:t>
      </w:r>
      <w:r>
        <w:fldChar w:fldCharType="end"/>
      </w:r>
    </w:p>
    <w:p>
      <w:pPr>
        <w:pStyle w:val="TOC8"/>
        <w:rPr>
          <w:sz w:val="24"/>
          <w:szCs w:val="24"/>
        </w:rPr>
      </w:pPr>
      <w:r>
        <w:rPr>
          <w:szCs w:val="24"/>
        </w:rPr>
        <w:t>3A.</w:t>
      </w:r>
      <w:r>
        <w:rPr>
          <w:szCs w:val="24"/>
        </w:rPr>
        <w:tab/>
        <w:t>Eligible community organisations</w:t>
      </w:r>
      <w:r>
        <w:tab/>
      </w:r>
      <w:r>
        <w:fldChar w:fldCharType="begin"/>
      </w:r>
      <w:r>
        <w:instrText xml:space="preserve"> PAGEREF _Toc146528223 \h </w:instrText>
      </w:r>
      <w:r>
        <w:fldChar w:fldCharType="separate"/>
      </w:r>
      <w:r>
        <w:t>4</w:t>
      </w:r>
      <w:r>
        <w:fldChar w:fldCharType="end"/>
      </w:r>
    </w:p>
    <w:p>
      <w:pPr>
        <w:pStyle w:val="TOC2"/>
        <w:tabs>
          <w:tab w:val="right" w:leader="dot" w:pos="7086"/>
        </w:tabs>
        <w:rPr>
          <w:b w:val="0"/>
          <w:sz w:val="24"/>
          <w:szCs w:val="24"/>
        </w:rPr>
      </w:pPr>
      <w:r>
        <w:rPr>
          <w:szCs w:val="30"/>
        </w:rPr>
        <w:t>Part II — Insurance Commission of Western Australia</w:t>
      </w:r>
    </w:p>
    <w:p>
      <w:pPr>
        <w:pStyle w:val="TOC4"/>
        <w:tabs>
          <w:tab w:val="right" w:leader="dot" w:pos="7086"/>
        </w:tabs>
        <w:rPr>
          <w:b w:val="0"/>
          <w:sz w:val="24"/>
          <w:szCs w:val="24"/>
        </w:rPr>
      </w:pPr>
      <w:r>
        <w:rPr>
          <w:szCs w:val="26"/>
        </w:rPr>
        <w:t>Division 1</w:t>
      </w:r>
      <w:r>
        <w:rPr>
          <w:snapToGrid w:val="0"/>
          <w:szCs w:val="26"/>
        </w:rPr>
        <w:t> — </w:t>
      </w:r>
      <w:r>
        <w:rPr>
          <w:szCs w:val="26"/>
        </w:rPr>
        <w:t>The Commission and the board of commissioners</w:t>
      </w:r>
    </w:p>
    <w:p>
      <w:pPr>
        <w:pStyle w:val="TOC8"/>
        <w:rPr>
          <w:sz w:val="24"/>
          <w:szCs w:val="24"/>
        </w:rPr>
      </w:pPr>
      <w:r>
        <w:rPr>
          <w:szCs w:val="24"/>
        </w:rPr>
        <w:t>4</w:t>
      </w:r>
      <w:r>
        <w:rPr>
          <w:snapToGrid w:val="0"/>
          <w:szCs w:val="24"/>
        </w:rPr>
        <w:t>.</w:t>
      </w:r>
      <w:r>
        <w:rPr>
          <w:snapToGrid w:val="0"/>
          <w:szCs w:val="24"/>
        </w:rPr>
        <w:tab/>
        <w:t>Insurance Commission of Western Australia: corporate identity and status</w:t>
      </w:r>
      <w:r>
        <w:tab/>
      </w:r>
      <w:r>
        <w:fldChar w:fldCharType="begin"/>
      </w:r>
      <w:r>
        <w:instrText xml:space="preserve"> PAGEREF _Toc146528226 \h </w:instrText>
      </w:r>
      <w:r>
        <w:fldChar w:fldCharType="separate"/>
      </w:r>
      <w:r>
        <w:t>5</w:t>
      </w:r>
      <w:r>
        <w:fldChar w:fldCharType="end"/>
      </w:r>
    </w:p>
    <w:p>
      <w:pPr>
        <w:pStyle w:val="TOC8"/>
        <w:rPr>
          <w:sz w:val="24"/>
          <w:szCs w:val="24"/>
        </w:rPr>
      </w:pPr>
      <w:r>
        <w:rPr>
          <w:szCs w:val="24"/>
        </w:rPr>
        <w:t>4A</w:t>
      </w:r>
      <w:r>
        <w:rPr>
          <w:snapToGrid w:val="0"/>
          <w:szCs w:val="24"/>
        </w:rPr>
        <w:t>.</w:t>
      </w:r>
      <w:r>
        <w:rPr>
          <w:snapToGrid w:val="0"/>
          <w:szCs w:val="24"/>
        </w:rPr>
        <w:tab/>
        <w:t>Agent of Crown</w:t>
      </w:r>
      <w:r>
        <w:tab/>
      </w:r>
      <w:r>
        <w:fldChar w:fldCharType="begin"/>
      </w:r>
      <w:r>
        <w:instrText xml:space="preserve"> PAGEREF _Toc146528227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Board of commissioners</w:t>
      </w:r>
      <w:r>
        <w:tab/>
      </w:r>
      <w:r>
        <w:fldChar w:fldCharType="begin"/>
      </w:r>
      <w:r>
        <w:instrText xml:space="preserve"> PAGEREF _Toc146528228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and powers of the Commission</w:t>
      </w:r>
    </w:p>
    <w:p>
      <w:pPr>
        <w:pStyle w:val="TOC8"/>
        <w:rPr>
          <w:sz w:val="24"/>
          <w:szCs w:val="24"/>
        </w:rPr>
      </w:pPr>
      <w:r>
        <w:rPr>
          <w:szCs w:val="24"/>
        </w:rPr>
        <w:t>6</w:t>
      </w:r>
      <w:r>
        <w:rPr>
          <w:snapToGrid w:val="0"/>
          <w:szCs w:val="24"/>
        </w:rPr>
        <w:t>.</w:t>
      </w:r>
      <w:r>
        <w:rPr>
          <w:snapToGrid w:val="0"/>
          <w:szCs w:val="24"/>
        </w:rPr>
        <w:tab/>
        <w:t>Functions</w:t>
      </w:r>
      <w:r>
        <w:tab/>
      </w:r>
      <w:r>
        <w:fldChar w:fldCharType="begin"/>
      </w:r>
      <w:r>
        <w:instrText xml:space="preserve"> PAGEREF _Toc146528230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Powers</w:t>
      </w:r>
      <w:r>
        <w:tab/>
      </w:r>
      <w:r>
        <w:fldChar w:fldCharType="begin"/>
      </w:r>
      <w:r>
        <w:instrText xml:space="preserve"> PAGEREF _Toc146528231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Commission to act efficiently and economically</w:t>
      </w:r>
      <w:r>
        <w:tab/>
      </w:r>
      <w:r>
        <w:fldChar w:fldCharType="begin"/>
      </w:r>
      <w:r>
        <w:instrText xml:space="preserve"> PAGEREF _Toc146528232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Delegation</w:t>
      </w:r>
      <w:r>
        <w:tab/>
      </w:r>
      <w:r>
        <w:fldChar w:fldCharType="begin"/>
      </w:r>
      <w:r>
        <w:instrText xml:space="preserve"> PAGEREF _Toc146528233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Directions by Minister</w:t>
      </w:r>
      <w:r>
        <w:tab/>
      </w:r>
      <w:r>
        <w:fldChar w:fldCharType="begin"/>
      </w:r>
      <w:r>
        <w:instrText xml:space="preserve"> PAGEREF _Toc146528234 \h </w:instrText>
      </w:r>
      <w:r>
        <w:fldChar w:fldCharType="separate"/>
      </w:r>
      <w:r>
        <w:t>11</w:t>
      </w:r>
      <w:r>
        <w:fldChar w:fldCharType="end"/>
      </w:r>
    </w:p>
    <w:p>
      <w:pPr>
        <w:pStyle w:val="TOC8"/>
        <w:rPr>
          <w:sz w:val="24"/>
          <w:szCs w:val="24"/>
        </w:rPr>
      </w:pPr>
      <w:r>
        <w:rPr>
          <w:szCs w:val="24"/>
        </w:rPr>
        <w:t>10A</w:t>
      </w:r>
      <w:r>
        <w:rPr>
          <w:snapToGrid w:val="0"/>
          <w:szCs w:val="24"/>
        </w:rPr>
        <w:t>.</w:t>
      </w:r>
      <w:r>
        <w:rPr>
          <w:snapToGrid w:val="0"/>
          <w:szCs w:val="24"/>
        </w:rPr>
        <w:tab/>
        <w:t>Minister to have access to information</w:t>
      </w:r>
      <w:r>
        <w:tab/>
      </w:r>
      <w:r>
        <w:fldChar w:fldCharType="begin"/>
      </w:r>
      <w:r>
        <w:instrText xml:space="preserve"> PAGEREF _Toc146528235 \h </w:instrText>
      </w:r>
      <w:r>
        <w:fldChar w:fldCharType="separate"/>
      </w:r>
      <w:r>
        <w:t>11</w:t>
      </w:r>
      <w:r>
        <w:fldChar w:fldCharType="end"/>
      </w:r>
    </w:p>
    <w:p>
      <w:pPr>
        <w:pStyle w:val="TOC8"/>
        <w:rPr>
          <w:sz w:val="24"/>
          <w:szCs w:val="24"/>
        </w:rPr>
      </w:pPr>
      <w:r>
        <w:rPr>
          <w:szCs w:val="24"/>
        </w:rPr>
        <w:t>10B</w:t>
      </w:r>
      <w:r>
        <w:rPr>
          <w:snapToGrid w:val="0"/>
          <w:szCs w:val="24"/>
        </w:rPr>
        <w:t>.</w:t>
      </w:r>
      <w:r>
        <w:rPr>
          <w:snapToGrid w:val="0"/>
          <w:szCs w:val="24"/>
        </w:rPr>
        <w:tab/>
        <w:t>Confidential information</w:t>
      </w:r>
      <w:r>
        <w:tab/>
      </w:r>
      <w:r>
        <w:fldChar w:fldCharType="begin"/>
      </w:r>
      <w:r>
        <w:instrText xml:space="preserve"> PAGEREF _Toc146528236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Commission</w:t>
      </w:r>
    </w:p>
    <w:p>
      <w:pPr>
        <w:pStyle w:val="TOC8"/>
        <w:rPr>
          <w:sz w:val="24"/>
          <w:szCs w:val="24"/>
        </w:rPr>
      </w:pPr>
      <w:r>
        <w:rPr>
          <w:szCs w:val="24"/>
        </w:rPr>
        <w:t>11</w:t>
      </w:r>
      <w:r>
        <w:rPr>
          <w:snapToGrid w:val="0"/>
          <w:szCs w:val="24"/>
        </w:rPr>
        <w:t>.</w:t>
      </w:r>
      <w:r>
        <w:rPr>
          <w:snapToGrid w:val="0"/>
          <w:szCs w:val="24"/>
        </w:rPr>
        <w:tab/>
        <w:t>Managing director</w:t>
      </w:r>
      <w:r>
        <w:tab/>
      </w:r>
      <w:r>
        <w:fldChar w:fldCharType="begin"/>
      </w:r>
      <w:r>
        <w:instrText xml:space="preserve"> PAGEREF _Toc146528238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Appointment of staff and consultants</w:t>
      </w:r>
      <w:r>
        <w:tab/>
      </w:r>
      <w:r>
        <w:fldChar w:fldCharType="begin"/>
      </w:r>
      <w:r>
        <w:instrText xml:space="preserve"> PAGEREF _Toc146528239 \h </w:instrText>
      </w:r>
      <w:r>
        <w:fldChar w:fldCharType="separate"/>
      </w:r>
      <w:r>
        <w:t>14</w:t>
      </w:r>
      <w:r>
        <w:fldChar w:fldCharType="end"/>
      </w:r>
    </w:p>
    <w:p>
      <w:pPr>
        <w:pStyle w:val="TOC8"/>
        <w:rPr>
          <w:sz w:val="24"/>
          <w:szCs w:val="24"/>
        </w:rPr>
      </w:pPr>
      <w:r>
        <w:rPr>
          <w:szCs w:val="24"/>
        </w:rPr>
        <w:t>12A</w:t>
      </w:r>
      <w:r>
        <w:rPr>
          <w:snapToGrid w:val="0"/>
          <w:szCs w:val="24"/>
        </w:rPr>
        <w:t>.</w:t>
      </w:r>
      <w:r>
        <w:rPr>
          <w:snapToGrid w:val="0"/>
          <w:szCs w:val="24"/>
        </w:rPr>
        <w:tab/>
        <w:t>Status of managing director and officers and employees of Commission</w:t>
      </w:r>
      <w:r>
        <w:tab/>
      </w:r>
      <w:r>
        <w:fldChar w:fldCharType="begin"/>
      </w:r>
      <w:r>
        <w:instrText xml:space="preserve"> PAGEREF _Toc146528240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Use of staff and facilities of departments and instrumentalities</w:t>
      </w:r>
      <w:r>
        <w:tab/>
      </w:r>
      <w:r>
        <w:fldChar w:fldCharType="begin"/>
      </w:r>
      <w:r>
        <w:instrText xml:space="preserve"> PAGEREF _Toc146528241 \h </w:instrText>
      </w:r>
      <w:r>
        <w:fldChar w:fldCharType="separate"/>
      </w:r>
      <w:r>
        <w:t>15</w:t>
      </w:r>
      <w:r>
        <w:fldChar w:fldCharType="end"/>
      </w:r>
    </w:p>
    <w:p>
      <w:pPr>
        <w:pStyle w:val="TOC8"/>
        <w:rPr>
          <w:sz w:val="24"/>
          <w:szCs w:val="24"/>
        </w:rPr>
      </w:pPr>
      <w:r>
        <w:rPr>
          <w:szCs w:val="24"/>
        </w:rPr>
        <w:t>13A</w:t>
      </w:r>
      <w:r>
        <w:rPr>
          <w:snapToGrid w:val="0"/>
          <w:szCs w:val="24"/>
        </w:rPr>
        <w:t>.</w:t>
      </w:r>
      <w:r>
        <w:rPr>
          <w:snapToGrid w:val="0"/>
          <w:szCs w:val="24"/>
        </w:rPr>
        <w:tab/>
        <w:t>Use of staff and facilities of an insurer</w:t>
      </w:r>
      <w:r>
        <w:tab/>
      </w:r>
      <w:r>
        <w:fldChar w:fldCharType="begin"/>
      </w:r>
      <w:r>
        <w:instrText xml:space="preserve"> PAGEREF _Toc146528242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Superannuation</w:t>
      </w:r>
      <w:r>
        <w:tab/>
      </w:r>
      <w:r>
        <w:fldChar w:fldCharType="begin"/>
      </w:r>
      <w:r>
        <w:instrText xml:space="preserve"> PAGEREF _Toc146528243 \h </w:instrText>
      </w:r>
      <w:r>
        <w:fldChar w:fldCharType="separate"/>
      </w:r>
      <w:r>
        <w:t>15</w:t>
      </w:r>
      <w:r>
        <w:fldChar w:fldCharType="end"/>
      </w:r>
    </w:p>
    <w:p>
      <w:pPr>
        <w:pStyle w:val="TOC4"/>
        <w:tabs>
          <w:tab w:val="right" w:leader="dot" w:pos="7086"/>
        </w:tabs>
        <w:rPr>
          <w:b w:val="0"/>
          <w:sz w:val="24"/>
          <w:szCs w:val="24"/>
        </w:rPr>
      </w:pPr>
      <w:r>
        <w:rPr>
          <w:szCs w:val="26"/>
        </w:rPr>
        <w:t>Division 3A — Strategic development plan and statement of corporate intent</w:t>
      </w:r>
    </w:p>
    <w:p>
      <w:pPr>
        <w:pStyle w:val="TOC8"/>
        <w:rPr>
          <w:sz w:val="24"/>
          <w:szCs w:val="24"/>
        </w:rPr>
      </w:pPr>
      <w:r>
        <w:rPr>
          <w:szCs w:val="24"/>
        </w:rPr>
        <w:t>14A.</w:t>
      </w:r>
      <w:r>
        <w:rPr>
          <w:szCs w:val="24"/>
        </w:rPr>
        <w:tab/>
        <w:t>Duty to observe policy instruments</w:t>
      </w:r>
      <w:r>
        <w:tab/>
      </w:r>
      <w:r>
        <w:fldChar w:fldCharType="begin"/>
      </w:r>
      <w:r>
        <w:instrText xml:space="preserve"> PAGEREF _Toc146528245 \h </w:instrText>
      </w:r>
      <w:r>
        <w:fldChar w:fldCharType="separate"/>
      </w:r>
      <w:r>
        <w:t>16</w:t>
      </w:r>
      <w:r>
        <w:fldChar w:fldCharType="end"/>
      </w:r>
    </w:p>
    <w:p>
      <w:pPr>
        <w:pStyle w:val="TOC8"/>
        <w:rPr>
          <w:sz w:val="24"/>
          <w:szCs w:val="24"/>
        </w:rPr>
      </w:pPr>
      <w:r>
        <w:rPr>
          <w:szCs w:val="24"/>
        </w:rPr>
        <w:t>14B.</w:t>
      </w:r>
      <w:r>
        <w:rPr>
          <w:szCs w:val="24"/>
        </w:rPr>
        <w:tab/>
        <w:t>Strategic development plan and statement of corporate intent</w:t>
      </w:r>
      <w:r>
        <w:tab/>
      </w:r>
      <w:r>
        <w:fldChar w:fldCharType="begin"/>
      </w:r>
      <w:r>
        <w:instrText xml:space="preserve"> PAGEREF _Toc146528246 \h </w:instrText>
      </w:r>
      <w:r>
        <w:fldChar w:fldCharType="separate"/>
      </w:r>
      <w:r>
        <w:t>16</w:t>
      </w:r>
      <w:r>
        <w:fldChar w:fldCharType="end"/>
      </w:r>
    </w:p>
    <w:p>
      <w:pPr>
        <w:pStyle w:val="TOC8"/>
        <w:rPr>
          <w:sz w:val="24"/>
          <w:szCs w:val="24"/>
        </w:rPr>
      </w:pPr>
      <w:r>
        <w:rPr>
          <w:szCs w:val="24"/>
        </w:rPr>
        <w:t>14C.</w:t>
      </w:r>
      <w:r>
        <w:rPr>
          <w:szCs w:val="24"/>
        </w:rPr>
        <w:tab/>
        <w:t>Laying directions about strategic development plan or statement of corporate intent before Parliament</w:t>
      </w:r>
      <w:r>
        <w:tab/>
      </w:r>
      <w:r>
        <w:fldChar w:fldCharType="begin"/>
      </w:r>
      <w:r>
        <w:instrText xml:space="preserve"> PAGEREF _Toc146528247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provisions relating to the Commission</w:t>
      </w:r>
    </w:p>
    <w:p>
      <w:pPr>
        <w:pStyle w:val="TOC6"/>
        <w:tabs>
          <w:tab w:val="right" w:leader="dot" w:pos="7086"/>
        </w:tabs>
        <w:rPr>
          <w:b w:val="0"/>
          <w:sz w:val="24"/>
          <w:szCs w:val="24"/>
        </w:rPr>
      </w:pPr>
      <w:r>
        <w:rPr>
          <w:snapToGrid w:val="0"/>
          <w:szCs w:val="24"/>
        </w:rPr>
        <w:t>Subdivision A — Income, expenditure and property of the Commission</w:t>
      </w:r>
    </w:p>
    <w:p>
      <w:pPr>
        <w:pStyle w:val="TOC8"/>
        <w:rPr>
          <w:sz w:val="24"/>
          <w:szCs w:val="24"/>
        </w:rPr>
      </w:pPr>
      <w:r>
        <w:rPr>
          <w:szCs w:val="24"/>
        </w:rPr>
        <w:t>15</w:t>
      </w:r>
      <w:r>
        <w:rPr>
          <w:snapToGrid w:val="0"/>
          <w:szCs w:val="24"/>
        </w:rPr>
        <w:t>.</w:t>
      </w:r>
      <w:r>
        <w:rPr>
          <w:snapToGrid w:val="0"/>
          <w:szCs w:val="24"/>
        </w:rPr>
        <w:tab/>
        <w:t>Moneys available to the Commission</w:t>
      </w:r>
      <w:r>
        <w:tab/>
      </w:r>
      <w:r>
        <w:fldChar w:fldCharType="begin"/>
      </w:r>
      <w:r>
        <w:instrText xml:space="preserve"> PAGEREF _Toc146528250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Establishment and composition of Funds</w:t>
      </w:r>
      <w:r>
        <w:tab/>
      </w:r>
      <w:r>
        <w:fldChar w:fldCharType="begin"/>
      </w:r>
      <w:r>
        <w:instrText xml:space="preserve"> PAGEREF _Toc146528251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Apportionment of income, expenditure and assets</w:t>
      </w:r>
      <w:r>
        <w:tab/>
      </w:r>
      <w:r>
        <w:fldChar w:fldCharType="begin"/>
      </w:r>
      <w:r>
        <w:instrText xml:space="preserve"> PAGEREF _Toc146528252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Transfer between Funds</w:t>
      </w:r>
      <w:r>
        <w:tab/>
      </w:r>
      <w:r>
        <w:fldChar w:fldCharType="begin"/>
      </w:r>
      <w:r>
        <w:instrText xml:space="preserve"> PAGEREF _Toc146528253 \h </w:instrText>
      </w:r>
      <w:r>
        <w:fldChar w:fldCharType="separate"/>
      </w:r>
      <w:r>
        <w:t>23</w:t>
      </w:r>
      <w:r>
        <w:fldChar w:fldCharType="end"/>
      </w:r>
    </w:p>
    <w:p>
      <w:pPr>
        <w:pStyle w:val="TOC6"/>
        <w:tabs>
          <w:tab w:val="right" w:leader="dot" w:pos="7086"/>
        </w:tabs>
        <w:rPr>
          <w:b w:val="0"/>
          <w:sz w:val="24"/>
          <w:szCs w:val="24"/>
        </w:rPr>
      </w:pPr>
      <w:r>
        <w:rPr>
          <w:snapToGrid w:val="0"/>
          <w:szCs w:val="24"/>
        </w:rPr>
        <w:t>Subdivision Aa — Investment and property management</w:t>
      </w:r>
    </w:p>
    <w:p>
      <w:pPr>
        <w:pStyle w:val="TOC8"/>
        <w:rPr>
          <w:sz w:val="24"/>
          <w:szCs w:val="24"/>
        </w:rPr>
      </w:pPr>
      <w:r>
        <w:rPr>
          <w:szCs w:val="24"/>
        </w:rPr>
        <w:t>19</w:t>
      </w:r>
      <w:r>
        <w:rPr>
          <w:snapToGrid w:val="0"/>
          <w:szCs w:val="24"/>
        </w:rPr>
        <w:t>.</w:t>
      </w:r>
      <w:r>
        <w:rPr>
          <w:snapToGrid w:val="0"/>
          <w:szCs w:val="24"/>
        </w:rPr>
        <w:tab/>
        <w:t>Arrangements for appointment of investment managers</w:t>
      </w:r>
      <w:r>
        <w:tab/>
      </w:r>
      <w:r>
        <w:fldChar w:fldCharType="begin"/>
      </w:r>
      <w:r>
        <w:instrText xml:space="preserve"> PAGEREF _Toc146528255 \h </w:instrText>
      </w:r>
      <w:r>
        <w:fldChar w:fldCharType="separate"/>
      </w:r>
      <w:r>
        <w:t>24</w:t>
      </w:r>
      <w:r>
        <w:fldChar w:fldCharType="end"/>
      </w:r>
    </w:p>
    <w:p>
      <w:pPr>
        <w:pStyle w:val="TOC8"/>
        <w:rPr>
          <w:sz w:val="24"/>
          <w:szCs w:val="24"/>
        </w:rPr>
      </w:pPr>
      <w:r>
        <w:rPr>
          <w:szCs w:val="24"/>
        </w:rPr>
        <w:t>19A</w:t>
      </w:r>
      <w:r>
        <w:rPr>
          <w:snapToGrid w:val="0"/>
          <w:szCs w:val="24"/>
        </w:rPr>
        <w:t>.</w:t>
      </w:r>
      <w:r>
        <w:rPr>
          <w:snapToGrid w:val="0"/>
          <w:szCs w:val="24"/>
        </w:rPr>
        <w:tab/>
        <w:t>Investment policy</w:t>
      </w:r>
      <w:r>
        <w:tab/>
      </w:r>
      <w:r>
        <w:fldChar w:fldCharType="begin"/>
      </w:r>
      <w:r>
        <w:instrText xml:space="preserve"> PAGEREF _Toc146528256 \h </w:instrText>
      </w:r>
      <w:r>
        <w:fldChar w:fldCharType="separate"/>
      </w:r>
      <w:r>
        <w:t>24</w:t>
      </w:r>
      <w:r>
        <w:fldChar w:fldCharType="end"/>
      </w:r>
    </w:p>
    <w:p>
      <w:pPr>
        <w:pStyle w:val="TOC6"/>
        <w:tabs>
          <w:tab w:val="right" w:leader="dot" w:pos="7086"/>
        </w:tabs>
        <w:rPr>
          <w:b w:val="0"/>
          <w:sz w:val="24"/>
          <w:szCs w:val="24"/>
        </w:rPr>
      </w:pPr>
      <w:r>
        <w:rPr>
          <w:snapToGrid w:val="0"/>
          <w:szCs w:val="24"/>
        </w:rPr>
        <w:t>Subdivision B — Financial administration, audit and reporting</w:t>
      </w:r>
    </w:p>
    <w:p>
      <w:pPr>
        <w:pStyle w:val="TOC8"/>
        <w:rPr>
          <w:sz w:val="24"/>
          <w:szCs w:val="24"/>
        </w:rPr>
      </w:pPr>
      <w:r>
        <w:rPr>
          <w:szCs w:val="24"/>
        </w:rPr>
        <w:t>20</w:t>
      </w:r>
      <w:r>
        <w:rPr>
          <w:snapToGrid w:val="0"/>
          <w:szCs w:val="24"/>
        </w:rPr>
        <w:t>.</w:t>
      </w:r>
      <w:r>
        <w:rPr>
          <w:snapToGrid w:val="0"/>
          <w:szCs w:val="24"/>
        </w:rPr>
        <w:tab/>
        <w:t xml:space="preserve">Application of </w:t>
      </w:r>
      <w:r>
        <w:rPr>
          <w:i/>
          <w:snapToGrid w:val="0"/>
          <w:szCs w:val="24"/>
        </w:rPr>
        <w:t>Financial Administration and Audit Act 1985</w:t>
      </w:r>
      <w:r>
        <w:rPr>
          <w:snapToGrid w:val="0"/>
          <w:szCs w:val="24"/>
        </w:rPr>
        <w:t xml:space="preserve"> to the Commission</w:t>
      </w:r>
      <w:r>
        <w:tab/>
      </w:r>
      <w:r>
        <w:fldChar w:fldCharType="begin"/>
      </w:r>
      <w:r>
        <w:instrText xml:space="preserve"> PAGEREF _Toc146528258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Provisions and reserves</w:t>
      </w:r>
      <w:r>
        <w:tab/>
      </w:r>
      <w:r>
        <w:fldChar w:fldCharType="begin"/>
      </w:r>
      <w:r>
        <w:instrText xml:space="preserve"> PAGEREF _Toc146528259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Accounts</w:t>
      </w:r>
      <w:r>
        <w:tab/>
      </w:r>
      <w:r>
        <w:fldChar w:fldCharType="begin"/>
      </w:r>
      <w:r>
        <w:instrText xml:space="preserve"> PAGEREF _Toc146528260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Annual reports, financial statements</w:t>
      </w:r>
      <w:r>
        <w:tab/>
      </w:r>
      <w:r>
        <w:fldChar w:fldCharType="begin"/>
      </w:r>
      <w:r>
        <w:instrText xml:space="preserve"> PAGEREF _Toc146528261 \h </w:instrText>
      </w:r>
      <w:r>
        <w:fldChar w:fldCharType="separate"/>
      </w:r>
      <w:r>
        <w:t>25</w:t>
      </w:r>
      <w:r>
        <w:fldChar w:fldCharType="end"/>
      </w:r>
    </w:p>
    <w:p>
      <w:pPr>
        <w:pStyle w:val="TOC6"/>
        <w:tabs>
          <w:tab w:val="right" w:leader="dot" w:pos="7086"/>
        </w:tabs>
        <w:rPr>
          <w:b w:val="0"/>
          <w:sz w:val="24"/>
          <w:szCs w:val="24"/>
        </w:rPr>
      </w:pPr>
      <w:r>
        <w:rPr>
          <w:snapToGrid w:val="0"/>
          <w:szCs w:val="24"/>
        </w:rPr>
        <w:t>Subdivision C — Borrowing and financial accommodation</w:t>
      </w:r>
    </w:p>
    <w:p>
      <w:pPr>
        <w:pStyle w:val="TOC8"/>
        <w:rPr>
          <w:sz w:val="24"/>
          <w:szCs w:val="24"/>
        </w:rPr>
      </w:pPr>
      <w:r>
        <w:rPr>
          <w:szCs w:val="24"/>
        </w:rPr>
        <w:t>24</w:t>
      </w:r>
      <w:r>
        <w:rPr>
          <w:snapToGrid w:val="0"/>
          <w:szCs w:val="24"/>
        </w:rPr>
        <w:t>.</w:t>
      </w:r>
      <w:r>
        <w:rPr>
          <w:snapToGrid w:val="0"/>
          <w:szCs w:val="24"/>
        </w:rPr>
        <w:tab/>
        <w:t>Power to borrow etc., generally</w:t>
      </w:r>
      <w:r>
        <w:tab/>
      </w:r>
      <w:r>
        <w:fldChar w:fldCharType="begin"/>
      </w:r>
      <w:r>
        <w:instrText xml:space="preserve"> PAGEREF _Toc146528263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Power to make provision to pay off loans</w:t>
      </w:r>
      <w:r>
        <w:tab/>
      </w:r>
      <w:r>
        <w:fldChar w:fldCharType="begin"/>
      </w:r>
      <w:r>
        <w:instrText xml:space="preserve"> PAGEREF _Toc146528264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Borrowing power, from Treasury sources</w:t>
      </w:r>
      <w:r>
        <w:tab/>
      </w:r>
      <w:r>
        <w:fldChar w:fldCharType="begin"/>
      </w:r>
      <w:r>
        <w:instrText xml:space="preserve"> PAGEREF _Toc146528265 \h </w:instrText>
      </w:r>
      <w:r>
        <w:fldChar w:fldCharType="separate"/>
      </w:r>
      <w:r>
        <w:t>27</w:t>
      </w:r>
      <w:r>
        <w:fldChar w:fldCharType="end"/>
      </w:r>
    </w:p>
    <w:p>
      <w:pPr>
        <w:pStyle w:val="TOC8"/>
        <w:rPr>
          <w:sz w:val="24"/>
          <w:szCs w:val="24"/>
        </w:rPr>
      </w:pPr>
      <w:r>
        <w:rPr>
          <w:szCs w:val="24"/>
        </w:rPr>
        <w:t>27</w:t>
      </w:r>
      <w:r>
        <w:rPr>
          <w:snapToGrid w:val="0"/>
          <w:szCs w:val="24"/>
        </w:rPr>
        <w:t>.</w:t>
      </w:r>
      <w:r>
        <w:rPr>
          <w:snapToGrid w:val="0"/>
          <w:szCs w:val="24"/>
        </w:rPr>
        <w:tab/>
        <w:t>Specific State guarantees</w:t>
      </w:r>
      <w:r>
        <w:tab/>
      </w:r>
      <w:r>
        <w:fldChar w:fldCharType="begin"/>
      </w:r>
      <w:r>
        <w:instrText xml:space="preserve"> PAGEREF _Toc146528266 \h </w:instrText>
      </w:r>
      <w:r>
        <w:fldChar w:fldCharType="separate"/>
      </w:r>
      <w:r>
        <w:t>27</w:t>
      </w:r>
      <w:r>
        <w:fldChar w:fldCharType="end"/>
      </w:r>
    </w:p>
    <w:p>
      <w:pPr>
        <w:pStyle w:val="TOC2"/>
        <w:tabs>
          <w:tab w:val="right" w:leader="dot" w:pos="7086"/>
        </w:tabs>
        <w:rPr>
          <w:b w:val="0"/>
          <w:sz w:val="24"/>
          <w:szCs w:val="24"/>
        </w:rPr>
      </w:pPr>
      <w:r>
        <w:rPr>
          <w:szCs w:val="30"/>
        </w:rPr>
        <w:t>Part III — State Government Insurance Corporation</w:t>
      </w:r>
    </w:p>
    <w:p>
      <w:pPr>
        <w:pStyle w:val="TOC4"/>
        <w:tabs>
          <w:tab w:val="right" w:leader="dot" w:pos="7086"/>
        </w:tabs>
        <w:rPr>
          <w:b w:val="0"/>
          <w:sz w:val="24"/>
          <w:szCs w:val="24"/>
        </w:rPr>
      </w:pPr>
      <w:r>
        <w:rPr>
          <w:szCs w:val="26"/>
        </w:rPr>
        <w:t>Division 1</w:t>
      </w:r>
      <w:r>
        <w:rPr>
          <w:snapToGrid w:val="0"/>
          <w:szCs w:val="26"/>
        </w:rPr>
        <w:t> — </w:t>
      </w:r>
      <w:r>
        <w:rPr>
          <w:szCs w:val="26"/>
        </w:rPr>
        <w:t>Establishment of the Corporation</w:t>
      </w:r>
    </w:p>
    <w:p>
      <w:pPr>
        <w:pStyle w:val="TOC8"/>
        <w:rPr>
          <w:sz w:val="24"/>
          <w:szCs w:val="24"/>
        </w:rPr>
      </w:pPr>
      <w:r>
        <w:rPr>
          <w:szCs w:val="24"/>
        </w:rPr>
        <w:t>28</w:t>
      </w:r>
      <w:r>
        <w:rPr>
          <w:snapToGrid w:val="0"/>
          <w:szCs w:val="24"/>
        </w:rPr>
        <w:t>.</w:t>
      </w:r>
      <w:r>
        <w:rPr>
          <w:snapToGrid w:val="0"/>
          <w:szCs w:val="24"/>
        </w:rPr>
        <w:tab/>
        <w:t>State Government Insurance Corporation established as a body corporate</w:t>
      </w:r>
      <w:r>
        <w:tab/>
      </w:r>
      <w:r>
        <w:fldChar w:fldCharType="begin"/>
      </w:r>
      <w:r>
        <w:instrText xml:space="preserve"> PAGEREF _Toc146528269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Board of directors</w:t>
      </w:r>
      <w:r>
        <w:tab/>
      </w:r>
      <w:r>
        <w:fldChar w:fldCharType="begin"/>
      </w:r>
      <w:r>
        <w:instrText xml:space="preserve"> PAGEREF _Toc146528270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 and powers of the Corporation</w:t>
      </w:r>
    </w:p>
    <w:p>
      <w:pPr>
        <w:pStyle w:val="TOC8"/>
        <w:rPr>
          <w:sz w:val="24"/>
          <w:szCs w:val="24"/>
        </w:rPr>
      </w:pPr>
      <w:r>
        <w:rPr>
          <w:szCs w:val="24"/>
        </w:rPr>
        <w:t>30</w:t>
      </w:r>
      <w:r>
        <w:rPr>
          <w:snapToGrid w:val="0"/>
          <w:szCs w:val="24"/>
        </w:rPr>
        <w:t>.</w:t>
      </w:r>
      <w:r>
        <w:rPr>
          <w:snapToGrid w:val="0"/>
          <w:szCs w:val="24"/>
        </w:rPr>
        <w:tab/>
        <w:t>Function and powers</w:t>
      </w:r>
      <w:r>
        <w:tab/>
      </w:r>
      <w:r>
        <w:fldChar w:fldCharType="begin"/>
      </w:r>
      <w:r>
        <w:instrText xml:space="preserve"> PAGEREF _Toc146528272 \h </w:instrText>
      </w:r>
      <w:r>
        <w:fldChar w:fldCharType="separate"/>
      </w:r>
      <w:r>
        <w:t>30</w:t>
      </w:r>
      <w:r>
        <w:fldChar w:fldCharType="end"/>
      </w:r>
    </w:p>
    <w:p>
      <w:pPr>
        <w:pStyle w:val="TOC8"/>
        <w:rPr>
          <w:sz w:val="24"/>
          <w:szCs w:val="24"/>
        </w:rPr>
      </w:pPr>
      <w:r>
        <w:rPr>
          <w:szCs w:val="24"/>
        </w:rPr>
        <w:t>34.</w:t>
      </w:r>
      <w:r>
        <w:rPr>
          <w:szCs w:val="24"/>
        </w:rPr>
        <w:tab/>
        <w:t>Liability in respect or in lieu of taxation</w:t>
      </w:r>
      <w:r>
        <w:tab/>
      </w:r>
      <w:r>
        <w:fldChar w:fldCharType="begin"/>
      </w:r>
      <w:r>
        <w:instrText xml:space="preserve"> PAGEREF _Toc146528273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Delegation</w:t>
      </w:r>
      <w:r>
        <w:tab/>
      </w:r>
      <w:r>
        <w:fldChar w:fldCharType="begin"/>
      </w:r>
      <w:r>
        <w:instrText xml:space="preserve"> PAGEREF _Toc146528274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Directions by the Commission</w:t>
      </w:r>
      <w:r>
        <w:tab/>
      </w:r>
      <w:r>
        <w:fldChar w:fldCharType="begin"/>
      </w:r>
      <w:r>
        <w:instrText xml:space="preserve"> PAGEREF _Toc146528275 \h </w:instrText>
      </w:r>
      <w:r>
        <w:fldChar w:fldCharType="separate"/>
      </w:r>
      <w:r>
        <w:t>32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Corporation</w:t>
      </w:r>
    </w:p>
    <w:p>
      <w:pPr>
        <w:pStyle w:val="TOC8"/>
        <w:rPr>
          <w:sz w:val="24"/>
          <w:szCs w:val="24"/>
        </w:rPr>
      </w:pPr>
      <w:r>
        <w:rPr>
          <w:szCs w:val="24"/>
        </w:rPr>
        <w:t>37</w:t>
      </w:r>
      <w:r>
        <w:rPr>
          <w:snapToGrid w:val="0"/>
          <w:szCs w:val="24"/>
        </w:rPr>
        <w:t>.</w:t>
      </w:r>
      <w:r>
        <w:rPr>
          <w:snapToGrid w:val="0"/>
          <w:szCs w:val="24"/>
        </w:rPr>
        <w:tab/>
        <w:t>Classification, employment conditions, and duties of staff allocated to the Corporation</w:t>
      </w:r>
      <w:r>
        <w:tab/>
      </w:r>
      <w:r>
        <w:fldChar w:fldCharType="begin"/>
      </w:r>
      <w:r>
        <w:instrText xml:space="preserve"> PAGEREF _Toc146528277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Use of services and facilities of the Commission, departments and instrumentalities</w:t>
      </w:r>
      <w:r>
        <w:tab/>
      </w:r>
      <w:r>
        <w:fldChar w:fldCharType="begin"/>
      </w:r>
      <w:r>
        <w:instrText xml:space="preserve"> PAGEREF _Toc146528278 \h </w:instrText>
      </w:r>
      <w:r>
        <w:fldChar w:fldCharType="separate"/>
      </w:r>
      <w:r>
        <w:t>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provisions relating to the Corporation</w:t>
      </w:r>
    </w:p>
    <w:p>
      <w:pPr>
        <w:pStyle w:val="TOC8"/>
        <w:rPr>
          <w:sz w:val="24"/>
          <w:szCs w:val="24"/>
        </w:rPr>
      </w:pPr>
      <w:r>
        <w:rPr>
          <w:szCs w:val="24"/>
        </w:rPr>
        <w:t>39</w:t>
      </w:r>
      <w:r>
        <w:rPr>
          <w:snapToGrid w:val="0"/>
          <w:szCs w:val="24"/>
        </w:rPr>
        <w:t>.</w:t>
      </w:r>
      <w:r>
        <w:rPr>
          <w:snapToGrid w:val="0"/>
          <w:szCs w:val="24"/>
        </w:rPr>
        <w:tab/>
        <w:t>Capital of the Corporation</w:t>
      </w:r>
      <w:r>
        <w:tab/>
      </w:r>
      <w:r>
        <w:fldChar w:fldCharType="begin"/>
      </w:r>
      <w:r>
        <w:instrText xml:space="preserve"> PAGEREF _Toc146528280 \h </w:instrText>
      </w:r>
      <w:r>
        <w:fldChar w:fldCharType="separate"/>
      </w:r>
      <w:r>
        <w:t>33</w:t>
      </w:r>
      <w:r>
        <w:fldChar w:fldCharType="end"/>
      </w:r>
    </w:p>
    <w:p>
      <w:pPr>
        <w:pStyle w:val="TOC8"/>
        <w:rPr>
          <w:sz w:val="24"/>
          <w:szCs w:val="24"/>
        </w:rPr>
      </w:pPr>
      <w:r>
        <w:rPr>
          <w:szCs w:val="24"/>
        </w:rPr>
        <w:t>40</w:t>
      </w:r>
      <w:r>
        <w:rPr>
          <w:snapToGrid w:val="0"/>
          <w:szCs w:val="24"/>
        </w:rPr>
        <w:t>.</w:t>
      </w:r>
      <w:r>
        <w:rPr>
          <w:snapToGrid w:val="0"/>
          <w:szCs w:val="24"/>
        </w:rPr>
        <w:tab/>
        <w:t>Temporary investment of funds</w:t>
      </w:r>
      <w:r>
        <w:tab/>
      </w:r>
      <w:r>
        <w:fldChar w:fldCharType="begin"/>
      </w:r>
      <w:r>
        <w:instrText xml:space="preserve"> PAGEREF _Toc146528281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 xml:space="preserve">Application of </w:t>
      </w:r>
      <w:r>
        <w:rPr>
          <w:i/>
          <w:snapToGrid w:val="0"/>
          <w:szCs w:val="24"/>
        </w:rPr>
        <w:t>Financial Administration and Audit Act 1985</w:t>
      </w:r>
      <w:r>
        <w:rPr>
          <w:snapToGrid w:val="0"/>
          <w:szCs w:val="24"/>
        </w:rPr>
        <w:t xml:space="preserve"> to the Corporation</w:t>
      </w:r>
      <w:r>
        <w:tab/>
      </w:r>
      <w:r>
        <w:fldChar w:fldCharType="begin"/>
      </w:r>
      <w:r>
        <w:instrText xml:space="preserve"> PAGEREF _Toc146528282 \h </w:instrText>
      </w:r>
      <w:r>
        <w:fldChar w:fldCharType="separate"/>
      </w:r>
      <w:r>
        <w:t>35</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42</w:t>
      </w:r>
      <w:r>
        <w:rPr>
          <w:snapToGrid w:val="0"/>
          <w:szCs w:val="24"/>
        </w:rPr>
        <w:t>.</w:t>
      </w:r>
      <w:r>
        <w:rPr>
          <w:snapToGrid w:val="0"/>
          <w:szCs w:val="24"/>
        </w:rPr>
        <w:tab/>
        <w:t>Secrecy</w:t>
      </w:r>
      <w:r>
        <w:tab/>
      </w:r>
      <w:r>
        <w:fldChar w:fldCharType="begin"/>
      </w:r>
      <w:r>
        <w:instrText xml:space="preserve"> PAGEREF _Toc146528284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Execution of documents and entry into contracts</w:t>
      </w:r>
      <w:r>
        <w:tab/>
      </w:r>
      <w:r>
        <w:fldChar w:fldCharType="begin"/>
      </w:r>
      <w:r>
        <w:instrText xml:space="preserve"> PAGEREF _Toc146528285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Exemption of certain public authorities from workers’ compensation insurance requirements</w:t>
      </w:r>
      <w:r>
        <w:tab/>
      </w:r>
      <w:r>
        <w:fldChar w:fldCharType="begin"/>
      </w:r>
      <w:r>
        <w:instrText xml:space="preserve"> PAGEREF _Toc146528286 \h </w:instrText>
      </w:r>
      <w:r>
        <w:fldChar w:fldCharType="separate"/>
      </w:r>
      <w:r>
        <w:t>38</w:t>
      </w:r>
      <w:r>
        <w:fldChar w:fldCharType="end"/>
      </w:r>
    </w:p>
    <w:p>
      <w:pPr>
        <w:pStyle w:val="TOC8"/>
        <w:rPr>
          <w:sz w:val="24"/>
          <w:szCs w:val="24"/>
        </w:rPr>
      </w:pPr>
      <w:r>
        <w:rPr>
          <w:szCs w:val="24"/>
        </w:rPr>
        <w:t>45</w:t>
      </w:r>
      <w:r>
        <w:rPr>
          <w:snapToGrid w:val="0"/>
          <w:szCs w:val="24"/>
        </w:rPr>
        <w:t>.</w:t>
      </w:r>
      <w:r>
        <w:rPr>
          <w:snapToGrid w:val="0"/>
          <w:szCs w:val="24"/>
        </w:rPr>
        <w:tab/>
        <w:t>Regulations</w:t>
      </w:r>
      <w:r>
        <w:tab/>
      </w:r>
      <w:r>
        <w:fldChar w:fldCharType="begin"/>
      </w:r>
      <w:r>
        <w:instrText xml:space="preserve"> PAGEREF _Toc146528287 \h </w:instrText>
      </w:r>
      <w:r>
        <w:fldChar w:fldCharType="separate"/>
      </w:r>
      <w:r>
        <w:t>38</w:t>
      </w:r>
      <w:r>
        <w:fldChar w:fldCharType="end"/>
      </w:r>
    </w:p>
    <w:p>
      <w:pPr>
        <w:pStyle w:val="TOC2"/>
        <w:tabs>
          <w:tab w:val="right" w:leader="dot" w:pos="7086"/>
        </w:tabs>
        <w:rPr>
          <w:b w:val="0"/>
          <w:sz w:val="24"/>
          <w:szCs w:val="24"/>
        </w:rPr>
      </w:pPr>
      <w:r>
        <w:rPr>
          <w:szCs w:val="30"/>
        </w:rPr>
        <w:t>Part V — Repeal, amendments, saving, validation and transitional</w:t>
      </w:r>
    </w:p>
    <w:p>
      <w:pPr>
        <w:pStyle w:val="TOC8"/>
        <w:rPr>
          <w:sz w:val="24"/>
          <w:szCs w:val="24"/>
        </w:rPr>
      </w:pPr>
      <w:r>
        <w:rPr>
          <w:szCs w:val="24"/>
        </w:rPr>
        <w:t>46</w:t>
      </w:r>
      <w:r>
        <w:rPr>
          <w:snapToGrid w:val="0"/>
          <w:szCs w:val="24"/>
        </w:rPr>
        <w:t>.</w:t>
      </w:r>
      <w:r>
        <w:rPr>
          <w:snapToGrid w:val="0"/>
          <w:szCs w:val="24"/>
        </w:rPr>
        <w:tab/>
        <w:t>Repeal and amendments</w:t>
      </w:r>
      <w:r>
        <w:tab/>
      </w:r>
      <w:r>
        <w:fldChar w:fldCharType="begin"/>
      </w:r>
      <w:r>
        <w:instrText xml:space="preserve"> PAGEREF _Toc146528289 \h </w:instrText>
      </w:r>
      <w:r>
        <w:fldChar w:fldCharType="separate"/>
      </w:r>
      <w:r>
        <w:t>40</w:t>
      </w:r>
      <w:r>
        <w:fldChar w:fldCharType="end"/>
      </w:r>
    </w:p>
    <w:p>
      <w:pPr>
        <w:pStyle w:val="TOC8"/>
        <w:rPr>
          <w:sz w:val="24"/>
          <w:szCs w:val="24"/>
        </w:rPr>
      </w:pPr>
      <w:r>
        <w:rPr>
          <w:szCs w:val="24"/>
        </w:rPr>
        <w:t>47</w:t>
      </w:r>
      <w:r>
        <w:rPr>
          <w:snapToGrid w:val="0"/>
          <w:szCs w:val="24"/>
        </w:rPr>
        <w:t>.</w:t>
      </w:r>
      <w:r>
        <w:rPr>
          <w:snapToGrid w:val="0"/>
          <w:szCs w:val="24"/>
        </w:rPr>
        <w:tab/>
        <w:t>Saving, validation and transitional provisions</w:t>
      </w:r>
      <w:r>
        <w:tab/>
      </w:r>
      <w:r>
        <w:fldChar w:fldCharType="begin"/>
      </w:r>
      <w:r>
        <w:instrText xml:space="preserve"> PAGEREF _Toc146528290 \h </w:instrText>
      </w:r>
      <w:r>
        <w:fldChar w:fldCharType="separate"/>
      </w:r>
      <w:r>
        <w:t>40</w:t>
      </w:r>
      <w:r>
        <w:fldChar w:fldCharType="end"/>
      </w:r>
    </w:p>
    <w:p>
      <w:pPr>
        <w:pStyle w:val="TOC8"/>
        <w:rPr>
          <w:sz w:val="24"/>
          <w:szCs w:val="24"/>
        </w:rPr>
      </w:pPr>
      <w:r>
        <w:rPr>
          <w:szCs w:val="24"/>
        </w:rPr>
        <w:t>48</w:t>
      </w:r>
      <w:r>
        <w:rPr>
          <w:snapToGrid w:val="0"/>
          <w:szCs w:val="24"/>
        </w:rPr>
        <w:t>.</w:t>
      </w:r>
      <w:r>
        <w:rPr>
          <w:snapToGrid w:val="0"/>
          <w:szCs w:val="24"/>
        </w:rPr>
        <w:tab/>
        <w:t>Oversight by Public Accounts Committee</w:t>
      </w:r>
      <w:r>
        <w:tab/>
      </w:r>
      <w:r>
        <w:fldChar w:fldCharType="begin"/>
      </w:r>
      <w:r>
        <w:instrText xml:space="preserve"> PAGEREF _Toc146528291 \h </w:instrText>
      </w:r>
      <w:r>
        <w:fldChar w:fldCharType="separate"/>
      </w:r>
      <w:r>
        <w:t>40</w:t>
      </w:r>
      <w:r>
        <w:fldChar w:fldCharType="end"/>
      </w:r>
    </w:p>
    <w:p>
      <w:pPr>
        <w:pStyle w:val="TOC2"/>
        <w:tabs>
          <w:tab w:val="right" w:leader="dot" w:pos="7086"/>
        </w:tabs>
        <w:rPr>
          <w:b w:val="0"/>
          <w:sz w:val="24"/>
          <w:szCs w:val="24"/>
        </w:rPr>
      </w:pPr>
      <w:r>
        <w:rPr>
          <w:szCs w:val="28"/>
        </w:rPr>
        <w:t>Schedule 1 — Provisions as to commissioners</w:t>
      </w:r>
    </w:p>
    <w:p>
      <w:pPr>
        <w:pStyle w:val="TOC8"/>
        <w:rPr>
          <w:sz w:val="24"/>
          <w:szCs w:val="24"/>
        </w:rPr>
      </w:pPr>
      <w:r>
        <w:rPr>
          <w:szCs w:val="22"/>
        </w:rPr>
        <w:t>1</w:t>
      </w:r>
      <w:r>
        <w:rPr>
          <w:snapToGrid w:val="0"/>
          <w:szCs w:val="22"/>
        </w:rPr>
        <w:t>.</w:t>
      </w:r>
      <w:r>
        <w:rPr>
          <w:snapToGrid w:val="0"/>
          <w:szCs w:val="22"/>
        </w:rPr>
        <w:tab/>
        <w:t>Definitions</w:t>
      </w:r>
      <w:r>
        <w:tab/>
      </w:r>
      <w:r>
        <w:fldChar w:fldCharType="begin"/>
      </w:r>
      <w:r>
        <w:instrText xml:space="preserve"> PAGEREF _Toc146528294 \h </w:instrText>
      </w:r>
      <w:r>
        <w:fldChar w:fldCharType="separate"/>
      </w:r>
      <w:r>
        <w:t>41</w:t>
      </w:r>
      <w:r>
        <w:fldChar w:fldCharType="end"/>
      </w:r>
    </w:p>
    <w:p>
      <w:pPr>
        <w:pStyle w:val="TOC8"/>
        <w:rPr>
          <w:sz w:val="24"/>
          <w:szCs w:val="24"/>
        </w:rPr>
      </w:pPr>
      <w:r>
        <w:rPr>
          <w:szCs w:val="22"/>
        </w:rPr>
        <w:t>2</w:t>
      </w:r>
      <w:r>
        <w:rPr>
          <w:snapToGrid w:val="0"/>
          <w:szCs w:val="22"/>
        </w:rPr>
        <w:t>.</w:t>
      </w:r>
      <w:r>
        <w:rPr>
          <w:snapToGrid w:val="0"/>
          <w:szCs w:val="22"/>
        </w:rPr>
        <w:tab/>
        <w:t>Commissioners — terms and vacation of office</w:t>
      </w:r>
      <w:r>
        <w:tab/>
      </w:r>
      <w:r>
        <w:fldChar w:fldCharType="begin"/>
      </w:r>
      <w:r>
        <w:instrText xml:space="preserve"> PAGEREF _Toc146528295 \h </w:instrText>
      </w:r>
      <w:r>
        <w:fldChar w:fldCharType="separate"/>
      </w:r>
      <w:r>
        <w:t>41</w:t>
      </w:r>
      <w:r>
        <w:fldChar w:fldCharType="end"/>
      </w:r>
    </w:p>
    <w:p>
      <w:pPr>
        <w:pStyle w:val="TOC8"/>
        <w:rPr>
          <w:sz w:val="24"/>
          <w:szCs w:val="24"/>
        </w:rPr>
      </w:pPr>
      <w:r>
        <w:rPr>
          <w:szCs w:val="22"/>
        </w:rPr>
        <w:t>3</w:t>
      </w:r>
      <w:r>
        <w:rPr>
          <w:snapToGrid w:val="0"/>
          <w:szCs w:val="22"/>
        </w:rPr>
        <w:t>.</w:t>
      </w:r>
      <w:r>
        <w:rPr>
          <w:snapToGrid w:val="0"/>
          <w:szCs w:val="22"/>
        </w:rPr>
        <w:tab/>
        <w:t>Alternate commissioners</w:t>
      </w:r>
      <w:r>
        <w:tab/>
      </w:r>
      <w:r>
        <w:fldChar w:fldCharType="begin"/>
      </w:r>
      <w:r>
        <w:instrText xml:space="preserve"> PAGEREF _Toc146528296 \h </w:instrText>
      </w:r>
      <w:r>
        <w:fldChar w:fldCharType="separate"/>
      </w:r>
      <w:r>
        <w:t>42</w:t>
      </w:r>
      <w:r>
        <w:fldChar w:fldCharType="end"/>
      </w:r>
    </w:p>
    <w:p>
      <w:pPr>
        <w:pStyle w:val="TOC8"/>
        <w:rPr>
          <w:sz w:val="24"/>
          <w:szCs w:val="24"/>
        </w:rPr>
      </w:pPr>
      <w:r>
        <w:rPr>
          <w:szCs w:val="22"/>
        </w:rPr>
        <w:t>4</w:t>
      </w:r>
      <w:r>
        <w:rPr>
          <w:snapToGrid w:val="0"/>
          <w:szCs w:val="22"/>
        </w:rPr>
        <w:t>.</w:t>
      </w:r>
      <w:r>
        <w:rPr>
          <w:snapToGrid w:val="0"/>
          <w:szCs w:val="22"/>
        </w:rPr>
        <w:tab/>
        <w:t>Chairman and deputy chairman — term and vacation of office</w:t>
      </w:r>
      <w:r>
        <w:tab/>
      </w:r>
      <w:r>
        <w:fldChar w:fldCharType="begin"/>
      </w:r>
      <w:r>
        <w:instrText xml:space="preserve"> PAGEREF _Toc146528297 \h </w:instrText>
      </w:r>
      <w:r>
        <w:fldChar w:fldCharType="separate"/>
      </w:r>
      <w:r>
        <w:t>42</w:t>
      </w:r>
      <w:r>
        <w:fldChar w:fldCharType="end"/>
      </w:r>
    </w:p>
    <w:p>
      <w:pPr>
        <w:pStyle w:val="TOC8"/>
        <w:rPr>
          <w:sz w:val="24"/>
          <w:szCs w:val="24"/>
        </w:rPr>
      </w:pPr>
      <w:r>
        <w:rPr>
          <w:szCs w:val="22"/>
        </w:rPr>
        <w:t>5</w:t>
      </w:r>
      <w:r>
        <w:rPr>
          <w:snapToGrid w:val="0"/>
          <w:szCs w:val="22"/>
        </w:rPr>
        <w:t>.</w:t>
      </w:r>
      <w:r>
        <w:rPr>
          <w:snapToGrid w:val="0"/>
          <w:szCs w:val="22"/>
        </w:rPr>
        <w:tab/>
        <w:t>Disclosure of pecuniary interests</w:t>
      </w:r>
      <w:r>
        <w:tab/>
      </w:r>
      <w:r>
        <w:fldChar w:fldCharType="begin"/>
      </w:r>
      <w:r>
        <w:instrText xml:space="preserve"> PAGEREF _Toc146528298 \h </w:instrText>
      </w:r>
      <w:r>
        <w:fldChar w:fldCharType="separate"/>
      </w:r>
      <w:r>
        <w:t>42</w:t>
      </w:r>
      <w:r>
        <w:fldChar w:fldCharType="end"/>
      </w:r>
    </w:p>
    <w:p>
      <w:pPr>
        <w:pStyle w:val="TOC8"/>
        <w:rPr>
          <w:sz w:val="24"/>
          <w:szCs w:val="24"/>
        </w:rPr>
      </w:pPr>
      <w:r>
        <w:rPr>
          <w:szCs w:val="22"/>
        </w:rPr>
        <w:t>6</w:t>
      </w:r>
      <w:r>
        <w:rPr>
          <w:snapToGrid w:val="0"/>
          <w:szCs w:val="22"/>
        </w:rPr>
        <w:t>.</w:t>
      </w:r>
      <w:r>
        <w:rPr>
          <w:snapToGrid w:val="0"/>
          <w:szCs w:val="22"/>
        </w:rPr>
        <w:tab/>
        <w:t>Meetings</w:t>
      </w:r>
      <w:r>
        <w:tab/>
      </w:r>
      <w:r>
        <w:fldChar w:fldCharType="begin"/>
      </w:r>
      <w:r>
        <w:instrText xml:space="preserve"> PAGEREF _Toc146528299 \h </w:instrText>
      </w:r>
      <w:r>
        <w:fldChar w:fldCharType="separate"/>
      </w:r>
      <w:r>
        <w:t>43</w:t>
      </w:r>
      <w:r>
        <w:fldChar w:fldCharType="end"/>
      </w:r>
    </w:p>
    <w:p>
      <w:pPr>
        <w:pStyle w:val="TOC8"/>
        <w:rPr>
          <w:sz w:val="24"/>
          <w:szCs w:val="24"/>
        </w:rPr>
      </w:pPr>
      <w:r>
        <w:rPr>
          <w:szCs w:val="22"/>
        </w:rPr>
        <w:t>6A</w:t>
      </w:r>
      <w:r>
        <w:rPr>
          <w:snapToGrid w:val="0"/>
          <w:szCs w:val="22"/>
        </w:rPr>
        <w:t>.</w:t>
      </w:r>
      <w:r>
        <w:rPr>
          <w:snapToGrid w:val="0"/>
          <w:szCs w:val="22"/>
        </w:rPr>
        <w:tab/>
        <w:t>Telephone and video meetings</w:t>
      </w:r>
      <w:r>
        <w:tab/>
      </w:r>
      <w:r>
        <w:fldChar w:fldCharType="begin"/>
      </w:r>
      <w:r>
        <w:instrText xml:space="preserve"> PAGEREF _Toc146528300 \h </w:instrText>
      </w:r>
      <w:r>
        <w:fldChar w:fldCharType="separate"/>
      </w:r>
      <w:r>
        <w:t>44</w:t>
      </w:r>
      <w:r>
        <w:fldChar w:fldCharType="end"/>
      </w:r>
    </w:p>
    <w:p>
      <w:pPr>
        <w:pStyle w:val="TOC8"/>
        <w:rPr>
          <w:sz w:val="24"/>
          <w:szCs w:val="24"/>
        </w:rPr>
      </w:pPr>
      <w:r>
        <w:rPr>
          <w:szCs w:val="22"/>
        </w:rPr>
        <w:t>7</w:t>
      </w:r>
      <w:r>
        <w:rPr>
          <w:snapToGrid w:val="0"/>
          <w:szCs w:val="22"/>
        </w:rPr>
        <w:t>.</w:t>
      </w:r>
      <w:r>
        <w:rPr>
          <w:snapToGrid w:val="0"/>
          <w:szCs w:val="22"/>
        </w:rPr>
        <w:tab/>
        <w:t>Committees</w:t>
      </w:r>
      <w:r>
        <w:tab/>
      </w:r>
      <w:r>
        <w:fldChar w:fldCharType="begin"/>
      </w:r>
      <w:r>
        <w:instrText xml:space="preserve"> PAGEREF _Toc146528301 \h </w:instrText>
      </w:r>
      <w:r>
        <w:fldChar w:fldCharType="separate"/>
      </w:r>
      <w:r>
        <w:t>44</w:t>
      </w:r>
      <w:r>
        <w:fldChar w:fldCharType="end"/>
      </w:r>
    </w:p>
    <w:p>
      <w:pPr>
        <w:pStyle w:val="TOC8"/>
        <w:rPr>
          <w:sz w:val="24"/>
          <w:szCs w:val="24"/>
        </w:rPr>
      </w:pPr>
      <w:r>
        <w:rPr>
          <w:szCs w:val="22"/>
        </w:rPr>
        <w:t>8</w:t>
      </w:r>
      <w:r>
        <w:rPr>
          <w:snapToGrid w:val="0"/>
          <w:szCs w:val="22"/>
        </w:rPr>
        <w:t>.</w:t>
      </w:r>
      <w:r>
        <w:rPr>
          <w:snapToGrid w:val="0"/>
          <w:szCs w:val="22"/>
        </w:rPr>
        <w:tab/>
        <w:t>Resolution may be passed without meeting</w:t>
      </w:r>
      <w:r>
        <w:tab/>
      </w:r>
      <w:r>
        <w:fldChar w:fldCharType="begin"/>
      </w:r>
      <w:r>
        <w:instrText xml:space="preserve"> PAGEREF _Toc146528302 \h </w:instrText>
      </w:r>
      <w:r>
        <w:fldChar w:fldCharType="separate"/>
      </w:r>
      <w:r>
        <w:t>44</w:t>
      </w:r>
      <w:r>
        <w:fldChar w:fldCharType="end"/>
      </w:r>
    </w:p>
    <w:p>
      <w:pPr>
        <w:pStyle w:val="TOC8"/>
        <w:rPr>
          <w:sz w:val="24"/>
          <w:szCs w:val="24"/>
        </w:rPr>
      </w:pPr>
      <w:r>
        <w:rPr>
          <w:szCs w:val="22"/>
        </w:rPr>
        <w:t>8A</w:t>
      </w:r>
      <w:r>
        <w:rPr>
          <w:snapToGrid w:val="0"/>
          <w:szCs w:val="22"/>
        </w:rPr>
        <w:t>.</w:t>
      </w:r>
      <w:r>
        <w:rPr>
          <w:snapToGrid w:val="0"/>
          <w:szCs w:val="22"/>
        </w:rPr>
        <w:tab/>
        <w:t>Minutes of meetings etc.</w:t>
      </w:r>
      <w:r>
        <w:tab/>
      </w:r>
      <w:r>
        <w:fldChar w:fldCharType="begin"/>
      </w:r>
      <w:r>
        <w:instrText xml:space="preserve"> PAGEREF _Toc146528303 \h </w:instrText>
      </w:r>
      <w:r>
        <w:fldChar w:fldCharType="separate"/>
      </w:r>
      <w:r>
        <w:t>45</w:t>
      </w:r>
      <w:r>
        <w:fldChar w:fldCharType="end"/>
      </w:r>
    </w:p>
    <w:p>
      <w:pPr>
        <w:pStyle w:val="TOC8"/>
        <w:rPr>
          <w:sz w:val="24"/>
          <w:szCs w:val="24"/>
        </w:rPr>
      </w:pPr>
      <w:r>
        <w:rPr>
          <w:szCs w:val="22"/>
        </w:rPr>
        <w:t>9</w:t>
      </w:r>
      <w:r>
        <w:rPr>
          <w:snapToGrid w:val="0"/>
          <w:szCs w:val="22"/>
        </w:rPr>
        <w:t>.</w:t>
      </w:r>
      <w:r>
        <w:rPr>
          <w:snapToGrid w:val="0"/>
          <w:szCs w:val="22"/>
        </w:rPr>
        <w:tab/>
        <w:t>Leave of absence</w:t>
      </w:r>
      <w:r>
        <w:tab/>
      </w:r>
      <w:r>
        <w:fldChar w:fldCharType="begin"/>
      </w:r>
      <w:r>
        <w:instrText xml:space="preserve"> PAGEREF _Toc146528304 \h </w:instrText>
      </w:r>
      <w:r>
        <w:fldChar w:fldCharType="separate"/>
      </w:r>
      <w:r>
        <w:t>45</w:t>
      </w:r>
      <w:r>
        <w:fldChar w:fldCharType="end"/>
      </w:r>
    </w:p>
    <w:p>
      <w:pPr>
        <w:pStyle w:val="TOC8"/>
        <w:rPr>
          <w:sz w:val="24"/>
          <w:szCs w:val="24"/>
        </w:rPr>
      </w:pPr>
      <w:r>
        <w:rPr>
          <w:szCs w:val="22"/>
        </w:rPr>
        <w:t>10</w:t>
      </w:r>
      <w:r>
        <w:rPr>
          <w:snapToGrid w:val="0"/>
          <w:szCs w:val="22"/>
        </w:rPr>
        <w:t>.</w:t>
      </w:r>
      <w:r>
        <w:rPr>
          <w:snapToGrid w:val="0"/>
          <w:szCs w:val="22"/>
        </w:rPr>
        <w:tab/>
        <w:t>Board to determine own procedures</w:t>
      </w:r>
      <w:r>
        <w:tab/>
      </w:r>
      <w:r>
        <w:fldChar w:fldCharType="begin"/>
      </w:r>
      <w:r>
        <w:instrText xml:space="preserve"> PAGEREF _Toc146528305 \h </w:instrText>
      </w:r>
      <w:r>
        <w:fldChar w:fldCharType="separate"/>
      </w:r>
      <w:r>
        <w:t>46</w:t>
      </w:r>
      <w:r>
        <w:fldChar w:fldCharType="end"/>
      </w:r>
    </w:p>
    <w:p>
      <w:pPr>
        <w:pStyle w:val="TOC8"/>
        <w:rPr>
          <w:sz w:val="24"/>
          <w:szCs w:val="24"/>
        </w:rPr>
      </w:pPr>
      <w:r>
        <w:rPr>
          <w:szCs w:val="22"/>
        </w:rPr>
        <w:t>11</w:t>
      </w:r>
      <w:r>
        <w:rPr>
          <w:snapToGrid w:val="0"/>
          <w:szCs w:val="22"/>
        </w:rPr>
        <w:t>.</w:t>
      </w:r>
      <w:r>
        <w:rPr>
          <w:snapToGrid w:val="0"/>
          <w:szCs w:val="22"/>
        </w:rPr>
        <w:tab/>
        <w:t>Protection of commissioners</w:t>
      </w:r>
      <w:r>
        <w:tab/>
      </w:r>
      <w:r>
        <w:fldChar w:fldCharType="begin"/>
      </w:r>
      <w:r>
        <w:instrText xml:space="preserve"> PAGEREF _Toc146528306 \h </w:instrText>
      </w:r>
      <w:r>
        <w:fldChar w:fldCharType="separate"/>
      </w:r>
      <w:r>
        <w:t>46</w:t>
      </w:r>
      <w:r>
        <w:fldChar w:fldCharType="end"/>
      </w:r>
    </w:p>
    <w:p>
      <w:pPr>
        <w:pStyle w:val="TOC2"/>
        <w:tabs>
          <w:tab w:val="right" w:leader="dot" w:pos="7086"/>
        </w:tabs>
        <w:rPr>
          <w:b w:val="0"/>
          <w:sz w:val="24"/>
          <w:szCs w:val="24"/>
        </w:rPr>
      </w:pPr>
      <w:r>
        <w:rPr>
          <w:szCs w:val="28"/>
        </w:rPr>
        <w:t>Schedule 2 — Provisions as to directors</w:t>
      </w:r>
    </w:p>
    <w:p>
      <w:pPr>
        <w:pStyle w:val="TOC8"/>
        <w:rPr>
          <w:sz w:val="24"/>
          <w:szCs w:val="24"/>
        </w:rPr>
      </w:pPr>
      <w:r>
        <w:rPr>
          <w:szCs w:val="22"/>
        </w:rPr>
        <w:t>1</w:t>
      </w:r>
      <w:r>
        <w:rPr>
          <w:snapToGrid w:val="0"/>
          <w:szCs w:val="22"/>
        </w:rPr>
        <w:t>.</w:t>
      </w:r>
      <w:r>
        <w:rPr>
          <w:snapToGrid w:val="0"/>
          <w:szCs w:val="22"/>
        </w:rPr>
        <w:tab/>
        <w:t>Definition</w:t>
      </w:r>
      <w:r>
        <w:tab/>
      </w:r>
      <w:r>
        <w:fldChar w:fldCharType="begin"/>
      </w:r>
      <w:r>
        <w:instrText xml:space="preserve"> PAGEREF _Toc146528309 \h </w:instrText>
      </w:r>
      <w:r>
        <w:fldChar w:fldCharType="separate"/>
      </w:r>
      <w:r>
        <w:t>47</w:t>
      </w:r>
      <w:r>
        <w:fldChar w:fldCharType="end"/>
      </w:r>
    </w:p>
    <w:p>
      <w:pPr>
        <w:pStyle w:val="TOC8"/>
        <w:rPr>
          <w:sz w:val="24"/>
          <w:szCs w:val="24"/>
        </w:rPr>
      </w:pPr>
      <w:r>
        <w:rPr>
          <w:szCs w:val="22"/>
        </w:rPr>
        <w:t>2</w:t>
      </w:r>
      <w:r>
        <w:rPr>
          <w:snapToGrid w:val="0"/>
          <w:szCs w:val="22"/>
        </w:rPr>
        <w:t>.</w:t>
      </w:r>
      <w:r>
        <w:rPr>
          <w:snapToGrid w:val="0"/>
          <w:szCs w:val="22"/>
        </w:rPr>
        <w:tab/>
        <w:t>Directors — terms and vacation of office</w:t>
      </w:r>
      <w:r>
        <w:tab/>
      </w:r>
      <w:r>
        <w:fldChar w:fldCharType="begin"/>
      </w:r>
      <w:r>
        <w:instrText xml:space="preserve"> PAGEREF _Toc146528310 \h </w:instrText>
      </w:r>
      <w:r>
        <w:fldChar w:fldCharType="separate"/>
      </w:r>
      <w:r>
        <w:t>47</w:t>
      </w:r>
      <w:r>
        <w:fldChar w:fldCharType="end"/>
      </w:r>
    </w:p>
    <w:p>
      <w:pPr>
        <w:pStyle w:val="TOC8"/>
        <w:rPr>
          <w:sz w:val="24"/>
          <w:szCs w:val="24"/>
        </w:rPr>
      </w:pPr>
      <w:r>
        <w:rPr>
          <w:szCs w:val="22"/>
        </w:rPr>
        <w:t>3</w:t>
      </w:r>
      <w:r>
        <w:rPr>
          <w:snapToGrid w:val="0"/>
          <w:szCs w:val="22"/>
        </w:rPr>
        <w:t>.</w:t>
      </w:r>
      <w:r>
        <w:rPr>
          <w:snapToGrid w:val="0"/>
          <w:szCs w:val="22"/>
        </w:rPr>
        <w:tab/>
        <w:t>Alternate directors</w:t>
      </w:r>
      <w:r>
        <w:tab/>
      </w:r>
      <w:r>
        <w:fldChar w:fldCharType="begin"/>
      </w:r>
      <w:r>
        <w:instrText xml:space="preserve"> PAGEREF _Toc146528311 \h </w:instrText>
      </w:r>
      <w:r>
        <w:fldChar w:fldCharType="separate"/>
      </w:r>
      <w:r>
        <w:t>48</w:t>
      </w:r>
      <w:r>
        <w:fldChar w:fldCharType="end"/>
      </w:r>
    </w:p>
    <w:p>
      <w:pPr>
        <w:pStyle w:val="TOC8"/>
        <w:rPr>
          <w:sz w:val="24"/>
          <w:szCs w:val="24"/>
        </w:rPr>
      </w:pPr>
      <w:r>
        <w:rPr>
          <w:szCs w:val="22"/>
        </w:rPr>
        <w:t>4</w:t>
      </w:r>
      <w:r>
        <w:rPr>
          <w:snapToGrid w:val="0"/>
          <w:szCs w:val="22"/>
        </w:rPr>
        <w:t>.</w:t>
      </w:r>
      <w:r>
        <w:rPr>
          <w:snapToGrid w:val="0"/>
          <w:szCs w:val="22"/>
        </w:rPr>
        <w:tab/>
        <w:t>Deputy chairman — term and vacation of office</w:t>
      </w:r>
      <w:r>
        <w:tab/>
      </w:r>
      <w:r>
        <w:fldChar w:fldCharType="begin"/>
      </w:r>
      <w:r>
        <w:instrText xml:space="preserve"> PAGEREF _Toc146528312 \h </w:instrText>
      </w:r>
      <w:r>
        <w:fldChar w:fldCharType="separate"/>
      </w:r>
      <w:r>
        <w:t>48</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_Toc146528313 \h </w:instrText>
      </w:r>
      <w:r>
        <w:fldChar w:fldCharType="separate"/>
      </w:r>
      <w:r>
        <w:t>48</w:t>
      </w:r>
      <w:r>
        <w:fldChar w:fldCharType="end"/>
      </w:r>
    </w:p>
    <w:p>
      <w:pPr>
        <w:pStyle w:val="TOC8"/>
        <w:rPr>
          <w:sz w:val="24"/>
          <w:szCs w:val="24"/>
        </w:rPr>
      </w:pPr>
      <w:r>
        <w:rPr>
          <w:szCs w:val="22"/>
        </w:rPr>
        <w:t>6</w:t>
      </w:r>
      <w:r>
        <w:rPr>
          <w:snapToGrid w:val="0"/>
          <w:szCs w:val="22"/>
        </w:rPr>
        <w:t>.</w:t>
      </w:r>
      <w:r>
        <w:rPr>
          <w:snapToGrid w:val="0"/>
          <w:szCs w:val="22"/>
        </w:rPr>
        <w:tab/>
        <w:t>Certain provisions of Schedule 1 to apply</w:t>
      </w:r>
      <w:r>
        <w:tab/>
      </w:r>
      <w:r>
        <w:fldChar w:fldCharType="begin"/>
      </w:r>
      <w:r>
        <w:instrText xml:space="preserve"> PAGEREF _Toc146528314 \h </w:instrText>
      </w:r>
      <w:r>
        <w:fldChar w:fldCharType="separate"/>
      </w:r>
      <w:r>
        <w:t>49</w:t>
      </w:r>
      <w:r>
        <w:fldChar w:fldCharType="end"/>
      </w:r>
    </w:p>
    <w:p>
      <w:pPr>
        <w:pStyle w:val="TOC2"/>
        <w:tabs>
          <w:tab w:val="right" w:leader="dot" w:pos="7086"/>
        </w:tabs>
        <w:rPr>
          <w:b w:val="0"/>
          <w:sz w:val="24"/>
          <w:szCs w:val="24"/>
        </w:rPr>
      </w:pPr>
      <w:r>
        <w:rPr>
          <w:szCs w:val="28"/>
        </w:rPr>
        <w:t>Schedule 4 — Saving, validation and transitional provisions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_Toc146528317 \h </w:instrText>
      </w:r>
      <w:r>
        <w:fldChar w:fldCharType="separate"/>
      </w:r>
      <w:r>
        <w:t>50</w:t>
      </w:r>
      <w:r>
        <w:fldChar w:fldCharType="end"/>
      </w:r>
    </w:p>
    <w:p>
      <w:pPr>
        <w:pStyle w:val="TOC8"/>
        <w:rPr>
          <w:sz w:val="24"/>
          <w:szCs w:val="24"/>
        </w:rPr>
      </w:pPr>
      <w:r>
        <w:rPr>
          <w:szCs w:val="22"/>
        </w:rPr>
        <w:t>2</w:t>
      </w:r>
      <w:r>
        <w:rPr>
          <w:snapToGrid w:val="0"/>
          <w:szCs w:val="22"/>
        </w:rPr>
        <w:t>.</w:t>
      </w:r>
      <w:r>
        <w:rPr>
          <w:snapToGrid w:val="0"/>
          <w:szCs w:val="22"/>
        </w:rPr>
        <w:tab/>
        <w:t>Transfer of assets, liabilities and records of the MVIT</w:t>
      </w:r>
      <w:r>
        <w:tab/>
      </w:r>
      <w:r>
        <w:fldChar w:fldCharType="begin"/>
      </w:r>
      <w:r>
        <w:instrText xml:space="preserve"> PAGEREF _Toc146528318 \h </w:instrText>
      </w:r>
      <w:r>
        <w:fldChar w:fldCharType="separate"/>
      </w:r>
      <w:r>
        <w:t>50</w:t>
      </w:r>
      <w:r>
        <w:fldChar w:fldCharType="end"/>
      </w:r>
    </w:p>
    <w:p>
      <w:pPr>
        <w:pStyle w:val="TOC8"/>
        <w:rPr>
          <w:sz w:val="24"/>
          <w:szCs w:val="24"/>
        </w:rPr>
      </w:pPr>
      <w:r>
        <w:rPr>
          <w:szCs w:val="22"/>
        </w:rPr>
        <w:t>3</w:t>
      </w:r>
      <w:r>
        <w:rPr>
          <w:snapToGrid w:val="0"/>
          <w:szCs w:val="22"/>
        </w:rPr>
        <w:t>.</w:t>
      </w:r>
      <w:r>
        <w:rPr>
          <w:snapToGrid w:val="0"/>
          <w:szCs w:val="22"/>
        </w:rPr>
        <w:tab/>
        <w:t>MVIT insurance policies</w:t>
      </w:r>
      <w:r>
        <w:tab/>
      </w:r>
      <w:r>
        <w:fldChar w:fldCharType="begin"/>
      </w:r>
      <w:r>
        <w:instrText xml:space="preserve"> PAGEREF _Toc146528319 \h </w:instrText>
      </w:r>
      <w:r>
        <w:fldChar w:fldCharType="separate"/>
      </w:r>
      <w:r>
        <w:t>51</w:t>
      </w:r>
      <w:r>
        <w:fldChar w:fldCharType="end"/>
      </w:r>
    </w:p>
    <w:p>
      <w:pPr>
        <w:pStyle w:val="TOC8"/>
        <w:rPr>
          <w:sz w:val="24"/>
          <w:szCs w:val="24"/>
        </w:rPr>
      </w:pPr>
      <w:r>
        <w:rPr>
          <w:szCs w:val="22"/>
        </w:rPr>
        <w:t>4</w:t>
      </w:r>
      <w:r>
        <w:rPr>
          <w:snapToGrid w:val="0"/>
          <w:szCs w:val="22"/>
        </w:rPr>
        <w:t>.</w:t>
      </w:r>
      <w:r>
        <w:rPr>
          <w:snapToGrid w:val="0"/>
          <w:szCs w:val="22"/>
        </w:rPr>
        <w:tab/>
        <w:t>Agreements, instruments, determinations and proceedings generally</w:t>
      </w:r>
      <w:r>
        <w:tab/>
      </w:r>
      <w:r>
        <w:fldChar w:fldCharType="begin"/>
      </w:r>
      <w:r>
        <w:instrText xml:space="preserve"> PAGEREF _Toc146528320 \h </w:instrText>
      </w:r>
      <w:r>
        <w:fldChar w:fldCharType="separate"/>
      </w:r>
      <w:r>
        <w:t>51</w:t>
      </w:r>
      <w:r>
        <w:fldChar w:fldCharType="end"/>
      </w:r>
    </w:p>
    <w:p>
      <w:pPr>
        <w:pStyle w:val="TOC8"/>
        <w:rPr>
          <w:sz w:val="24"/>
          <w:szCs w:val="24"/>
        </w:rPr>
      </w:pPr>
      <w:r>
        <w:rPr>
          <w:szCs w:val="22"/>
        </w:rPr>
        <w:t>5</w:t>
      </w:r>
      <w:r>
        <w:rPr>
          <w:snapToGrid w:val="0"/>
          <w:szCs w:val="22"/>
        </w:rPr>
        <w:t>.</w:t>
      </w:r>
      <w:r>
        <w:rPr>
          <w:snapToGrid w:val="0"/>
          <w:szCs w:val="22"/>
        </w:rPr>
        <w:tab/>
        <w:t>Final reports on the operations of the MVIT</w:t>
      </w:r>
      <w:r>
        <w:tab/>
      </w:r>
      <w:r>
        <w:fldChar w:fldCharType="begin"/>
      </w:r>
      <w:r>
        <w:instrText xml:space="preserve"> PAGEREF _Toc146528321 \h </w:instrText>
      </w:r>
      <w:r>
        <w:fldChar w:fldCharType="separate"/>
      </w:r>
      <w:r>
        <w:t>51</w:t>
      </w:r>
      <w:r>
        <w:fldChar w:fldCharType="end"/>
      </w:r>
    </w:p>
    <w:p>
      <w:pPr>
        <w:pStyle w:val="TOC8"/>
        <w:rPr>
          <w:sz w:val="24"/>
          <w:szCs w:val="24"/>
        </w:rPr>
      </w:pPr>
      <w:r>
        <w:rPr>
          <w:szCs w:val="22"/>
        </w:rPr>
        <w:t>6</w:t>
      </w:r>
      <w:r>
        <w:rPr>
          <w:snapToGrid w:val="0"/>
          <w:szCs w:val="22"/>
        </w:rPr>
        <w:t>.</w:t>
      </w:r>
      <w:r>
        <w:rPr>
          <w:snapToGrid w:val="0"/>
          <w:szCs w:val="22"/>
        </w:rPr>
        <w:tab/>
        <w:t>Assessment as to sufficiency of income</w:t>
      </w:r>
      <w:r>
        <w:tab/>
      </w:r>
      <w:r>
        <w:fldChar w:fldCharType="begin"/>
      </w:r>
      <w:r>
        <w:instrText xml:space="preserve"> PAGEREF _Toc146528322 \h </w:instrText>
      </w:r>
      <w:r>
        <w:fldChar w:fldCharType="separate"/>
      </w:r>
      <w:r>
        <w:t>52</w:t>
      </w:r>
      <w:r>
        <w:fldChar w:fldCharType="end"/>
      </w:r>
    </w:p>
    <w:p>
      <w:pPr>
        <w:pStyle w:val="TOC8"/>
        <w:rPr>
          <w:sz w:val="24"/>
          <w:szCs w:val="24"/>
        </w:rPr>
      </w:pPr>
      <w:r>
        <w:rPr>
          <w:szCs w:val="22"/>
        </w:rPr>
        <w:t>7</w:t>
      </w:r>
      <w:r>
        <w:rPr>
          <w:snapToGrid w:val="0"/>
          <w:szCs w:val="22"/>
        </w:rPr>
        <w:t>.</w:t>
      </w:r>
      <w:r>
        <w:rPr>
          <w:snapToGrid w:val="0"/>
          <w:szCs w:val="22"/>
        </w:rPr>
        <w:tab/>
        <w:t>Employment of current officers</w:t>
      </w:r>
      <w:r>
        <w:tab/>
      </w:r>
      <w:r>
        <w:fldChar w:fldCharType="begin"/>
      </w:r>
      <w:r>
        <w:instrText xml:space="preserve"> PAGEREF _Toc146528323 \h </w:instrText>
      </w:r>
      <w:r>
        <w:fldChar w:fldCharType="separate"/>
      </w:r>
      <w:r>
        <w:t>52</w:t>
      </w:r>
      <w:r>
        <w:fldChar w:fldCharType="end"/>
      </w:r>
    </w:p>
    <w:p>
      <w:pPr>
        <w:pStyle w:val="TOC8"/>
        <w:rPr>
          <w:sz w:val="24"/>
          <w:szCs w:val="24"/>
        </w:rPr>
      </w:pPr>
      <w:r>
        <w:rPr>
          <w:szCs w:val="22"/>
        </w:rPr>
        <w:t>8</w:t>
      </w:r>
      <w:r>
        <w:rPr>
          <w:snapToGrid w:val="0"/>
          <w:szCs w:val="22"/>
        </w:rPr>
        <w:t>.</w:t>
      </w:r>
      <w:r>
        <w:rPr>
          <w:snapToGrid w:val="0"/>
          <w:szCs w:val="22"/>
        </w:rPr>
        <w:tab/>
        <w:t>References to the MVIT in laws</w:t>
      </w:r>
      <w:r>
        <w:tab/>
      </w:r>
      <w:r>
        <w:fldChar w:fldCharType="begin"/>
      </w:r>
      <w:r>
        <w:instrText xml:space="preserve"> PAGEREF _Toc146528324 \h </w:instrText>
      </w:r>
      <w:r>
        <w:fldChar w:fldCharType="separate"/>
      </w:r>
      <w:r>
        <w:t>53</w:t>
      </w:r>
      <w:r>
        <w:fldChar w:fldCharType="end"/>
      </w:r>
    </w:p>
    <w:p>
      <w:pPr>
        <w:pStyle w:val="TOC8"/>
        <w:rPr>
          <w:sz w:val="24"/>
          <w:szCs w:val="24"/>
        </w:rPr>
      </w:pPr>
      <w:r>
        <w:rPr>
          <w:szCs w:val="22"/>
        </w:rPr>
        <w:t>9</w:t>
      </w:r>
      <w:r>
        <w:rPr>
          <w:snapToGrid w:val="0"/>
          <w:szCs w:val="22"/>
        </w:rPr>
        <w:t>.</w:t>
      </w:r>
      <w:r>
        <w:rPr>
          <w:snapToGrid w:val="0"/>
          <w:szCs w:val="22"/>
        </w:rPr>
        <w:tab/>
        <w:t>Transfer of assets, liabilities and records of the SGIO</w:t>
      </w:r>
      <w:r>
        <w:tab/>
      </w:r>
      <w:r>
        <w:fldChar w:fldCharType="begin"/>
      </w:r>
      <w:r>
        <w:instrText xml:space="preserve"> PAGEREF _Toc146528325 \h </w:instrText>
      </w:r>
      <w:r>
        <w:fldChar w:fldCharType="separate"/>
      </w:r>
      <w:r>
        <w:t>53</w:t>
      </w:r>
      <w:r>
        <w:fldChar w:fldCharType="end"/>
      </w:r>
    </w:p>
    <w:p>
      <w:pPr>
        <w:pStyle w:val="TOC8"/>
        <w:rPr>
          <w:sz w:val="24"/>
          <w:szCs w:val="24"/>
        </w:rPr>
      </w:pPr>
      <w:r>
        <w:rPr>
          <w:szCs w:val="22"/>
        </w:rPr>
        <w:t>10</w:t>
      </w:r>
      <w:r>
        <w:rPr>
          <w:snapToGrid w:val="0"/>
          <w:szCs w:val="22"/>
        </w:rPr>
        <w:t>.</w:t>
      </w:r>
      <w:r>
        <w:rPr>
          <w:snapToGrid w:val="0"/>
          <w:szCs w:val="22"/>
        </w:rPr>
        <w:tab/>
        <w:t>SGIO insurance policies and re</w:t>
      </w:r>
      <w:r>
        <w:rPr>
          <w:snapToGrid w:val="0"/>
          <w:szCs w:val="22"/>
        </w:rPr>
        <w:noBreakHyphen/>
        <w:t>insurance</w:t>
      </w:r>
      <w:r>
        <w:tab/>
      </w:r>
      <w:r>
        <w:fldChar w:fldCharType="begin"/>
      </w:r>
      <w:r>
        <w:instrText xml:space="preserve"> PAGEREF _Toc146528326 \h </w:instrText>
      </w:r>
      <w:r>
        <w:fldChar w:fldCharType="separate"/>
      </w:r>
      <w:r>
        <w:t>53</w:t>
      </w:r>
      <w:r>
        <w:fldChar w:fldCharType="end"/>
      </w:r>
    </w:p>
    <w:p>
      <w:pPr>
        <w:pStyle w:val="TOC8"/>
        <w:rPr>
          <w:sz w:val="24"/>
          <w:szCs w:val="24"/>
        </w:rPr>
      </w:pPr>
      <w:r>
        <w:rPr>
          <w:szCs w:val="22"/>
        </w:rPr>
        <w:t>11</w:t>
      </w:r>
      <w:r>
        <w:rPr>
          <w:snapToGrid w:val="0"/>
          <w:szCs w:val="22"/>
        </w:rPr>
        <w:t>.</w:t>
      </w:r>
      <w:r>
        <w:rPr>
          <w:snapToGrid w:val="0"/>
          <w:szCs w:val="22"/>
        </w:rPr>
        <w:tab/>
        <w:t>Agents and brokers</w:t>
      </w:r>
      <w:r>
        <w:tab/>
      </w:r>
      <w:r>
        <w:fldChar w:fldCharType="begin"/>
      </w:r>
      <w:r>
        <w:instrText xml:space="preserve"> PAGEREF _Toc146528327 \h </w:instrText>
      </w:r>
      <w:r>
        <w:fldChar w:fldCharType="separate"/>
      </w:r>
      <w:r>
        <w:t>55</w:t>
      </w:r>
      <w:r>
        <w:fldChar w:fldCharType="end"/>
      </w:r>
    </w:p>
    <w:p>
      <w:pPr>
        <w:pStyle w:val="TOC8"/>
        <w:rPr>
          <w:sz w:val="24"/>
          <w:szCs w:val="24"/>
        </w:rPr>
      </w:pPr>
      <w:r>
        <w:rPr>
          <w:szCs w:val="22"/>
        </w:rPr>
        <w:t>12</w:t>
      </w:r>
      <w:r>
        <w:rPr>
          <w:snapToGrid w:val="0"/>
          <w:szCs w:val="22"/>
        </w:rPr>
        <w:t>.</w:t>
      </w:r>
      <w:r>
        <w:rPr>
          <w:snapToGrid w:val="0"/>
          <w:szCs w:val="22"/>
        </w:rPr>
        <w:tab/>
        <w:t>Agreements, instruments and proceedings generally</w:t>
      </w:r>
      <w:r>
        <w:tab/>
      </w:r>
      <w:r>
        <w:fldChar w:fldCharType="begin"/>
      </w:r>
      <w:r>
        <w:instrText xml:space="preserve"> PAGEREF _Toc146528328 \h </w:instrText>
      </w:r>
      <w:r>
        <w:fldChar w:fldCharType="separate"/>
      </w:r>
      <w:r>
        <w:t>55</w:t>
      </w:r>
      <w:r>
        <w:fldChar w:fldCharType="end"/>
      </w:r>
    </w:p>
    <w:p>
      <w:pPr>
        <w:pStyle w:val="TOC8"/>
        <w:rPr>
          <w:sz w:val="24"/>
          <w:szCs w:val="24"/>
        </w:rPr>
      </w:pPr>
      <w:r>
        <w:rPr>
          <w:szCs w:val="22"/>
        </w:rPr>
        <w:t>13</w:t>
      </w:r>
      <w:r>
        <w:rPr>
          <w:snapToGrid w:val="0"/>
          <w:szCs w:val="22"/>
        </w:rPr>
        <w:t>.</w:t>
      </w:r>
      <w:r>
        <w:rPr>
          <w:snapToGrid w:val="0"/>
          <w:szCs w:val="22"/>
        </w:rPr>
        <w:tab/>
        <w:t>Final reports on the operations of the SGIO</w:t>
      </w:r>
      <w:r>
        <w:tab/>
      </w:r>
      <w:r>
        <w:fldChar w:fldCharType="begin"/>
      </w:r>
      <w:r>
        <w:instrText xml:space="preserve"> PAGEREF _Toc146528329 \h </w:instrText>
      </w:r>
      <w:r>
        <w:fldChar w:fldCharType="separate"/>
      </w:r>
      <w:r>
        <w:t>56</w:t>
      </w:r>
      <w:r>
        <w:fldChar w:fldCharType="end"/>
      </w:r>
    </w:p>
    <w:p>
      <w:pPr>
        <w:pStyle w:val="TOC8"/>
        <w:rPr>
          <w:sz w:val="24"/>
          <w:szCs w:val="24"/>
        </w:rPr>
      </w:pPr>
      <w:r>
        <w:rPr>
          <w:szCs w:val="22"/>
        </w:rPr>
        <w:t>14</w:t>
      </w:r>
      <w:r>
        <w:rPr>
          <w:snapToGrid w:val="0"/>
          <w:szCs w:val="22"/>
        </w:rPr>
        <w:t>.</w:t>
      </w:r>
      <w:r>
        <w:rPr>
          <w:snapToGrid w:val="0"/>
          <w:szCs w:val="22"/>
        </w:rPr>
        <w:tab/>
        <w:t>Certain outstanding obligations to be met by the Commission</w:t>
      </w:r>
      <w:r>
        <w:tab/>
      </w:r>
      <w:r>
        <w:fldChar w:fldCharType="begin"/>
      </w:r>
      <w:r>
        <w:instrText xml:space="preserve"> PAGEREF _Toc146528330 \h </w:instrText>
      </w:r>
      <w:r>
        <w:fldChar w:fldCharType="separate"/>
      </w:r>
      <w:r>
        <w:t>57</w:t>
      </w:r>
      <w:r>
        <w:fldChar w:fldCharType="end"/>
      </w:r>
    </w:p>
    <w:p>
      <w:pPr>
        <w:pStyle w:val="TOC8"/>
        <w:rPr>
          <w:sz w:val="24"/>
          <w:szCs w:val="24"/>
        </w:rPr>
      </w:pPr>
      <w:r>
        <w:rPr>
          <w:szCs w:val="22"/>
        </w:rPr>
        <w:t>15</w:t>
      </w:r>
      <w:r>
        <w:rPr>
          <w:snapToGrid w:val="0"/>
          <w:szCs w:val="22"/>
        </w:rPr>
        <w:t>.</w:t>
      </w:r>
      <w:r>
        <w:rPr>
          <w:snapToGrid w:val="0"/>
          <w:szCs w:val="22"/>
        </w:rPr>
        <w:tab/>
        <w:t>Saving of presumption and protection</w:t>
      </w:r>
      <w:r>
        <w:tab/>
      </w:r>
      <w:r>
        <w:fldChar w:fldCharType="begin"/>
      </w:r>
      <w:r>
        <w:instrText xml:space="preserve"> PAGEREF _Toc146528331 \h </w:instrText>
      </w:r>
      <w:r>
        <w:fldChar w:fldCharType="separate"/>
      </w:r>
      <w:r>
        <w:t>58</w:t>
      </w:r>
      <w:r>
        <w:fldChar w:fldCharType="end"/>
      </w:r>
    </w:p>
    <w:p>
      <w:pPr>
        <w:pStyle w:val="TOC8"/>
        <w:rPr>
          <w:sz w:val="24"/>
          <w:szCs w:val="24"/>
        </w:rPr>
      </w:pPr>
      <w:r>
        <w:rPr>
          <w:szCs w:val="22"/>
        </w:rPr>
        <w:t>16</w:t>
      </w:r>
      <w:r>
        <w:rPr>
          <w:snapToGrid w:val="0"/>
          <w:szCs w:val="22"/>
        </w:rPr>
        <w:t>.</w:t>
      </w:r>
      <w:r>
        <w:rPr>
          <w:snapToGrid w:val="0"/>
          <w:szCs w:val="22"/>
        </w:rPr>
        <w:tab/>
        <w:t>Employment of staff of the SGIO</w:t>
      </w:r>
      <w:r>
        <w:tab/>
      </w:r>
      <w:r>
        <w:fldChar w:fldCharType="begin"/>
      </w:r>
      <w:r>
        <w:instrText xml:space="preserve"> PAGEREF _Toc146528332 \h </w:instrText>
      </w:r>
      <w:r>
        <w:fldChar w:fldCharType="separate"/>
      </w:r>
      <w:r>
        <w:t>58</w:t>
      </w:r>
      <w:r>
        <w:fldChar w:fldCharType="end"/>
      </w:r>
    </w:p>
    <w:p>
      <w:pPr>
        <w:pStyle w:val="TOC8"/>
        <w:rPr>
          <w:sz w:val="24"/>
          <w:szCs w:val="24"/>
        </w:rPr>
      </w:pPr>
      <w:r>
        <w:rPr>
          <w:szCs w:val="22"/>
        </w:rPr>
        <w:t>17</w:t>
      </w:r>
      <w:r>
        <w:rPr>
          <w:snapToGrid w:val="0"/>
          <w:szCs w:val="22"/>
        </w:rPr>
        <w:t>.</w:t>
      </w:r>
      <w:r>
        <w:rPr>
          <w:snapToGrid w:val="0"/>
          <w:szCs w:val="22"/>
        </w:rPr>
        <w:tab/>
        <w:t>References to the SGIO in laws</w:t>
      </w:r>
      <w:r>
        <w:tab/>
      </w:r>
      <w:r>
        <w:fldChar w:fldCharType="begin"/>
      </w:r>
      <w:r>
        <w:instrText xml:space="preserve"> PAGEREF _Toc146528333 \h </w:instrText>
      </w:r>
      <w:r>
        <w:fldChar w:fldCharType="separate"/>
      </w:r>
      <w:r>
        <w:t>58</w:t>
      </w:r>
      <w:r>
        <w:fldChar w:fldCharType="end"/>
      </w:r>
    </w:p>
    <w:p>
      <w:pPr>
        <w:pStyle w:val="TOC8"/>
        <w:rPr>
          <w:sz w:val="24"/>
          <w:szCs w:val="24"/>
        </w:rPr>
      </w:pPr>
      <w:r>
        <w:rPr>
          <w:szCs w:val="22"/>
        </w:rPr>
        <w:t>18</w:t>
      </w:r>
      <w:r>
        <w:rPr>
          <w:snapToGrid w:val="0"/>
          <w:szCs w:val="22"/>
        </w:rPr>
        <w:t>.</w:t>
      </w:r>
      <w:r>
        <w:rPr>
          <w:snapToGrid w:val="0"/>
          <w:szCs w:val="22"/>
        </w:rPr>
        <w:tab/>
        <w:t>Apportionment of assets and liabilities</w:t>
      </w:r>
      <w:r>
        <w:tab/>
      </w:r>
      <w:r>
        <w:fldChar w:fldCharType="begin"/>
      </w:r>
      <w:r>
        <w:instrText xml:space="preserve"> PAGEREF _Toc146528334 \h </w:instrText>
      </w:r>
      <w:r>
        <w:fldChar w:fldCharType="separate"/>
      </w:r>
      <w:r>
        <w:t>59</w:t>
      </w:r>
      <w:r>
        <w:fldChar w:fldCharType="end"/>
      </w:r>
    </w:p>
    <w:p>
      <w:pPr>
        <w:pStyle w:val="TOC8"/>
        <w:rPr>
          <w:sz w:val="24"/>
          <w:szCs w:val="24"/>
        </w:rPr>
      </w:pPr>
      <w:r>
        <w:rPr>
          <w:szCs w:val="22"/>
        </w:rPr>
        <w:t>19</w:t>
      </w:r>
      <w:r>
        <w:rPr>
          <w:snapToGrid w:val="0"/>
          <w:szCs w:val="22"/>
        </w:rPr>
        <w:t>.</w:t>
      </w:r>
      <w:r>
        <w:rPr>
          <w:snapToGrid w:val="0"/>
          <w:szCs w:val="22"/>
        </w:rPr>
        <w:tab/>
        <w:t>Interpretation Act to apply</w:t>
      </w:r>
      <w:r>
        <w:tab/>
      </w:r>
      <w:r>
        <w:fldChar w:fldCharType="begin"/>
      </w:r>
      <w:r>
        <w:instrText xml:space="preserve"> PAGEREF _Toc146528335 \h </w:instrText>
      </w:r>
      <w:r>
        <w:fldChar w:fldCharType="separate"/>
      </w:r>
      <w:r>
        <w:t>59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_Toc146528337 \h </w:instrText>
      </w:r>
      <w:r>
        <w:fldChar w:fldCharType="separate"/>
      </w:r>
      <w:r>
        <w:t>60</w:t>
      </w:r>
      <w:r>
        <w:fldChar w:fldCharType="end"/>
      </w:r>
    </w:p>
    <w:p>
      <w:pPr>
        <w:pStyle w:val="TOC8"/>
        <w:rPr>
          <w:sz w:val="24"/>
        </w:rPr>
      </w:pPr>
      <w:r>
        <w:tab/>
        <w:t>Provisions that have not come into operation</w:t>
      </w:r>
      <w:r>
        <w:tab/>
      </w:r>
      <w:r>
        <w:fldChar w:fldCharType="begin"/>
      </w:r>
      <w:r>
        <w:instrText xml:space="preserve"> PAGEREF _Toc146528338 \h </w:instrText>
      </w:r>
      <w:r>
        <w:fldChar w:fldCharType="separate"/>
      </w:r>
      <w:r>
        <w:t>61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8</w:t>
            </w:r>
            <w:r>
              <w:rPr>
                <w:b/>
                <w:snapToGrid w:val="0"/>
                <w:sz w:val="22"/>
              </w:rPr>
              <w:t xml:space="preserve"> September 2006</w:t>
            </w:r>
          </w:p>
        </w:tc>
      </w:tr>
    </w:tbl>
    <w:p>
      <w:pPr>
        <w:pStyle w:val="WA"/>
      </w:pPr>
      <w:r>
        <w:t>Western Australia</w:t>
      </w:r>
    </w:p>
    <w:p>
      <w:pPr>
        <w:pStyle w:val="NameofActReg"/>
        <w:spacing w:before="600"/>
      </w:pPr>
      <w:r>
        <w:t xml:space="preserve">Insurance Commission of Western Australia Act 1986 </w:t>
      </w:r>
    </w:p>
    <w:p>
      <w:pPr>
        <w:pStyle w:val="LongTitle"/>
        <w:spacing w:before="240"/>
        <w:rPr>
          <w:snapToGrid w:val="0"/>
        </w:rPr>
      </w:pPr>
      <w:r>
        <w:rPr>
          <w:snapToGrid w:val="0"/>
        </w:rPr>
        <w:t xml:space="preserve">An Act to provide for the constitution and functions of the Insurance Commission of Western Australia, and for related purposes. </w:t>
      </w:r>
    </w:p>
    <w:p>
      <w:pPr>
        <w:pStyle w:val="Footnotelongtitle"/>
      </w:pPr>
      <w:r>
        <w:tab/>
        <w:t>[Long title inserted by No. 45 of 1996 s. 4.]</w:t>
      </w:r>
    </w:p>
    <w:p>
      <w:pPr>
        <w:pStyle w:val="Heading2"/>
      </w:pPr>
      <w:bookmarkStart w:id="2" w:name="_Toc92782859"/>
      <w:bookmarkStart w:id="3" w:name="_Toc92782973"/>
      <w:bookmarkStart w:id="4" w:name="_Toc139707282"/>
      <w:bookmarkStart w:id="5" w:name="_Toc139781050"/>
      <w:bookmarkStart w:id="6" w:name="_Toc139949333"/>
      <w:bookmarkStart w:id="7" w:name="_Toc142459035"/>
      <w:bookmarkStart w:id="8" w:name="_Toc144279981"/>
      <w:bookmarkStart w:id="9" w:name="_Toc14652821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517674442"/>
      <w:bookmarkStart w:id="11" w:name="_Toc139707283"/>
      <w:bookmarkStart w:id="12" w:name="_Toc146528220"/>
      <w:r>
        <w:rPr>
          <w:rStyle w:val="CharSectno"/>
        </w:rPr>
        <w:t>1</w:t>
      </w:r>
      <w:r>
        <w:rPr>
          <w:snapToGrid w:val="0"/>
        </w:rPr>
        <w:t>.</w:t>
      </w:r>
      <w:r>
        <w:rPr>
          <w:snapToGrid w:val="0"/>
        </w:rPr>
        <w:tab/>
        <w:t>Short title</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Insurance Commission of Western Australia Act 1986</w:t>
      </w:r>
      <w:r>
        <w:rPr>
          <w:snapToGrid w:val="0"/>
          <w:vertAlign w:val="superscript"/>
        </w:rPr>
        <w:t xml:space="preserve"> 1</w:t>
      </w:r>
      <w:r>
        <w:rPr>
          <w:snapToGrid w:val="0"/>
        </w:rPr>
        <w:t>.</w:t>
      </w:r>
    </w:p>
    <w:p>
      <w:pPr>
        <w:pStyle w:val="Footnotesection"/>
      </w:pPr>
      <w:r>
        <w:tab/>
        <w:t>[Section 1 amended by No. 45 of 1996 s. 5.]</w:t>
      </w:r>
    </w:p>
    <w:p>
      <w:pPr>
        <w:pStyle w:val="Heading5"/>
        <w:rPr>
          <w:snapToGrid w:val="0"/>
        </w:rPr>
      </w:pPr>
      <w:bookmarkStart w:id="13" w:name="_Toc517674443"/>
      <w:bookmarkStart w:id="14" w:name="_Toc139707284"/>
      <w:bookmarkStart w:id="15" w:name="_Toc146528221"/>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6" w:name="_Toc517674444"/>
      <w:bookmarkStart w:id="17" w:name="_Toc139707285"/>
      <w:bookmarkStart w:id="18" w:name="_Toc146528222"/>
      <w:r>
        <w:rPr>
          <w:rStyle w:val="CharSectno"/>
        </w:rPr>
        <w:t>3</w:t>
      </w:r>
      <w:r>
        <w:rPr>
          <w:snapToGrid w:val="0"/>
        </w:rPr>
        <w:t>.</w:t>
      </w:r>
      <w:r>
        <w:rPr>
          <w:snapToGrid w:val="0"/>
        </w:rPr>
        <w:tab/>
        <w:t>Definitions</w:t>
      </w:r>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board of commissioners</w:t>
      </w:r>
      <w:r>
        <w:rPr>
          <w:b/>
        </w:rPr>
        <w:t>”</w:t>
      </w:r>
      <w:r>
        <w:t xml:space="preserve"> means the governing body of the Commission provided for by section 5(1);</w:t>
      </w:r>
    </w:p>
    <w:p>
      <w:pPr>
        <w:pStyle w:val="Defstart"/>
      </w:pPr>
      <w:r>
        <w:rPr>
          <w:b/>
        </w:rPr>
        <w:tab/>
        <w:t>“</w:t>
      </w:r>
      <w:r>
        <w:rPr>
          <w:rStyle w:val="CharDefText"/>
        </w:rPr>
        <w:t>board of directors</w:t>
      </w:r>
      <w:r>
        <w:rPr>
          <w:b/>
        </w:rPr>
        <w:t>”</w:t>
      </w:r>
      <w:r>
        <w:t xml:space="preserve"> means the governing body of the Corporation provided for by section 29(1);</w:t>
      </w:r>
    </w:p>
    <w:p>
      <w:pPr>
        <w:pStyle w:val="Defstart"/>
      </w:pPr>
      <w:r>
        <w:rPr>
          <w:b/>
        </w:rPr>
        <w:tab/>
        <w:t>“</w:t>
      </w:r>
      <w:r>
        <w:rPr>
          <w:rStyle w:val="CharDefText"/>
        </w:rPr>
        <w:t>borrow</w:t>
      </w:r>
      <w:r>
        <w:rPr>
          <w:b/>
        </w:rPr>
        <w:t>”</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t>“</w:t>
      </w:r>
      <w:r>
        <w:rPr>
          <w:rStyle w:val="CharDefText"/>
        </w:rPr>
        <w:t>business undertaking</w:t>
      </w:r>
      <w:r>
        <w:rPr>
          <w:b/>
        </w:rPr>
        <w:t>”</w:t>
      </w:r>
      <w:r>
        <w:t xml:space="preserve"> includes any person, corporation, trust, joint venture, government agency or other entity engaging or intending to engage in economic activity;</w:t>
      </w:r>
    </w:p>
    <w:p>
      <w:pPr>
        <w:pStyle w:val="Defstart"/>
      </w:pPr>
      <w:r>
        <w:rPr>
          <w:b/>
        </w:rPr>
        <w:tab/>
        <w:t>“</w:t>
      </w:r>
      <w:r>
        <w:rPr>
          <w:rStyle w:val="CharDefText"/>
        </w:rPr>
        <w:t>Commission</w:t>
      </w:r>
      <w:r>
        <w:rPr>
          <w:b/>
        </w:rPr>
        <w:t>”</w:t>
      </w:r>
      <w:r>
        <w:t xml:space="preserve"> means the body continued by section 4 under the corporate name “Insurance Commission of Western Australia”;</w:t>
      </w:r>
    </w:p>
    <w:p>
      <w:pPr>
        <w:pStyle w:val="Defstart"/>
      </w:pPr>
      <w:r>
        <w:rPr>
          <w:b/>
        </w:rPr>
        <w:tab/>
        <w:t>“</w:t>
      </w:r>
      <w:r>
        <w:rPr>
          <w:rStyle w:val="CharDefText"/>
        </w:rPr>
        <w:t>Commission account</w:t>
      </w:r>
      <w:r>
        <w:rPr>
          <w:b/>
        </w:rPr>
        <w:t>”</w:t>
      </w:r>
      <w:r>
        <w:t xml:space="preserve"> means a Fund, a fund established under section 7(4)(a) or a trust of which the Commission is a trustee under section 7(4)(c);</w:t>
      </w:r>
    </w:p>
    <w:p>
      <w:pPr>
        <w:pStyle w:val="Defstart"/>
        <w:keepNext/>
      </w:pPr>
      <w:r>
        <w:rPr>
          <w:b/>
        </w:rPr>
        <w:tab/>
        <w:t>“</w:t>
      </w:r>
      <w:r>
        <w:rPr>
          <w:rStyle w:val="CharDefText"/>
        </w:rPr>
        <w:t>commissioner</w:t>
      </w:r>
      <w:r>
        <w:rPr>
          <w:b/>
        </w:rPr>
        <w:t>”</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tab/>
        <w:t>“</w:t>
      </w:r>
      <w:r>
        <w:rPr>
          <w:rStyle w:val="CharDefText"/>
        </w:rPr>
        <w:t>community organisation</w:t>
      </w:r>
      <w:r>
        <w:rPr>
          <w:b/>
        </w:rPr>
        <w:t>”</w:t>
      </w:r>
      <w:r>
        <w:t xml:space="preserve"> means — </w:t>
      </w:r>
    </w:p>
    <w:p>
      <w:pPr>
        <w:pStyle w:val="Defpara"/>
      </w:pPr>
      <w:r>
        <w:tab/>
        <w:t>(a)</w:t>
      </w:r>
      <w:r>
        <w:tab/>
        <w:t xml:space="preserve">an association incorporated under the </w:t>
      </w:r>
      <w:r>
        <w:rPr>
          <w:i/>
        </w:rPr>
        <w:t>Associations Incorporation Act 1987</w:t>
      </w:r>
      <w:r>
        <w:t>;</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t>“</w:t>
      </w:r>
      <w:r>
        <w:rPr>
          <w:rStyle w:val="CharDefText"/>
        </w:rPr>
        <w:t>Corporation</w:t>
      </w:r>
      <w:r>
        <w:rPr>
          <w:b/>
        </w:rPr>
        <w:t>”</w:t>
      </w:r>
      <w:r>
        <w:t xml:space="preserve"> means the State Government Insurance Corporation established by this Act;</w:t>
      </w:r>
    </w:p>
    <w:p>
      <w:pPr>
        <w:pStyle w:val="Defstart"/>
      </w:pPr>
      <w:r>
        <w:rPr>
          <w:b/>
        </w:rPr>
        <w:tab/>
        <w:t>“</w:t>
      </w:r>
      <w:r>
        <w:rPr>
          <w:rStyle w:val="CharDefText"/>
        </w:rPr>
        <w:t>debt paper</w:t>
      </w:r>
      <w:r>
        <w:rPr>
          <w:b/>
        </w:rPr>
        <w:t>”</w:t>
      </w:r>
      <w:r>
        <w:t xml:space="preserve"> means inscribed stock, bonds, debentures, debentures with coupons annexed or any other bearer securities, or instrument evidencing indebtedness;</w:t>
      </w:r>
    </w:p>
    <w:p>
      <w:pPr>
        <w:pStyle w:val="Defstart"/>
      </w:pPr>
      <w:r>
        <w:rPr>
          <w:b/>
        </w:rPr>
        <w:tab/>
        <w:t>“</w:t>
      </w:r>
      <w:r>
        <w:rPr>
          <w:rStyle w:val="CharDefText"/>
        </w:rPr>
        <w:t>director of the Corporation</w:t>
      </w:r>
      <w:r>
        <w:rPr>
          <w:b/>
        </w:rPr>
        <w:t>”</w:t>
      </w:r>
      <w:r>
        <w:t xml:space="preserve"> means — </w:t>
      </w:r>
    </w:p>
    <w:p>
      <w:pPr>
        <w:pStyle w:val="Defpara"/>
      </w:pPr>
      <w:r>
        <w:tab/>
        <w:t>(a)</w:t>
      </w:r>
      <w:r>
        <w:tab/>
        <w:t>the managing director; or</w:t>
      </w:r>
    </w:p>
    <w:p>
      <w:pPr>
        <w:pStyle w:val="Defpara"/>
      </w:pPr>
      <w:r>
        <w:tab/>
        <w:t>(b)</w:t>
      </w:r>
      <w:r>
        <w:tab/>
        <w:t>a person appointed to the board of directors under section 29(1)(b), including the deputy chairman of the board of directors;</w:t>
      </w:r>
    </w:p>
    <w:p>
      <w:pPr>
        <w:pStyle w:val="Defstart"/>
      </w:pPr>
      <w:r>
        <w:rPr>
          <w:b/>
        </w:rPr>
        <w:tab/>
        <w:t>“</w:t>
      </w:r>
      <w:r>
        <w:rPr>
          <w:rStyle w:val="CharDefText"/>
        </w:rPr>
        <w:t>eligible community organisation</w:t>
      </w:r>
      <w:r>
        <w:rPr>
          <w:b/>
        </w:rPr>
        <w:t>”</w:t>
      </w:r>
      <w:r>
        <w:t xml:space="preserve"> has the meaning given in section 3A;</w:t>
      </w:r>
    </w:p>
    <w:p>
      <w:pPr>
        <w:pStyle w:val="Defstart"/>
      </w:pPr>
      <w:r>
        <w:rPr>
          <w:b/>
        </w:rPr>
        <w:tab/>
        <w:t>“</w:t>
      </w:r>
      <w:r>
        <w:rPr>
          <w:rStyle w:val="CharDefText"/>
        </w:rPr>
        <w:t>Fund</w:t>
      </w:r>
      <w:r>
        <w:rPr>
          <w:b/>
        </w:rPr>
        <w:t>”</w:t>
      </w:r>
      <w:r>
        <w:t xml:space="preserve"> means a fund established under section 16;</w:t>
      </w:r>
    </w:p>
    <w:p>
      <w:pPr>
        <w:pStyle w:val="Defstart"/>
      </w:pPr>
      <w:r>
        <w:rPr>
          <w:b/>
        </w:rPr>
        <w:tab/>
        <w:t>“</w:t>
      </w:r>
      <w:r>
        <w:rPr>
          <w:rStyle w:val="CharDefText"/>
        </w:rPr>
        <w:t>insurance</w:t>
      </w:r>
      <w:r>
        <w:rPr>
          <w:b/>
        </w:rPr>
        <w:t>”</w:t>
      </w:r>
      <w:r>
        <w:t xml:space="preserve"> includes assurance, co</w:t>
      </w:r>
      <w:r>
        <w:noBreakHyphen/>
        <w:t>insurance, re</w:t>
      </w:r>
      <w:r>
        <w:noBreakHyphen/>
        <w:t>insurance, guarantee and surety;</w:t>
      </w:r>
    </w:p>
    <w:p>
      <w:pPr>
        <w:pStyle w:val="Defstart"/>
      </w:pPr>
      <w:r>
        <w:rPr>
          <w:b/>
        </w:rPr>
        <w:tab/>
        <w:t>“</w:t>
      </w:r>
      <w:r>
        <w:rPr>
          <w:rStyle w:val="CharDefText"/>
        </w:rPr>
        <w:t>insurer</w:t>
      </w:r>
      <w:r>
        <w:rPr>
          <w:b/>
        </w:rPr>
        <w:t>”</w:t>
      </w:r>
      <w:r>
        <w:t xml:space="preserve"> means a corporation carrying on business under the </w:t>
      </w:r>
      <w:r>
        <w:rPr>
          <w:i/>
        </w:rPr>
        <w:t>Insurance Act 1973</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t>“</w:t>
      </w:r>
      <w:r>
        <w:rPr>
          <w:rStyle w:val="CharDefText"/>
        </w:rPr>
        <w:t>managing director</w:t>
      </w:r>
      <w:r>
        <w:rPr>
          <w:b/>
        </w:rPr>
        <w:t>”</w:t>
      </w:r>
      <w:r>
        <w:t xml:space="preserve"> means the chief executive officer of the Commission appointed under section 11;</w:t>
      </w:r>
    </w:p>
    <w:p>
      <w:pPr>
        <w:pStyle w:val="Defstart"/>
      </w:pPr>
      <w:r>
        <w:rPr>
          <w:b/>
        </w:rPr>
        <w:tab/>
        <w:t>“</w:t>
      </w:r>
      <w:r>
        <w:rPr>
          <w:rStyle w:val="CharDefText"/>
        </w:rPr>
        <w:t>policy</w:t>
      </w:r>
      <w:r>
        <w:rPr>
          <w:b/>
        </w:rPr>
        <w:t>”</w:t>
      </w:r>
      <w:r>
        <w:t xml:space="preserve"> includes contract;</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t>“</w:t>
      </w:r>
      <w:r>
        <w:rPr>
          <w:rStyle w:val="CharDefText"/>
        </w:rPr>
        <w:t>risk management</w:t>
      </w:r>
      <w:r>
        <w:rPr>
          <w:b/>
        </w:rPr>
        <w:t>”</w:t>
      </w:r>
      <w:r>
        <w:t xml:space="preserve"> does not include the management of risks associated with an investment;</w:t>
      </w:r>
    </w:p>
    <w:p>
      <w:pPr>
        <w:pStyle w:val="Defstart"/>
      </w:pPr>
      <w:r>
        <w:rPr>
          <w:b/>
        </w:rPr>
        <w:tab/>
        <w:t>“</w:t>
      </w:r>
      <w:r>
        <w:rPr>
          <w:rStyle w:val="CharDefText"/>
        </w:rPr>
        <w:t>Treasurer</w:t>
      </w:r>
      <w:r>
        <w:rPr>
          <w:b/>
        </w:rPr>
        <w:t>”</w:t>
      </w:r>
      <w:r>
        <w:t xml:space="preserve"> means the Treasurer of the State.</w:t>
      </w:r>
    </w:p>
    <w:p>
      <w:pPr>
        <w:pStyle w:val="Footnotesection"/>
      </w:pPr>
      <w:r>
        <w:tab/>
        <w:t xml:space="preserve">[Section 3 amended by No. 45 of 1996 s. 6; No. 34 of 2002 s. 4.] </w:t>
      </w:r>
    </w:p>
    <w:p>
      <w:pPr>
        <w:pStyle w:val="Heading5"/>
      </w:pPr>
      <w:bookmarkStart w:id="19" w:name="_Toc139707286"/>
      <w:bookmarkStart w:id="20" w:name="_Toc146528223"/>
      <w:r>
        <w:rPr>
          <w:rStyle w:val="CharSectno"/>
        </w:rPr>
        <w:t>3A</w:t>
      </w:r>
      <w:r>
        <w:t>.</w:t>
      </w:r>
      <w:r>
        <w:tab/>
        <w:t>Eligible community organisations</w:t>
      </w:r>
      <w:bookmarkEnd w:id="19"/>
      <w:bookmarkEnd w:id="20"/>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21" w:name="_Toc92782864"/>
      <w:bookmarkStart w:id="22" w:name="_Toc92782978"/>
      <w:bookmarkStart w:id="23" w:name="_Toc139707287"/>
      <w:bookmarkStart w:id="24" w:name="_Toc139781055"/>
      <w:bookmarkStart w:id="25" w:name="_Toc139949338"/>
      <w:bookmarkStart w:id="26" w:name="_Toc142459040"/>
      <w:bookmarkStart w:id="27" w:name="_Toc144279986"/>
      <w:bookmarkStart w:id="28" w:name="_Toc146528224"/>
      <w:r>
        <w:rPr>
          <w:rStyle w:val="CharPartNo"/>
        </w:rPr>
        <w:t>Part II</w:t>
      </w:r>
      <w:r>
        <w:t> — </w:t>
      </w:r>
      <w:r>
        <w:rPr>
          <w:rStyle w:val="CharPartText"/>
        </w:rPr>
        <w:t>Insurance Commission of Western Australia</w:t>
      </w:r>
      <w:bookmarkEnd w:id="21"/>
      <w:bookmarkEnd w:id="22"/>
      <w:bookmarkEnd w:id="23"/>
      <w:bookmarkEnd w:id="24"/>
      <w:bookmarkEnd w:id="25"/>
      <w:bookmarkEnd w:id="26"/>
      <w:bookmarkEnd w:id="27"/>
      <w:bookmarkEnd w:id="28"/>
      <w:r>
        <w:rPr>
          <w:rStyle w:val="CharPartText"/>
        </w:rPr>
        <w:t xml:space="preserve"> </w:t>
      </w:r>
    </w:p>
    <w:p>
      <w:pPr>
        <w:pStyle w:val="Footnoteheading"/>
        <w:rPr>
          <w:snapToGrid w:val="0"/>
        </w:rPr>
      </w:pPr>
      <w:r>
        <w:rPr>
          <w:snapToGrid w:val="0"/>
        </w:rPr>
        <w:tab/>
        <w:t xml:space="preserve">[Heading inserted by No. 45 of 1996 s. 7.] </w:t>
      </w:r>
    </w:p>
    <w:p>
      <w:pPr>
        <w:pStyle w:val="Heading3"/>
        <w:spacing w:before="260"/>
        <w:rPr>
          <w:snapToGrid w:val="0"/>
        </w:rPr>
      </w:pPr>
      <w:bookmarkStart w:id="29" w:name="_Toc92782865"/>
      <w:bookmarkStart w:id="30" w:name="_Toc92782979"/>
      <w:bookmarkStart w:id="31" w:name="_Toc139707288"/>
      <w:bookmarkStart w:id="32" w:name="_Toc139781056"/>
      <w:bookmarkStart w:id="33" w:name="_Toc139949339"/>
      <w:bookmarkStart w:id="34" w:name="_Toc142459041"/>
      <w:bookmarkStart w:id="35" w:name="_Toc144279987"/>
      <w:bookmarkStart w:id="36" w:name="_Toc146528225"/>
      <w:r>
        <w:rPr>
          <w:rStyle w:val="CharDivNo"/>
        </w:rPr>
        <w:t>Division 1</w:t>
      </w:r>
      <w:r>
        <w:rPr>
          <w:snapToGrid w:val="0"/>
        </w:rPr>
        <w:t> — </w:t>
      </w:r>
      <w:r>
        <w:rPr>
          <w:rStyle w:val="CharDivText"/>
        </w:rPr>
        <w:t>The Commission and the board of commissioners</w:t>
      </w:r>
      <w:bookmarkEnd w:id="29"/>
      <w:bookmarkEnd w:id="30"/>
      <w:bookmarkEnd w:id="31"/>
      <w:bookmarkEnd w:id="32"/>
      <w:bookmarkEnd w:id="33"/>
      <w:bookmarkEnd w:id="34"/>
      <w:bookmarkEnd w:id="35"/>
      <w:bookmarkEnd w:id="36"/>
      <w:r>
        <w:rPr>
          <w:rStyle w:val="CharDivText"/>
        </w:rPr>
        <w:t xml:space="preserve"> </w:t>
      </w:r>
    </w:p>
    <w:p>
      <w:pPr>
        <w:pStyle w:val="Footnoteheading"/>
        <w:rPr>
          <w:snapToGrid w:val="0"/>
        </w:rPr>
      </w:pPr>
      <w:r>
        <w:rPr>
          <w:snapToGrid w:val="0"/>
        </w:rPr>
        <w:tab/>
        <w:t xml:space="preserve">[Heading inserted by No. 45 of 1996 s. 7.] </w:t>
      </w:r>
    </w:p>
    <w:p>
      <w:pPr>
        <w:pStyle w:val="Heading5"/>
        <w:spacing w:before="240"/>
        <w:rPr>
          <w:snapToGrid w:val="0"/>
        </w:rPr>
      </w:pPr>
      <w:bookmarkStart w:id="37" w:name="_Toc517674445"/>
      <w:bookmarkStart w:id="38" w:name="_Toc139707289"/>
      <w:bookmarkStart w:id="39" w:name="_Toc146528226"/>
      <w:r>
        <w:rPr>
          <w:rStyle w:val="CharSectno"/>
        </w:rPr>
        <w:t>4</w:t>
      </w:r>
      <w:r>
        <w:rPr>
          <w:snapToGrid w:val="0"/>
        </w:rPr>
        <w:t>.</w:t>
      </w:r>
      <w:r>
        <w:rPr>
          <w:snapToGrid w:val="0"/>
        </w:rPr>
        <w:tab/>
        <w:t>Insurance Commission of Western Australia: corporate identity and status</w:t>
      </w:r>
      <w:bookmarkEnd w:id="37"/>
      <w:bookmarkEnd w:id="38"/>
      <w:bookmarkEnd w:id="39"/>
      <w:r>
        <w:rPr>
          <w:snapToGrid w:val="0"/>
        </w:rPr>
        <w:t xml:space="preserve"> </w:t>
      </w:r>
    </w:p>
    <w:p>
      <w:pPr>
        <w:pStyle w:val="Subsection"/>
        <w:spacing w:before="180"/>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i/>
          <w:snapToGrid w:val="0"/>
        </w:rPr>
        <w:t xml:space="preserve"> </w:t>
      </w:r>
      <w:r>
        <w:rPr>
          <w:snapToGrid w:val="0"/>
        </w:rPr>
        <w:t>is continued under the corporate name “Insurance Commission of Western Australia” without affecting its corporate identity or its rights and obligations.</w:t>
      </w:r>
    </w:p>
    <w:p>
      <w:pPr>
        <w:pStyle w:val="Subsection"/>
        <w:spacing w:before="180"/>
        <w:rPr>
          <w:snapToGrid w:val="0"/>
        </w:rPr>
      </w:pPr>
      <w:r>
        <w:rPr>
          <w:snapToGrid w:val="0"/>
        </w:rPr>
        <w:tab/>
        <w:t>(2)</w:t>
      </w:r>
      <w:r>
        <w:rPr>
          <w:snapToGrid w:val="0"/>
        </w:rPr>
        <w:tab/>
        <w:t>The Commission is a body corporate with perpetual succession and a common seal.</w:t>
      </w:r>
    </w:p>
    <w:p>
      <w:pPr>
        <w:pStyle w:val="Subsection"/>
        <w:spacing w:before="180"/>
        <w:rPr>
          <w:snapToGrid w:val="0"/>
        </w:rPr>
      </w:pPr>
      <w:r>
        <w:rPr>
          <w:snapToGrid w:val="0"/>
        </w:rPr>
        <w:tab/>
        <w:t>(3)</w:t>
      </w:r>
      <w:r>
        <w:rPr>
          <w:snapToGrid w:val="0"/>
        </w:rPr>
        <w:tab/>
        <w:t>Proceedings may be taken by or against the Commission in its corporate name.</w:t>
      </w:r>
    </w:p>
    <w:p>
      <w:pPr>
        <w:pStyle w:val="Subsection"/>
        <w:spacing w:before="180"/>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spacing w:before="240"/>
        <w:rPr>
          <w:snapToGrid w:val="0"/>
        </w:rPr>
      </w:pPr>
      <w:bookmarkStart w:id="40" w:name="_Toc517674446"/>
      <w:bookmarkStart w:id="41" w:name="_Toc139707290"/>
      <w:bookmarkStart w:id="42" w:name="_Toc146528227"/>
      <w:r>
        <w:rPr>
          <w:rStyle w:val="CharSectno"/>
        </w:rPr>
        <w:t>4A</w:t>
      </w:r>
      <w:r>
        <w:rPr>
          <w:snapToGrid w:val="0"/>
        </w:rPr>
        <w:t>.</w:t>
      </w:r>
      <w:r>
        <w:rPr>
          <w:snapToGrid w:val="0"/>
        </w:rPr>
        <w:tab/>
        <w:t>Agent of Crown</w:t>
      </w:r>
      <w:bookmarkEnd w:id="40"/>
      <w:bookmarkEnd w:id="41"/>
      <w:bookmarkEnd w:id="42"/>
      <w:r>
        <w:rPr>
          <w:snapToGrid w:val="0"/>
        </w:rPr>
        <w:t xml:space="preserve"> </w:t>
      </w:r>
    </w:p>
    <w:p>
      <w:pPr>
        <w:pStyle w:val="Subsection"/>
        <w:spacing w:before="180"/>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43" w:name="_Toc517674447"/>
      <w:bookmarkStart w:id="44" w:name="_Toc139707291"/>
      <w:bookmarkStart w:id="45" w:name="_Toc146528228"/>
      <w:r>
        <w:rPr>
          <w:rStyle w:val="CharSectno"/>
        </w:rPr>
        <w:t>5</w:t>
      </w:r>
      <w:r>
        <w:rPr>
          <w:snapToGrid w:val="0"/>
        </w:rPr>
        <w:t>.</w:t>
      </w:r>
      <w:r>
        <w:rPr>
          <w:snapToGrid w:val="0"/>
        </w:rPr>
        <w:tab/>
        <w:t>Board of commissioners</w:t>
      </w:r>
      <w:bookmarkEnd w:id="43"/>
      <w:bookmarkEnd w:id="44"/>
      <w:bookmarkEnd w:id="45"/>
      <w:r>
        <w:rPr>
          <w:snapToGrid w:val="0"/>
        </w:rPr>
        <w:t xml:space="preserve"> </w:t>
      </w:r>
    </w:p>
    <w:p>
      <w:pPr>
        <w:pStyle w:val="Subsection"/>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 Minister for Public Sector Management.</w:t>
      </w:r>
    </w:p>
    <w:p>
      <w:pPr>
        <w:pStyle w:val="Footnotesection"/>
      </w:pPr>
      <w:r>
        <w:tab/>
        <w:t>[Section 5 amended by No. 45 of 1996 s. 9.]</w:t>
      </w:r>
    </w:p>
    <w:p>
      <w:pPr>
        <w:pStyle w:val="Heading3"/>
        <w:rPr>
          <w:snapToGrid w:val="0"/>
        </w:rPr>
      </w:pPr>
      <w:bookmarkStart w:id="46" w:name="_Toc92782869"/>
      <w:bookmarkStart w:id="47" w:name="_Toc92782983"/>
      <w:bookmarkStart w:id="48" w:name="_Toc139707292"/>
      <w:bookmarkStart w:id="49" w:name="_Toc139781060"/>
      <w:bookmarkStart w:id="50" w:name="_Toc139949343"/>
      <w:bookmarkStart w:id="51" w:name="_Toc142459045"/>
      <w:bookmarkStart w:id="52" w:name="_Toc144279991"/>
      <w:bookmarkStart w:id="53" w:name="_Toc146528229"/>
      <w:r>
        <w:rPr>
          <w:rStyle w:val="CharDivNo"/>
        </w:rPr>
        <w:t>Division 2</w:t>
      </w:r>
      <w:r>
        <w:rPr>
          <w:snapToGrid w:val="0"/>
        </w:rPr>
        <w:t> — </w:t>
      </w:r>
      <w:r>
        <w:rPr>
          <w:rStyle w:val="CharDivText"/>
        </w:rPr>
        <w:t>Functions and powers of the Commission</w:t>
      </w:r>
      <w:bookmarkEnd w:id="46"/>
      <w:bookmarkEnd w:id="47"/>
      <w:bookmarkEnd w:id="48"/>
      <w:bookmarkEnd w:id="49"/>
      <w:bookmarkEnd w:id="50"/>
      <w:bookmarkEnd w:id="51"/>
      <w:bookmarkEnd w:id="52"/>
      <w:bookmarkEnd w:id="53"/>
      <w:r>
        <w:rPr>
          <w:rStyle w:val="CharDivText"/>
        </w:rPr>
        <w:t xml:space="preserve"> </w:t>
      </w:r>
    </w:p>
    <w:p>
      <w:pPr>
        <w:pStyle w:val="Heading5"/>
        <w:rPr>
          <w:snapToGrid w:val="0"/>
        </w:rPr>
      </w:pPr>
      <w:bookmarkStart w:id="54" w:name="_Toc517674448"/>
      <w:bookmarkStart w:id="55" w:name="_Toc139707293"/>
      <w:bookmarkStart w:id="56" w:name="_Toc146528230"/>
      <w:r>
        <w:rPr>
          <w:rStyle w:val="CharSectno"/>
        </w:rPr>
        <w:t>6</w:t>
      </w:r>
      <w:r>
        <w:rPr>
          <w:snapToGrid w:val="0"/>
        </w:rPr>
        <w:t>.</w:t>
      </w:r>
      <w:r>
        <w:rPr>
          <w:snapToGrid w:val="0"/>
        </w:rPr>
        <w:tab/>
        <w:t>Functions</w:t>
      </w:r>
      <w:bookmarkEnd w:id="54"/>
      <w:bookmarkEnd w:id="55"/>
      <w:bookmarkEnd w:id="56"/>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w:t>
      </w:r>
    </w:p>
    <w:p>
      <w:pPr>
        <w:pStyle w:val="Indenta"/>
        <w:rPr>
          <w:snapToGrid w:val="0"/>
        </w:rPr>
      </w:pPr>
      <w:r>
        <w:rPr>
          <w:snapToGrid w:val="0"/>
        </w:rPr>
        <w:tab/>
        <w:t>(b)</w:t>
      </w:r>
      <w:r>
        <w:rPr>
          <w:snapToGrid w:val="0"/>
        </w:rPr>
        <w:tab/>
        <w:t>to issue and undertake liability under policies of insurance as required by — </w:t>
      </w:r>
    </w:p>
    <w:p>
      <w:pPr>
        <w:pStyle w:val="Indenti"/>
        <w:rPr>
          <w:snapToGrid w:val="0"/>
        </w:rPr>
      </w:pPr>
      <w:r>
        <w:rPr>
          <w:snapToGrid w:val="0"/>
        </w:rPr>
        <w:tab/>
        <w:t>(i)</w:t>
      </w:r>
      <w:r>
        <w:rPr>
          <w:snapToGrid w:val="0"/>
        </w:rPr>
        <w:tab/>
        <w:t>section 154(6); or</w:t>
      </w:r>
    </w:p>
    <w:p>
      <w:pPr>
        <w:pStyle w:val="Indenti"/>
        <w:rPr>
          <w:snapToGrid w:val="0"/>
        </w:rPr>
      </w:pPr>
      <w:r>
        <w:rPr>
          <w:snapToGrid w:val="0"/>
        </w:rPr>
        <w:tab/>
        <w:t>(ii)</w:t>
      </w:r>
      <w:r>
        <w:rPr>
          <w:snapToGrid w:val="0"/>
        </w:rPr>
        <w:tab/>
        <w:t>section 163,</w:t>
      </w:r>
    </w:p>
    <w:p>
      <w:pPr>
        <w:pStyle w:val="Indenta"/>
        <w:rPr>
          <w:snapToGrid w:val="0"/>
        </w:rPr>
      </w:pPr>
      <w:r>
        <w:rPr>
          <w:snapToGrid w:val="0"/>
        </w:rPr>
        <w:tab/>
      </w:r>
      <w:r>
        <w:rPr>
          <w:snapToGrid w:val="0"/>
        </w:rPr>
        <w:tab/>
        <w:t>of the</w:t>
      </w:r>
      <w:r>
        <w:rPr>
          <w:i/>
        </w:rPr>
        <w:t xml:space="preserve"> Workers’ Compensation and Injury Management Act 1981</w:t>
      </w:r>
      <w:r>
        <w:rPr>
          <w:snapToGrid w:val="0"/>
        </w:rPr>
        <w:t>;</w:t>
      </w:r>
    </w:p>
    <w:p>
      <w:pPr>
        <w:pStyle w:val="Indenta"/>
        <w:rPr>
          <w:snapToGrid w:val="0"/>
        </w:rPr>
      </w:pPr>
      <w:r>
        <w:rPr>
          <w:snapToGrid w:val="0"/>
        </w:rPr>
        <w:tab/>
        <w:t>(c)</w:t>
      </w:r>
      <w:r>
        <w:rPr>
          <w:snapToGrid w:val="0"/>
        </w:rPr>
        <w:tab/>
        <w:t>to manage and administer insurance and risk management arrangements on behalf of public authorities;</w:t>
      </w:r>
    </w:p>
    <w:p>
      <w:pPr>
        <w:pStyle w:val="Indenta"/>
      </w:pPr>
      <w:r>
        <w:tab/>
        <w:t>(ca)</w:t>
      </w:r>
      <w:r>
        <w:tab/>
        <w:t xml:space="preserve">to manage and administer insurance and risk management arrangements on behalf of eligible community organisations; </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w:t>
      </w:r>
    </w:p>
    <w:p>
      <w:pPr>
        <w:pStyle w:val="Indenta"/>
        <w:rPr>
          <w:snapToGrid w:val="0"/>
        </w:rPr>
      </w:pPr>
      <w:r>
        <w:rPr>
          <w:snapToGrid w:val="0"/>
        </w:rPr>
        <w:tab/>
        <w:t>(f)</w:t>
      </w:r>
      <w:r>
        <w:rPr>
          <w:snapToGrid w:val="0"/>
        </w:rPr>
        <w:tab/>
        <w:t>to provide advice to the Government on matters relating to insurance and risk management;</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w:t>
      </w:r>
    </w:p>
    <w:p>
      <w:pPr>
        <w:pStyle w:val="Heading5"/>
        <w:rPr>
          <w:snapToGrid w:val="0"/>
        </w:rPr>
      </w:pPr>
      <w:bookmarkStart w:id="57" w:name="_Toc517674449"/>
      <w:bookmarkStart w:id="58" w:name="_Toc139707294"/>
      <w:bookmarkStart w:id="59" w:name="_Toc146528231"/>
      <w:r>
        <w:rPr>
          <w:rStyle w:val="CharSectno"/>
        </w:rPr>
        <w:t>7</w:t>
      </w:r>
      <w:r>
        <w:rPr>
          <w:snapToGrid w:val="0"/>
        </w:rPr>
        <w:t>.</w:t>
      </w:r>
      <w:r>
        <w:rPr>
          <w:snapToGrid w:val="0"/>
        </w:rPr>
        <w:tab/>
        <w:t>Powers</w:t>
      </w:r>
      <w:bookmarkEnd w:id="57"/>
      <w:bookmarkEnd w:id="58"/>
      <w:bookmarkEnd w:id="59"/>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w:t>
      </w:r>
    </w:p>
    <w:p>
      <w:pPr>
        <w:pStyle w:val="Indenta"/>
        <w:rPr>
          <w:snapToGrid w:val="0"/>
        </w:rPr>
      </w:pPr>
      <w:r>
        <w:rPr>
          <w:snapToGrid w:val="0"/>
        </w:rPr>
        <w:tab/>
        <w:t>(aa)</w:t>
      </w:r>
      <w:r>
        <w:rPr>
          <w:snapToGrid w:val="0"/>
        </w:rPr>
        <w:tab/>
        <w:t>to fix and collect such fees, charges or other payments as it considers appropriate for or in respect of services it provides;</w:t>
      </w:r>
    </w:p>
    <w:p>
      <w:pPr>
        <w:pStyle w:val="Indenta"/>
        <w:rPr>
          <w:snapToGrid w:val="0"/>
        </w:rPr>
      </w:pPr>
      <w:r>
        <w:rPr>
          <w:snapToGrid w:val="0"/>
        </w:rPr>
        <w:tab/>
        <w:t>(b)</w:t>
      </w:r>
      <w:r>
        <w:rPr>
          <w:snapToGrid w:val="0"/>
        </w:rPr>
        <w:tab/>
        <w:t>to lend moneys and provide credit;</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w:t>
      </w:r>
    </w:p>
    <w:p>
      <w:pPr>
        <w:pStyle w:val="Indenta"/>
        <w:rPr>
          <w:snapToGrid w:val="0"/>
        </w:rPr>
      </w:pPr>
      <w:r>
        <w:rPr>
          <w:snapToGrid w:val="0"/>
        </w:rPr>
        <w:tab/>
        <w:t>(d)</w:t>
      </w:r>
      <w:r>
        <w:rPr>
          <w:snapToGrid w:val="0"/>
        </w:rPr>
        <w:tab/>
        <w:t>to issue, draw, make, accept, endorse, and discount bills of exchange and promissory notes;</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w:t>
      </w:r>
    </w:p>
    <w:p>
      <w:pPr>
        <w:pStyle w:val="Indenta"/>
        <w:rPr>
          <w:snapToGrid w:val="0"/>
        </w:rPr>
      </w:pPr>
      <w:r>
        <w:rPr>
          <w:snapToGrid w:val="0"/>
        </w:rPr>
        <w:tab/>
        <w:t>(f)</w:t>
      </w:r>
      <w:r>
        <w:rPr>
          <w:snapToGrid w:val="0"/>
        </w:rPr>
        <w:tab/>
        <w:t>to form or establish, or participate in the formation or establishment of, any business undertaking;</w:t>
      </w:r>
    </w:p>
    <w:p>
      <w:pPr>
        <w:pStyle w:val="Indenta"/>
        <w:rPr>
          <w:snapToGrid w:val="0"/>
        </w:rPr>
      </w:pPr>
      <w:r>
        <w:rPr>
          <w:snapToGrid w:val="0"/>
        </w:rPr>
        <w:tab/>
        <w:t>(g)</w:t>
      </w:r>
      <w:r>
        <w:rPr>
          <w:snapToGrid w:val="0"/>
        </w:rPr>
        <w:tab/>
        <w:t>to subscribe for, invest in or otherwise acquire any investment and to deal in or dispose of any investment;</w:t>
      </w:r>
    </w:p>
    <w:p>
      <w:pPr>
        <w:pStyle w:val="Indenta"/>
        <w:rPr>
          <w:snapToGrid w:val="0"/>
        </w:rPr>
      </w:pPr>
      <w:r>
        <w:rPr>
          <w:snapToGrid w:val="0"/>
        </w:rPr>
        <w:tab/>
        <w:t>(h)</w:t>
      </w:r>
      <w:r>
        <w:rPr>
          <w:snapToGrid w:val="0"/>
        </w:rPr>
        <w:tab/>
        <w:t>to enter into a partnership or an arrangement for sharing of profits;</w:t>
      </w:r>
    </w:p>
    <w:p>
      <w:pPr>
        <w:pStyle w:val="Indenta"/>
        <w:rPr>
          <w:snapToGrid w:val="0"/>
        </w:rPr>
      </w:pPr>
      <w:r>
        <w:rPr>
          <w:snapToGrid w:val="0"/>
        </w:rPr>
        <w:tab/>
        <w:t>(i)</w:t>
      </w:r>
      <w:r>
        <w:rPr>
          <w:snapToGrid w:val="0"/>
        </w:rPr>
        <w:tab/>
        <w:t>to underwrite issues of shares in, or debentures or other securities of, any business undertaking;</w:t>
      </w:r>
    </w:p>
    <w:p>
      <w:pPr>
        <w:pStyle w:val="Indenta"/>
        <w:rPr>
          <w:snapToGrid w:val="0"/>
        </w:rPr>
      </w:pPr>
      <w:r>
        <w:rPr>
          <w:snapToGrid w:val="0"/>
        </w:rPr>
        <w:tab/>
        <w:t>(j)</w:t>
      </w:r>
      <w:r>
        <w:rPr>
          <w:snapToGrid w:val="0"/>
        </w:rPr>
        <w:tab/>
        <w:t>to appoint or engage agents, custodians, brokers and attorneys;</w:t>
      </w:r>
    </w:p>
    <w:p>
      <w:pPr>
        <w:pStyle w:val="Indenta"/>
        <w:rPr>
          <w:snapToGrid w:val="0"/>
        </w:rPr>
      </w:pPr>
      <w:r>
        <w:rPr>
          <w:snapToGrid w:val="0"/>
        </w:rPr>
        <w:tab/>
        <w:t>(k)</w:t>
      </w:r>
      <w:r>
        <w:rPr>
          <w:snapToGrid w:val="0"/>
        </w:rPr>
        <w:tab/>
        <w:t>to exercise any right conferred upon the Commission to appoint a director of, or hold office in, a business undertaking;</w:t>
      </w:r>
    </w:p>
    <w:p>
      <w:pPr>
        <w:pStyle w:val="Indenta"/>
        <w:rPr>
          <w:snapToGrid w:val="0"/>
        </w:rPr>
      </w:pPr>
      <w:r>
        <w:rPr>
          <w:snapToGrid w:val="0"/>
        </w:rPr>
        <w:tab/>
        <w:t>(l)</w:t>
      </w:r>
      <w:r>
        <w:rPr>
          <w:snapToGrid w:val="0"/>
        </w:rPr>
        <w:tab/>
        <w:t>to establish advisory groups and act on the advice of such groups;</w:t>
      </w:r>
    </w:p>
    <w:p>
      <w:pPr>
        <w:pStyle w:val="Indenta"/>
        <w:rPr>
          <w:snapToGrid w:val="0"/>
        </w:rPr>
      </w:pPr>
      <w:r>
        <w:rPr>
          <w:snapToGrid w:val="0"/>
        </w:rPr>
        <w:tab/>
        <w:t>(m)</w:t>
      </w:r>
      <w:r>
        <w:rPr>
          <w:snapToGrid w:val="0"/>
        </w:rPr>
        <w:tab/>
        <w:t>to act as agent for other persons or public authorities;</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rPr>
          <w:snapToGrid w:val="0"/>
        </w:rPr>
      </w:pPr>
      <w:r>
        <w:rPr>
          <w:snapToGrid w:val="0"/>
        </w:rPr>
        <w:tab/>
        <w:t>(a)</w:t>
      </w:r>
      <w:r>
        <w:rPr>
          <w:snapToGrid w:val="0"/>
        </w:rPr>
        <w:tab/>
        <w:t>power to invest in real or personal property of any kind; and</w:t>
      </w:r>
    </w:p>
    <w:p>
      <w:pPr>
        <w:pStyle w:val="Indenta"/>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ind w:left="890" w:hanging="890"/>
      </w:pPr>
      <w:r>
        <w:tab/>
        <w:t xml:space="preserve">[Section 7 amended by No. 49 of 1992 s. 28; No. 45 of 1996 s. 11; No. 34 of 2002 s. 7; No. 42 of 2004 s. 174.] </w:t>
      </w:r>
    </w:p>
    <w:p>
      <w:pPr>
        <w:pStyle w:val="Heading5"/>
        <w:spacing w:before="180"/>
        <w:rPr>
          <w:snapToGrid w:val="0"/>
        </w:rPr>
      </w:pPr>
      <w:bookmarkStart w:id="60" w:name="_Toc517674450"/>
      <w:bookmarkStart w:id="61" w:name="_Toc139707295"/>
      <w:bookmarkStart w:id="62" w:name="_Toc146528232"/>
      <w:r>
        <w:rPr>
          <w:rStyle w:val="CharSectno"/>
        </w:rPr>
        <w:t>8</w:t>
      </w:r>
      <w:r>
        <w:rPr>
          <w:snapToGrid w:val="0"/>
        </w:rPr>
        <w:t>.</w:t>
      </w:r>
      <w:r>
        <w:rPr>
          <w:snapToGrid w:val="0"/>
        </w:rPr>
        <w:tab/>
        <w:t>Commission to act efficiently and economically</w:t>
      </w:r>
      <w:bookmarkEnd w:id="60"/>
      <w:bookmarkEnd w:id="61"/>
      <w:bookmarkEnd w:id="62"/>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63" w:name="_Toc517674451"/>
      <w:bookmarkStart w:id="64" w:name="_Toc139707296"/>
      <w:bookmarkStart w:id="65" w:name="_Toc146528233"/>
      <w:r>
        <w:rPr>
          <w:rStyle w:val="CharSectno"/>
        </w:rPr>
        <w:t>9</w:t>
      </w:r>
      <w:r>
        <w:rPr>
          <w:snapToGrid w:val="0"/>
        </w:rPr>
        <w:t>.</w:t>
      </w:r>
      <w:r>
        <w:rPr>
          <w:snapToGrid w:val="0"/>
        </w:rPr>
        <w:tab/>
        <w:t>Delegation</w:t>
      </w:r>
      <w:bookmarkEnd w:id="63"/>
      <w:bookmarkEnd w:id="64"/>
      <w:bookmarkEnd w:id="65"/>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60"/>
        <w:ind w:left="890" w:hanging="890"/>
      </w:pPr>
      <w:r>
        <w:tab/>
        <w:t>[Section 9 amended by No. 49 of 1992 s. 28.]</w:t>
      </w:r>
    </w:p>
    <w:p>
      <w:pPr>
        <w:pStyle w:val="Heading5"/>
        <w:rPr>
          <w:snapToGrid w:val="0"/>
        </w:rPr>
      </w:pPr>
      <w:bookmarkStart w:id="66" w:name="_Toc517674452"/>
      <w:bookmarkStart w:id="67" w:name="_Toc139707297"/>
      <w:bookmarkStart w:id="68" w:name="_Toc146528234"/>
      <w:r>
        <w:rPr>
          <w:rStyle w:val="CharSectno"/>
        </w:rPr>
        <w:t>10</w:t>
      </w:r>
      <w:r>
        <w:rPr>
          <w:snapToGrid w:val="0"/>
        </w:rPr>
        <w:t>.</w:t>
      </w:r>
      <w:r>
        <w:rPr>
          <w:snapToGrid w:val="0"/>
        </w:rPr>
        <w:tab/>
        <w:t>Directions by Minister</w:t>
      </w:r>
      <w:bookmarkEnd w:id="66"/>
      <w:bookmarkEnd w:id="67"/>
      <w:bookmarkEnd w:id="68"/>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section 66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10 amended by No. 5 of 1989 s. 16; No. 41 of 1996 s. 3.]</w:t>
      </w:r>
    </w:p>
    <w:p>
      <w:pPr>
        <w:pStyle w:val="Heading5"/>
        <w:rPr>
          <w:snapToGrid w:val="0"/>
        </w:rPr>
      </w:pPr>
      <w:bookmarkStart w:id="69" w:name="_Toc517674453"/>
      <w:bookmarkStart w:id="70" w:name="_Toc139707298"/>
      <w:bookmarkStart w:id="71" w:name="_Toc146528235"/>
      <w:r>
        <w:rPr>
          <w:rStyle w:val="CharSectno"/>
        </w:rPr>
        <w:t>10A</w:t>
      </w:r>
      <w:r>
        <w:rPr>
          <w:snapToGrid w:val="0"/>
        </w:rPr>
        <w:t>.</w:t>
      </w:r>
      <w:r>
        <w:rPr>
          <w:snapToGrid w:val="0"/>
        </w:rPr>
        <w:tab/>
        <w:t>Minister to have access to information</w:t>
      </w:r>
      <w:bookmarkEnd w:id="69"/>
      <w:bookmarkEnd w:id="70"/>
      <w:bookmarkEnd w:id="71"/>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Defstart"/>
      </w:pPr>
      <w:r>
        <w:rPr>
          <w:b/>
        </w:rPr>
        <w:tab/>
        <w:t>“</w:t>
      </w:r>
      <w:r>
        <w:rPr>
          <w:rStyle w:val="CharDefText"/>
        </w:rPr>
        <w:t xml:space="preserve">staff </w:t>
      </w:r>
      <w:r>
        <w:rPr>
          <w:b/>
        </w:rPr>
        <w:t>”</w:t>
      </w:r>
      <w:r>
        <w:t xml:space="preserve"> includes persons whose services are used under section 13.</w:t>
      </w:r>
    </w:p>
    <w:p>
      <w:pPr>
        <w:pStyle w:val="Footnotesection"/>
        <w:ind w:left="890" w:hanging="890"/>
      </w:pPr>
      <w:r>
        <w:tab/>
        <w:t xml:space="preserve">[Section 10A inserted by No. 45 of 1996 s. 12.] </w:t>
      </w:r>
    </w:p>
    <w:p>
      <w:pPr>
        <w:pStyle w:val="Heading5"/>
        <w:spacing w:before="240"/>
        <w:rPr>
          <w:snapToGrid w:val="0"/>
        </w:rPr>
      </w:pPr>
      <w:bookmarkStart w:id="72" w:name="_Toc517674454"/>
      <w:bookmarkStart w:id="73" w:name="_Toc139707299"/>
      <w:bookmarkStart w:id="74" w:name="_Toc146528236"/>
      <w:r>
        <w:rPr>
          <w:rStyle w:val="CharSectno"/>
        </w:rPr>
        <w:t>10B</w:t>
      </w:r>
      <w:r>
        <w:rPr>
          <w:snapToGrid w:val="0"/>
        </w:rPr>
        <w:t>.</w:t>
      </w:r>
      <w:r>
        <w:rPr>
          <w:snapToGrid w:val="0"/>
        </w:rPr>
        <w:tab/>
        <w:t>Confidential information</w:t>
      </w:r>
      <w:bookmarkEnd w:id="72"/>
      <w:bookmarkEnd w:id="73"/>
      <w:bookmarkEnd w:id="74"/>
      <w:r>
        <w:rPr>
          <w:snapToGrid w:val="0"/>
        </w:rPr>
        <w:t xml:space="preserve"> </w:t>
      </w:r>
    </w:p>
    <w:p>
      <w:pPr>
        <w:pStyle w:val="Subsection"/>
        <w:spacing w:before="18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8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80"/>
        <w:rPr>
          <w:snapToGrid w:val="0"/>
        </w:rPr>
      </w:pPr>
      <w:r>
        <w:rPr>
          <w:snapToGrid w:val="0"/>
        </w:rPr>
        <w:tab/>
        <w:t>(3)</w:t>
      </w:r>
      <w:r>
        <w:rPr>
          <w:snapToGrid w:val="0"/>
        </w:rPr>
        <w:tab/>
        <w:t xml:space="preserve">In this section — </w:t>
      </w:r>
    </w:p>
    <w:p>
      <w:pPr>
        <w:pStyle w:val="Defstart"/>
      </w:pPr>
      <w:r>
        <w:rPr>
          <w:b/>
        </w:rPr>
        <w:tab/>
        <w:t>“</w:t>
      </w:r>
      <w:r>
        <w:rPr>
          <w:rStyle w:val="CharDefText"/>
        </w:rPr>
        <w:t>Commission</w:t>
      </w:r>
      <w:r>
        <w:rPr>
          <w:b/>
        </w:rPr>
        <w:t>”</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t>“</w:t>
      </w:r>
      <w:r>
        <w:rPr>
          <w:rStyle w:val="CharDefText"/>
        </w:rPr>
        <w:t>customer</w:t>
      </w:r>
      <w:r>
        <w:rPr>
          <w:b/>
        </w:rPr>
        <w:t>”</w:t>
      </w:r>
      <w:r>
        <w:t xml:space="preserve"> means a person who is or may become a current or former insured party of, or a claimant against, the Commission and an agent, broker or attorney appointed or engaged by the Commission.</w:t>
      </w:r>
    </w:p>
    <w:p>
      <w:pPr>
        <w:pStyle w:val="Footnotesection"/>
        <w:spacing w:before="80"/>
        <w:ind w:left="890" w:hanging="890"/>
      </w:pPr>
      <w:r>
        <w:tab/>
        <w:t xml:space="preserve">[Section 10B inserted by No. 45 of 1996 s. 12.] </w:t>
      </w:r>
    </w:p>
    <w:p>
      <w:pPr>
        <w:pStyle w:val="Heading3"/>
        <w:rPr>
          <w:snapToGrid w:val="0"/>
        </w:rPr>
      </w:pPr>
      <w:bookmarkStart w:id="75" w:name="_Toc92782877"/>
      <w:bookmarkStart w:id="76" w:name="_Toc92782991"/>
      <w:bookmarkStart w:id="77" w:name="_Toc139707300"/>
      <w:bookmarkStart w:id="78" w:name="_Toc139781068"/>
      <w:bookmarkStart w:id="79" w:name="_Toc139949351"/>
      <w:bookmarkStart w:id="80" w:name="_Toc142459053"/>
      <w:bookmarkStart w:id="81" w:name="_Toc144279999"/>
      <w:bookmarkStart w:id="82" w:name="_Toc146528237"/>
      <w:r>
        <w:rPr>
          <w:rStyle w:val="CharDivNo"/>
        </w:rPr>
        <w:t>Division 3</w:t>
      </w:r>
      <w:r>
        <w:rPr>
          <w:snapToGrid w:val="0"/>
        </w:rPr>
        <w:t> — </w:t>
      </w:r>
      <w:r>
        <w:rPr>
          <w:rStyle w:val="CharDivText"/>
        </w:rPr>
        <w:t>Staff of the Commission</w:t>
      </w:r>
      <w:bookmarkEnd w:id="75"/>
      <w:bookmarkEnd w:id="76"/>
      <w:bookmarkEnd w:id="77"/>
      <w:bookmarkEnd w:id="78"/>
      <w:bookmarkEnd w:id="79"/>
      <w:bookmarkEnd w:id="80"/>
      <w:bookmarkEnd w:id="81"/>
      <w:bookmarkEnd w:id="82"/>
      <w:r>
        <w:rPr>
          <w:rStyle w:val="CharDivText"/>
        </w:rPr>
        <w:t xml:space="preserve"> </w:t>
      </w:r>
    </w:p>
    <w:p>
      <w:pPr>
        <w:pStyle w:val="Heading5"/>
        <w:rPr>
          <w:snapToGrid w:val="0"/>
        </w:rPr>
      </w:pPr>
      <w:bookmarkStart w:id="83" w:name="_Toc517674455"/>
      <w:bookmarkStart w:id="84" w:name="_Toc139707301"/>
      <w:bookmarkStart w:id="85" w:name="_Toc146528238"/>
      <w:r>
        <w:rPr>
          <w:rStyle w:val="CharSectno"/>
        </w:rPr>
        <w:t>11</w:t>
      </w:r>
      <w:r>
        <w:rPr>
          <w:snapToGrid w:val="0"/>
        </w:rPr>
        <w:t>.</w:t>
      </w:r>
      <w:r>
        <w:rPr>
          <w:snapToGrid w:val="0"/>
        </w:rPr>
        <w:tab/>
        <w:t>Managing director</w:t>
      </w:r>
      <w:bookmarkEnd w:id="83"/>
      <w:bookmarkEnd w:id="84"/>
      <w:bookmarkEnd w:id="85"/>
      <w:r>
        <w:rPr>
          <w:snapToGrid w:val="0"/>
        </w:rPr>
        <w:t xml:space="preserve"> </w:t>
      </w:r>
    </w:p>
    <w:p>
      <w:pPr>
        <w:pStyle w:val="Subsection"/>
        <w:rPr>
          <w:snapToGrid w:val="0"/>
        </w:rPr>
      </w:pPr>
      <w:r>
        <w:rPr>
          <w:snapToGrid w:val="0"/>
        </w:rPr>
        <w:tab/>
        <w:t>(1)</w:t>
      </w:r>
      <w:r>
        <w:rPr>
          <w:snapToGrid w:val="0"/>
        </w:rPr>
        <w:tab/>
        <w:t>There shall be an office of managing director of the Commission.</w:t>
      </w:r>
    </w:p>
    <w:p>
      <w:pPr>
        <w:pStyle w:val="Subsection"/>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rPr>
          <w:snapToGrid w:val="0"/>
        </w:rPr>
      </w:pPr>
      <w:r>
        <w:rPr>
          <w:snapToGrid w:val="0"/>
        </w:rPr>
        <w:tab/>
        <w:t>(3)</w:t>
      </w:r>
      <w:r>
        <w:rPr>
          <w:snapToGrid w:val="0"/>
        </w:rPr>
        <w:tab/>
        <w:t>The managing director shall be appointed by the Governor on the nomination of the Minister.</w:t>
      </w:r>
    </w:p>
    <w:p>
      <w:pPr>
        <w:pStyle w:val="Subsection"/>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rPr>
          <w:snapToGrid w:val="0"/>
        </w:rPr>
      </w:pPr>
      <w:r>
        <w:rPr>
          <w:snapToGrid w:val="0"/>
        </w:rPr>
        <w:tab/>
        <w:t>(5)</w:t>
      </w:r>
      <w:r>
        <w:rPr>
          <w:snapToGrid w:val="0"/>
        </w:rPr>
        <w:tab/>
        <w:t xml:space="preserve">Subject to the </w:t>
      </w:r>
      <w:r>
        <w:rPr>
          <w:i/>
          <w:snapToGrid w:val="0"/>
        </w:rPr>
        <w:t>Salaries and Allowances Act 1975</w:t>
      </w:r>
      <w:r>
        <w:rPr>
          <w:snapToGrid w:val="0"/>
        </w:rPr>
        <w:t>, the remuneration and allowances payable to, and the conditions of service of, the managing director shall be such as are determined by the Minister on the recommendation of the Minister for Public Sector Management</w:t>
      </w:r>
      <w:r>
        <w:rPr>
          <w:snapToGrid w:val="0"/>
          <w:vertAlign w:val="superscript"/>
        </w:rPr>
        <w:t xml:space="preserve"> 4</w:t>
      </w:r>
      <w:r>
        <w:rPr>
          <w:snapToGrid w:val="0"/>
        </w:rPr>
        <w:t>.</w:t>
      </w:r>
    </w:p>
    <w:p>
      <w:pPr>
        <w:pStyle w:val="Subsection"/>
        <w:rPr>
          <w:snapToGrid w:val="0"/>
        </w:rPr>
      </w:pPr>
      <w:r>
        <w:rPr>
          <w:snapToGrid w:val="0"/>
        </w:rPr>
        <w:tab/>
        <w:t>(6)</w:t>
      </w:r>
      <w:r>
        <w:rPr>
          <w:snapToGrid w:val="0"/>
        </w:rPr>
        <w:tab/>
        <w:t>The managing director may resign his office by notice in writing delivered to the Minister.</w:t>
      </w:r>
    </w:p>
    <w:p>
      <w:pPr>
        <w:pStyle w:val="Subsection"/>
        <w:rPr>
          <w:snapToGrid w:val="0"/>
        </w:rPr>
      </w:pPr>
      <w:r>
        <w:rPr>
          <w:snapToGrid w:val="0"/>
        </w:rPr>
        <w:tab/>
        <w:t>(7)</w:t>
      </w:r>
      <w:r>
        <w:rPr>
          <w:snapToGrid w:val="0"/>
        </w:rPr>
        <w:tab/>
        <w:t>The managing director may be removed from office by the Governor for any reason mentioned in clause 2(4) of Schedule 1.</w:t>
      </w:r>
    </w:p>
    <w:p>
      <w:pPr>
        <w:pStyle w:val="Subsection"/>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Heading5"/>
        <w:rPr>
          <w:snapToGrid w:val="0"/>
        </w:rPr>
      </w:pPr>
      <w:bookmarkStart w:id="86" w:name="_Toc517674456"/>
      <w:bookmarkStart w:id="87" w:name="_Toc139707302"/>
      <w:bookmarkStart w:id="88" w:name="_Toc146528239"/>
      <w:r>
        <w:rPr>
          <w:rStyle w:val="CharSectno"/>
        </w:rPr>
        <w:t>12</w:t>
      </w:r>
      <w:r>
        <w:rPr>
          <w:snapToGrid w:val="0"/>
        </w:rPr>
        <w:t>.</w:t>
      </w:r>
      <w:r>
        <w:rPr>
          <w:snapToGrid w:val="0"/>
        </w:rPr>
        <w:tab/>
        <w:t>Appointment of staff and consultants</w:t>
      </w:r>
      <w:bookmarkEnd w:id="86"/>
      <w:bookmarkEnd w:id="87"/>
      <w:bookmarkEnd w:id="88"/>
      <w:r>
        <w:rPr>
          <w:snapToGrid w:val="0"/>
        </w:rPr>
        <w:t xml:space="preserve"> </w:t>
      </w:r>
    </w:p>
    <w:p>
      <w:pPr>
        <w:pStyle w:val="Subsection"/>
        <w:rPr>
          <w:snapToGrid w:val="0"/>
        </w:rPr>
      </w:pPr>
      <w:r>
        <w:rPr>
          <w:snapToGrid w:val="0"/>
        </w:rPr>
        <w:tab/>
        <w:t>(1)</w:t>
      </w:r>
      <w:r>
        <w:rPr>
          <w:snapToGrid w:val="0"/>
        </w:rPr>
        <w:tab/>
        <w:t>The Commission may appoint such officers and employees, either full-time or part-time, as the board considers necessary to enable the Commission and the Corporation to carry out their respective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considers necessary to enable the Commission and the Corporation to carry out their respective functions.</w:t>
      </w:r>
    </w:p>
    <w:p>
      <w:pPr>
        <w:pStyle w:val="Heading5"/>
        <w:rPr>
          <w:snapToGrid w:val="0"/>
        </w:rPr>
      </w:pPr>
      <w:bookmarkStart w:id="89" w:name="_Toc517674457"/>
      <w:bookmarkStart w:id="90" w:name="_Toc139707303"/>
      <w:bookmarkStart w:id="91" w:name="_Toc146528240"/>
      <w:r>
        <w:rPr>
          <w:rStyle w:val="CharSectno"/>
        </w:rPr>
        <w:t>12A</w:t>
      </w:r>
      <w:r>
        <w:rPr>
          <w:snapToGrid w:val="0"/>
        </w:rPr>
        <w:t>.</w:t>
      </w:r>
      <w:r>
        <w:rPr>
          <w:snapToGrid w:val="0"/>
        </w:rPr>
        <w:tab/>
        <w:t>Status of managing director and officers and employees of Commission</w:t>
      </w:r>
      <w:bookmarkEnd w:id="89"/>
      <w:bookmarkEnd w:id="90"/>
      <w:bookmarkEnd w:id="91"/>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5</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92" w:name="_Toc517674458"/>
      <w:bookmarkStart w:id="93" w:name="_Toc139707304"/>
      <w:bookmarkStart w:id="94" w:name="_Toc146528241"/>
      <w:r>
        <w:rPr>
          <w:rStyle w:val="CharSectno"/>
        </w:rPr>
        <w:t>13</w:t>
      </w:r>
      <w:r>
        <w:rPr>
          <w:snapToGrid w:val="0"/>
        </w:rPr>
        <w:t>.</w:t>
      </w:r>
      <w:r>
        <w:rPr>
          <w:snapToGrid w:val="0"/>
        </w:rPr>
        <w:tab/>
        <w:t>Use of staff and facilities of departments and instrumentalities</w:t>
      </w:r>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95" w:name="_Toc517674459"/>
      <w:bookmarkStart w:id="96" w:name="_Toc139707305"/>
      <w:bookmarkStart w:id="97" w:name="_Toc146528242"/>
      <w:r>
        <w:rPr>
          <w:rStyle w:val="CharSectno"/>
        </w:rPr>
        <w:t>13A</w:t>
      </w:r>
      <w:r>
        <w:rPr>
          <w:snapToGrid w:val="0"/>
        </w:rPr>
        <w:t>.</w:t>
      </w:r>
      <w:r>
        <w:rPr>
          <w:snapToGrid w:val="0"/>
        </w:rPr>
        <w:tab/>
        <w:t>Use of staff and facilities of an insurer</w:t>
      </w:r>
      <w:bookmarkEnd w:id="95"/>
      <w:bookmarkEnd w:id="96"/>
      <w:bookmarkEnd w:id="97"/>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98" w:name="_Toc517674460"/>
      <w:bookmarkStart w:id="99" w:name="_Toc139707306"/>
      <w:bookmarkStart w:id="100" w:name="_Toc146528243"/>
      <w:r>
        <w:rPr>
          <w:rStyle w:val="CharSectno"/>
        </w:rPr>
        <w:t>14</w:t>
      </w:r>
      <w:r>
        <w:rPr>
          <w:snapToGrid w:val="0"/>
        </w:rPr>
        <w:t>.</w:t>
      </w:r>
      <w:r>
        <w:rPr>
          <w:snapToGrid w:val="0"/>
        </w:rPr>
        <w:tab/>
        <w:t>Superannuation</w:t>
      </w:r>
      <w:bookmarkEnd w:id="98"/>
      <w:bookmarkEnd w:id="99"/>
      <w:bookmarkEnd w:id="100"/>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b/>
          <w:snapToGrid w:val="0"/>
        </w:rPr>
        <w:t>“</w:t>
      </w:r>
      <w:r>
        <w:rPr>
          <w:rStyle w:val="CharDefText"/>
        </w:rPr>
        <w:t>officers and employees</w:t>
      </w:r>
      <w:r>
        <w:rPr>
          <w:b/>
          <w:snapToGrid w:val="0"/>
        </w:rPr>
        <w:t>”</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pPr>
      <w:bookmarkStart w:id="101" w:name="_Toc138750588"/>
      <w:bookmarkStart w:id="102" w:name="_Toc138751273"/>
      <w:bookmarkStart w:id="103" w:name="_Toc139167014"/>
      <w:bookmarkStart w:id="104" w:name="_Toc139707307"/>
      <w:bookmarkStart w:id="105" w:name="_Toc139781075"/>
      <w:bookmarkStart w:id="106" w:name="_Toc139949358"/>
      <w:bookmarkStart w:id="107" w:name="_Toc142459060"/>
      <w:bookmarkStart w:id="108" w:name="_Toc144280006"/>
      <w:bookmarkStart w:id="109" w:name="_Toc146528244"/>
      <w:bookmarkStart w:id="110" w:name="_Toc92782884"/>
      <w:bookmarkStart w:id="111" w:name="_Toc92782998"/>
      <w:r>
        <w:rPr>
          <w:rStyle w:val="CharDivNo"/>
        </w:rPr>
        <w:t>Division 3A</w:t>
      </w:r>
      <w:r>
        <w:t> — </w:t>
      </w:r>
      <w:r>
        <w:rPr>
          <w:rStyle w:val="CharDivText"/>
        </w:rPr>
        <w:t>Strategic development plan and statement of corporate intent</w:t>
      </w:r>
      <w:bookmarkEnd w:id="101"/>
      <w:bookmarkEnd w:id="102"/>
      <w:bookmarkEnd w:id="103"/>
      <w:bookmarkEnd w:id="104"/>
      <w:bookmarkEnd w:id="105"/>
      <w:bookmarkEnd w:id="106"/>
      <w:bookmarkEnd w:id="107"/>
      <w:bookmarkEnd w:id="108"/>
      <w:bookmarkEnd w:id="109"/>
    </w:p>
    <w:p>
      <w:pPr>
        <w:pStyle w:val="Footnoteheading"/>
      </w:pPr>
      <w:r>
        <w:tab/>
        <w:t>[Heading inserted by No. 28 of 2006 s. 425.]</w:t>
      </w:r>
    </w:p>
    <w:p>
      <w:pPr>
        <w:pStyle w:val="Heading5"/>
      </w:pPr>
      <w:bookmarkStart w:id="112" w:name="_Toc138751274"/>
      <w:bookmarkStart w:id="113" w:name="_Toc139167015"/>
      <w:bookmarkStart w:id="114" w:name="_Toc139707308"/>
      <w:bookmarkStart w:id="115" w:name="_Toc146528245"/>
      <w:r>
        <w:rPr>
          <w:rStyle w:val="CharSectno"/>
        </w:rPr>
        <w:t>14A</w:t>
      </w:r>
      <w:r>
        <w:t>.</w:t>
      </w:r>
      <w:r>
        <w:tab/>
        <w:t>Duty to observe policy instruments</w:t>
      </w:r>
      <w:bookmarkEnd w:id="112"/>
      <w:bookmarkEnd w:id="113"/>
      <w:bookmarkEnd w:id="114"/>
      <w:bookmarkEnd w:id="115"/>
    </w:p>
    <w:p>
      <w:pPr>
        <w:pStyle w:val="Subsection"/>
      </w:pPr>
      <w:r>
        <w:tab/>
      </w:r>
      <w:r>
        <w:tab/>
        <w:t>The Commission is to perform its functions in accordance with its strategic development plan and its statement of corporate intent as existing from time to time.</w:t>
      </w:r>
    </w:p>
    <w:p>
      <w:pPr>
        <w:pStyle w:val="Footnotesection"/>
      </w:pPr>
      <w:bookmarkStart w:id="116" w:name="_Toc138751275"/>
      <w:bookmarkStart w:id="117" w:name="_Toc139167016"/>
      <w:r>
        <w:tab/>
        <w:t>[Section 14A inserted by No. 28 of 2006 s. 425.]</w:t>
      </w:r>
    </w:p>
    <w:p>
      <w:pPr>
        <w:pStyle w:val="Heading5"/>
      </w:pPr>
      <w:bookmarkStart w:id="118" w:name="_Toc139707309"/>
      <w:bookmarkStart w:id="119" w:name="_Toc146528246"/>
      <w:r>
        <w:rPr>
          <w:rStyle w:val="CharSectno"/>
        </w:rPr>
        <w:t>14B</w:t>
      </w:r>
      <w:r>
        <w:t>.</w:t>
      </w:r>
      <w:r>
        <w:tab/>
        <w:t>Strategic development plan and statement of corporate intent</w:t>
      </w:r>
      <w:bookmarkEnd w:id="116"/>
      <w:bookmarkEnd w:id="117"/>
      <w:bookmarkEnd w:id="118"/>
      <w:bookmarkEnd w:id="119"/>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bookmarkStart w:id="120" w:name="_Toc138751276"/>
      <w:bookmarkStart w:id="121" w:name="_Toc139167017"/>
      <w:r>
        <w:tab/>
        <w:t>[Section 14B inserted by No. 28 of 2006 s. 425.]</w:t>
      </w:r>
    </w:p>
    <w:p>
      <w:pPr>
        <w:pStyle w:val="Heading5"/>
        <w:spacing w:before="240"/>
      </w:pPr>
      <w:bookmarkStart w:id="122" w:name="_Toc139707310"/>
      <w:bookmarkStart w:id="123" w:name="_Toc146528247"/>
      <w:r>
        <w:rPr>
          <w:rStyle w:val="CharSectno"/>
        </w:rPr>
        <w:t>14C</w:t>
      </w:r>
      <w:r>
        <w:t>.</w:t>
      </w:r>
      <w:r>
        <w:tab/>
        <w:t>Laying directions about strategic development plan or statement of corporate intent before Parliament</w:t>
      </w:r>
      <w:bookmarkEnd w:id="120"/>
      <w:bookmarkEnd w:id="121"/>
      <w:bookmarkEnd w:id="122"/>
      <w:bookmarkEnd w:id="123"/>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section 66 of the </w:t>
      </w:r>
      <w:r>
        <w:rPr>
          <w:i/>
        </w:rPr>
        <w:t>Financial Administration and Audit Act 1985</w:t>
      </w:r>
      <w:r>
        <w:t>.</w:t>
      </w:r>
    </w:p>
    <w:p>
      <w:pPr>
        <w:pStyle w:val="Footnotesection"/>
      </w:pPr>
      <w:r>
        <w:tab/>
        <w:t>[Section 14C inserted by No. 28 of 2006 s. 425.]</w:t>
      </w:r>
    </w:p>
    <w:p>
      <w:pPr>
        <w:pStyle w:val="Heading3"/>
        <w:rPr>
          <w:snapToGrid w:val="0"/>
        </w:rPr>
      </w:pPr>
      <w:bookmarkStart w:id="124" w:name="_Toc139707311"/>
      <w:bookmarkStart w:id="125" w:name="_Toc139781079"/>
      <w:bookmarkStart w:id="126" w:name="_Toc139949362"/>
      <w:bookmarkStart w:id="127" w:name="_Toc142459064"/>
      <w:bookmarkStart w:id="128" w:name="_Toc144280010"/>
      <w:bookmarkStart w:id="129" w:name="_Toc146528248"/>
      <w:r>
        <w:rPr>
          <w:rStyle w:val="CharDivNo"/>
        </w:rPr>
        <w:t>Division 4</w:t>
      </w:r>
      <w:r>
        <w:rPr>
          <w:snapToGrid w:val="0"/>
        </w:rPr>
        <w:t> — </w:t>
      </w:r>
      <w:r>
        <w:rPr>
          <w:rStyle w:val="CharDivText"/>
        </w:rPr>
        <w:t>Financial provisions relating to the Commission</w:t>
      </w:r>
      <w:bookmarkEnd w:id="110"/>
      <w:bookmarkEnd w:id="111"/>
      <w:bookmarkEnd w:id="124"/>
      <w:bookmarkEnd w:id="125"/>
      <w:bookmarkEnd w:id="126"/>
      <w:bookmarkEnd w:id="127"/>
      <w:bookmarkEnd w:id="128"/>
      <w:bookmarkEnd w:id="129"/>
      <w:r>
        <w:rPr>
          <w:rStyle w:val="CharDivText"/>
        </w:rPr>
        <w:t xml:space="preserve"> </w:t>
      </w:r>
    </w:p>
    <w:p>
      <w:pPr>
        <w:pStyle w:val="Heading4"/>
        <w:rPr>
          <w:snapToGrid w:val="0"/>
        </w:rPr>
      </w:pPr>
      <w:bookmarkStart w:id="130" w:name="_Toc92782885"/>
      <w:bookmarkStart w:id="131" w:name="_Toc92782999"/>
      <w:bookmarkStart w:id="132" w:name="_Toc139707312"/>
      <w:bookmarkStart w:id="133" w:name="_Toc139781080"/>
      <w:bookmarkStart w:id="134" w:name="_Toc139949363"/>
      <w:bookmarkStart w:id="135" w:name="_Toc142459065"/>
      <w:bookmarkStart w:id="136" w:name="_Toc144280011"/>
      <w:bookmarkStart w:id="137" w:name="_Toc146528249"/>
      <w:r>
        <w:rPr>
          <w:snapToGrid w:val="0"/>
        </w:rPr>
        <w:t>Subdivision A — Income, expenditure and property of the Commission</w:t>
      </w:r>
      <w:bookmarkEnd w:id="130"/>
      <w:bookmarkEnd w:id="131"/>
      <w:bookmarkEnd w:id="132"/>
      <w:bookmarkEnd w:id="133"/>
      <w:bookmarkEnd w:id="134"/>
      <w:bookmarkEnd w:id="135"/>
      <w:bookmarkEnd w:id="136"/>
      <w:bookmarkEnd w:id="137"/>
      <w:r>
        <w:rPr>
          <w:snapToGrid w:val="0"/>
        </w:rPr>
        <w:t xml:space="preserve"> </w:t>
      </w:r>
    </w:p>
    <w:p>
      <w:pPr>
        <w:pStyle w:val="Heading5"/>
        <w:rPr>
          <w:snapToGrid w:val="0"/>
        </w:rPr>
      </w:pPr>
      <w:bookmarkStart w:id="138" w:name="_Toc517674461"/>
      <w:bookmarkStart w:id="139" w:name="_Toc139707313"/>
      <w:bookmarkStart w:id="140" w:name="_Toc146528250"/>
      <w:r>
        <w:rPr>
          <w:rStyle w:val="CharSectno"/>
        </w:rPr>
        <w:t>15</w:t>
      </w:r>
      <w:r>
        <w:rPr>
          <w:snapToGrid w:val="0"/>
        </w:rPr>
        <w:t>.</w:t>
      </w:r>
      <w:r>
        <w:rPr>
          <w:snapToGrid w:val="0"/>
        </w:rPr>
        <w:tab/>
        <w:t>Moneys available to the Commission</w:t>
      </w:r>
      <w:bookmarkEnd w:id="138"/>
      <w:bookmarkEnd w:id="139"/>
      <w:bookmarkEnd w:id="140"/>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w:t>
      </w:r>
    </w:p>
    <w:p>
      <w:pPr>
        <w:pStyle w:val="Indenta"/>
        <w:rPr>
          <w:snapToGrid w:val="0"/>
        </w:rPr>
      </w:pPr>
      <w:r>
        <w:rPr>
          <w:snapToGrid w:val="0"/>
        </w:rPr>
        <w:tab/>
        <w:t>(b)</w:t>
      </w:r>
      <w:r>
        <w:rPr>
          <w:snapToGrid w:val="0"/>
        </w:rPr>
        <w:tab/>
        <w:t>moneys received by the Commission, pursuant to any written law, by way of premiums, charges, fees, interest or payment for services;</w:t>
      </w:r>
    </w:p>
    <w:p>
      <w:pPr>
        <w:pStyle w:val="Indenta"/>
        <w:keepLines/>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w:t>
      </w:r>
    </w:p>
    <w:p>
      <w:pPr>
        <w:pStyle w:val="Indenta"/>
        <w:rPr>
          <w:snapToGrid w:val="0"/>
        </w:rPr>
      </w:pPr>
      <w:r>
        <w:rPr>
          <w:snapToGrid w:val="0"/>
        </w:rPr>
        <w:tab/>
        <w:t>(d)</w:t>
      </w:r>
      <w:r>
        <w:rPr>
          <w:snapToGrid w:val="0"/>
        </w:rPr>
        <w:tab/>
        <w:t>moneys received from the Corporation by way of dividends;</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Heading5"/>
        <w:rPr>
          <w:snapToGrid w:val="0"/>
        </w:rPr>
      </w:pPr>
      <w:bookmarkStart w:id="141" w:name="_Toc517674462"/>
      <w:bookmarkStart w:id="142" w:name="_Toc139707314"/>
      <w:bookmarkStart w:id="143" w:name="_Toc146528251"/>
      <w:r>
        <w:rPr>
          <w:rStyle w:val="CharSectno"/>
        </w:rPr>
        <w:t>16</w:t>
      </w:r>
      <w:r>
        <w:rPr>
          <w:snapToGrid w:val="0"/>
        </w:rPr>
        <w:t>.</w:t>
      </w:r>
      <w:r>
        <w:rPr>
          <w:snapToGrid w:val="0"/>
        </w:rPr>
        <w:tab/>
        <w:t>Establishment and composition of Funds</w:t>
      </w:r>
      <w:bookmarkEnd w:id="141"/>
      <w:bookmarkEnd w:id="142"/>
      <w:bookmarkEnd w:id="143"/>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w:t>
      </w:r>
    </w:p>
    <w:p>
      <w:pPr>
        <w:pStyle w:val="Indenta"/>
        <w:rPr>
          <w:snapToGrid w:val="0"/>
        </w:rPr>
      </w:pPr>
      <w:r>
        <w:rPr>
          <w:snapToGrid w:val="0"/>
        </w:rPr>
        <w:tab/>
        <w:t>(b)</w:t>
      </w:r>
      <w:r>
        <w:rPr>
          <w:snapToGrid w:val="0"/>
        </w:rPr>
        <w:tab/>
        <w:t>a fund to be called the “Compensation (Miscellaneous Risks) Insurance Fund”;</w:t>
      </w:r>
    </w:p>
    <w:p>
      <w:pPr>
        <w:pStyle w:val="Indenta"/>
        <w:rPr>
          <w:snapToGrid w:val="0"/>
        </w:rPr>
      </w:pPr>
      <w:r>
        <w:rPr>
          <w:snapToGrid w:val="0"/>
        </w:rPr>
        <w:tab/>
        <w:t>(c)</w:t>
      </w:r>
      <w:r>
        <w:rPr>
          <w:snapToGrid w:val="0"/>
        </w:rPr>
        <w:tab/>
        <w:t>a fund to be called the “Compensation (Industrial Diseases) Fund”;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keepNext/>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(3)</w:t>
      </w:r>
      <w:r>
        <w:rPr>
          <w:snapToGrid w:val="0"/>
        </w:rPr>
        <w:tab/>
        <w:t>The Compensation (Miscellaneous Risks)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6(b)(i);</w:t>
      </w:r>
    </w:p>
    <w:p>
      <w:pPr>
        <w:pStyle w:val="Indenta"/>
        <w:rPr>
          <w:snapToGrid w:val="0"/>
        </w:rPr>
      </w:pPr>
      <w:r>
        <w:rPr>
          <w:snapToGrid w:val="0"/>
        </w:rPr>
        <w:tab/>
        <w:t>(b)</w:t>
      </w:r>
      <w:r>
        <w:rPr>
          <w:snapToGrid w:val="0"/>
        </w:rPr>
        <w:tab/>
        <w:t>other property received or acquired by the Commission in connection with the Commission’s functions under section 6(b)(i);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6(b)(i) and for that purpose only.</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6(b)(ii) or its functions under section 6(e) in so far as they relate to industrial diseases;</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rPr>
          <w:snapToGrid w:val="0"/>
        </w:rPr>
      </w:pPr>
      <w:r>
        <w:rPr>
          <w:snapToGrid w:val="0"/>
        </w:rPr>
        <w:tab/>
        <w:t>(7)</w:t>
      </w:r>
      <w:r>
        <w:rPr>
          <w:snapToGrid w:val="0"/>
        </w:rPr>
        <w:tab/>
        <w:t xml:space="preserve">An account or accounts shall be maintained at the Treasury, forming part of the Trust Fund constituted under section 9 of the </w:t>
      </w:r>
      <w:r>
        <w:rPr>
          <w:i/>
          <w:snapToGrid w:val="0"/>
        </w:rPr>
        <w:t>Financial Administration and Audit Act 1985</w:t>
      </w:r>
      <w:r>
        <w:rPr>
          <w:snapToGrid w:val="0"/>
        </w:rPr>
        <w:t>, or in a bank or banks approved by the Treasurer under section 7(2)(c) in respect of each Fund.</w:t>
      </w:r>
    </w:p>
    <w:p>
      <w:pPr>
        <w:pStyle w:val="Subsection"/>
        <w:rPr>
          <w:snapToGrid w:val="0"/>
        </w:rPr>
      </w:pPr>
      <w:r>
        <w:rPr>
          <w:snapToGrid w:val="0"/>
        </w:rPr>
        <w:tab/>
        <w:t>(8)</w:t>
      </w:r>
      <w:r>
        <w:rPr>
          <w:snapToGrid w:val="0"/>
        </w:rPr>
        <w:tab/>
        <w:t>One account may be maintained under subsection (7) in respect of 2 or more Funds.</w:t>
      </w:r>
    </w:p>
    <w:p>
      <w:pPr>
        <w:pStyle w:val="Footnotesection"/>
      </w:pPr>
      <w:r>
        <w:tab/>
        <w:t>[Section 16 amended by No. 49 of 1996 s. 64; No. 45 of 1996 s. 15; No. 34 of 2002 s. 8.]</w:t>
      </w:r>
    </w:p>
    <w:p>
      <w:pPr>
        <w:pStyle w:val="Heading5"/>
        <w:rPr>
          <w:snapToGrid w:val="0"/>
        </w:rPr>
      </w:pPr>
      <w:bookmarkStart w:id="144" w:name="_Toc517674463"/>
      <w:bookmarkStart w:id="145" w:name="_Toc139707315"/>
      <w:bookmarkStart w:id="146" w:name="_Toc146528252"/>
      <w:r>
        <w:rPr>
          <w:rStyle w:val="CharSectno"/>
        </w:rPr>
        <w:t>17</w:t>
      </w:r>
      <w:r>
        <w:rPr>
          <w:snapToGrid w:val="0"/>
        </w:rPr>
        <w:t>.</w:t>
      </w:r>
      <w:r>
        <w:rPr>
          <w:snapToGrid w:val="0"/>
        </w:rPr>
        <w:tab/>
        <w:t>Apportionment of income, expenditure and assets</w:t>
      </w:r>
      <w:bookmarkEnd w:id="144"/>
      <w:bookmarkEnd w:id="145"/>
      <w:bookmarkEnd w:id="146"/>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147" w:name="_Toc517674464"/>
      <w:bookmarkStart w:id="148" w:name="_Toc139707316"/>
      <w:bookmarkStart w:id="149" w:name="_Toc146528253"/>
      <w:r>
        <w:rPr>
          <w:rStyle w:val="CharSectno"/>
        </w:rPr>
        <w:t>18</w:t>
      </w:r>
      <w:r>
        <w:rPr>
          <w:snapToGrid w:val="0"/>
        </w:rPr>
        <w:t>.</w:t>
      </w:r>
      <w:r>
        <w:rPr>
          <w:snapToGrid w:val="0"/>
        </w:rPr>
        <w:tab/>
        <w:t>Transfer between Funds</w:t>
      </w:r>
      <w:bookmarkEnd w:id="147"/>
      <w:bookmarkEnd w:id="148"/>
      <w:bookmarkEnd w:id="149"/>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snapToGrid w:val="0"/>
        </w:rPr>
        <w:t>Financial Administration and Audit Act 1985</w:t>
      </w:r>
      <w:r>
        <w:rPr>
          <w:snapToGrid w:val="0"/>
        </w:rPr>
        <w:t xml:space="preserve"> 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w:t>
      </w:r>
    </w:p>
    <w:p>
      <w:pPr>
        <w:pStyle w:val="Indenta"/>
        <w:rPr>
          <w:snapToGrid w:val="0"/>
        </w:rPr>
      </w:pPr>
      <w:r>
        <w:rPr>
          <w:snapToGrid w:val="0"/>
        </w:rPr>
        <w:tab/>
        <w:t>(b)</w:t>
      </w:r>
      <w:r>
        <w:rPr>
          <w:snapToGrid w:val="0"/>
        </w:rPr>
        <w:tab/>
        <w:t>the Consolidated Fund; or</w:t>
      </w:r>
    </w:p>
    <w:p>
      <w:pPr>
        <w:pStyle w:val="Indenta"/>
        <w:rPr>
          <w:snapToGrid w:val="0"/>
        </w:rPr>
      </w:pPr>
      <w:r>
        <w:rPr>
          <w:snapToGrid w:val="0"/>
        </w:rPr>
        <w:tab/>
        <w:t>(c)</w:t>
      </w:r>
      <w:r>
        <w:rPr>
          <w:snapToGrid w:val="0"/>
        </w:rPr>
        <w:tab/>
        <w:t>any other fund or account.</w:t>
      </w:r>
    </w:p>
    <w:p>
      <w:pPr>
        <w:pStyle w:val="Subsection"/>
        <w:rPr>
          <w:snapToGrid w:val="0"/>
        </w:rPr>
      </w:pPr>
      <w:r>
        <w:rPr>
          <w:snapToGrid w:val="0"/>
        </w:rPr>
        <w:tab/>
        <w:t>(3)</w:t>
      </w:r>
      <w:r>
        <w:rPr>
          <w:snapToGrid w:val="0"/>
        </w:rPr>
        <w:tab/>
        <w:t xml:space="preserve">The Commission may transfer moneys from the Compensation (Industrial Diseases) Fund to the Insurance Commission General Fund to meet or assist in meeting any amounts required to be expended by the Commission under paragraph 6 of Schedule 2 to the </w:t>
      </w:r>
      <w:r>
        <w:rPr>
          <w:i/>
          <w:snapToGrid w:val="0"/>
        </w:rPr>
        <w:t>Mine Workers’ Relief Act 1932</w:t>
      </w:r>
      <w:r>
        <w:rPr>
          <w:snapToGrid w:val="0"/>
        </w:rPr>
        <w:t>.</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b/>
          <w:snapToGrid w:val="0"/>
        </w:rPr>
        <w:t>“</w:t>
      </w:r>
      <w:r>
        <w:rPr>
          <w:rStyle w:val="CharDefText"/>
        </w:rPr>
        <w:t>surplus</w:t>
      </w:r>
      <w:r>
        <w:rPr>
          <w:b/>
          <w:snapToGrid w:val="0"/>
        </w:rPr>
        <w:t>”</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w:t>
      </w:r>
    </w:p>
    <w:p>
      <w:pPr>
        <w:pStyle w:val="Heading4"/>
        <w:rPr>
          <w:snapToGrid w:val="0"/>
        </w:rPr>
      </w:pPr>
      <w:bookmarkStart w:id="150" w:name="_Toc92782890"/>
      <w:bookmarkStart w:id="151" w:name="_Toc92783004"/>
      <w:bookmarkStart w:id="152" w:name="_Toc139707317"/>
      <w:bookmarkStart w:id="153" w:name="_Toc139781085"/>
      <w:bookmarkStart w:id="154" w:name="_Toc139949368"/>
      <w:bookmarkStart w:id="155" w:name="_Toc142459070"/>
      <w:bookmarkStart w:id="156" w:name="_Toc144280016"/>
      <w:bookmarkStart w:id="157" w:name="_Toc146528254"/>
      <w:r>
        <w:rPr>
          <w:snapToGrid w:val="0"/>
        </w:rPr>
        <w:t>Subdivision Aa — Investment and property management</w:t>
      </w:r>
      <w:bookmarkEnd w:id="150"/>
      <w:bookmarkEnd w:id="151"/>
      <w:bookmarkEnd w:id="152"/>
      <w:bookmarkEnd w:id="153"/>
      <w:bookmarkEnd w:id="154"/>
      <w:bookmarkEnd w:id="155"/>
      <w:bookmarkEnd w:id="156"/>
      <w:bookmarkEnd w:id="157"/>
      <w:r>
        <w:rPr>
          <w:snapToGrid w:val="0"/>
        </w:rPr>
        <w:t xml:space="preserve"> </w:t>
      </w:r>
    </w:p>
    <w:p>
      <w:pPr>
        <w:pStyle w:val="Footnoteheading"/>
      </w:pPr>
      <w:r>
        <w:tab/>
        <w:t>[Heading inserted by No. 45 of 1996 s. 17.]</w:t>
      </w:r>
    </w:p>
    <w:p>
      <w:pPr>
        <w:pStyle w:val="Heading5"/>
        <w:rPr>
          <w:snapToGrid w:val="0"/>
        </w:rPr>
      </w:pPr>
      <w:bookmarkStart w:id="158" w:name="_Toc517674465"/>
      <w:bookmarkStart w:id="159" w:name="_Toc139707318"/>
      <w:bookmarkStart w:id="160" w:name="_Toc146528255"/>
      <w:r>
        <w:rPr>
          <w:rStyle w:val="CharSectno"/>
        </w:rPr>
        <w:t>19</w:t>
      </w:r>
      <w:r>
        <w:rPr>
          <w:snapToGrid w:val="0"/>
        </w:rPr>
        <w:t>.</w:t>
      </w:r>
      <w:r>
        <w:rPr>
          <w:snapToGrid w:val="0"/>
        </w:rPr>
        <w:tab/>
        <w:t>Arrangements for appointment of investment managers</w:t>
      </w:r>
      <w:bookmarkEnd w:id="158"/>
      <w:bookmarkEnd w:id="159"/>
      <w:bookmarkEnd w:id="160"/>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161" w:name="_Toc517674466"/>
      <w:bookmarkStart w:id="162" w:name="_Toc139707319"/>
      <w:bookmarkStart w:id="163" w:name="_Toc146528256"/>
      <w:r>
        <w:rPr>
          <w:rStyle w:val="CharSectno"/>
        </w:rPr>
        <w:t>19A</w:t>
      </w:r>
      <w:r>
        <w:rPr>
          <w:snapToGrid w:val="0"/>
        </w:rPr>
        <w:t>.</w:t>
      </w:r>
      <w:r>
        <w:rPr>
          <w:snapToGrid w:val="0"/>
        </w:rPr>
        <w:tab/>
        <w:t>Investment policy</w:t>
      </w:r>
      <w:bookmarkEnd w:id="161"/>
      <w:bookmarkEnd w:id="162"/>
      <w:bookmarkEnd w:id="163"/>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164" w:name="_Toc92782893"/>
      <w:bookmarkStart w:id="165" w:name="_Toc92783007"/>
      <w:bookmarkStart w:id="166" w:name="_Toc139707320"/>
      <w:bookmarkStart w:id="167" w:name="_Toc139781088"/>
      <w:bookmarkStart w:id="168" w:name="_Toc139949371"/>
      <w:bookmarkStart w:id="169" w:name="_Toc142459073"/>
      <w:bookmarkStart w:id="170" w:name="_Toc144280019"/>
      <w:bookmarkStart w:id="171" w:name="_Toc146528257"/>
      <w:r>
        <w:rPr>
          <w:snapToGrid w:val="0"/>
        </w:rPr>
        <w:t>Subdivision B — Financial administration, audit and reporting</w:t>
      </w:r>
      <w:bookmarkEnd w:id="164"/>
      <w:bookmarkEnd w:id="165"/>
      <w:bookmarkEnd w:id="166"/>
      <w:bookmarkEnd w:id="167"/>
      <w:bookmarkEnd w:id="168"/>
      <w:bookmarkEnd w:id="169"/>
      <w:bookmarkEnd w:id="170"/>
      <w:bookmarkEnd w:id="171"/>
      <w:r>
        <w:rPr>
          <w:snapToGrid w:val="0"/>
        </w:rPr>
        <w:t xml:space="preserve"> </w:t>
      </w:r>
    </w:p>
    <w:p>
      <w:pPr>
        <w:pStyle w:val="Heading5"/>
        <w:rPr>
          <w:snapToGrid w:val="0"/>
        </w:rPr>
      </w:pPr>
      <w:bookmarkStart w:id="172" w:name="_Toc517674467"/>
      <w:bookmarkStart w:id="173" w:name="_Toc139707321"/>
      <w:bookmarkStart w:id="174" w:name="_Toc146528258"/>
      <w:r>
        <w:rPr>
          <w:rStyle w:val="CharSectno"/>
        </w:rPr>
        <w:t>20</w:t>
      </w:r>
      <w:r>
        <w:rPr>
          <w:snapToGrid w:val="0"/>
        </w:rPr>
        <w:t>.</w:t>
      </w:r>
      <w:r>
        <w:rPr>
          <w:snapToGrid w:val="0"/>
        </w:rPr>
        <w:tab/>
        <w:t xml:space="preserve">Application of </w:t>
      </w:r>
      <w:r>
        <w:rPr>
          <w:i/>
          <w:snapToGrid w:val="0"/>
        </w:rPr>
        <w:t>Financial Administration and Audit Act 1985</w:t>
      </w:r>
      <w:r>
        <w:rPr>
          <w:snapToGrid w:val="0"/>
        </w:rPr>
        <w:t xml:space="preserve"> to the Commission</w:t>
      </w:r>
      <w:bookmarkEnd w:id="172"/>
      <w:bookmarkEnd w:id="173"/>
      <w:bookmarkEnd w:id="174"/>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5"/>
        <w:rPr>
          <w:snapToGrid w:val="0"/>
        </w:rPr>
      </w:pPr>
      <w:bookmarkStart w:id="175" w:name="_Toc517674468"/>
      <w:bookmarkStart w:id="176" w:name="_Toc139707322"/>
      <w:bookmarkStart w:id="177" w:name="_Toc146528259"/>
      <w:r>
        <w:rPr>
          <w:rStyle w:val="CharSectno"/>
        </w:rPr>
        <w:t>21</w:t>
      </w:r>
      <w:r>
        <w:rPr>
          <w:snapToGrid w:val="0"/>
        </w:rPr>
        <w:t>.</w:t>
      </w:r>
      <w:r>
        <w:rPr>
          <w:snapToGrid w:val="0"/>
        </w:rPr>
        <w:tab/>
        <w:t>Provisions and reserves</w:t>
      </w:r>
      <w:bookmarkEnd w:id="175"/>
      <w:bookmarkEnd w:id="176"/>
      <w:bookmarkEnd w:id="177"/>
      <w:r>
        <w:rPr>
          <w:snapToGrid w:val="0"/>
        </w:rPr>
        <w:t xml:space="preserve"> </w:t>
      </w:r>
    </w:p>
    <w:p>
      <w:pPr>
        <w:pStyle w:val="Subsection"/>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rPr>
          <w:snapToGrid w:val="0"/>
        </w:rPr>
      </w:pPr>
      <w:bookmarkStart w:id="178" w:name="_Toc517674469"/>
      <w:bookmarkStart w:id="179" w:name="_Toc139707323"/>
      <w:bookmarkStart w:id="180" w:name="_Toc146528260"/>
      <w:r>
        <w:rPr>
          <w:rStyle w:val="CharSectno"/>
        </w:rPr>
        <w:t>22</w:t>
      </w:r>
      <w:r>
        <w:rPr>
          <w:snapToGrid w:val="0"/>
        </w:rPr>
        <w:t>.</w:t>
      </w:r>
      <w:r>
        <w:rPr>
          <w:snapToGrid w:val="0"/>
        </w:rPr>
        <w:tab/>
        <w:t>Accounts</w:t>
      </w:r>
      <w:bookmarkEnd w:id="178"/>
      <w:bookmarkEnd w:id="179"/>
      <w:bookmarkEnd w:id="180"/>
      <w:r>
        <w:rPr>
          <w:snapToGrid w:val="0"/>
        </w:rPr>
        <w:t xml:space="preserve"> </w:t>
      </w:r>
    </w:p>
    <w:p>
      <w:pPr>
        <w:pStyle w:val="Subsection"/>
        <w:rPr>
          <w:snapToGrid w:val="0"/>
        </w:rPr>
      </w:pPr>
      <w:r>
        <w:rPr>
          <w:snapToGrid w:val="0"/>
        </w:rPr>
        <w:tab/>
      </w:r>
      <w:r>
        <w:rPr>
          <w:snapToGrid w:val="0"/>
        </w:rPr>
        <w:tab/>
        <w:t xml:space="preserve">The Commission shall cause separate and distinct accounts to be kept and maintained under the </w:t>
      </w:r>
      <w:r>
        <w:rPr>
          <w:i/>
          <w:snapToGrid w:val="0"/>
        </w:rPr>
        <w:t>Financial Administration and Audit Act 1985</w:t>
      </w:r>
      <w:r>
        <w:rPr>
          <w:snapToGrid w:val="0"/>
        </w:rPr>
        <w:t xml:space="preserve"> in respect of each Commission account.</w:t>
      </w:r>
    </w:p>
    <w:p>
      <w:pPr>
        <w:pStyle w:val="Footnotesection"/>
      </w:pPr>
      <w:r>
        <w:tab/>
        <w:t>[Section 22 amended by No. 45 of 1996 s. 18.]</w:t>
      </w:r>
    </w:p>
    <w:p>
      <w:pPr>
        <w:pStyle w:val="Heading5"/>
        <w:rPr>
          <w:snapToGrid w:val="0"/>
        </w:rPr>
      </w:pPr>
      <w:bookmarkStart w:id="181" w:name="_Toc517674470"/>
      <w:bookmarkStart w:id="182" w:name="_Toc139707324"/>
      <w:bookmarkStart w:id="183" w:name="_Toc146528261"/>
      <w:r>
        <w:rPr>
          <w:rStyle w:val="CharSectno"/>
        </w:rPr>
        <w:t>23</w:t>
      </w:r>
      <w:r>
        <w:rPr>
          <w:snapToGrid w:val="0"/>
        </w:rPr>
        <w:t>.</w:t>
      </w:r>
      <w:r>
        <w:rPr>
          <w:snapToGrid w:val="0"/>
        </w:rPr>
        <w:tab/>
        <w:t>Annual reports, financial statements</w:t>
      </w:r>
      <w:bookmarkEnd w:id="181"/>
      <w:bookmarkEnd w:id="182"/>
      <w:bookmarkEnd w:id="183"/>
      <w:r>
        <w:rPr>
          <w:snapToGrid w:val="0"/>
        </w:rPr>
        <w:t xml:space="preserve"> </w:t>
      </w:r>
    </w:p>
    <w:p>
      <w:pPr>
        <w:pStyle w:val="Subsection"/>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 xml:space="preserve">cause a separate and distinct annual report to be prepared and submitted under section 66(1) of the </w:t>
      </w:r>
      <w:r>
        <w:rPr>
          <w:i/>
          <w:snapToGrid w:val="0"/>
        </w:rPr>
        <w:t>Financial Administration and Audit Act 1985</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section 66(1)(a) of the </w:t>
      </w:r>
      <w:r>
        <w:rPr>
          <w:i/>
          <w:snapToGrid w:val="0"/>
        </w:rPr>
        <w:t>Financial Administration and Audit Act 1985</w:t>
      </w:r>
      <w:r>
        <w:rPr>
          <w:snapToGrid w:val="0"/>
        </w:rPr>
        <w:t xml:space="preserve"> to be prepared in respect of a Commission account for inclusion in the Commission’s annual report under section 66(1) of that Act.</w:t>
      </w:r>
    </w:p>
    <w:p>
      <w:pPr>
        <w:pStyle w:val="Footnotesection"/>
      </w:pPr>
      <w:r>
        <w:tab/>
        <w:t xml:space="preserve">[Section 23 inserted by No. 45 of 1996 s. 19.] </w:t>
      </w:r>
    </w:p>
    <w:p>
      <w:pPr>
        <w:pStyle w:val="Heading4"/>
        <w:rPr>
          <w:snapToGrid w:val="0"/>
        </w:rPr>
      </w:pPr>
      <w:bookmarkStart w:id="184" w:name="_Toc92782898"/>
      <w:bookmarkStart w:id="185" w:name="_Toc92783012"/>
      <w:bookmarkStart w:id="186" w:name="_Toc139707325"/>
      <w:bookmarkStart w:id="187" w:name="_Toc139781093"/>
      <w:bookmarkStart w:id="188" w:name="_Toc139949376"/>
      <w:bookmarkStart w:id="189" w:name="_Toc142459078"/>
      <w:bookmarkStart w:id="190" w:name="_Toc144280024"/>
      <w:bookmarkStart w:id="191" w:name="_Toc146528262"/>
      <w:r>
        <w:rPr>
          <w:snapToGrid w:val="0"/>
        </w:rPr>
        <w:t>Subdivision C — Borrowing and financial accommodation</w:t>
      </w:r>
      <w:bookmarkEnd w:id="184"/>
      <w:bookmarkEnd w:id="185"/>
      <w:bookmarkEnd w:id="186"/>
      <w:bookmarkEnd w:id="187"/>
      <w:bookmarkEnd w:id="188"/>
      <w:bookmarkEnd w:id="189"/>
      <w:bookmarkEnd w:id="190"/>
      <w:bookmarkEnd w:id="191"/>
      <w:r>
        <w:rPr>
          <w:snapToGrid w:val="0"/>
        </w:rPr>
        <w:t xml:space="preserve"> </w:t>
      </w:r>
    </w:p>
    <w:p>
      <w:pPr>
        <w:pStyle w:val="Heading5"/>
        <w:rPr>
          <w:snapToGrid w:val="0"/>
        </w:rPr>
      </w:pPr>
      <w:bookmarkStart w:id="192" w:name="_Toc517674471"/>
      <w:bookmarkStart w:id="193" w:name="_Toc139707326"/>
      <w:bookmarkStart w:id="194" w:name="_Toc146528263"/>
      <w:r>
        <w:rPr>
          <w:rStyle w:val="CharSectno"/>
        </w:rPr>
        <w:t>24</w:t>
      </w:r>
      <w:r>
        <w:rPr>
          <w:snapToGrid w:val="0"/>
        </w:rPr>
        <w:t>.</w:t>
      </w:r>
      <w:r>
        <w:rPr>
          <w:snapToGrid w:val="0"/>
        </w:rPr>
        <w:tab/>
        <w:t>Power to borrow etc., generally</w:t>
      </w:r>
      <w:bookmarkEnd w:id="192"/>
      <w:bookmarkEnd w:id="193"/>
      <w:bookmarkEnd w:id="194"/>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195" w:name="_Toc517674472"/>
      <w:bookmarkStart w:id="196" w:name="_Toc139707327"/>
      <w:bookmarkStart w:id="197" w:name="_Toc146528264"/>
      <w:r>
        <w:rPr>
          <w:rStyle w:val="CharSectno"/>
        </w:rPr>
        <w:t>25</w:t>
      </w:r>
      <w:r>
        <w:rPr>
          <w:snapToGrid w:val="0"/>
        </w:rPr>
        <w:t>.</w:t>
      </w:r>
      <w:r>
        <w:rPr>
          <w:snapToGrid w:val="0"/>
        </w:rPr>
        <w:tab/>
        <w:t>Power to make provision to pay off loans</w:t>
      </w:r>
      <w:bookmarkEnd w:id="195"/>
      <w:bookmarkEnd w:id="196"/>
      <w:bookmarkEnd w:id="197"/>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198" w:name="_Toc517674473"/>
      <w:bookmarkStart w:id="199" w:name="_Toc139707328"/>
      <w:bookmarkStart w:id="200" w:name="_Toc146528265"/>
      <w:r>
        <w:rPr>
          <w:rStyle w:val="CharSectno"/>
        </w:rPr>
        <w:t>26</w:t>
      </w:r>
      <w:r>
        <w:rPr>
          <w:snapToGrid w:val="0"/>
        </w:rPr>
        <w:t>.</w:t>
      </w:r>
      <w:r>
        <w:rPr>
          <w:snapToGrid w:val="0"/>
        </w:rPr>
        <w:tab/>
        <w:t>Borrowing power, from Treasury sources</w:t>
      </w:r>
      <w:bookmarkEnd w:id="198"/>
      <w:bookmarkEnd w:id="199"/>
      <w:bookmarkEnd w:id="200"/>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201" w:name="_Toc517674474"/>
      <w:bookmarkStart w:id="202" w:name="_Toc139707329"/>
      <w:bookmarkStart w:id="203" w:name="_Toc146528266"/>
      <w:r>
        <w:rPr>
          <w:rStyle w:val="CharSectno"/>
        </w:rPr>
        <w:t>27</w:t>
      </w:r>
      <w:r>
        <w:rPr>
          <w:snapToGrid w:val="0"/>
        </w:rPr>
        <w:t>.</w:t>
      </w:r>
      <w:r>
        <w:rPr>
          <w:snapToGrid w:val="0"/>
        </w:rPr>
        <w:tab/>
        <w:t>Specific State guarantees</w:t>
      </w:r>
      <w:bookmarkEnd w:id="201"/>
      <w:bookmarkEnd w:id="202"/>
      <w:bookmarkEnd w:id="203"/>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Fund which is hereby to the extent necessary appropriated accordingly, and any sums received or recovered by the Treasurer from the Commission or otherwise in respect of payment so charged shall be credited to the Consolidated Fund.</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w:t>
      </w:r>
    </w:p>
    <w:p>
      <w:pPr>
        <w:pStyle w:val="Heading2"/>
      </w:pPr>
      <w:bookmarkStart w:id="204" w:name="_Toc92782903"/>
      <w:bookmarkStart w:id="205" w:name="_Toc92783017"/>
      <w:bookmarkStart w:id="206" w:name="_Toc139707330"/>
      <w:bookmarkStart w:id="207" w:name="_Toc139781098"/>
      <w:bookmarkStart w:id="208" w:name="_Toc139949381"/>
      <w:bookmarkStart w:id="209" w:name="_Toc142459083"/>
      <w:bookmarkStart w:id="210" w:name="_Toc144280029"/>
      <w:bookmarkStart w:id="211" w:name="_Toc146528267"/>
      <w:r>
        <w:rPr>
          <w:rStyle w:val="CharPartNo"/>
        </w:rPr>
        <w:t>Part III</w:t>
      </w:r>
      <w:r>
        <w:t> — </w:t>
      </w:r>
      <w:r>
        <w:rPr>
          <w:rStyle w:val="CharPartText"/>
        </w:rPr>
        <w:t>State Government Insurance Corporation</w:t>
      </w:r>
      <w:bookmarkEnd w:id="204"/>
      <w:bookmarkEnd w:id="205"/>
      <w:bookmarkEnd w:id="206"/>
      <w:bookmarkEnd w:id="207"/>
      <w:bookmarkEnd w:id="208"/>
      <w:bookmarkEnd w:id="209"/>
      <w:bookmarkEnd w:id="210"/>
      <w:bookmarkEnd w:id="211"/>
      <w:r>
        <w:rPr>
          <w:rStyle w:val="CharPartText"/>
        </w:rPr>
        <w:t xml:space="preserve"> </w:t>
      </w:r>
    </w:p>
    <w:p>
      <w:pPr>
        <w:pStyle w:val="Heading3"/>
        <w:rPr>
          <w:snapToGrid w:val="0"/>
        </w:rPr>
      </w:pPr>
      <w:bookmarkStart w:id="212" w:name="_Toc92782904"/>
      <w:bookmarkStart w:id="213" w:name="_Toc92783018"/>
      <w:bookmarkStart w:id="214" w:name="_Toc139707331"/>
      <w:bookmarkStart w:id="215" w:name="_Toc139781099"/>
      <w:bookmarkStart w:id="216" w:name="_Toc139949382"/>
      <w:bookmarkStart w:id="217" w:name="_Toc142459084"/>
      <w:bookmarkStart w:id="218" w:name="_Toc144280030"/>
      <w:bookmarkStart w:id="219" w:name="_Toc146528268"/>
      <w:r>
        <w:rPr>
          <w:rStyle w:val="CharDivNo"/>
        </w:rPr>
        <w:t>Division 1</w:t>
      </w:r>
      <w:r>
        <w:rPr>
          <w:snapToGrid w:val="0"/>
        </w:rPr>
        <w:t> — </w:t>
      </w:r>
      <w:r>
        <w:rPr>
          <w:rStyle w:val="CharDivText"/>
        </w:rPr>
        <w:t>Establishment of the Corporation</w:t>
      </w:r>
      <w:bookmarkEnd w:id="212"/>
      <w:bookmarkEnd w:id="213"/>
      <w:bookmarkEnd w:id="214"/>
      <w:bookmarkEnd w:id="215"/>
      <w:bookmarkEnd w:id="216"/>
      <w:bookmarkEnd w:id="217"/>
      <w:bookmarkEnd w:id="218"/>
      <w:bookmarkEnd w:id="219"/>
      <w:r>
        <w:rPr>
          <w:rStyle w:val="CharDivText"/>
        </w:rPr>
        <w:t xml:space="preserve"> </w:t>
      </w:r>
    </w:p>
    <w:p>
      <w:pPr>
        <w:pStyle w:val="Heading5"/>
        <w:rPr>
          <w:snapToGrid w:val="0"/>
        </w:rPr>
      </w:pPr>
      <w:bookmarkStart w:id="220" w:name="_Toc517674475"/>
      <w:bookmarkStart w:id="221" w:name="_Toc139707332"/>
      <w:bookmarkStart w:id="222" w:name="_Toc146528269"/>
      <w:r>
        <w:rPr>
          <w:rStyle w:val="CharSectno"/>
        </w:rPr>
        <w:t>28</w:t>
      </w:r>
      <w:r>
        <w:rPr>
          <w:snapToGrid w:val="0"/>
        </w:rPr>
        <w:t>.</w:t>
      </w:r>
      <w:r>
        <w:rPr>
          <w:snapToGrid w:val="0"/>
        </w:rPr>
        <w:tab/>
        <w:t>State Government Insurance Corporation established as a body corporate</w:t>
      </w:r>
      <w:bookmarkEnd w:id="220"/>
      <w:bookmarkEnd w:id="221"/>
      <w:bookmarkEnd w:id="222"/>
      <w:r>
        <w:rPr>
          <w:snapToGrid w:val="0"/>
        </w:rPr>
        <w:t xml:space="preserve"> </w:t>
      </w:r>
    </w:p>
    <w:p>
      <w:pPr>
        <w:pStyle w:val="Subsection"/>
        <w:rPr>
          <w:snapToGrid w:val="0"/>
        </w:rPr>
      </w:pPr>
      <w:r>
        <w:rPr>
          <w:snapToGrid w:val="0"/>
        </w:rPr>
        <w:tab/>
        <w:t>(1)</w:t>
      </w:r>
      <w:r>
        <w:rPr>
          <w:snapToGrid w:val="0"/>
        </w:rPr>
        <w:tab/>
        <w:t>There is hereby established a body to be called the State Government Insurance Corporation.</w:t>
      </w:r>
    </w:p>
    <w:p>
      <w:pPr>
        <w:pStyle w:val="Subsection"/>
        <w:rPr>
          <w:snapToGrid w:val="0"/>
        </w:rPr>
      </w:pPr>
      <w:r>
        <w:rPr>
          <w:snapToGrid w:val="0"/>
        </w:rPr>
        <w:tab/>
        <w:t>(2)</w:t>
      </w:r>
      <w:r>
        <w:rPr>
          <w:snapToGrid w:val="0"/>
        </w:rPr>
        <w:tab/>
        <w:t>The Corporation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corporations may lawfully do and suffer.</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 xml:space="preserve">The Corporation is not, and shall not become, part of the Public Service under the </w:t>
      </w:r>
      <w:r>
        <w:rPr>
          <w:i/>
          <w:snapToGrid w:val="0"/>
        </w:rPr>
        <w:t>Public Sector Management Act 1994</w:t>
      </w:r>
      <w:r>
        <w:rPr>
          <w:snapToGrid w:val="0"/>
          <w:vertAlign w:val="superscript"/>
        </w:rPr>
        <w:t xml:space="preserve"> 5</w:t>
      </w:r>
      <w:r>
        <w:rPr>
          <w:snapToGrid w:val="0"/>
        </w:rPr>
        <w:t>.</w:t>
      </w:r>
    </w:p>
    <w:p>
      <w:pPr>
        <w:pStyle w:val="Subsection"/>
        <w:rPr>
          <w:snapToGrid w:val="0"/>
        </w:rPr>
      </w:pPr>
      <w:r>
        <w:rPr>
          <w:snapToGrid w:val="0"/>
        </w:rPr>
        <w:tab/>
        <w:t>(5)</w:t>
      </w:r>
      <w:r>
        <w:rPr>
          <w:snapToGrid w:val="0"/>
        </w:rPr>
        <w:tab/>
        <w:t>Notwithstanding subsection (1), the Corporation may use and operate under a trading name approved by the Minister being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(6)</w:t>
      </w:r>
      <w:r>
        <w:rPr>
          <w:snapToGrid w:val="0"/>
        </w:rPr>
        <w:tab/>
        <w:t xml:space="preserve">After the commencement of Part 3 of the </w:t>
      </w:r>
      <w:r>
        <w:rPr>
          <w:i/>
          <w:snapToGrid w:val="0"/>
        </w:rPr>
        <w:t>SGIO Privatisation Act 1992</w:t>
      </w:r>
      <w:r>
        <w:rPr>
          <w:snapToGrid w:val="0"/>
          <w:vertAlign w:val="superscript"/>
        </w:rPr>
        <w:t xml:space="preserve"> 6</w:t>
      </w:r>
      <w:r>
        <w:rPr>
          <w:snapToGrid w:val="0"/>
        </w:rPr>
        <w:t xml:space="preserve"> the Corporation is not to use the trading name “SGIO”, or a trading name that includes “SGIO”, except by agreement with SGIO Insurance Limited and in accordance with the terms of any such agreement.</w:t>
      </w:r>
    </w:p>
    <w:p>
      <w:pPr>
        <w:pStyle w:val="Footnotesection"/>
      </w:pPr>
      <w:r>
        <w:tab/>
        <w:t>[Section 28 amended by No. 49 of 1992 s. 28.]</w:t>
      </w:r>
    </w:p>
    <w:p>
      <w:pPr>
        <w:pStyle w:val="Heading5"/>
        <w:rPr>
          <w:snapToGrid w:val="0"/>
        </w:rPr>
      </w:pPr>
      <w:bookmarkStart w:id="223" w:name="_Toc517674476"/>
      <w:bookmarkStart w:id="224" w:name="_Toc139707333"/>
      <w:bookmarkStart w:id="225" w:name="_Toc146528270"/>
      <w:r>
        <w:rPr>
          <w:rStyle w:val="CharSectno"/>
        </w:rPr>
        <w:t>29</w:t>
      </w:r>
      <w:r>
        <w:rPr>
          <w:snapToGrid w:val="0"/>
        </w:rPr>
        <w:t>.</w:t>
      </w:r>
      <w:r>
        <w:rPr>
          <w:snapToGrid w:val="0"/>
        </w:rPr>
        <w:tab/>
        <w:t>Board of directors</w:t>
      </w:r>
      <w:bookmarkEnd w:id="223"/>
      <w:bookmarkEnd w:id="224"/>
      <w:bookmarkEnd w:id="225"/>
      <w:r>
        <w:rPr>
          <w:snapToGrid w:val="0"/>
        </w:rPr>
        <w:t xml:space="preserve"> </w:t>
      </w:r>
    </w:p>
    <w:p>
      <w:pPr>
        <w:pStyle w:val="Subsection"/>
        <w:rPr>
          <w:snapToGrid w:val="0"/>
        </w:rPr>
      </w:pPr>
      <w:r>
        <w:rPr>
          <w:snapToGrid w:val="0"/>
        </w:rPr>
        <w:tab/>
        <w:t>(1)</w:t>
      </w:r>
      <w:r>
        <w:rPr>
          <w:snapToGrid w:val="0"/>
        </w:rPr>
        <w:tab/>
        <w:t>The Corporation shall have a board of directors comprising — </w:t>
      </w:r>
    </w:p>
    <w:p>
      <w:pPr>
        <w:pStyle w:val="Indenta"/>
        <w:rPr>
          <w:snapToGrid w:val="0"/>
        </w:rPr>
      </w:pPr>
      <w:r>
        <w:rPr>
          <w:snapToGrid w:val="0"/>
        </w:rPr>
        <w:tab/>
        <w:t>(a)</w:t>
      </w:r>
      <w:r>
        <w:rPr>
          <w:snapToGrid w:val="0"/>
        </w:rPr>
        <w:tab/>
        <w:t xml:space="preserve">the managing director who shall be a director and the chairman of the board </w:t>
      </w:r>
      <w:r>
        <w:rPr>
          <w:i/>
          <w:snapToGrid w:val="0"/>
        </w:rPr>
        <w:t>ex officio</w:t>
      </w:r>
      <w:r>
        <w:rPr>
          <w:snapToGrid w:val="0"/>
        </w:rPr>
        <w:t>; and</w:t>
      </w:r>
    </w:p>
    <w:p>
      <w:pPr>
        <w:pStyle w:val="Indenta"/>
        <w:rPr>
          <w:snapToGrid w:val="0"/>
        </w:rPr>
      </w:pPr>
      <w:r>
        <w:rPr>
          <w:snapToGrid w:val="0"/>
        </w:rPr>
        <w:tab/>
        <w:t>(b)</w:t>
      </w:r>
      <w:r>
        <w:rPr>
          <w:snapToGrid w:val="0"/>
        </w:rPr>
        <w:tab/>
        <w:t>not less than 2 nor more than 4 other persons appointed as directors by the Commission.</w:t>
      </w:r>
    </w:p>
    <w:p>
      <w:pPr>
        <w:pStyle w:val="Subsection"/>
        <w:rPr>
          <w:snapToGrid w:val="0"/>
        </w:rPr>
      </w:pPr>
      <w:r>
        <w:rPr>
          <w:snapToGrid w:val="0"/>
        </w:rPr>
        <w:tab/>
        <w:t>(2)</w:t>
      </w:r>
      <w:r>
        <w:rPr>
          <w:snapToGrid w:val="0"/>
        </w:rPr>
        <w:tab/>
        <w:t>One of the directors referred to in subsection (1)(b) shall be appointed by the Commission to be deputy chairman of the board of directors.</w:t>
      </w:r>
    </w:p>
    <w:p>
      <w:pPr>
        <w:pStyle w:val="Subsection"/>
        <w:rPr>
          <w:snapToGrid w:val="0"/>
        </w:rPr>
      </w:pPr>
      <w:r>
        <w:rPr>
          <w:snapToGrid w:val="0"/>
        </w:rPr>
        <w:tab/>
        <w:t>(3)</w:t>
      </w:r>
      <w:r>
        <w:rPr>
          <w:snapToGrid w:val="0"/>
        </w:rPr>
        <w:tab/>
        <w:t>The board of directors is the governing body of the Corporation with authority, in the name of the Corporation, to exercise and perform the powers, functions and duties conferred or imposed on the Corporation under this Act.</w:t>
      </w:r>
    </w:p>
    <w:p>
      <w:pPr>
        <w:pStyle w:val="Subsection"/>
        <w:rPr>
          <w:snapToGrid w:val="0"/>
        </w:rPr>
      </w:pPr>
      <w:r>
        <w:rPr>
          <w:snapToGrid w:val="0"/>
        </w:rPr>
        <w:tab/>
        <w:t>(4)</w:t>
      </w:r>
      <w:r>
        <w:rPr>
          <w:snapToGrid w:val="0"/>
        </w:rPr>
        <w:tab/>
        <w:t>Schedule 2 shall have effect with respect to the board of directors and the directors of the Corporation and with respect to the acts, proceedings and determinations of the board of directors.</w:t>
      </w:r>
    </w:p>
    <w:p>
      <w:pPr>
        <w:pStyle w:val="Subsection"/>
        <w:rPr>
          <w:snapToGrid w:val="0"/>
        </w:rPr>
      </w:pPr>
      <w:r>
        <w:rPr>
          <w:snapToGrid w:val="0"/>
        </w:rPr>
        <w:tab/>
        <w:t>(5)</w:t>
      </w:r>
      <w:r>
        <w:rPr>
          <w:snapToGrid w:val="0"/>
        </w:rPr>
        <w:tab/>
        <w:t>A director of the Corporation referred to in subsection (1)(b) shall be paid out of the funds of the Corporation such remuneration and travelling and other allowances as are determined in the case of that director by the Minister on the recommendation of the Commission.</w:t>
      </w:r>
    </w:p>
    <w:p>
      <w:pPr>
        <w:pStyle w:val="Heading3"/>
        <w:rPr>
          <w:snapToGrid w:val="0"/>
        </w:rPr>
      </w:pPr>
      <w:bookmarkStart w:id="226" w:name="_Toc92782907"/>
      <w:bookmarkStart w:id="227" w:name="_Toc92783021"/>
      <w:bookmarkStart w:id="228" w:name="_Toc139707334"/>
      <w:bookmarkStart w:id="229" w:name="_Toc139781102"/>
      <w:bookmarkStart w:id="230" w:name="_Toc139949385"/>
      <w:bookmarkStart w:id="231" w:name="_Toc142459087"/>
      <w:bookmarkStart w:id="232" w:name="_Toc144280033"/>
      <w:bookmarkStart w:id="233" w:name="_Toc146528271"/>
      <w:r>
        <w:rPr>
          <w:rStyle w:val="CharDivNo"/>
        </w:rPr>
        <w:t>Division 2</w:t>
      </w:r>
      <w:r>
        <w:rPr>
          <w:snapToGrid w:val="0"/>
        </w:rPr>
        <w:t> — </w:t>
      </w:r>
      <w:r>
        <w:rPr>
          <w:rStyle w:val="CharDivText"/>
        </w:rPr>
        <w:t>Function and powers of the Corporation</w:t>
      </w:r>
      <w:bookmarkEnd w:id="226"/>
      <w:bookmarkEnd w:id="227"/>
      <w:bookmarkEnd w:id="228"/>
      <w:bookmarkEnd w:id="229"/>
      <w:bookmarkEnd w:id="230"/>
      <w:bookmarkEnd w:id="231"/>
      <w:bookmarkEnd w:id="232"/>
      <w:bookmarkEnd w:id="233"/>
      <w:r>
        <w:rPr>
          <w:rStyle w:val="CharDivText"/>
        </w:rPr>
        <w:t xml:space="preserve"> </w:t>
      </w:r>
    </w:p>
    <w:p>
      <w:pPr>
        <w:pStyle w:val="Heading5"/>
        <w:rPr>
          <w:snapToGrid w:val="0"/>
        </w:rPr>
      </w:pPr>
      <w:bookmarkStart w:id="234" w:name="_Toc517674477"/>
      <w:bookmarkStart w:id="235" w:name="_Toc139707335"/>
      <w:bookmarkStart w:id="236" w:name="_Toc146528272"/>
      <w:r>
        <w:rPr>
          <w:rStyle w:val="CharSectno"/>
        </w:rPr>
        <w:t>30</w:t>
      </w:r>
      <w:r>
        <w:rPr>
          <w:snapToGrid w:val="0"/>
        </w:rPr>
        <w:t>.</w:t>
      </w:r>
      <w:r>
        <w:rPr>
          <w:snapToGrid w:val="0"/>
        </w:rPr>
        <w:tab/>
        <w:t>Function and powers</w:t>
      </w:r>
      <w:bookmarkEnd w:id="234"/>
      <w:bookmarkEnd w:id="235"/>
      <w:bookmarkEnd w:id="236"/>
      <w:r>
        <w:rPr>
          <w:snapToGrid w:val="0"/>
        </w:rPr>
        <w:t xml:space="preserve"> </w:t>
      </w:r>
    </w:p>
    <w:p>
      <w:pPr>
        <w:pStyle w:val="Subsection"/>
        <w:rPr>
          <w:snapToGrid w:val="0"/>
        </w:rPr>
      </w:pPr>
      <w:r>
        <w:rPr>
          <w:snapToGrid w:val="0"/>
        </w:rPr>
        <w:tab/>
        <w:t>(1)</w:t>
      </w:r>
      <w:r>
        <w:rPr>
          <w:snapToGrid w:val="0"/>
        </w:rPr>
        <w:tab/>
        <w:t>The function of the Corporation is to manage the existing inwards re</w:t>
      </w:r>
      <w:r>
        <w:rPr>
          <w:snapToGrid w:val="0"/>
        </w:rPr>
        <w:noBreakHyphen/>
        <w:t>insurance policies and life insurance business of the Corporation and to do anything related to that function.</w:t>
      </w:r>
    </w:p>
    <w:p>
      <w:pPr>
        <w:pStyle w:val="Subsection"/>
        <w:rPr>
          <w:snapToGrid w:val="0"/>
        </w:rPr>
      </w:pPr>
      <w:r>
        <w:rPr>
          <w:snapToGrid w:val="0"/>
        </w:rPr>
        <w:tab/>
        <w:t>(2)</w:t>
      </w:r>
      <w:r>
        <w:rPr>
          <w:snapToGrid w:val="0"/>
        </w:rPr>
        <w:tab/>
        <w:t>Notwithstanding subsection (1), the Corporation may make such arrangements as it thinks fit with such persons as it thinks fit for the disposal of life policies issued by the Corporation or their continuance by another insurer, and for the disposal and assignment of assets, rights and liabilities relating to those policies.</w:t>
      </w:r>
    </w:p>
    <w:p>
      <w:pPr>
        <w:pStyle w:val="Subsection"/>
        <w:spacing w:before="120"/>
        <w:rPr>
          <w:snapToGrid w:val="0"/>
        </w:rPr>
      </w:pPr>
      <w:r>
        <w:rPr>
          <w:snapToGrid w:val="0"/>
        </w:rPr>
        <w:tab/>
        <w:t>(3)</w:t>
      </w:r>
      <w:r>
        <w:rPr>
          <w:snapToGrid w:val="0"/>
        </w:rPr>
        <w:tab/>
        <w:t>The Corporation has power to do, in the State or elsewhere, all things necessary or convenient to be done for or in connection with the performance of its function.</w:t>
      </w:r>
    </w:p>
    <w:p>
      <w:pPr>
        <w:pStyle w:val="Subsection"/>
        <w:rPr>
          <w:snapToGrid w:val="0"/>
        </w:rPr>
      </w:pPr>
      <w:r>
        <w:rPr>
          <w:snapToGrid w:val="0"/>
        </w:rPr>
        <w:tab/>
        <w:t>(4)</w:t>
      </w:r>
      <w:r>
        <w:rPr>
          <w:snapToGrid w:val="0"/>
        </w:rPr>
        <w:tab/>
        <w:t xml:space="preserve">Nothing in this section limits section 5 of the </w:t>
      </w:r>
      <w:r>
        <w:rPr>
          <w:i/>
          <w:snapToGrid w:val="0"/>
        </w:rPr>
        <w:t>SGIO Privatisation Act 1992</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existing</w:t>
      </w:r>
      <w:r>
        <w:rPr>
          <w:b/>
        </w:rPr>
        <w:t>”</w:t>
      </w:r>
      <w:r>
        <w:t xml:space="preserve"> means existing immediately before the appointed day</w:t>
      </w:r>
      <w:r>
        <w:rPr>
          <w:vertAlign w:val="superscript"/>
        </w:rPr>
        <w:t xml:space="preserve"> 7</w:t>
      </w:r>
      <w:r>
        <w:t xml:space="preserve"> under the </w:t>
      </w:r>
      <w:r>
        <w:rPr>
          <w:i/>
        </w:rPr>
        <w:t>SGIO Privatisation Act 1992</w:t>
      </w:r>
      <w:r>
        <w:t>;</w:t>
      </w:r>
    </w:p>
    <w:p>
      <w:pPr>
        <w:pStyle w:val="Defstart"/>
      </w:pPr>
      <w:r>
        <w:rPr>
          <w:b/>
        </w:rPr>
        <w:tab/>
        <w:t>“</w:t>
      </w:r>
      <w:r>
        <w:rPr>
          <w:rStyle w:val="CharDefText"/>
        </w:rPr>
        <w:t>inwards re</w:t>
      </w:r>
      <w:r>
        <w:rPr>
          <w:rStyle w:val="CharDefText"/>
        </w:rPr>
        <w:noBreakHyphen/>
        <w:t>insurance policy</w:t>
      </w:r>
      <w:r>
        <w:rPr>
          <w:b/>
        </w:rPr>
        <w:t>”</w:t>
      </w:r>
      <w:r>
        <w:t xml:space="preserve"> means a policy of re</w:t>
      </w:r>
      <w:r>
        <w:noBreakHyphen/>
        <w:t>insurance issued by the Corporation under which the Corporation has re</w:t>
      </w:r>
      <w:r>
        <w:noBreakHyphen/>
        <w:t>insured the liability or risk of another person under a policy of insurance and includes any liability or risk identified immediately before the appointed day in the inwards re</w:t>
      </w:r>
      <w:r>
        <w:noBreakHyphen/>
        <w:t>insurance account of the Corporation;</w:t>
      </w:r>
    </w:p>
    <w:p>
      <w:pPr>
        <w:pStyle w:val="Defstart"/>
      </w:pPr>
      <w:r>
        <w:tab/>
      </w:r>
      <w:r>
        <w:rPr>
          <w:b/>
        </w:rPr>
        <w:t>“</w:t>
      </w:r>
      <w:r>
        <w:rPr>
          <w:rStyle w:val="CharDefText"/>
        </w:rPr>
        <w:t>life policy</w:t>
      </w:r>
      <w:r>
        <w:rPr>
          <w:b/>
        </w:rPr>
        <w:t>”</w:t>
      </w:r>
      <w:r>
        <w:t xml:space="preserve"> has the same meaning as it has in the </w:t>
      </w:r>
      <w:r>
        <w:rPr>
          <w:i/>
        </w:rPr>
        <w:t>Life Insurance Act 1945</w:t>
      </w:r>
      <w:r>
        <w:rPr>
          <w:vertAlign w:val="superscript"/>
        </w:rPr>
        <w:t xml:space="preserve"> 2</w:t>
      </w:r>
      <w:r>
        <w:t xml:space="preserve"> of the Commonwealth, and also means approved deposit funds, annuities and other superannuation policies. </w:t>
      </w:r>
    </w:p>
    <w:p>
      <w:pPr>
        <w:pStyle w:val="Footnotesection"/>
      </w:pPr>
      <w:r>
        <w:tab/>
        <w:t xml:space="preserve">[Section 30 inserted by No. 49 of 1992 s. 28.] </w:t>
      </w:r>
    </w:p>
    <w:p>
      <w:pPr>
        <w:pStyle w:val="Ednotesection"/>
      </w:pPr>
      <w:r>
        <w:t>[</w:t>
      </w:r>
      <w:r>
        <w:rPr>
          <w:b/>
        </w:rPr>
        <w:t>31-33.</w:t>
      </w:r>
      <w:r>
        <w:rPr>
          <w:b/>
        </w:rPr>
        <w:tab/>
      </w:r>
      <w:r>
        <w:t>Repealed by No. 49 of 1992 s. 28.]</w:t>
      </w:r>
    </w:p>
    <w:p>
      <w:pPr>
        <w:pStyle w:val="Heading5"/>
        <w:spacing w:before="180"/>
      </w:pPr>
      <w:bookmarkStart w:id="237" w:name="_Toc517674478"/>
      <w:bookmarkStart w:id="238" w:name="_Toc139707336"/>
      <w:bookmarkStart w:id="239" w:name="_Toc146528273"/>
      <w:r>
        <w:rPr>
          <w:rStyle w:val="CharSectno"/>
        </w:rPr>
        <w:t>34</w:t>
      </w:r>
      <w:r>
        <w:t>.</w:t>
      </w:r>
      <w:r>
        <w:tab/>
        <w:t>Liability in respect or in lieu of taxation</w:t>
      </w:r>
      <w:bookmarkEnd w:id="237"/>
      <w:bookmarkEnd w:id="238"/>
      <w:bookmarkEnd w:id="239"/>
    </w:p>
    <w:p>
      <w:pPr>
        <w:pStyle w:val="Subsection"/>
      </w:pPr>
      <w:r>
        <w:tab/>
        <w:t>(1)</w:t>
      </w:r>
      <w:r>
        <w:tab/>
        <w:t>Notwithstanding any exemption or immunity that may otherwise exist, the Corporation shall be liable for and shall pay all local government rates and charges and all land tax, metropolitan region improvement tax, water rates, pay</w:t>
      </w:r>
      <w:r>
        <w:noBreakHyphen/>
        <w:t>roll tax, stamp duties, and all other taxes, fees and charges imposed by the Government, its instrumentalities or agencies.</w:t>
      </w:r>
    </w:p>
    <w:p>
      <w:pPr>
        <w:pStyle w:val="Ednotesubsection"/>
        <w:spacing w:before="120"/>
      </w:pPr>
      <w:r>
        <w:tab/>
        <w:t>[(2)-(4)</w:t>
      </w:r>
      <w:r>
        <w:tab/>
        <w:t>repealed]</w:t>
      </w:r>
    </w:p>
    <w:p>
      <w:pPr>
        <w:pStyle w:val="Footnotesection"/>
        <w:keepLines w:val="0"/>
        <w:spacing w:before="80"/>
        <w:ind w:left="890" w:hanging="890"/>
      </w:pPr>
      <w:r>
        <w:tab/>
        <w:t>[Section 34 amended by No. 6 of 1993 s. 11; No. 49 of 1996 s. 64; No. 55 of 1996 s. 10(1).]</w:t>
      </w:r>
    </w:p>
    <w:p>
      <w:pPr>
        <w:pStyle w:val="Heading5"/>
        <w:rPr>
          <w:snapToGrid w:val="0"/>
        </w:rPr>
      </w:pPr>
      <w:bookmarkStart w:id="240" w:name="_Toc517674479"/>
      <w:bookmarkStart w:id="241" w:name="_Toc139707337"/>
      <w:bookmarkStart w:id="242" w:name="_Toc146528274"/>
      <w:r>
        <w:rPr>
          <w:rStyle w:val="CharSectno"/>
        </w:rPr>
        <w:t>35</w:t>
      </w:r>
      <w:r>
        <w:rPr>
          <w:snapToGrid w:val="0"/>
        </w:rPr>
        <w:t>.</w:t>
      </w:r>
      <w:r>
        <w:rPr>
          <w:snapToGrid w:val="0"/>
        </w:rPr>
        <w:tab/>
        <w:t>Delegation</w:t>
      </w:r>
      <w:bookmarkEnd w:id="240"/>
      <w:bookmarkEnd w:id="241"/>
      <w:bookmarkEnd w:id="242"/>
      <w:r>
        <w:rPr>
          <w:snapToGrid w:val="0"/>
        </w:rPr>
        <w:t xml:space="preserve"> </w:t>
      </w:r>
    </w:p>
    <w:p>
      <w:pPr>
        <w:pStyle w:val="Subsection"/>
        <w:rPr>
          <w:snapToGrid w:val="0"/>
        </w:rPr>
      </w:pPr>
      <w:r>
        <w:rPr>
          <w:snapToGrid w:val="0"/>
        </w:rPr>
        <w:tab/>
      </w:r>
      <w:r>
        <w:rPr>
          <w:snapToGrid w:val="0"/>
        </w:rPr>
        <w:tab/>
        <w:t>The board of directors, in the name and on behalf of the Corporation, may, by instrument in writing approved by resolution, delegate to a director of the Corporation, to an officer or employee of the Commission or to an agent, broker or attorney appointed or engaged by the Corporation, all or any of the powers or duties of the Corporation, except this power of delegation.</w:t>
      </w:r>
    </w:p>
    <w:p>
      <w:pPr>
        <w:pStyle w:val="Heading5"/>
        <w:rPr>
          <w:snapToGrid w:val="0"/>
        </w:rPr>
      </w:pPr>
      <w:bookmarkStart w:id="243" w:name="_Toc517674480"/>
      <w:bookmarkStart w:id="244" w:name="_Toc139707338"/>
      <w:bookmarkStart w:id="245" w:name="_Toc146528275"/>
      <w:r>
        <w:rPr>
          <w:rStyle w:val="CharSectno"/>
        </w:rPr>
        <w:t>36</w:t>
      </w:r>
      <w:r>
        <w:rPr>
          <w:snapToGrid w:val="0"/>
        </w:rPr>
        <w:t>.</w:t>
      </w:r>
      <w:r>
        <w:rPr>
          <w:snapToGrid w:val="0"/>
        </w:rPr>
        <w:tab/>
        <w:t>Directions by the Commission</w:t>
      </w:r>
      <w:bookmarkEnd w:id="243"/>
      <w:bookmarkEnd w:id="244"/>
      <w:bookmarkEnd w:id="245"/>
      <w:r>
        <w:rPr>
          <w:snapToGrid w:val="0"/>
        </w:rPr>
        <w:t xml:space="preserve"> </w:t>
      </w:r>
    </w:p>
    <w:p>
      <w:pPr>
        <w:pStyle w:val="Subsection"/>
        <w:rPr>
          <w:snapToGrid w:val="0"/>
        </w:rPr>
      </w:pPr>
      <w:r>
        <w:rPr>
          <w:snapToGrid w:val="0"/>
        </w:rPr>
        <w:tab/>
        <w:t>(1)</w:t>
      </w:r>
      <w:r>
        <w:rPr>
          <w:snapToGrid w:val="0"/>
        </w:rPr>
        <w:tab/>
        <w:t>The Commission may give directions in writing to the Corporation with respect to its function, powers and duties, either generally or with respect to a particular matter, and the Corporation shall give effect to those directions.</w:t>
      </w:r>
    </w:p>
    <w:p>
      <w:pPr>
        <w:pStyle w:val="Subsection"/>
        <w:rPr>
          <w:snapToGrid w:val="0"/>
        </w:rPr>
      </w:pPr>
      <w:r>
        <w:rPr>
          <w:snapToGrid w:val="0"/>
        </w:rPr>
        <w:tab/>
        <w:t>(2)</w:t>
      </w:r>
      <w:r>
        <w:rPr>
          <w:snapToGrid w:val="0"/>
        </w:rPr>
        <w:tab/>
        <w:t xml:space="preserve">The text of any direction received by the Corporation under subsection (1) shall be included in the annual report submitted by the accountable authority of the Corporation under section 66 of the </w:t>
      </w:r>
      <w:r>
        <w:rPr>
          <w:i/>
          <w:snapToGrid w:val="0"/>
        </w:rPr>
        <w:t>Financial Administration and Audit Act 1985</w:t>
      </w:r>
      <w:r>
        <w:rPr>
          <w:snapToGrid w:val="0"/>
        </w:rPr>
        <w:t>.</w:t>
      </w:r>
    </w:p>
    <w:p>
      <w:pPr>
        <w:pStyle w:val="Footnotesection"/>
      </w:pPr>
      <w:r>
        <w:tab/>
        <w:t>[Section 36 amended by No. 50 of 1989 s. 18.]</w:t>
      </w:r>
    </w:p>
    <w:p>
      <w:pPr>
        <w:pStyle w:val="Heading3"/>
        <w:rPr>
          <w:snapToGrid w:val="0"/>
        </w:rPr>
      </w:pPr>
      <w:bookmarkStart w:id="246" w:name="_Toc92782912"/>
      <w:bookmarkStart w:id="247" w:name="_Toc92783026"/>
      <w:bookmarkStart w:id="248" w:name="_Toc139707339"/>
      <w:bookmarkStart w:id="249" w:name="_Toc139781107"/>
      <w:bookmarkStart w:id="250" w:name="_Toc139949390"/>
      <w:bookmarkStart w:id="251" w:name="_Toc142459092"/>
      <w:bookmarkStart w:id="252" w:name="_Toc144280038"/>
      <w:bookmarkStart w:id="253" w:name="_Toc146528276"/>
      <w:r>
        <w:rPr>
          <w:rStyle w:val="CharDivNo"/>
        </w:rPr>
        <w:t>Division 3</w:t>
      </w:r>
      <w:r>
        <w:rPr>
          <w:snapToGrid w:val="0"/>
        </w:rPr>
        <w:t> — </w:t>
      </w:r>
      <w:r>
        <w:rPr>
          <w:rStyle w:val="CharDivText"/>
        </w:rPr>
        <w:t>Staff of the Corporation</w:t>
      </w:r>
      <w:bookmarkEnd w:id="246"/>
      <w:bookmarkEnd w:id="247"/>
      <w:bookmarkEnd w:id="248"/>
      <w:bookmarkEnd w:id="249"/>
      <w:bookmarkEnd w:id="250"/>
      <w:bookmarkEnd w:id="251"/>
      <w:bookmarkEnd w:id="252"/>
      <w:bookmarkEnd w:id="253"/>
      <w:r>
        <w:rPr>
          <w:rStyle w:val="CharDivText"/>
        </w:rPr>
        <w:t xml:space="preserve"> </w:t>
      </w:r>
    </w:p>
    <w:p>
      <w:pPr>
        <w:pStyle w:val="Heading5"/>
        <w:rPr>
          <w:snapToGrid w:val="0"/>
        </w:rPr>
      </w:pPr>
      <w:bookmarkStart w:id="254" w:name="_Toc517674481"/>
      <w:bookmarkStart w:id="255" w:name="_Toc139707340"/>
      <w:bookmarkStart w:id="256" w:name="_Toc146528277"/>
      <w:r>
        <w:rPr>
          <w:rStyle w:val="CharSectno"/>
        </w:rPr>
        <w:t>37</w:t>
      </w:r>
      <w:r>
        <w:rPr>
          <w:snapToGrid w:val="0"/>
        </w:rPr>
        <w:t>.</w:t>
      </w:r>
      <w:r>
        <w:rPr>
          <w:snapToGrid w:val="0"/>
        </w:rPr>
        <w:tab/>
        <w:t>Classification, employment conditions, and duties of staff allocated to the Corporation</w:t>
      </w:r>
      <w:bookmarkEnd w:id="254"/>
      <w:bookmarkEnd w:id="255"/>
      <w:bookmarkEnd w:id="256"/>
      <w:r>
        <w:rPr>
          <w:snapToGrid w:val="0"/>
        </w:rPr>
        <w:t xml:space="preserve"> </w:t>
      </w:r>
    </w:p>
    <w:p>
      <w:pPr>
        <w:pStyle w:val="Subsection"/>
        <w:rPr>
          <w:snapToGrid w:val="0"/>
        </w:rPr>
      </w:pPr>
      <w:r>
        <w:rPr>
          <w:snapToGrid w:val="0"/>
        </w:rPr>
        <w:tab/>
      </w:r>
      <w:r>
        <w:rPr>
          <w:snapToGrid w:val="0"/>
        </w:rPr>
        <w:tab/>
        <w:t>The Commission may have regard to recommendations made by the Corporation when — </w:t>
      </w:r>
    </w:p>
    <w:p>
      <w:pPr>
        <w:pStyle w:val="Indenta"/>
        <w:rPr>
          <w:snapToGrid w:val="0"/>
        </w:rPr>
      </w:pPr>
      <w:r>
        <w:rPr>
          <w:snapToGrid w:val="0"/>
        </w:rPr>
        <w:tab/>
        <w:t>(a)</w:t>
      </w:r>
      <w:r>
        <w:rPr>
          <w:snapToGrid w:val="0"/>
        </w:rPr>
        <w:tab/>
        <w:t>determining, under section 12(2), the remuneration and other terms and conditions of service of;</w:t>
      </w:r>
    </w:p>
    <w:p>
      <w:pPr>
        <w:pStyle w:val="Indenta"/>
        <w:rPr>
          <w:snapToGrid w:val="0"/>
        </w:rPr>
      </w:pPr>
      <w:r>
        <w:rPr>
          <w:snapToGrid w:val="0"/>
        </w:rPr>
        <w:tab/>
        <w:t>(b)</w:t>
      </w:r>
      <w:r>
        <w:rPr>
          <w:snapToGrid w:val="0"/>
        </w:rPr>
        <w:tab/>
        <w:t>classifying, under section 12(3), the positions to be held by; or</w:t>
      </w:r>
    </w:p>
    <w:p>
      <w:pPr>
        <w:pStyle w:val="Indenta"/>
        <w:rPr>
          <w:snapToGrid w:val="0"/>
        </w:rPr>
      </w:pPr>
      <w:r>
        <w:rPr>
          <w:snapToGrid w:val="0"/>
        </w:rPr>
        <w:tab/>
        <w:t>(c)</w:t>
      </w:r>
      <w:r>
        <w:rPr>
          <w:snapToGrid w:val="0"/>
        </w:rPr>
        <w:tab/>
        <w:t>defining, under section 12(3), the duties of,</w:t>
      </w:r>
    </w:p>
    <w:p>
      <w:pPr>
        <w:pStyle w:val="Subsection"/>
        <w:rPr>
          <w:snapToGrid w:val="0"/>
        </w:rPr>
      </w:pPr>
      <w:r>
        <w:rPr>
          <w:snapToGrid w:val="0"/>
        </w:rPr>
        <w:tab/>
      </w:r>
      <w:r>
        <w:rPr>
          <w:snapToGrid w:val="0"/>
        </w:rPr>
        <w:tab/>
        <w:t>the officers and employees of the Commission employed in the service of the Corporation.</w:t>
      </w:r>
    </w:p>
    <w:p>
      <w:pPr>
        <w:pStyle w:val="Heading5"/>
        <w:rPr>
          <w:snapToGrid w:val="0"/>
        </w:rPr>
      </w:pPr>
      <w:bookmarkStart w:id="257" w:name="_Toc517674482"/>
      <w:bookmarkStart w:id="258" w:name="_Toc139707341"/>
      <w:bookmarkStart w:id="259" w:name="_Toc146528278"/>
      <w:r>
        <w:rPr>
          <w:rStyle w:val="CharSectno"/>
        </w:rPr>
        <w:t>38</w:t>
      </w:r>
      <w:r>
        <w:rPr>
          <w:snapToGrid w:val="0"/>
        </w:rPr>
        <w:t>.</w:t>
      </w:r>
      <w:r>
        <w:rPr>
          <w:snapToGrid w:val="0"/>
        </w:rPr>
        <w:tab/>
        <w:t>Use of services and facilities of the Commission, departments and instrumentalities</w:t>
      </w:r>
      <w:bookmarkEnd w:id="257"/>
      <w:bookmarkEnd w:id="258"/>
      <w:bookmarkEnd w:id="259"/>
      <w:r>
        <w:rPr>
          <w:snapToGrid w:val="0"/>
        </w:rPr>
        <w:t xml:space="preserve"> </w:t>
      </w:r>
    </w:p>
    <w:p>
      <w:pPr>
        <w:pStyle w:val="Subsection"/>
        <w:spacing w:before="180"/>
        <w:rPr>
          <w:snapToGrid w:val="0"/>
        </w:rPr>
      </w:pPr>
      <w:r>
        <w:rPr>
          <w:snapToGrid w:val="0"/>
        </w:rPr>
        <w:tab/>
        <w:t>(1)</w:t>
      </w:r>
      <w:r>
        <w:rPr>
          <w:snapToGrid w:val="0"/>
        </w:rPr>
        <w:tab/>
        <w:t xml:space="preserve">Subject to subsection (2), the Corporation may, by arrangement made between the board of directors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services or facilities of a department of the Public Service of the State or of a State instrumentality.</w:t>
      </w:r>
    </w:p>
    <w:p>
      <w:pPr>
        <w:pStyle w:val="Ednotesubsection"/>
      </w:pPr>
      <w:r>
        <w:tab/>
        <w:t>[(2), (3)</w:t>
      </w:r>
      <w:r>
        <w:tab/>
        <w:t>repealed]</w:t>
      </w:r>
    </w:p>
    <w:p>
      <w:pPr>
        <w:pStyle w:val="Footnotesection"/>
      </w:pPr>
      <w:r>
        <w:tab/>
        <w:t>[Section 38 amended by No. 49 of 1992 s. 28; No. 32 of 1994 s. 19.]</w:t>
      </w:r>
    </w:p>
    <w:p>
      <w:pPr>
        <w:pStyle w:val="Heading3"/>
        <w:spacing w:before="260"/>
        <w:rPr>
          <w:snapToGrid w:val="0"/>
        </w:rPr>
      </w:pPr>
      <w:bookmarkStart w:id="260" w:name="_Toc92782915"/>
      <w:bookmarkStart w:id="261" w:name="_Toc92783029"/>
      <w:bookmarkStart w:id="262" w:name="_Toc139707342"/>
      <w:bookmarkStart w:id="263" w:name="_Toc139781110"/>
      <w:bookmarkStart w:id="264" w:name="_Toc139949393"/>
      <w:bookmarkStart w:id="265" w:name="_Toc142459095"/>
      <w:bookmarkStart w:id="266" w:name="_Toc144280041"/>
      <w:bookmarkStart w:id="267" w:name="_Toc146528279"/>
      <w:r>
        <w:rPr>
          <w:rStyle w:val="CharDivNo"/>
        </w:rPr>
        <w:t>Division 4</w:t>
      </w:r>
      <w:r>
        <w:rPr>
          <w:snapToGrid w:val="0"/>
        </w:rPr>
        <w:t> — </w:t>
      </w:r>
      <w:r>
        <w:rPr>
          <w:rStyle w:val="CharDivText"/>
        </w:rPr>
        <w:t>Financial provisions relating to the Corporation</w:t>
      </w:r>
      <w:bookmarkEnd w:id="260"/>
      <w:bookmarkEnd w:id="261"/>
      <w:bookmarkEnd w:id="262"/>
      <w:bookmarkEnd w:id="263"/>
      <w:bookmarkEnd w:id="264"/>
      <w:bookmarkEnd w:id="265"/>
      <w:bookmarkEnd w:id="266"/>
      <w:bookmarkEnd w:id="267"/>
      <w:r>
        <w:rPr>
          <w:rStyle w:val="CharDivText"/>
        </w:rPr>
        <w:t xml:space="preserve"> </w:t>
      </w:r>
    </w:p>
    <w:p>
      <w:pPr>
        <w:pStyle w:val="Heading5"/>
        <w:spacing w:before="240"/>
        <w:rPr>
          <w:snapToGrid w:val="0"/>
        </w:rPr>
      </w:pPr>
      <w:bookmarkStart w:id="268" w:name="_Toc517674483"/>
      <w:bookmarkStart w:id="269" w:name="_Toc139707343"/>
      <w:bookmarkStart w:id="270" w:name="_Toc146528280"/>
      <w:r>
        <w:rPr>
          <w:rStyle w:val="CharSectno"/>
        </w:rPr>
        <w:t>39</w:t>
      </w:r>
      <w:r>
        <w:rPr>
          <w:snapToGrid w:val="0"/>
        </w:rPr>
        <w:t>.</w:t>
      </w:r>
      <w:r>
        <w:rPr>
          <w:snapToGrid w:val="0"/>
        </w:rPr>
        <w:tab/>
        <w:t>Capital of the Corporation</w:t>
      </w:r>
      <w:bookmarkEnd w:id="268"/>
      <w:bookmarkEnd w:id="269"/>
      <w:bookmarkEnd w:id="270"/>
      <w:r>
        <w:rPr>
          <w:snapToGrid w:val="0"/>
        </w:rPr>
        <w:t xml:space="preserve"> </w:t>
      </w:r>
    </w:p>
    <w:p>
      <w:pPr>
        <w:pStyle w:val="Subsection"/>
        <w:spacing w:before="180"/>
        <w:rPr>
          <w:snapToGrid w:val="0"/>
        </w:rPr>
      </w:pPr>
      <w:r>
        <w:rPr>
          <w:snapToGrid w:val="0"/>
        </w:rPr>
        <w:tab/>
        <w:t>(1)</w:t>
      </w:r>
      <w:r>
        <w:rPr>
          <w:snapToGrid w:val="0"/>
        </w:rPr>
        <w:tab/>
        <w:t>The authorised capital of the Corporation shall be $40 000 000 divided into 400 000 shares of $100 each.</w:t>
      </w:r>
    </w:p>
    <w:p>
      <w:pPr>
        <w:pStyle w:val="Subsection"/>
        <w:spacing w:before="180"/>
        <w:rPr>
          <w:snapToGrid w:val="0"/>
        </w:rPr>
      </w:pPr>
      <w:r>
        <w:rPr>
          <w:snapToGrid w:val="0"/>
        </w:rPr>
        <w:tab/>
        <w:t>(2)</w:t>
      </w:r>
      <w:r>
        <w:rPr>
          <w:snapToGrid w:val="0"/>
        </w:rPr>
        <w:tab/>
        <w:t>The Governor may on the recommendation of the Commission by regulation increase the authorised capital of the Corporation.</w:t>
      </w:r>
    </w:p>
    <w:p>
      <w:pPr>
        <w:pStyle w:val="Subsection"/>
        <w:spacing w:before="180"/>
        <w:rPr>
          <w:snapToGrid w:val="0"/>
        </w:rPr>
      </w:pPr>
      <w:r>
        <w:rPr>
          <w:snapToGrid w:val="0"/>
        </w:rPr>
        <w:tab/>
        <w:t>(3)</w:t>
      </w:r>
      <w:r>
        <w:rPr>
          <w:snapToGrid w:val="0"/>
        </w:rPr>
        <w:tab/>
        <w:t>The Commission shall take up 200 000 shares in the authorised capital of the Corporation at par as soon as is practicable after the commencement of this section, and those shares shall be paid for out of moneys standing to the credit of the Insurance Commission General Fund.</w:t>
      </w:r>
    </w:p>
    <w:p>
      <w:pPr>
        <w:pStyle w:val="Subsection"/>
        <w:keepNext/>
        <w:rPr>
          <w:snapToGrid w:val="0"/>
        </w:rPr>
      </w:pPr>
      <w:r>
        <w:rPr>
          <w:snapToGrid w:val="0"/>
        </w:rPr>
        <w:tab/>
        <w:t>(4)</w:t>
      </w:r>
      <w:r>
        <w:rPr>
          <w:snapToGrid w:val="0"/>
        </w:rPr>
        <w:tab/>
        <w:t>Further shares in the authorised capital of the Corporation may from time to time be issued by the Corporation and taken up — </w:t>
      </w:r>
    </w:p>
    <w:p>
      <w:pPr>
        <w:pStyle w:val="Indenta"/>
        <w:rPr>
          <w:snapToGrid w:val="0"/>
        </w:rPr>
      </w:pPr>
      <w:r>
        <w:rPr>
          <w:snapToGrid w:val="0"/>
        </w:rPr>
        <w:tab/>
        <w:t>(a)</w:t>
      </w:r>
      <w:r>
        <w:rPr>
          <w:snapToGrid w:val="0"/>
        </w:rPr>
        <w:tab/>
        <w:t>by the Treasurer, with moneys appropriated by Parliament for the purpose;</w:t>
      </w:r>
    </w:p>
    <w:p>
      <w:pPr>
        <w:pStyle w:val="Indenta"/>
        <w:rPr>
          <w:snapToGrid w:val="0"/>
        </w:rPr>
      </w:pPr>
      <w:r>
        <w:rPr>
          <w:snapToGrid w:val="0"/>
        </w:rPr>
        <w:tab/>
        <w:t>(b)</w:t>
      </w:r>
      <w:r>
        <w:rPr>
          <w:snapToGrid w:val="0"/>
        </w:rPr>
        <w:tab/>
        <w:t>by the Commission; or</w:t>
      </w:r>
    </w:p>
    <w:p>
      <w:pPr>
        <w:pStyle w:val="Indenta"/>
        <w:rPr>
          <w:snapToGrid w:val="0"/>
        </w:rPr>
      </w:pPr>
      <w:r>
        <w:rPr>
          <w:snapToGrid w:val="0"/>
        </w:rPr>
        <w:tab/>
        <w:t>(c)</w:t>
      </w:r>
      <w:r>
        <w:rPr>
          <w:snapToGrid w:val="0"/>
        </w:rPr>
        <w:tab/>
        <w:t>with the approval of the Treasurer, by any other statutory authority.</w:t>
      </w:r>
    </w:p>
    <w:p>
      <w:pPr>
        <w:pStyle w:val="Subsection"/>
        <w:rPr>
          <w:snapToGrid w:val="0"/>
        </w:rPr>
      </w:pPr>
      <w:r>
        <w:rPr>
          <w:snapToGrid w:val="0"/>
        </w:rPr>
        <w:tab/>
        <w:t>(5)</w:t>
      </w:r>
      <w:r>
        <w:rPr>
          <w:snapToGrid w:val="0"/>
        </w:rPr>
        <w:tab/>
        <w:t>In issuing further shares under subsection (4) the Corporation shall give preference to existing holders of shares in the Corporation and shall ensure that subsection (6) is not contravened.</w:t>
      </w:r>
    </w:p>
    <w:p>
      <w:pPr>
        <w:pStyle w:val="Subsection"/>
        <w:rPr>
          <w:snapToGrid w:val="0"/>
        </w:rPr>
      </w:pPr>
      <w:r>
        <w:rPr>
          <w:snapToGrid w:val="0"/>
        </w:rPr>
        <w:tab/>
        <w:t>(6)</w:t>
      </w:r>
      <w:r>
        <w:rPr>
          <w:snapToGrid w:val="0"/>
        </w:rPr>
        <w:tab/>
        <w:t>The Commission shall at all times hold not less than 50% of all the shares in the Corporation that have been taken up.</w:t>
      </w:r>
    </w:p>
    <w:p>
      <w:pPr>
        <w:pStyle w:val="Subsection"/>
        <w:rPr>
          <w:snapToGrid w:val="0"/>
        </w:rPr>
      </w:pPr>
      <w:r>
        <w:rPr>
          <w:snapToGrid w:val="0"/>
        </w:rPr>
        <w:tab/>
        <w:t>(7)</w:t>
      </w:r>
      <w:r>
        <w:rPr>
          <w:snapToGrid w:val="0"/>
        </w:rPr>
        <w:tab/>
        <w:t>Subject to subsection (10), a statutory authority is authorised by virtue of this subsection to acquire and hold shares in the Corporation notwithstanding any enactment to the contrary.</w:t>
      </w:r>
    </w:p>
    <w:p>
      <w:pPr>
        <w:pStyle w:val="Subsection"/>
        <w:rPr>
          <w:snapToGrid w:val="0"/>
        </w:rPr>
      </w:pPr>
      <w:r>
        <w:rPr>
          <w:snapToGrid w:val="0"/>
        </w:rPr>
        <w:tab/>
        <w:t>(8)</w:t>
      </w:r>
      <w:r>
        <w:rPr>
          <w:snapToGrid w:val="0"/>
        </w:rPr>
        <w:tab/>
        <w:t>The amount to be paid for shares taken up under subsection (4) may, if the board of directors so determines, include a payment by way of premium, which the Corporation may receive and apply in such manner as the Treasurer may approve.</w:t>
      </w:r>
    </w:p>
    <w:p>
      <w:pPr>
        <w:pStyle w:val="Subsection"/>
        <w:rPr>
          <w:snapToGrid w:val="0"/>
        </w:rPr>
      </w:pPr>
      <w:r>
        <w:rPr>
          <w:snapToGrid w:val="0"/>
        </w:rPr>
        <w:tab/>
        <w:t>(9)</w:t>
      </w:r>
      <w:r>
        <w:rPr>
          <w:snapToGrid w:val="0"/>
        </w:rPr>
        <w:tab/>
        <w:t>A holder of shares in the Corporation — </w:t>
      </w:r>
    </w:p>
    <w:p>
      <w:pPr>
        <w:pStyle w:val="Indenta"/>
        <w:rPr>
          <w:snapToGrid w:val="0"/>
        </w:rPr>
      </w:pPr>
      <w:r>
        <w:rPr>
          <w:snapToGrid w:val="0"/>
        </w:rPr>
        <w:tab/>
        <w:t>(a)</w:t>
      </w:r>
      <w:r>
        <w:rPr>
          <w:snapToGrid w:val="0"/>
        </w:rPr>
        <w:tab/>
        <w:t>is liable only to the extent of any amount unpaid on the shares held by that shareholder;</w:t>
      </w:r>
    </w:p>
    <w:p>
      <w:pPr>
        <w:pStyle w:val="Indenta"/>
        <w:rPr>
          <w:snapToGrid w:val="0"/>
        </w:rPr>
      </w:pPr>
      <w:r>
        <w:rPr>
          <w:snapToGrid w:val="0"/>
        </w:rPr>
        <w:tab/>
        <w:t>(b)</w:t>
      </w:r>
      <w:r>
        <w:rPr>
          <w:snapToGrid w:val="0"/>
        </w:rPr>
        <w:tab/>
        <w:t>is entitled to receive any dividend declared by the board of directors in respect of those shares; and</w:t>
      </w:r>
    </w:p>
    <w:p>
      <w:pPr>
        <w:pStyle w:val="Indenta"/>
        <w:rPr>
          <w:snapToGrid w:val="0"/>
        </w:rPr>
      </w:pPr>
      <w:r>
        <w:rPr>
          <w:snapToGrid w:val="0"/>
        </w:rPr>
        <w:tab/>
        <w:t>(c)</w:t>
      </w:r>
      <w:r>
        <w:rPr>
          <w:snapToGrid w:val="0"/>
        </w:rPr>
        <w:tab/>
        <w:t>subject to subsection (6) in the case of the Commission, may, by instrument executed by the transferor and the transferee and delivered to the Corporation, transfer shares to another person or body authorised by subsection (4) to take up shares in the Corporation.</w:t>
      </w:r>
    </w:p>
    <w:p>
      <w:pPr>
        <w:pStyle w:val="Subsection"/>
        <w:rPr>
          <w:snapToGrid w:val="0"/>
        </w:rPr>
      </w:pPr>
      <w:r>
        <w:rPr>
          <w:snapToGrid w:val="0"/>
        </w:rPr>
        <w:tab/>
        <w:t>(10)</w:t>
      </w:r>
      <w:r>
        <w:rPr>
          <w:snapToGrid w:val="0"/>
        </w:rPr>
        <w:tab/>
        <w:t>Notwithstanding anything in this section, no statutory authority referred to in subsection (4)(c) shall, without the prior approval of the Treasurer, acquire or hold shares in the Corporation, whether under subsection (4) or (9)(c), in excess of such limit as may be prescribed.</w:t>
      </w:r>
    </w:p>
    <w:p>
      <w:pPr>
        <w:pStyle w:val="Subsection"/>
        <w:rPr>
          <w:snapToGrid w:val="0"/>
        </w:rPr>
      </w:pPr>
      <w:r>
        <w:rPr>
          <w:snapToGrid w:val="0"/>
        </w:rPr>
        <w:tab/>
        <w:t>(11)</w:t>
      </w:r>
      <w:r>
        <w:rPr>
          <w:snapToGrid w:val="0"/>
        </w:rPr>
        <w:tab/>
        <w:t>The Corporation shall keep a register of the holders of its shares, in such form as the Treasurer may approve, and enter in the register such details as the Treasurer may require.</w:t>
      </w:r>
    </w:p>
    <w:p>
      <w:pPr>
        <w:pStyle w:val="Footnotesection"/>
      </w:pPr>
      <w:r>
        <w:tab/>
        <w:t>[Section 39 amended by No. 49 of 1996 s. 64.]</w:t>
      </w:r>
    </w:p>
    <w:p>
      <w:pPr>
        <w:pStyle w:val="Heading5"/>
        <w:rPr>
          <w:snapToGrid w:val="0"/>
        </w:rPr>
      </w:pPr>
      <w:bookmarkStart w:id="271" w:name="_Toc517674484"/>
      <w:bookmarkStart w:id="272" w:name="_Toc139707344"/>
      <w:bookmarkStart w:id="273" w:name="_Toc146528281"/>
      <w:r>
        <w:rPr>
          <w:rStyle w:val="CharSectno"/>
        </w:rPr>
        <w:t>40</w:t>
      </w:r>
      <w:r>
        <w:rPr>
          <w:snapToGrid w:val="0"/>
        </w:rPr>
        <w:t>.</w:t>
      </w:r>
      <w:r>
        <w:rPr>
          <w:snapToGrid w:val="0"/>
        </w:rPr>
        <w:tab/>
        <w:t>Temporary investment of funds</w:t>
      </w:r>
      <w:bookmarkEnd w:id="271"/>
      <w:bookmarkEnd w:id="272"/>
      <w:bookmarkEnd w:id="273"/>
      <w:r>
        <w:rPr>
          <w:snapToGrid w:val="0"/>
        </w:rPr>
        <w:t xml:space="preserve"> </w:t>
      </w:r>
    </w:p>
    <w:p>
      <w:pPr>
        <w:pStyle w:val="Subsection"/>
        <w:rPr>
          <w:snapToGrid w:val="0"/>
        </w:rPr>
      </w:pPr>
      <w:r>
        <w:rPr>
          <w:snapToGrid w:val="0"/>
        </w:rPr>
        <w:tab/>
      </w:r>
      <w:r>
        <w:rPr>
          <w:snapToGrid w:val="0"/>
        </w:rPr>
        <w:tab/>
        <w:t>Moneys standing to the credit of the Corporation may until required for the purpose of carrying out its function under this Act, be temporarily invested or dealt with by the Corporation in such manner as the board of directors thinks fit.</w:t>
      </w:r>
    </w:p>
    <w:p>
      <w:pPr>
        <w:pStyle w:val="Heading5"/>
        <w:rPr>
          <w:snapToGrid w:val="0"/>
        </w:rPr>
      </w:pPr>
      <w:bookmarkStart w:id="274" w:name="_Toc517674485"/>
      <w:bookmarkStart w:id="275" w:name="_Toc139707345"/>
      <w:bookmarkStart w:id="276" w:name="_Toc146528282"/>
      <w:r>
        <w:rPr>
          <w:rStyle w:val="CharSectno"/>
        </w:rPr>
        <w:t>41</w:t>
      </w:r>
      <w:r>
        <w:rPr>
          <w:snapToGrid w:val="0"/>
        </w:rPr>
        <w:t>.</w:t>
      </w:r>
      <w:r>
        <w:rPr>
          <w:snapToGrid w:val="0"/>
        </w:rPr>
        <w:tab/>
        <w:t xml:space="preserve">Application of </w:t>
      </w:r>
      <w:r>
        <w:rPr>
          <w:i/>
          <w:snapToGrid w:val="0"/>
        </w:rPr>
        <w:t>Financial Administration and Audit Act 1985</w:t>
      </w:r>
      <w:r>
        <w:rPr>
          <w:snapToGrid w:val="0"/>
        </w:rPr>
        <w:t xml:space="preserve"> to the Corporation</w:t>
      </w:r>
      <w:bookmarkEnd w:id="274"/>
      <w:bookmarkEnd w:id="275"/>
      <w:bookmarkEnd w:id="276"/>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Corporation and its operations.</w:t>
      </w:r>
    </w:p>
    <w:p>
      <w:pPr>
        <w:pStyle w:val="Heading2"/>
      </w:pPr>
      <w:bookmarkStart w:id="277" w:name="_Toc92782919"/>
      <w:bookmarkStart w:id="278" w:name="_Toc92783033"/>
      <w:bookmarkStart w:id="279" w:name="_Toc139707346"/>
      <w:bookmarkStart w:id="280" w:name="_Toc139781114"/>
      <w:bookmarkStart w:id="281" w:name="_Toc139949397"/>
      <w:bookmarkStart w:id="282" w:name="_Toc142459099"/>
      <w:bookmarkStart w:id="283" w:name="_Toc144280045"/>
      <w:bookmarkStart w:id="284" w:name="_Toc146528283"/>
      <w:r>
        <w:rPr>
          <w:rStyle w:val="CharPartNo"/>
        </w:rPr>
        <w:t>Part IV</w:t>
      </w:r>
      <w:r>
        <w:rPr>
          <w:rStyle w:val="CharDivNo"/>
        </w:rPr>
        <w:t> </w:t>
      </w:r>
      <w:r>
        <w:t>—</w:t>
      </w:r>
      <w:r>
        <w:rPr>
          <w:rStyle w:val="CharDivText"/>
        </w:rPr>
        <w:t> </w:t>
      </w:r>
      <w:r>
        <w:rPr>
          <w:rStyle w:val="CharPartText"/>
        </w:rPr>
        <w:t>General</w:t>
      </w:r>
      <w:bookmarkEnd w:id="277"/>
      <w:bookmarkEnd w:id="278"/>
      <w:bookmarkEnd w:id="279"/>
      <w:bookmarkEnd w:id="280"/>
      <w:bookmarkEnd w:id="281"/>
      <w:bookmarkEnd w:id="282"/>
      <w:bookmarkEnd w:id="283"/>
      <w:bookmarkEnd w:id="284"/>
      <w:r>
        <w:rPr>
          <w:rStyle w:val="CharPartText"/>
        </w:rPr>
        <w:t xml:space="preserve"> </w:t>
      </w:r>
    </w:p>
    <w:p>
      <w:pPr>
        <w:pStyle w:val="Heading5"/>
        <w:rPr>
          <w:snapToGrid w:val="0"/>
        </w:rPr>
      </w:pPr>
      <w:bookmarkStart w:id="285" w:name="_Toc517674486"/>
      <w:bookmarkStart w:id="286" w:name="_Toc139707347"/>
      <w:bookmarkStart w:id="287" w:name="_Toc146528284"/>
      <w:r>
        <w:rPr>
          <w:rStyle w:val="CharSectno"/>
        </w:rPr>
        <w:t>42</w:t>
      </w:r>
      <w:r>
        <w:rPr>
          <w:snapToGrid w:val="0"/>
        </w:rPr>
        <w:t>.</w:t>
      </w:r>
      <w:r>
        <w:rPr>
          <w:snapToGrid w:val="0"/>
        </w:rPr>
        <w:tab/>
        <w:t>Secrecy</w:t>
      </w:r>
      <w:bookmarkEnd w:id="285"/>
      <w:bookmarkEnd w:id="286"/>
      <w:bookmarkEnd w:id="287"/>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 </w:t>
      </w:r>
    </w:p>
    <w:p>
      <w:pPr>
        <w:pStyle w:val="Indenta"/>
        <w:rPr>
          <w:snapToGrid w:val="0"/>
        </w:rPr>
      </w:pPr>
      <w:r>
        <w:rPr>
          <w:snapToGrid w:val="0"/>
        </w:rPr>
        <w:tab/>
        <w:t>(a)</w:t>
      </w:r>
      <w:r>
        <w:rPr>
          <w:snapToGrid w:val="0"/>
        </w:rPr>
        <w:tab/>
        <w:t>is or has been a commissioner or alternate commissioner;</w:t>
      </w:r>
    </w:p>
    <w:p>
      <w:pPr>
        <w:pStyle w:val="Indenta"/>
        <w:rPr>
          <w:snapToGrid w:val="0"/>
        </w:rPr>
      </w:pPr>
      <w:r>
        <w:rPr>
          <w:snapToGrid w:val="0"/>
        </w:rPr>
        <w:tab/>
        <w:t>(b)</w:t>
      </w:r>
      <w:r>
        <w:rPr>
          <w:snapToGrid w:val="0"/>
        </w:rPr>
        <w:tab/>
        <w:t>is or has been a director or alternate director of the Corporation;</w:t>
      </w:r>
    </w:p>
    <w:p>
      <w:pPr>
        <w:pStyle w:val="Indenta"/>
        <w:rPr>
          <w:snapToGrid w:val="0"/>
        </w:rPr>
      </w:pPr>
      <w:r>
        <w:rPr>
          <w:snapToGrid w:val="0"/>
        </w:rPr>
        <w:tab/>
        <w:t>(c)</w:t>
      </w:r>
      <w:r>
        <w:rPr>
          <w:snapToGrid w:val="0"/>
        </w:rPr>
        <w:tab/>
        <w:t>is or has been an officer or employee of the Commission; or</w:t>
      </w:r>
    </w:p>
    <w:p>
      <w:pPr>
        <w:pStyle w:val="Indenta"/>
        <w:rPr>
          <w:snapToGrid w:val="0"/>
        </w:rPr>
      </w:pPr>
      <w:r>
        <w:rPr>
          <w:snapToGrid w:val="0"/>
        </w:rPr>
        <w:tab/>
        <w:t>(d)</w:t>
      </w:r>
      <w:r>
        <w:rPr>
          <w:snapToGrid w:val="0"/>
        </w:rPr>
        <w:tab/>
        <w:t>is rendering or has rendered services to the Commission or Corporation under section 12, 13, 13A or 38.</w:t>
      </w:r>
    </w:p>
    <w:p>
      <w:pPr>
        <w:pStyle w:val="Footnotesection"/>
      </w:pPr>
      <w:r>
        <w:tab/>
        <w:t xml:space="preserve">[Section 42 amended by No. 49 of 1992 s. 28.] </w:t>
      </w:r>
    </w:p>
    <w:p>
      <w:pPr>
        <w:pStyle w:val="Heading5"/>
        <w:rPr>
          <w:snapToGrid w:val="0"/>
        </w:rPr>
      </w:pPr>
      <w:bookmarkStart w:id="288" w:name="_Toc517674487"/>
      <w:bookmarkStart w:id="289" w:name="_Toc139707348"/>
      <w:bookmarkStart w:id="290" w:name="_Toc146528285"/>
      <w:r>
        <w:rPr>
          <w:rStyle w:val="CharSectno"/>
        </w:rPr>
        <w:t>43</w:t>
      </w:r>
      <w:r>
        <w:rPr>
          <w:snapToGrid w:val="0"/>
        </w:rPr>
        <w:t>.</w:t>
      </w:r>
      <w:r>
        <w:rPr>
          <w:snapToGrid w:val="0"/>
        </w:rPr>
        <w:tab/>
        <w:t>Execution of documents and entry into contracts</w:t>
      </w:r>
      <w:bookmarkEnd w:id="288"/>
      <w:bookmarkEnd w:id="289"/>
      <w:bookmarkEnd w:id="290"/>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Subsection"/>
        <w:rPr>
          <w:snapToGrid w:val="0"/>
        </w:rPr>
      </w:pPr>
      <w:r>
        <w:rPr>
          <w:snapToGrid w:val="0"/>
        </w:rPr>
        <w:tab/>
        <w:t>(9)</w:t>
      </w:r>
      <w:r>
        <w:rPr>
          <w:snapToGrid w:val="0"/>
        </w:rPr>
        <w:tab/>
        <w:t>Subsections (1) to (8) shall also apply to and in relation to the Corporation as if references in those subsections to the Commission were references to the Corporation and the reference in subsection (4) to a commissioner were a reference to a director of the Corporation.</w:t>
      </w:r>
    </w:p>
    <w:p>
      <w:pPr>
        <w:pStyle w:val="Heading5"/>
        <w:rPr>
          <w:snapToGrid w:val="0"/>
        </w:rPr>
      </w:pPr>
      <w:bookmarkStart w:id="291" w:name="_Toc517674488"/>
      <w:bookmarkStart w:id="292" w:name="_Toc139707349"/>
      <w:bookmarkStart w:id="293" w:name="_Toc146528286"/>
      <w:r>
        <w:rPr>
          <w:rStyle w:val="CharSectno"/>
        </w:rPr>
        <w:t>44</w:t>
      </w:r>
      <w:r>
        <w:rPr>
          <w:snapToGrid w:val="0"/>
        </w:rPr>
        <w:t>.</w:t>
      </w:r>
      <w:r>
        <w:rPr>
          <w:snapToGrid w:val="0"/>
        </w:rPr>
        <w:tab/>
        <w:t>Exemption of certain public authorities from workers’ compensation insurance requirements</w:t>
      </w:r>
      <w:bookmarkEnd w:id="291"/>
      <w:bookmarkEnd w:id="292"/>
      <w:bookmarkEnd w:id="293"/>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(the </w:t>
      </w:r>
      <w:r>
        <w:rPr>
          <w:b/>
          <w:snapToGrid w:val="0"/>
        </w:rPr>
        <w:t>“</w:t>
      </w:r>
      <w:r>
        <w:rPr>
          <w:rStyle w:val="CharDefText"/>
        </w:rPr>
        <w:t>WCR Act</w:t>
      </w:r>
      <w:r>
        <w:rPr>
          <w:b/>
          <w:snapToGrid w:val="0"/>
        </w:rPr>
        <w:t>”</w:t>
      </w:r>
      <w:r>
        <w:rPr>
          <w:snapToGrid w:val="0"/>
        </w:rPr>
        <w:t>), public authorities for which insurance arrangements are managed and administered by the Commission under section 6(c) of this Act, are to be regarded as a group of employers that have been exempted by the Governor under section 164 of the WCR Act from the obligation to insure pursuant to the WCR Act except for the obligation to insure against liability to pay compensation for any industrial disease of the kinds referred to in section 151(a)(iii) of the WCR Act.</w:t>
      </w:r>
    </w:p>
    <w:p>
      <w:pPr>
        <w:pStyle w:val="Footnotesection"/>
      </w:pPr>
      <w:r>
        <w:tab/>
        <w:t>[Section 44 inserted by No. 45 of 1996 s. 23; amended by No. 42 of 2004 s. 174.]</w:t>
      </w:r>
    </w:p>
    <w:p>
      <w:pPr>
        <w:pStyle w:val="Heading5"/>
        <w:rPr>
          <w:snapToGrid w:val="0"/>
        </w:rPr>
      </w:pPr>
      <w:bookmarkStart w:id="294" w:name="_Toc517674489"/>
      <w:bookmarkStart w:id="295" w:name="_Toc139707350"/>
      <w:bookmarkStart w:id="296" w:name="_Toc146528287"/>
      <w:r>
        <w:rPr>
          <w:rStyle w:val="CharSectno"/>
        </w:rPr>
        <w:t>45</w:t>
      </w:r>
      <w:r>
        <w:rPr>
          <w:snapToGrid w:val="0"/>
        </w:rPr>
        <w:t>.</w:t>
      </w:r>
      <w:r>
        <w:rPr>
          <w:snapToGrid w:val="0"/>
        </w:rPr>
        <w:tab/>
        <w:t>Regulations</w:t>
      </w:r>
      <w:bookmarkEnd w:id="294"/>
      <w:bookmarkEnd w:id="295"/>
      <w:bookmarkEnd w:id="29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as to — </w:t>
      </w:r>
    </w:p>
    <w:p>
      <w:pPr>
        <w:pStyle w:val="Indenta"/>
        <w:rPr>
          <w:snapToGrid w:val="0"/>
        </w:rPr>
      </w:pPr>
      <w:r>
        <w:rPr>
          <w:snapToGrid w:val="0"/>
        </w:rPr>
        <w:tab/>
        <w:t>(a)</w:t>
      </w:r>
      <w:r>
        <w:rPr>
          <w:snapToGrid w:val="0"/>
        </w:rPr>
        <w:tab/>
        <w:t>the use of the common seals of the Commission and the Corporation in Western Australia and elsewhere;</w:t>
      </w:r>
    </w:p>
    <w:p>
      <w:pPr>
        <w:pStyle w:val="Indenta"/>
        <w:rPr>
          <w:snapToGrid w:val="0"/>
        </w:rPr>
      </w:pPr>
      <w:r>
        <w:rPr>
          <w:snapToGrid w:val="0"/>
        </w:rPr>
        <w:tab/>
        <w:t>(b)</w:t>
      </w:r>
      <w:r>
        <w:rPr>
          <w:snapToGrid w:val="0"/>
        </w:rPr>
        <w:tab/>
        <w:t>the application to the Corporation, the directors of the Corporation, or the officers and employees employed in the service of the Corporation, either with or without modification or variation, of any written law which would not otherwise be binding on the Corporation, the directors of the Corporation, or those officers and employees; and</w:t>
      </w:r>
    </w:p>
    <w:p>
      <w:pPr>
        <w:pStyle w:val="Indenta"/>
        <w:rPr>
          <w:snapToGrid w:val="0"/>
        </w:rPr>
      </w:pPr>
      <w:r>
        <w:rPr>
          <w:snapToGrid w:val="0"/>
        </w:rPr>
        <w:tab/>
        <w:t>(c)</w:t>
      </w:r>
      <w:r>
        <w:rPr>
          <w:snapToGrid w:val="0"/>
        </w:rPr>
        <w:tab/>
        <w:t>the requirements and procedures which are to be observed or followed in, or in relation to, borrowing by the Corporation and the issue and recording of debt paper.</w:t>
      </w:r>
    </w:p>
    <w:p>
      <w:pPr>
        <w:pStyle w:val="Heading2"/>
      </w:pPr>
      <w:bookmarkStart w:id="297" w:name="_Toc92782924"/>
      <w:bookmarkStart w:id="298" w:name="_Toc92783038"/>
      <w:bookmarkStart w:id="299" w:name="_Toc139707351"/>
      <w:bookmarkStart w:id="300" w:name="_Toc139781119"/>
      <w:bookmarkStart w:id="301" w:name="_Toc139949402"/>
      <w:bookmarkStart w:id="302" w:name="_Toc142459104"/>
      <w:bookmarkStart w:id="303" w:name="_Toc144280050"/>
      <w:bookmarkStart w:id="304" w:name="_Toc146528288"/>
      <w:r>
        <w:rPr>
          <w:rStyle w:val="CharPartNo"/>
        </w:rPr>
        <w:t>Part V</w:t>
      </w:r>
      <w:r>
        <w:rPr>
          <w:rStyle w:val="CharDivNo"/>
        </w:rPr>
        <w:t> </w:t>
      </w:r>
      <w:r>
        <w:t>—</w:t>
      </w:r>
      <w:r>
        <w:rPr>
          <w:rStyle w:val="CharDivText"/>
        </w:rPr>
        <w:t> </w:t>
      </w:r>
      <w:r>
        <w:rPr>
          <w:rStyle w:val="CharPartText"/>
        </w:rPr>
        <w:t>Repeal, amendments, saving, validation and transitional</w:t>
      </w:r>
      <w:bookmarkEnd w:id="297"/>
      <w:bookmarkEnd w:id="298"/>
      <w:bookmarkEnd w:id="299"/>
      <w:bookmarkEnd w:id="300"/>
      <w:bookmarkEnd w:id="301"/>
      <w:bookmarkEnd w:id="302"/>
      <w:bookmarkEnd w:id="303"/>
      <w:bookmarkEnd w:id="304"/>
      <w:r>
        <w:rPr>
          <w:rStyle w:val="CharPartText"/>
        </w:rPr>
        <w:t xml:space="preserve"> </w:t>
      </w:r>
    </w:p>
    <w:p>
      <w:pPr>
        <w:pStyle w:val="Heading5"/>
        <w:rPr>
          <w:snapToGrid w:val="0"/>
        </w:rPr>
      </w:pPr>
      <w:bookmarkStart w:id="305" w:name="_Toc517674490"/>
      <w:bookmarkStart w:id="306" w:name="_Toc139707352"/>
      <w:bookmarkStart w:id="307" w:name="_Toc146528289"/>
      <w:r>
        <w:rPr>
          <w:rStyle w:val="CharSectno"/>
        </w:rPr>
        <w:t>46</w:t>
      </w:r>
      <w:r>
        <w:rPr>
          <w:snapToGrid w:val="0"/>
        </w:rPr>
        <w:t>.</w:t>
      </w:r>
      <w:r>
        <w:rPr>
          <w:snapToGrid w:val="0"/>
        </w:rPr>
        <w:tab/>
        <w:t>Repeal and amendments</w:t>
      </w:r>
      <w:bookmarkEnd w:id="305"/>
      <w:bookmarkEnd w:id="306"/>
      <w:bookmarkEnd w:id="307"/>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308" w:name="_Toc517674491"/>
      <w:bookmarkStart w:id="309" w:name="_Toc139707353"/>
      <w:bookmarkStart w:id="310" w:name="_Toc146528290"/>
      <w:r>
        <w:rPr>
          <w:rStyle w:val="CharSectno"/>
        </w:rPr>
        <w:t>47</w:t>
      </w:r>
      <w:r>
        <w:rPr>
          <w:snapToGrid w:val="0"/>
        </w:rPr>
        <w:t>.</w:t>
      </w:r>
      <w:r>
        <w:rPr>
          <w:snapToGrid w:val="0"/>
        </w:rPr>
        <w:tab/>
        <w:t>Saving, validation and transitional provisions</w:t>
      </w:r>
      <w:bookmarkEnd w:id="308"/>
      <w:bookmarkEnd w:id="309"/>
      <w:bookmarkEnd w:id="310"/>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311" w:name="_Toc517674492"/>
      <w:bookmarkStart w:id="312" w:name="_Toc139707354"/>
      <w:bookmarkStart w:id="313" w:name="_Toc146528291"/>
      <w:r>
        <w:rPr>
          <w:rStyle w:val="CharSectno"/>
        </w:rPr>
        <w:t>48</w:t>
      </w:r>
      <w:r>
        <w:rPr>
          <w:snapToGrid w:val="0"/>
        </w:rPr>
        <w:t>.</w:t>
      </w:r>
      <w:r>
        <w:rPr>
          <w:snapToGrid w:val="0"/>
        </w:rPr>
        <w:tab/>
        <w:t>Oversight by Public Accounts Committee</w:t>
      </w:r>
      <w:bookmarkEnd w:id="311"/>
      <w:bookmarkEnd w:id="312"/>
      <w:bookmarkEnd w:id="313"/>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314" w:name="_Toc139707355"/>
      <w:bookmarkStart w:id="315" w:name="_Toc139781123"/>
      <w:bookmarkStart w:id="316" w:name="_Toc139949406"/>
      <w:bookmarkStart w:id="317" w:name="_Toc142459108"/>
      <w:bookmarkStart w:id="318" w:name="_Toc144280054"/>
      <w:bookmarkStart w:id="319" w:name="_Toc146528292"/>
      <w:r>
        <w:rPr>
          <w:rStyle w:val="CharSchNo"/>
        </w:rPr>
        <w:t>Schedule 1</w:t>
      </w:r>
      <w:bookmarkEnd w:id="314"/>
      <w:bookmarkEnd w:id="315"/>
      <w:bookmarkEnd w:id="316"/>
      <w:bookmarkEnd w:id="317"/>
      <w:bookmarkEnd w:id="318"/>
      <w:bookmarkEnd w:id="319"/>
    </w:p>
    <w:p>
      <w:pPr>
        <w:pStyle w:val="yShoulderClause"/>
        <w:rPr>
          <w:snapToGrid w:val="0"/>
        </w:rPr>
      </w:pPr>
      <w:r>
        <w:rPr>
          <w:snapToGrid w:val="0"/>
        </w:rPr>
        <w:t>[Section 5(4)]</w:t>
      </w:r>
    </w:p>
    <w:p>
      <w:pPr>
        <w:pStyle w:val="yHeading2"/>
      </w:pPr>
      <w:bookmarkStart w:id="320" w:name="_Toc139781124"/>
      <w:bookmarkStart w:id="321" w:name="_Toc139949407"/>
      <w:bookmarkStart w:id="322" w:name="_Toc142459109"/>
      <w:bookmarkStart w:id="323" w:name="_Toc144280055"/>
      <w:bookmarkStart w:id="324" w:name="_Toc146528293"/>
      <w:r>
        <w:rPr>
          <w:rStyle w:val="CharSchText"/>
        </w:rPr>
        <w:t>Provisions as to commissioners</w:t>
      </w:r>
      <w:bookmarkEnd w:id="320"/>
      <w:bookmarkEnd w:id="321"/>
      <w:bookmarkEnd w:id="322"/>
      <w:bookmarkEnd w:id="323"/>
      <w:bookmarkEnd w:id="324"/>
      <w:r>
        <w:rPr>
          <w:rStyle w:val="CharSDivNo"/>
        </w:rPr>
        <w:t xml:space="preserve"> </w:t>
      </w:r>
      <w:r>
        <w:rPr>
          <w:rStyle w:val="CharSDivText"/>
        </w:rPr>
        <w:t xml:space="preserve"> </w:t>
      </w:r>
    </w:p>
    <w:p>
      <w:pPr>
        <w:pStyle w:val="yHeading5"/>
        <w:ind w:left="890" w:hanging="890"/>
        <w:outlineLvl w:val="9"/>
        <w:rPr>
          <w:snapToGrid w:val="0"/>
        </w:rPr>
      </w:pPr>
      <w:bookmarkStart w:id="325" w:name="_Toc139707356"/>
      <w:bookmarkStart w:id="326" w:name="_Toc146528294"/>
      <w:r>
        <w:rPr>
          <w:rStyle w:val="CharSClsNo"/>
        </w:rPr>
        <w:t>1</w:t>
      </w:r>
      <w:r>
        <w:rPr>
          <w:snapToGrid w:val="0"/>
        </w:rPr>
        <w:t>.</w:t>
      </w:r>
      <w:r>
        <w:rPr>
          <w:snapToGrid w:val="0"/>
        </w:rPr>
        <w:tab/>
        <w:t>Definitions</w:t>
      </w:r>
      <w:bookmarkEnd w:id="325"/>
      <w:bookmarkEnd w:id="326"/>
    </w:p>
    <w:p>
      <w:pPr>
        <w:pStyle w:val="ySubsection"/>
        <w:rPr>
          <w:snapToGrid w:val="0"/>
        </w:rPr>
      </w:pPr>
      <w:r>
        <w:rPr>
          <w:snapToGrid w:val="0"/>
        </w:rPr>
        <w:tab/>
      </w:r>
      <w:r>
        <w:rPr>
          <w:snapToGrid w:val="0"/>
        </w:rPr>
        <w:tab/>
        <w:t>In this Schedule — </w:t>
      </w:r>
    </w:p>
    <w:p>
      <w:pPr>
        <w:pStyle w:val="yDefstart"/>
      </w:pPr>
      <w:r>
        <w:tab/>
      </w:r>
      <w:r>
        <w:rPr>
          <w:b/>
          <w:bCs/>
        </w:rPr>
        <w:t>“</w:t>
      </w:r>
      <w:r>
        <w:rPr>
          <w:rStyle w:val="CharDefText"/>
        </w:rPr>
        <w:t>ordinary commissioner</w:t>
      </w:r>
      <w:r>
        <w:rPr>
          <w:b/>
          <w:bCs/>
        </w:rPr>
        <w:t>”</w:t>
      </w:r>
      <w:r>
        <w:t xml:space="preserve"> means a commissioner other than the managing director, and includes the chairman and the deputy chairman of the board of commissioners;</w:t>
      </w:r>
    </w:p>
    <w:p>
      <w:pPr>
        <w:pStyle w:val="yDefstart"/>
      </w:pPr>
      <w:r>
        <w:rPr>
          <w:b/>
        </w:rPr>
        <w:tab/>
        <w:t>“</w:t>
      </w:r>
      <w:r>
        <w:rPr>
          <w:rStyle w:val="CharDefText"/>
        </w:rPr>
        <w:t>the board</w:t>
      </w:r>
      <w:r>
        <w:rPr>
          <w:b/>
        </w:rPr>
        <w:t>”</w:t>
      </w:r>
      <w:r>
        <w:t xml:space="preserve"> means the board of commissioners of the Commission.</w:t>
      </w:r>
    </w:p>
    <w:p>
      <w:pPr>
        <w:pStyle w:val="yHeading5"/>
        <w:ind w:left="890" w:hanging="890"/>
        <w:outlineLvl w:val="9"/>
        <w:rPr>
          <w:snapToGrid w:val="0"/>
        </w:rPr>
      </w:pPr>
      <w:bookmarkStart w:id="327" w:name="_Toc139707357"/>
      <w:bookmarkStart w:id="328" w:name="_Toc146528295"/>
      <w:r>
        <w:rPr>
          <w:rStyle w:val="CharSClsNo"/>
        </w:rPr>
        <w:t>2</w:t>
      </w:r>
      <w:r>
        <w:rPr>
          <w:snapToGrid w:val="0"/>
        </w:rPr>
        <w:t>.</w:t>
      </w:r>
      <w:r>
        <w:rPr>
          <w:snapToGrid w:val="0"/>
        </w:rPr>
        <w:tab/>
        <w:t>Commissioners — terms and vacation of office</w:t>
      </w:r>
      <w:bookmarkEnd w:id="327"/>
      <w:bookmarkEnd w:id="328"/>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w:t>
      </w:r>
    </w:p>
    <w:p>
      <w:pPr>
        <w:pStyle w:val="yIndenta"/>
        <w:rPr>
          <w:snapToGrid w:val="0"/>
        </w:rPr>
      </w:pPr>
      <w:r>
        <w:rPr>
          <w:snapToGrid w:val="0"/>
        </w:rPr>
        <w:tab/>
        <w:t>(b)</w:t>
      </w:r>
      <w:r>
        <w:rPr>
          <w:snapToGrid w:val="0"/>
        </w:rPr>
        <w:tab/>
        <w:t>if 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Heading5"/>
        <w:ind w:left="890" w:hanging="890"/>
        <w:outlineLvl w:val="9"/>
        <w:rPr>
          <w:snapToGrid w:val="0"/>
        </w:rPr>
      </w:pPr>
      <w:bookmarkStart w:id="329" w:name="_Toc139707358"/>
      <w:bookmarkStart w:id="330" w:name="_Toc146528296"/>
      <w:r>
        <w:rPr>
          <w:rStyle w:val="CharSClsNo"/>
        </w:rPr>
        <w:t>3</w:t>
      </w:r>
      <w:r>
        <w:rPr>
          <w:snapToGrid w:val="0"/>
        </w:rPr>
        <w:t>.</w:t>
      </w:r>
      <w:r>
        <w:rPr>
          <w:snapToGrid w:val="0"/>
        </w:rPr>
        <w:tab/>
        <w:t>Alternate commissioners</w:t>
      </w:r>
      <w:bookmarkEnd w:id="329"/>
      <w:bookmarkEnd w:id="330"/>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331" w:name="_Toc139707359"/>
      <w:bookmarkStart w:id="332" w:name="_Toc146528297"/>
      <w:r>
        <w:rPr>
          <w:rStyle w:val="CharSClsNo"/>
        </w:rPr>
        <w:t>4</w:t>
      </w:r>
      <w:r>
        <w:rPr>
          <w:snapToGrid w:val="0"/>
        </w:rPr>
        <w:t>.</w:t>
      </w:r>
      <w:r>
        <w:rPr>
          <w:snapToGrid w:val="0"/>
        </w:rPr>
        <w:tab/>
        <w:t>Chairman and deputy chairman — term and vacation of office</w:t>
      </w:r>
      <w:bookmarkEnd w:id="331"/>
      <w:bookmarkEnd w:id="332"/>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333" w:name="_Toc139707360"/>
      <w:bookmarkStart w:id="334" w:name="_Toc146528298"/>
      <w:r>
        <w:rPr>
          <w:rStyle w:val="CharSClsNo"/>
        </w:rPr>
        <w:t>5</w:t>
      </w:r>
      <w:r>
        <w:rPr>
          <w:snapToGrid w:val="0"/>
        </w:rPr>
        <w:t>.</w:t>
      </w:r>
      <w:r>
        <w:rPr>
          <w:snapToGrid w:val="0"/>
        </w:rPr>
        <w:tab/>
        <w:t>Disclosure of pecuniary interests</w:t>
      </w:r>
      <w:bookmarkEnd w:id="333"/>
      <w:bookmarkEnd w:id="334"/>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335" w:name="_Toc139707361"/>
      <w:bookmarkStart w:id="336" w:name="_Toc146528299"/>
      <w:r>
        <w:rPr>
          <w:rStyle w:val="CharSClsNo"/>
        </w:rPr>
        <w:t>6</w:t>
      </w:r>
      <w:r>
        <w:rPr>
          <w:snapToGrid w:val="0"/>
        </w:rPr>
        <w:t>.</w:t>
      </w:r>
      <w:r>
        <w:rPr>
          <w:snapToGrid w:val="0"/>
        </w:rPr>
        <w:tab/>
        <w:t>Meetings</w:t>
      </w:r>
      <w:bookmarkEnd w:id="335"/>
      <w:bookmarkEnd w:id="336"/>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337" w:name="_Toc139707362"/>
      <w:bookmarkStart w:id="338" w:name="_Toc146528300"/>
      <w:r>
        <w:rPr>
          <w:rStyle w:val="CharSClsNo"/>
        </w:rPr>
        <w:t>6A</w:t>
      </w:r>
      <w:r>
        <w:rPr>
          <w:snapToGrid w:val="0"/>
        </w:rPr>
        <w:t>.</w:t>
      </w:r>
      <w:r>
        <w:rPr>
          <w:snapToGrid w:val="0"/>
        </w:rPr>
        <w:tab/>
        <w:t>Telephone and video meetings</w:t>
      </w:r>
      <w:bookmarkEnd w:id="337"/>
      <w:bookmarkEnd w:id="338"/>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339" w:name="_Toc139707363"/>
      <w:bookmarkStart w:id="340" w:name="_Toc146528301"/>
      <w:r>
        <w:rPr>
          <w:rStyle w:val="CharSClsNo"/>
        </w:rPr>
        <w:t>7</w:t>
      </w:r>
      <w:r>
        <w:rPr>
          <w:snapToGrid w:val="0"/>
        </w:rPr>
        <w:t>.</w:t>
      </w:r>
      <w:r>
        <w:rPr>
          <w:snapToGrid w:val="0"/>
        </w:rPr>
        <w:tab/>
        <w:t>Committees</w:t>
      </w:r>
      <w:bookmarkEnd w:id="339"/>
      <w:bookmarkEnd w:id="340"/>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341" w:name="_Toc139707364"/>
      <w:bookmarkStart w:id="342" w:name="_Toc146528302"/>
      <w:r>
        <w:rPr>
          <w:rStyle w:val="CharSClsNo"/>
        </w:rPr>
        <w:t>8</w:t>
      </w:r>
      <w:r>
        <w:rPr>
          <w:snapToGrid w:val="0"/>
        </w:rPr>
        <w:t>.</w:t>
      </w:r>
      <w:r>
        <w:rPr>
          <w:snapToGrid w:val="0"/>
        </w:rPr>
        <w:tab/>
        <w:t>Resolution may be passed without meeting</w:t>
      </w:r>
      <w:bookmarkEnd w:id="341"/>
      <w:bookmarkEnd w:id="342"/>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343" w:name="_Toc139707365"/>
      <w:bookmarkStart w:id="344" w:name="_Toc146528303"/>
      <w:r>
        <w:rPr>
          <w:rStyle w:val="CharSClsNo"/>
        </w:rPr>
        <w:t>8A</w:t>
      </w:r>
      <w:r>
        <w:rPr>
          <w:snapToGrid w:val="0"/>
        </w:rPr>
        <w:t>.</w:t>
      </w:r>
      <w:r>
        <w:rPr>
          <w:snapToGrid w:val="0"/>
        </w:rPr>
        <w:tab/>
        <w:t>Minutes of meetings etc.</w:t>
      </w:r>
      <w:bookmarkEnd w:id="343"/>
      <w:bookmarkEnd w:id="344"/>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345" w:name="_Toc139707366"/>
      <w:bookmarkStart w:id="346" w:name="_Toc146528304"/>
      <w:r>
        <w:rPr>
          <w:rStyle w:val="CharSClsNo"/>
        </w:rPr>
        <w:t>9</w:t>
      </w:r>
      <w:r>
        <w:rPr>
          <w:snapToGrid w:val="0"/>
        </w:rPr>
        <w:t>.</w:t>
      </w:r>
      <w:r>
        <w:rPr>
          <w:snapToGrid w:val="0"/>
        </w:rPr>
        <w:tab/>
        <w:t>Leave of absence</w:t>
      </w:r>
      <w:bookmarkEnd w:id="345"/>
      <w:bookmarkEnd w:id="346"/>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347" w:name="_Toc139707367"/>
      <w:bookmarkStart w:id="348" w:name="_Toc146528305"/>
      <w:r>
        <w:rPr>
          <w:rStyle w:val="CharSClsNo"/>
        </w:rPr>
        <w:t>10</w:t>
      </w:r>
      <w:r>
        <w:rPr>
          <w:snapToGrid w:val="0"/>
        </w:rPr>
        <w:t>.</w:t>
      </w:r>
      <w:r>
        <w:rPr>
          <w:snapToGrid w:val="0"/>
        </w:rPr>
        <w:tab/>
        <w:t>Board to determine own procedures</w:t>
      </w:r>
      <w:bookmarkEnd w:id="347"/>
      <w:bookmarkEnd w:id="348"/>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349" w:name="_Toc139707368"/>
      <w:bookmarkStart w:id="350" w:name="_Toc146528306"/>
      <w:r>
        <w:rPr>
          <w:rStyle w:val="CharSClsNo"/>
        </w:rPr>
        <w:t>11</w:t>
      </w:r>
      <w:r>
        <w:rPr>
          <w:snapToGrid w:val="0"/>
        </w:rPr>
        <w:t>.</w:t>
      </w:r>
      <w:r>
        <w:rPr>
          <w:snapToGrid w:val="0"/>
        </w:rPr>
        <w:tab/>
        <w:t>Protection of commissioners</w:t>
      </w:r>
      <w:bookmarkEnd w:id="349"/>
      <w:bookmarkEnd w:id="350"/>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ScheduleHeading"/>
      </w:pPr>
      <w:bookmarkStart w:id="351" w:name="_Toc139707369"/>
      <w:bookmarkStart w:id="352" w:name="_Toc139781138"/>
      <w:bookmarkStart w:id="353" w:name="_Toc139949421"/>
      <w:bookmarkStart w:id="354" w:name="_Toc142459123"/>
      <w:bookmarkStart w:id="355" w:name="_Toc144280069"/>
      <w:bookmarkStart w:id="356" w:name="_Toc146528307"/>
      <w:r>
        <w:rPr>
          <w:rStyle w:val="CharSchNo"/>
        </w:rPr>
        <w:t>Schedule 2</w:t>
      </w:r>
      <w:bookmarkEnd w:id="351"/>
      <w:bookmarkEnd w:id="352"/>
      <w:bookmarkEnd w:id="353"/>
      <w:bookmarkEnd w:id="354"/>
      <w:bookmarkEnd w:id="355"/>
      <w:bookmarkEnd w:id="356"/>
    </w:p>
    <w:p>
      <w:pPr>
        <w:pStyle w:val="yShoulderClause"/>
        <w:rPr>
          <w:snapToGrid w:val="0"/>
        </w:rPr>
      </w:pPr>
      <w:r>
        <w:rPr>
          <w:snapToGrid w:val="0"/>
        </w:rPr>
        <w:t>[Section 29(4)]</w:t>
      </w:r>
    </w:p>
    <w:p>
      <w:pPr>
        <w:pStyle w:val="yHeading2"/>
      </w:pPr>
      <w:bookmarkStart w:id="357" w:name="_Toc139781139"/>
      <w:bookmarkStart w:id="358" w:name="_Toc139949422"/>
      <w:bookmarkStart w:id="359" w:name="_Toc142459124"/>
      <w:bookmarkStart w:id="360" w:name="_Toc144280070"/>
      <w:bookmarkStart w:id="361" w:name="_Toc146528308"/>
      <w:r>
        <w:rPr>
          <w:rStyle w:val="CharSchText"/>
        </w:rPr>
        <w:t>Provisions as to directors</w:t>
      </w:r>
      <w:bookmarkEnd w:id="357"/>
      <w:bookmarkEnd w:id="358"/>
      <w:bookmarkEnd w:id="359"/>
      <w:bookmarkEnd w:id="360"/>
      <w:bookmarkEnd w:id="361"/>
    </w:p>
    <w:p>
      <w:pPr>
        <w:pStyle w:val="yHeading5"/>
        <w:ind w:left="890" w:hanging="890"/>
        <w:outlineLvl w:val="9"/>
        <w:rPr>
          <w:snapToGrid w:val="0"/>
        </w:rPr>
      </w:pPr>
      <w:bookmarkStart w:id="362" w:name="_Toc139707370"/>
      <w:bookmarkStart w:id="363" w:name="_Toc146528309"/>
      <w:r>
        <w:rPr>
          <w:rStyle w:val="CharSClsNo"/>
        </w:rPr>
        <w:t>1</w:t>
      </w:r>
      <w:r>
        <w:rPr>
          <w:snapToGrid w:val="0"/>
        </w:rPr>
        <w:t>.</w:t>
      </w:r>
      <w:r>
        <w:rPr>
          <w:snapToGrid w:val="0"/>
        </w:rPr>
        <w:tab/>
        <w:t>Definition</w:t>
      </w:r>
      <w:bookmarkEnd w:id="362"/>
      <w:bookmarkEnd w:id="363"/>
    </w:p>
    <w:p>
      <w:pPr>
        <w:pStyle w:val="ySubsection"/>
        <w:rPr>
          <w:snapToGrid w:val="0"/>
        </w:rPr>
      </w:pPr>
      <w:r>
        <w:rPr>
          <w:snapToGrid w:val="0"/>
        </w:rPr>
        <w:tab/>
      </w:r>
      <w:r>
        <w:rPr>
          <w:snapToGrid w:val="0"/>
        </w:rPr>
        <w:tab/>
        <w:t xml:space="preserve">In this Schedule </w:t>
      </w:r>
      <w:r>
        <w:rPr>
          <w:b/>
          <w:snapToGrid w:val="0"/>
        </w:rPr>
        <w:t>“</w:t>
      </w:r>
      <w:r>
        <w:rPr>
          <w:rStyle w:val="CharDefText"/>
        </w:rPr>
        <w:t>ordinary director</w:t>
      </w:r>
      <w:r>
        <w:rPr>
          <w:b/>
          <w:snapToGrid w:val="0"/>
        </w:rPr>
        <w:t>”</w:t>
      </w:r>
      <w:r>
        <w:rPr>
          <w:snapToGrid w:val="0"/>
        </w:rPr>
        <w:t xml:space="preserve"> means a director of the Corporation other than the managing director, and includes the deputy chairman of the board of directors.</w:t>
      </w:r>
    </w:p>
    <w:p>
      <w:pPr>
        <w:pStyle w:val="yHeading5"/>
        <w:ind w:left="890" w:hanging="890"/>
        <w:outlineLvl w:val="9"/>
        <w:rPr>
          <w:snapToGrid w:val="0"/>
        </w:rPr>
      </w:pPr>
      <w:bookmarkStart w:id="364" w:name="_Toc139707371"/>
      <w:bookmarkStart w:id="365" w:name="_Toc146528310"/>
      <w:r>
        <w:rPr>
          <w:rStyle w:val="CharSClsNo"/>
        </w:rPr>
        <w:t>2</w:t>
      </w:r>
      <w:r>
        <w:rPr>
          <w:snapToGrid w:val="0"/>
        </w:rPr>
        <w:t>.</w:t>
      </w:r>
      <w:r>
        <w:rPr>
          <w:snapToGrid w:val="0"/>
        </w:rPr>
        <w:tab/>
        <w:t>Directors — terms and vacation of office</w:t>
      </w:r>
      <w:bookmarkEnd w:id="364"/>
      <w:bookmarkEnd w:id="365"/>
    </w:p>
    <w:p>
      <w:pPr>
        <w:pStyle w:val="ySubsection"/>
        <w:rPr>
          <w:snapToGrid w:val="0"/>
        </w:rPr>
      </w:pPr>
      <w:r>
        <w:rPr>
          <w:snapToGrid w:val="0"/>
        </w:rPr>
        <w:tab/>
        <w:t>(1)</w:t>
      </w:r>
      <w:r>
        <w:rPr>
          <w:snapToGrid w:val="0"/>
        </w:rPr>
        <w:tab/>
        <w:t>Subject to subclauses (2), (3) and (4), an ordinary director shall hold office for such period, not exceeding 5 years, as is specified in the instrument appointing him as a director, and is eligible for reappointment.</w:t>
      </w:r>
    </w:p>
    <w:p>
      <w:pPr>
        <w:pStyle w:val="ySubsection"/>
        <w:rPr>
          <w:snapToGrid w:val="0"/>
        </w:rPr>
      </w:pPr>
      <w:r>
        <w:rPr>
          <w:snapToGrid w:val="0"/>
        </w:rPr>
        <w:tab/>
        <w:t>(2)</w:t>
      </w:r>
      <w:r>
        <w:rPr>
          <w:snapToGrid w:val="0"/>
        </w:rPr>
        <w:tab/>
        <w:t>An ordinary director,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director may resign his office by notice in writing delivered to the chairman of the board of commissioners.</w:t>
      </w:r>
    </w:p>
    <w:p>
      <w:pPr>
        <w:pStyle w:val="ySubsection"/>
        <w:rPr>
          <w:snapToGrid w:val="0"/>
        </w:rPr>
      </w:pPr>
      <w:r>
        <w:rPr>
          <w:snapToGrid w:val="0"/>
        </w:rPr>
        <w:tab/>
        <w:t>(4)</w:t>
      </w:r>
      <w:r>
        <w:rPr>
          <w:snapToGrid w:val="0"/>
        </w:rPr>
        <w:tab/>
        <w:t>An ordinary director may be removed from office by the Commission — </w:t>
      </w:r>
    </w:p>
    <w:p>
      <w:pPr>
        <w:pStyle w:val="yIndenta"/>
        <w:rPr>
          <w:snapToGrid w:val="0"/>
        </w:rPr>
      </w:pPr>
      <w:r>
        <w:rPr>
          <w:snapToGrid w:val="0"/>
        </w:rPr>
        <w:tab/>
        <w:t>(a)</w:t>
      </w:r>
      <w:r>
        <w:rPr>
          <w:snapToGrid w:val="0"/>
        </w:rPr>
        <w:tab/>
        <w:t>for mental or physical disability, incompetence, neglect of duty or misconduct proved to the satisfaction of the Commission;</w:t>
      </w:r>
    </w:p>
    <w:p>
      <w:pPr>
        <w:pStyle w:val="yIndenta"/>
        <w:rPr>
          <w:snapToGrid w:val="0"/>
        </w:rPr>
      </w:pPr>
      <w:r>
        <w:rPr>
          <w:snapToGrid w:val="0"/>
        </w:rPr>
        <w:tab/>
        <w:t>(b)</w:t>
      </w:r>
      <w:r>
        <w:rPr>
          <w:snapToGrid w:val="0"/>
        </w:rPr>
        <w:tab/>
        <w:t>if 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if he is absent without leave of the board of directors from 3 consecutive meetings of the board of directors of which he has had notice.</w:t>
      </w:r>
    </w:p>
    <w:p>
      <w:pPr>
        <w:pStyle w:val="ySubsection"/>
        <w:rPr>
          <w:snapToGrid w:val="0"/>
        </w:rPr>
      </w:pPr>
      <w:r>
        <w:rPr>
          <w:snapToGrid w:val="0"/>
        </w:rPr>
        <w:tab/>
        <w:t>(5)</w:t>
      </w:r>
      <w:r>
        <w:rPr>
          <w:snapToGrid w:val="0"/>
        </w:rPr>
        <w:tab/>
        <w:t>An ordinary director shall carry out his duties as a director on a part-time basis unless there is any requirement to the contrary in the instrument appointing him as a director or as deputy chairman of the board of directors.</w:t>
      </w:r>
    </w:p>
    <w:p>
      <w:pPr>
        <w:pStyle w:val="yHeading5"/>
        <w:ind w:left="890" w:hanging="890"/>
        <w:outlineLvl w:val="9"/>
        <w:rPr>
          <w:snapToGrid w:val="0"/>
        </w:rPr>
      </w:pPr>
      <w:bookmarkStart w:id="366" w:name="_Toc139707372"/>
      <w:bookmarkStart w:id="367" w:name="_Toc146528311"/>
      <w:r>
        <w:rPr>
          <w:rStyle w:val="CharSClsNo"/>
        </w:rPr>
        <w:t>3</w:t>
      </w:r>
      <w:r>
        <w:rPr>
          <w:snapToGrid w:val="0"/>
        </w:rPr>
        <w:t>.</w:t>
      </w:r>
      <w:r>
        <w:rPr>
          <w:snapToGrid w:val="0"/>
        </w:rPr>
        <w:tab/>
        <w:t>Alternate directors</w:t>
      </w:r>
      <w:bookmarkEnd w:id="366"/>
      <w:bookmarkEnd w:id="367"/>
    </w:p>
    <w:p>
      <w:pPr>
        <w:pStyle w:val="ySubsection"/>
        <w:rPr>
          <w:snapToGrid w:val="0"/>
        </w:rPr>
      </w:pPr>
      <w:r>
        <w:rPr>
          <w:snapToGrid w:val="0"/>
        </w:rPr>
        <w:tab/>
        <w:t>(1)</w:t>
      </w:r>
      <w:r>
        <w:rPr>
          <w:snapToGrid w:val="0"/>
        </w:rPr>
        <w:tab/>
        <w:t>Where an ordinary director, is unable to act by reason of sickness, absence or other cause, the Commission may appoint another person to act temporarily in his place, and while so acting according to the tenor of his appointment that other person is deemed to be a director of the Corporation.</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deputy chairman of the board of directors, nominate a senior officer of the Commission to represent him at any meeting of the board of directors which he is unable to attend by reason of sickness, absence or other cause, and while so attending the person so nominated is deemed to be a director of the Corporation.</w:t>
      </w:r>
    </w:p>
    <w:p>
      <w:pPr>
        <w:pStyle w:val="ySubsection"/>
        <w:rPr>
          <w:snapToGrid w:val="0"/>
        </w:rPr>
      </w:pPr>
      <w:r>
        <w:rPr>
          <w:snapToGrid w:val="0"/>
        </w:rPr>
        <w:tab/>
        <w:t>(3)</w:t>
      </w:r>
      <w:r>
        <w:rPr>
          <w:snapToGrid w:val="0"/>
        </w:rPr>
        <w:tab/>
        <w:t>No act or omission of a person acting in place of another under this clause shall he questioned on the ground that the occasion for his appointment or acting had not arisen or had ceased.</w:t>
      </w:r>
    </w:p>
    <w:p>
      <w:pPr>
        <w:pStyle w:val="yHeading5"/>
        <w:ind w:left="890" w:hanging="890"/>
        <w:outlineLvl w:val="9"/>
        <w:rPr>
          <w:snapToGrid w:val="0"/>
        </w:rPr>
      </w:pPr>
      <w:bookmarkStart w:id="368" w:name="_Toc139707373"/>
      <w:bookmarkStart w:id="369" w:name="_Toc146528312"/>
      <w:r>
        <w:rPr>
          <w:rStyle w:val="CharSClsNo"/>
        </w:rPr>
        <w:t>4</w:t>
      </w:r>
      <w:r>
        <w:rPr>
          <w:snapToGrid w:val="0"/>
        </w:rPr>
        <w:t>.</w:t>
      </w:r>
      <w:r>
        <w:rPr>
          <w:snapToGrid w:val="0"/>
        </w:rPr>
        <w:tab/>
        <w:t>Deputy chairman — term and vacation of office</w:t>
      </w:r>
      <w:bookmarkEnd w:id="368"/>
      <w:bookmarkEnd w:id="369"/>
    </w:p>
    <w:p>
      <w:pPr>
        <w:pStyle w:val="ySubsection"/>
        <w:rPr>
          <w:snapToGrid w:val="0"/>
        </w:rPr>
      </w:pPr>
      <w:r>
        <w:rPr>
          <w:snapToGrid w:val="0"/>
        </w:rPr>
        <w:tab/>
        <w:t>(1)</w:t>
      </w:r>
      <w:r>
        <w:rPr>
          <w:snapToGrid w:val="0"/>
        </w:rPr>
        <w:tab/>
        <w:t>Subject to subclauses (2) and (3) the deputy chairman of the board of directors shall hold office as deputy chairman for such period not exceeding 5 years as is specified in the instrument appointing him as deputy chairman and is eligible for reappointment.</w:t>
      </w:r>
    </w:p>
    <w:p>
      <w:pPr>
        <w:pStyle w:val="ySubsection"/>
        <w:rPr>
          <w:snapToGrid w:val="0"/>
        </w:rPr>
      </w:pPr>
      <w:r>
        <w:rPr>
          <w:snapToGrid w:val="0"/>
        </w:rPr>
        <w:tab/>
        <w:t>(2)</w:t>
      </w:r>
      <w:r>
        <w:rPr>
          <w:snapToGrid w:val="0"/>
        </w:rPr>
        <w:tab/>
        <w:t>The office of the deputy chairman of the board of directors becomes vacant if he ceases to be a director of the Corporation.</w:t>
      </w:r>
    </w:p>
    <w:p>
      <w:pPr>
        <w:pStyle w:val="ySubsection"/>
        <w:rPr>
          <w:snapToGrid w:val="0"/>
        </w:rPr>
      </w:pPr>
      <w:r>
        <w:rPr>
          <w:snapToGrid w:val="0"/>
        </w:rPr>
        <w:tab/>
        <w:t>(3)</w:t>
      </w:r>
      <w:r>
        <w:rPr>
          <w:snapToGrid w:val="0"/>
        </w:rPr>
        <w:tab/>
        <w:t>The deputy chairman of the board of directors may resign his office as deputy chairman by notice in writing delivered to the chairman of the board of commissioners.</w:t>
      </w:r>
    </w:p>
    <w:p>
      <w:pPr>
        <w:pStyle w:val="yHeading5"/>
        <w:ind w:left="890" w:hanging="890"/>
        <w:outlineLvl w:val="9"/>
        <w:rPr>
          <w:snapToGrid w:val="0"/>
        </w:rPr>
      </w:pPr>
      <w:bookmarkStart w:id="370" w:name="_Toc139707374"/>
      <w:bookmarkStart w:id="371" w:name="_Toc146528313"/>
      <w:r>
        <w:rPr>
          <w:rStyle w:val="CharSClsNo"/>
        </w:rPr>
        <w:t>5</w:t>
      </w:r>
      <w:r>
        <w:rPr>
          <w:snapToGrid w:val="0"/>
        </w:rPr>
        <w:t>.</w:t>
      </w:r>
      <w:r>
        <w:rPr>
          <w:snapToGrid w:val="0"/>
        </w:rPr>
        <w:tab/>
        <w:t>Meetings</w:t>
      </w:r>
      <w:bookmarkEnd w:id="370"/>
      <w:bookmarkEnd w:id="371"/>
    </w:p>
    <w:p>
      <w:pPr>
        <w:pStyle w:val="ySubsection"/>
        <w:rPr>
          <w:snapToGrid w:val="0"/>
        </w:rPr>
      </w:pPr>
      <w:r>
        <w:rPr>
          <w:snapToGrid w:val="0"/>
        </w:rPr>
        <w:tab/>
        <w:t>(1)</w:t>
      </w:r>
      <w:r>
        <w:rPr>
          <w:snapToGrid w:val="0"/>
        </w:rPr>
        <w:tab/>
        <w:t>The first meeting of the board of directors shall he convened by the chairman of the board of directors and thereafter, subject to subclause (2), meetings shall be held at such times and places as the board of directors determines.</w:t>
      </w:r>
    </w:p>
    <w:p>
      <w:pPr>
        <w:pStyle w:val="ySubsection"/>
        <w:rPr>
          <w:snapToGrid w:val="0"/>
        </w:rPr>
      </w:pPr>
      <w:r>
        <w:rPr>
          <w:snapToGrid w:val="0"/>
        </w:rPr>
        <w:tab/>
        <w:t>(2)</w:t>
      </w:r>
      <w:r>
        <w:rPr>
          <w:snapToGrid w:val="0"/>
        </w:rPr>
        <w:tab/>
        <w:t>A special meeting of the board of directors may at any time be convened by the chairman of the board of directors.</w:t>
      </w:r>
    </w:p>
    <w:p>
      <w:pPr>
        <w:pStyle w:val="ySubsection"/>
        <w:rPr>
          <w:snapToGrid w:val="0"/>
        </w:rPr>
      </w:pPr>
      <w:r>
        <w:rPr>
          <w:snapToGrid w:val="0"/>
        </w:rPr>
        <w:tab/>
        <w:t>(3)</w:t>
      </w:r>
      <w:r>
        <w:rPr>
          <w:snapToGrid w:val="0"/>
        </w:rPr>
        <w:tab/>
        <w:t>The chairman of the board of directors shall preside at all meetings of the board of directors at which he is present and, if the chairman is absent, the deputy chairman of the board of directors shall preside.</w:t>
      </w:r>
    </w:p>
    <w:p>
      <w:pPr>
        <w:pStyle w:val="ySubsection"/>
        <w:rPr>
          <w:snapToGrid w:val="0"/>
        </w:rPr>
      </w:pPr>
      <w:r>
        <w:rPr>
          <w:snapToGrid w:val="0"/>
        </w:rPr>
        <w:tab/>
        <w:t>(4)</w:t>
      </w:r>
      <w:r>
        <w:rPr>
          <w:snapToGrid w:val="0"/>
        </w:rPr>
        <w:tab/>
        <w:t>At any meeting of the board of directors 3 directors, at least one of whom is an office</w:t>
      </w:r>
      <w:r>
        <w:rPr>
          <w:snapToGrid w:val="0"/>
        </w:rPr>
        <w:noBreakHyphen/>
        <w:t>bearer, constitute a quorum.</w:t>
      </w:r>
    </w:p>
    <w:p>
      <w:pPr>
        <w:pStyle w:val="ySubsection"/>
        <w:rPr>
          <w:snapToGrid w:val="0"/>
        </w:rPr>
      </w:pPr>
      <w:r>
        <w:rPr>
          <w:snapToGrid w:val="0"/>
        </w:rPr>
        <w:tab/>
        <w:t>(5)</w:t>
      </w:r>
      <w:r>
        <w:rPr>
          <w:snapToGrid w:val="0"/>
        </w:rPr>
        <w:tab/>
        <w:t xml:space="preserve">In subclause (4) </w:t>
      </w:r>
      <w:r>
        <w:rPr>
          <w:b/>
          <w:snapToGrid w:val="0"/>
        </w:rPr>
        <w:t>“</w:t>
      </w:r>
      <w:r>
        <w:rPr>
          <w:rStyle w:val="CharDefText"/>
        </w:rPr>
        <w:t>office</w:t>
      </w:r>
      <w:r>
        <w:rPr>
          <w:rStyle w:val="CharDefText"/>
        </w:rPr>
        <w:noBreakHyphen/>
        <w:t>bearer</w:t>
      </w:r>
      <w:r>
        <w:rPr>
          <w:b/>
          <w:snapToGrid w:val="0"/>
        </w:rPr>
        <w:t>”</w:t>
      </w:r>
      <w:r>
        <w:rPr>
          <w:snapToGrid w:val="0"/>
        </w:rPr>
        <w:t xml:space="preserve"> means the chairman or deputy chairman of the board of directors.</w:t>
      </w:r>
    </w:p>
    <w:p>
      <w:pPr>
        <w:pStyle w:val="ySubsection"/>
        <w:rPr>
          <w:snapToGrid w:val="0"/>
        </w:rPr>
      </w:pPr>
      <w:r>
        <w:rPr>
          <w:snapToGrid w:val="0"/>
        </w:rPr>
        <w:tab/>
        <w:t>(6)</w:t>
      </w:r>
      <w:r>
        <w:rPr>
          <w:snapToGrid w:val="0"/>
        </w:rPr>
        <w:tab/>
        <w:t>At any meeting of the board the person presiding shall have a deliberative vote, and in the case of an equality of votes shall also have a casting vote.</w:t>
      </w:r>
    </w:p>
    <w:p>
      <w:pPr>
        <w:pStyle w:val="yHeading5"/>
        <w:ind w:left="890" w:hanging="890"/>
        <w:outlineLvl w:val="9"/>
        <w:rPr>
          <w:snapToGrid w:val="0"/>
        </w:rPr>
      </w:pPr>
      <w:bookmarkStart w:id="372" w:name="_Toc139707375"/>
      <w:bookmarkStart w:id="373" w:name="_Toc146528314"/>
      <w:r>
        <w:rPr>
          <w:rStyle w:val="CharSClsNo"/>
        </w:rPr>
        <w:t>6</w:t>
      </w:r>
      <w:r>
        <w:rPr>
          <w:snapToGrid w:val="0"/>
        </w:rPr>
        <w:t>.</w:t>
      </w:r>
      <w:r>
        <w:rPr>
          <w:snapToGrid w:val="0"/>
        </w:rPr>
        <w:tab/>
        <w:t>Certain provisions of Schedule 1 to apply</w:t>
      </w:r>
      <w:bookmarkEnd w:id="372"/>
      <w:bookmarkEnd w:id="373"/>
    </w:p>
    <w:p>
      <w:pPr>
        <w:pStyle w:val="ySubsection"/>
        <w:rPr>
          <w:snapToGrid w:val="0"/>
        </w:rPr>
      </w:pPr>
      <w:r>
        <w:rPr>
          <w:snapToGrid w:val="0"/>
        </w:rPr>
        <w:tab/>
      </w:r>
      <w:r>
        <w:rPr>
          <w:snapToGrid w:val="0"/>
        </w:rPr>
        <w:tab/>
        <w:t>Clauses 5, 8, 9 and 10 of Schedule 1 apply, with any necessary modifications, to and in relation to the board of directors and the directors of the Corporation and with respect to the acts, proceedings and determinations of the board of directors.</w:t>
      </w:r>
    </w:p>
    <w:p>
      <w:pPr>
        <w:pStyle w:val="yEdnoteschedule"/>
      </w:pPr>
      <w:r>
        <w:t>[Schedule 3 omitted under the Reprints Act 1984 s. 7(4)(e).]</w:t>
      </w:r>
    </w:p>
    <w:p>
      <w:pPr>
        <w:pStyle w:val="yScheduleHeading"/>
      </w:pPr>
      <w:bookmarkStart w:id="374" w:name="_Toc139707376"/>
      <w:bookmarkStart w:id="375" w:name="_Toc139781146"/>
      <w:bookmarkStart w:id="376" w:name="_Toc139949429"/>
      <w:bookmarkStart w:id="377" w:name="_Toc142459131"/>
      <w:bookmarkStart w:id="378" w:name="_Toc144280077"/>
      <w:bookmarkStart w:id="379" w:name="_Toc146528315"/>
      <w:r>
        <w:rPr>
          <w:rStyle w:val="CharSchNo"/>
        </w:rPr>
        <w:t>Schedule 4</w:t>
      </w:r>
      <w:bookmarkEnd w:id="374"/>
      <w:bookmarkEnd w:id="375"/>
      <w:bookmarkEnd w:id="376"/>
      <w:bookmarkEnd w:id="377"/>
      <w:bookmarkEnd w:id="378"/>
      <w:bookmarkEnd w:id="379"/>
    </w:p>
    <w:p>
      <w:pPr>
        <w:pStyle w:val="yShoulderClause"/>
        <w:rPr>
          <w:snapToGrid w:val="0"/>
        </w:rPr>
      </w:pPr>
      <w:r>
        <w:rPr>
          <w:snapToGrid w:val="0"/>
        </w:rPr>
        <w:t>[Section 47]</w:t>
      </w:r>
    </w:p>
    <w:p>
      <w:pPr>
        <w:pStyle w:val="yHeading2"/>
      </w:pPr>
      <w:bookmarkStart w:id="380" w:name="_Toc139781147"/>
      <w:bookmarkStart w:id="381" w:name="_Toc139949430"/>
      <w:bookmarkStart w:id="382" w:name="_Toc142459132"/>
      <w:bookmarkStart w:id="383" w:name="_Toc144280078"/>
      <w:bookmarkStart w:id="384" w:name="_Toc146528316"/>
      <w:r>
        <w:rPr>
          <w:rStyle w:val="CharSchText"/>
        </w:rPr>
        <w:t>Saving, validation and transitional provisions</w:t>
      </w:r>
      <w:bookmarkEnd w:id="380"/>
      <w:bookmarkEnd w:id="381"/>
      <w:bookmarkEnd w:id="382"/>
      <w:bookmarkEnd w:id="383"/>
      <w:bookmarkEnd w:id="384"/>
    </w:p>
    <w:p>
      <w:pPr>
        <w:pStyle w:val="yHeading5"/>
        <w:ind w:left="890" w:hanging="890"/>
        <w:outlineLvl w:val="9"/>
        <w:rPr>
          <w:snapToGrid w:val="0"/>
        </w:rPr>
      </w:pPr>
      <w:bookmarkStart w:id="385" w:name="_Toc139707377"/>
      <w:bookmarkStart w:id="386" w:name="_Toc146528317"/>
      <w:r>
        <w:rPr>
          <w:rStyle w:val="CharSClsNo"/>
        </w:rPr>
        <w:t>1</w:t>
      </w:r>
      <w:r>
        <w:rPr>
          <w:snapToGrid w:val="0"/>
        </w:rPr>
        <w:t>.</w:t>
      </w:r>
      <w:r>
        <w:rPr>
          <w:snapToGrid w:val="0"/>
        </w:rPr>
        <w:tab/>
        <w:t>Terms used</w:t>
      </w:r>
      <w:bookmarkEnd w:id="385"/>
      <w:bookmarkEnd w:id="386"/>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assets</w:t>
      </w:r>
      <w:r>
        <w:rPr>
          <w:b/>
        </w:rPr>
        <w:t>”</w:t>
      </w:r>
      <w:r>
        <w:t xml:space="preserve"> includes funds, rights and property;</w:t>
      </w:r>
    </w:p>
    <w:p>
      <w:pPr>
        <w:pStyle w:val="yDefstart"/>
      </w:pPr>
      <w:r>
        <w:rPr>
          <w:b/>
        </w:rPr>
        <w:tab/>
        <w:t>“</w:t>
      </w:r>
      <w:r>
        <w:rPr>
          <w:rStyle w:val="CharDefText"/>
        </w:rPr>
        <w:t>commencement day</w:t>
      </w:r>
      <w:r>
        <w:rPr>
          <w:b/>
        </w:rPr>
        <w:t>”</w:t>
      </w:r>
      <w:r>
        <w:t xml:space="preserve"> means the day of commencement of section 46</w:t>
      </w:r>
      <w:r>
        <w:rPr>
          <w:vertAlign w:val="superscript"/>
        </w:rPr>
        <w:t xml:space="preserve"> 1</w:t>
      </w:r>
      <w:r>
        <w:t>;</w:t>
      </w:r>
    </w:p>
    <w:p>
      <w:pPr>
        <w:pStyle w:val="yDefstart"/>
      </w:pPr>
      <w:r>
        <w:rPr>
          <w:b/>
        </w:rPr>
        <w:tab/>
        <w:t>“</w:t>
      </w:r>
      <w:r>
        <w:rPr>
          <w:rStyle w:val="CharDefText"/>
        </w:rPr>
        <w:t>liabilities</w:t>
      </w:r>
      <w:r>
        <w:rPr>
          <w:b/>
        </w:rPr>
        <w:t>”</w:t>
      </w:r>
      <w:r>
        <w:t xml:space="preserve"> includes debt and obligations;</w:t>
      </w:r>
    </w:p>
    <w:p>
      <w:pPr>
        <w:pStyle w:val="yDefstart"/>
      </w:pPr>
      <w:r>
        <w:rPr>
          <w:b/>
        </w:rPr>
        <w:tab/>
        <w:t>“</w:t>
      </w:r>
      <w:r>
        <w:rPr>
          <w:rStyle w:val="CharDefText"/>
        </w:rPr>
        <w:t>MVIT</w:t>
      </w:r>
      <w:r>
        <w:rPr>
          <w:b/>
        </w:rPr>
        <w:t>”</w:t>
      </w:r>
      <w:r>
        <w:t xml:space="preserve"> means the Motor Vehicle Insurance Trust constituted by the Third Party Insurance Act;</w:t>
      </w:r>
    </w:p>
    <w:p>
      <w:pPr>
        <w:pStyle w:val="yDefstart"/>
      </w:pPr>
      <w:r>
        <w:rPr>
          <w:b/>
        </w:rPr>
        <w:tab/>
        <w:t>“</w:t>
      </w:r>
      <w:r>
        <w:rPr>
          <w:rStyle w:val="CharDefText"/>
        </w:rPr>
        <w:t>prescribed period</w:t>
      </w:r>
      <w:r>
        <w:rPr>
          <w:b/>
        </w:rPr>
        <w:t>”</w:t>
      </w:r>
      <w:r>
        <w:t xml:space="preserve"> means the period commencing on 1 July 1986 and ending immediately before the commencement day;</w:t>
      </w:r>
    </w:p>
    <w:p>
      <w:pPr>
        <w:pStyle w:val="yDefstart"/>
      </w:pPr>
      <w:r>
        <w:rPr>
          <w:b/>
        </w:rPr>
        <w:tab/>
        <w:t>“</w:t>
      </w:r>
      <w:r>
        <w:rPr>
          <w:rStyle w:val="CharDefText"/>
        </w:rPr>
        <w:t>SGIO</w:t>
      </w:r>
      <w:r>
        <w:rPr>
          <w:b/>
        </w:rPr>
        <w:t>”</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t>“</w:t>
      </w:r>
      <w:r>
        <w:rPr>
          <w:rStyle w:val="CharDefText"/>
        </w:rPr>
        <w:t>Third Party Insurance Act</w:t>
      </w:r>
      <w:r>
        <w:rPr>
          <w:b/>
        </w:rPr>
        <w:t>”</w:t>
      </w:r>
      <w:r>
        <w:t xml:space="preserve"> means the </w:t>
      </w:r>
      <w:r>
        <w:rPr>
          <w:i/>
        </w:rPr>
        <w:t>Motor Vehicle (Third Party Insurance) Act 1943</w:t>
      </w:r>
      <w:r>
        <w:t>.</w:t>
      </w:r>
    </w:p>
    <w:p>
      <w:pPr>
        <w:pStyle w:val="yHeading5"/>
        <w:ind w:left="890" w:hanging="890"/>
        <w:outlineLvl w:val="9"/>
        <w:rPr>
          <w:snapToGrid w:val="0"/>
        </w:rPr>
      </w:pPr>
      <w:bookmarkStart w:id="387" w:name="_Toc139707378"/>
      <w:bookmarkStart w:id="388" w:name="_Toc146528318"/>
      <w:r>
        <w:rPr>
          <w:rStyle w:val="CharSClsNo"/>
        </w:rPr>
        <w:t>2</w:t>
      </w:r>
      <w:r>
        <w:rPr>
          <w:snapToGrid w:val="0"/>
        </w:rPr>
        <w:t>.</w:t>
      </w:r>
      <w:r>
        <w:rPr>
          <w:snapToGrid w:val="0"/>
        </w:rPr>
        <w:tab/>
        <w:t>Transfer of assets, liabilities and records of the MVIT</w:t>
      </w:r>
      <w:bookmarkEnd w:id="387"/>
      <w:bookmarkEnd w:id="388"/>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 of the Third Party Insurance Act)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389" w:name="_Toc139707379"/>
      <w:bookmarkStart w:id="390" w:name="_Toc146528319"/>
      <w:r>
        <w:rPr>
          <w:rStyle w:val="CharSClsNo"/>
        </w:rPr>
        <w:t>3</w:t>
      </w:r>
      <w:r>
        <w:rPr>
          <w:snapToGrid w:val="0"/>
        </w:rPr>
        <w:t>.</w:t>
      </w:r>
      <w:r>
        <w:rPr>
          <w:snapToGrid w:val="0"/>
        </w:rPr>
        <w:tab/>
        <w:t>MVIT insurance policies</w:t>
      </w:r>
      <w:bookmarkEnd w:id="389"/>
      <w:bookmarkEnd w:id="390"/>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391" w:name="_Toc139707380"/>
      <w:bookmarkStart w:id="392" w:name="_Toc146528320"/>
      <w:r>
        <w:rPr>
          <w:rStyle w:val="CharSClsNo"/>
        </w:rPr>
        <w:t>4</w:t>
      </w:r>
      <w:r>
        <w:rPr>
          <w:snapToGrid w:val="0"/>
        </w:rPr>
        <w:t>.</w:t>
      </w:r>
      <w:r>
        <w:rPr>
          <w:snapToGrid w:val="0"/>
        </w:rPr>
        <w:tab/>
        <w:t>Agreements, instruments, determinations and proceedings generally</w:t>
      </w:r>
      <w:bookmarkEnd w:id="391"/>
      <w:bookmarkEnd w:id="392"/>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393" w:name="_Toc139707381"/>
      <w:bookmarkStart w:id="394" w:name="_Toc146528321"/>
      <w:r>
        <w:rPr>
          <w:rStyle w:val="CharSClsNo"/>
        </w:rPr>
        <w:t>5</w:t>
      </w:r>
      <w:r>
        <w:rPr>
          <w:snapToGrid w:val="0"/>
        </w:rPr>
        <w:t>.</w:t>
      </w:r>
      <w:r>
        <w:rPr>
          <w:snapToGrid w:val="0"/>
        </w:rPr>
        <w:tab/>
        <w:t>Final reports on the operations of the MVIT</w:t>
      </w:r>
      <w:bookmarkEnd w:id="393"/>
      <w:bookmarkEnd w:id="394"/>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395" w:name="_Toc139707382"/>
      <w:bookmarkStart w:id="396" w:name="_Toc146528322"/>
      <w:r>
        <w:rPr>
          <w:rStyle w:val="CharSClsNo"/>
        </w:rPr>
        <w:t>6</w:t>
      </w:r>
      <w:r>
        <w:rPr>
          <w:snapToGrid w:val="0"/>
        </w:rPr>
        <w:t>.</w:t>
      </w:r>
      <w:r>
        <w:rPr>
          <w:snapToGrid w:val="0"/>
        </w:rPr>
        <w:tab/>
        <w:t>Assessment as to sufficiency of income</w:t>
      </w:r>
      <w:bookmarkEnd w:id="395"/>
      <w:bookmarkEnd w:id="396"/>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397" w:name="_Toc139707383"/>
      <w:bookmarkStart w:id="398" w:name="_Toc146528323"/>
      <w:r>
        <w:rPr>
          <w:rStyle w:val="CharSClsNo"/>
        </w:rPr>
        <w:t>7</w:t>
      </w:r>
      <w:r>
        <w:rPr>
          <w:snapToGrid w:val="0"/>
        </w:rPr>
        <w:t>.</w:t>
      </w:r>
      <w:r>
        <w:rPr>
          <w:snapToGrid w:val="0"/>
        </w:rPr>
        <w:tab/>
        <w:t>Employment of current officers</w:t>
      </w:r>
      <w:bookmarkEnd w:id="397"/>
      <w:bookmarkEnd w:id="398"/>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399" w:name="_Toc139707384"/>
      <w:bookmarkStart w:id="400" w:name="_Toc146528324"/>
      <w:r>
        <w:rPr>
          <w:rStyle w:val="CharSClsNo"/>
        </w:rPr>
        <w:t>8</w:t>
      </w:r>
      <w:r>
        <w:rPr>
          <w:snapToGrid w:val="0"/>
        </w:rPr>
        <w:t>.</w:t>
      </w:r>
      <w:r>
        <w:rPr>
          <w:snapToGrid w:val="0"/>
        </w:rPr>
        <w:tab/>
        <w:t>References to the MVIT in laws</w:t>
      </w:r>
      <w:bookmarkEnd w:id="399"/>
      <w:bookmarkEnd w:id="400"/>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401" w:name="_Toc139707385"/>
      <w:bookmarkStart w:id="402" w:name="_Toc146528325"/>
      <w:r>
        <w:rPr>
          <w:rStyle w:val="CharSClsNo"/>
        </w:rPr>
        <w:t>9</w:t>
      </w:r>
      <w:r>
        <w:rPr>
          <w:snapToGrid w:val="0"/>
        </w:rPr>
        <w:t>.</w:t>
      </w:r>
      <w:r>
        <w:rPr>
          <w:snapToGrid w:val="0"/>
        </w:rPr>
        <w:tab/>
        <w:t>Transfer of assets, liabilities and records of the SGIO</w:t>
      </w:r>
      <w:bookmarkEnd w:id="401"/>
      <w:bookmarkEnd w:id="402"/>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403" w:name="_Toc139707386"/>
      <w:bookmarkStart w:id="404" w:name="_Toc146528326"/>
      <w:r>
        <w:rPr>
          <w:rStyle w:val="CharSClsNo"/>
        </w:rPr>
        <w:t>10</w:t>
      </w:r>
      <w:r>
        <w:rPr>
          <w:snapToGrid w:val="0"/>
        </w:rPr>
        <w:t>.</w:t>
      </w:r>
      <w:r>
        <w:rPr>
          <w:snapToGrid w:val="0"/>
        </w:rPr>
        <w:tab/>
        <w:t>SGIO insurance policies and re</w:t>
      </w:r>
      <w:r>
        <w:rPr>
          <w:snapToGrid w:val="0"/>
        </w:rPr>
        <w:noBreakHyphen/>
        <w:t>insurance</w:t>
      </w:r>
      <w:bookmarkEnd w:id="403"/>
      <w:bookmarkEnd w:id="404"/>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existing policy</w:t>
      </w:r>
      <w:r>
        <w:rPr>
          <w:b/>
        </w:rPr>
        <w:t>”</w:t>
      </w:r>
      <w:r>
        <w:t xml:space="preserve"> means a policy of insurance subsisting immediately before the commencement day being a policy that was issued by the SGIO or a policy under which the SGIO had undertaken liability;</w:t>
      </w:r>
    </w:p>
    <w:p>
      <w:pPr>
        <w:pStyle w:val="yDefstart"/>
      </w:pPr>
      <w:r>
        <w:rPr>
          <w:b/>
        </w:rPr>
        <w:tab/>
        <w:t>“</w:t>
      </w:r>
      <w:r>
        <w:rPr>
          <w:rStyle w:val="CharDefText"/>
        </w:rPr>
        <w:t>existing re</w:t>
      </w:r>
      <w:r>
        <w:rPr>
          <w:rStyle w:val="CharDefText"/>
        </w:rPr>
        <w:noBreakHyphen/>
        <w:t>insurance policy</w:t>
      </w:r>
      <w:r>
        <w:rPr>
          <w:b/>
        </w:rPr>
        <w:t>”</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8</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405" w:name="_Toc139707387"/>
      <w:bookmarkStart w:id="406" w:name="_Toc146528327"/>
      <w:r>
        <w:rPr>
          <w:rStyle w:val="CharSClsNo"/>
        </w:rPr>
        <w:t>11</w:t>
      </w:r>
      <w:r>
        <w:rPr>
          <w:snapToGrid w:val="0"/>
        </w:rPr>
        <w:t>.</w:t>
      </w:r>
      <w:r>
        <w:rPr>
          <w:snapToGrid w:val="0"/>
        </w:rPr>
        <w:tab/>
        <w:t>Agents and brokers</w:t>
      </w:r>
      <w:bookmarkEnd w:id="405"/>
      <w:bookmarkEnd w:id="406"/>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9</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407" w:name="_Toc139707388"/>
      <w:bookmarkStart w:id="408" w:name="_Toc146528328"/>
      <w:r>
        <w:rPr>
          <w:rStyle w:val="CharSClsNo"/>
        </w:rPr>
        <w:t>12</w:t>
      </w:r>
      <w:r>
        <w:rPr>
          <w:snapToGrid w:val="0"/>
        </w:rPr>
        <w:t>.</w:t>
      </w:r>
      <w:r>
        <w:rPr>
          <w:snapToGrid w:val="0"/>
        </w:rPr>
        <w:tab/>
        <w:t>Agreements, instruments and proceedings generally</w:t>
      </w:r>
      <w:bookmarkEnd w:id="407"/>
      <w:bookmarkEnd w:id="408"/>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409" w:name="_Toc139707389"/>
      <w:bookmarkStart w:id="410" w:name="_Toc146528329"/>
      <w:r>
        <w:rPr>
          <w:rStyle w:val="CharSClsNo"/>
        </w:rPr>
        <w:t>13</w:t>
      </w:r>
      <w:r>
        <w:rPr>
          <w:snapToGrid w:val="0"/>
        </w:rPr>
        <w:t>.</w:t>
      </w:r>
      <w:r>
        <w:rPr>
          <w:snapToGrid w:val="0"/>
        </w:rPr>
        <w:tab/>
        <w:t>Final reports on the operations of the SGIO</w:t>
      </w:r>
      <w:bookmarkEnd w:id="409"/>
      <w:bookmarkEnd w:id="410"/>
    </w:p>
    <w:p>
      <w:pPr>
        <w:pStyle w:val="ySubsection"/>
        <w:rPr>
          <w:snapToGrid w:val="0"/>
        </w:rPr>
      </w:pPr>
      <w:r>
        <w:rPr>
          <w:snapToGrid w:val="0"/>
        </w:rPr>
        <w:tab/>
        <w:t>(1)</w:t>
      </w:r>
      <w:r>
        <w:rPr>
          <w:snapToGrid w:val="0"/>
        </w:rPr>
        <w:tab/>
        <w:t xml:space="preserve">If sections 21(1), (2) and (3) and 22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411" w:name="_Toc139707390"/>
      <w:bookmarkStart w:id="412" w:name="_Toc146528330"/>
      <w:r>
        <w:rPr>
          <w:rStyle w:val="CharSClsNo"/>
        </w:rPr>
        <w:t>14</w:t>
      </w:r>
      <w:r>
        <w:rPr>
          <w:snapToGrid w:val="0"/>
        </w:rPr>
        <w:t>.</w:t>
      </w:r>
      <w:r>
        <w:rPr>
          <w:snapToGrid w:val="0"/>
        </w:rPr>
        <w:tab/>
        <w:t>Certain outstanding obligations to be met by the Commission</w:t>
      </w:r>
      <w:bookmarkEnd w:id="411"/>
      <w:bookmarkEnd w:id="412"/>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413" w:name="_Toc139707391"/>
      <w:bookmarkStart w:id="414" w:name="_Toc146528331"/>
      <w:r>
        <w:rPr>
          <w:rStyle w:val="CharSClsNo"/>
        </w:rPr>
        <w:t>15</w:t>
      </w:r>
      <w:r>
        <w:rPr>
          <w:snapToGrid w:val="0"/>
        </w:rPr>
        <w:t>.</w:t>
      </w:r>
      <w:r>
        <w:rPr>
          <w:snapToGrid w:val="0"/>
        </w:rPr>
        <w:tab/>
        <w:t>Saving of presumption and protection</w:t>
      </w:r>
      <w:bookmarkEnd w:id="413"/>
      <w:bookmarkEnd w:id="414"/>
    </w:p>
    <w:p>
      <w:pPr>
        <w:pStyle w:val="ySubsection"/>
        <w:rPr>
          <w:snapToGrid w:val="0"/>
        </w:rPr>
      </w:pPr>
      <w:r>
        <w:rPr>
          <w:snapToGrid w:val="0"/>
        </w:rPr>
        <w:tab/>
      </w:r>
      <w:r>
        <w:rPr>
          <w:snapToGrid w:val="0"/>
        </w:rPr>
        <w:tab/>
        <w:t>Notwithstanding section 46(2) and Schedule 3 — </w:t>
      </w:r>
    </w:p>
    <w:p>
      <w:pPr>
        <w:pStyle w:val="yIndenta"/>
        <w:rPr>
          <w:snapToGrid w:val="0"/>
        </w:rPr>
      </w:pPr>
      <w:r>
        <w:rPr>
          <w:snapToGrid w:val="0"/>
        </w:rPr>
        <w:tab/>
        <w:t>(a)</w:t>
      </w:r>
      <w:r>
        <w:rPr>
          <w:snapToGrid w:val="0"/>
        </w:rPr>
        <w:tab/>
        <w:t xml:space="preserve">section 26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415" w:name="_Toc139707392"/>
      <w:bookmarkStart w:id="416" w:name="_Toc146528332"/>
      <w:r>
        <w:rPr>
          <w:rStyle w:val="CharSClsNo"/>
        </w:rPr>
        <w:t>16</w:t>
      </w:r>
      <w:r>
        <w:rPr>
          <w:snapToGrid w:val="0"/>
        </w:rPr>
        <w:t>.</w:t>
      </w:r>
      <w:r>
        <w:rPr>
          <w:snapToGrid w:val="0"/>
        </w:rPr>
        <w:tab/>
        <w:t>Employment of staff of the SGIO</w:t>
      </w:r>
      <w:bookmarkEnd w:id="415"/>
      <w:bookmarkEnd w:id="416"/>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10</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11</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12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417" w:name="_Toc139707393"/>
      <w:bookmarkStart w:id="418" w:name="_Toc146528333"/>
      <w:r>
        <w:rPr>
          <w:rStyle w:val="CharSClsNo"/>
        </w:rPr>
        <w:t>17</w:t>
      </w:r>
      <w:r>
        <w:rPr>
          <w:snapToGrid w:val="0"/>
        </w:rPr>
        <w:t>.</w:t>
      </w:r>
      <w:r>
        <w:rPr>
          <w:snapToGrid w:val="0"/>
        </w:rPr>
        <w:tab/>
        <w:t>References to the SGIO in laws</w:t>
      </w:r>
      <w:bookmarkEnd w:id="417"/>
      <w:bookmarkEnd w:id="418"/>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419" w:name="_Toc139707394"/>
      <w:bookmarkStart w:id="420" w:name="_Toc146528334"/>
      <w:r>
        <w:rPr>
          <w:rStyle w:val="CharSClsNo"/>
        </w:rPr>
        <w:t>18</w:t>
      </w:r>
      <w:r>
        <w:rPr>
          <w:snapToGrid w:val="0"/>
        </w:rPr>
        <w:t>.</w:t>
      </w:r>
      <w:r>
        <w:rPr>
          <w:snapToGrid w:val="0"/>
        </w:rPr>
        <w:tab/>
        <w:t>Apportionment of assets and liabilities</w:t>
      </w:r>
      <w:bookmarkEnd w:id="419"/>
      <w:bookmarkEnd w:id="420"/>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421" w:name="_Toc139707395"/>
      <w:bookmarkStart w:id="422" w:name="_Toc146528335"/>
      <w:r>
        <w:rPr>
          <w:rStyle w:val="CharSClsNo"/>
        </w:rPr>
        <w:t>19</w:t>
      </w:r>
      <w:r>
        <w:rPr>
          <w:snapToGrid w:val="0"/>
        </w:rPr>
        <w:t>.</w:t>
      </w:r>
      <w:r>
        <w:rPr>
          <w:snapToGrid w:val="0"/>
        </w:rPr>
        <w:tab/>
        <w:t>Interpretation Act to apply</w:t>
      </w:r>
      <w:bookmarkEnd w:id="421"/>
      <w:bookmarkEnd w:id="422"/>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423" w:name="_Toc92782970"/>
      <w:bookmarkStart w:id="424" w:name="_Toc92783084"/>
      <w:bookmarkStart w:id="425" w:name="_Toc139707396"/>
      <w:bookmarkStart w:id="426" w:name="_Toc139781167"/>
      <w:bookmarkStart w:id="427" w:name="_Toc139949450"/>
      <w:bookmarkStart w:id="428" w:name="_Toc142459152"/>
      <w:bookmarkStart w:id="429" w:name="_Toc144280098"/>
      <w:bookmarkStart w:id="430" w:name="_Toc146528336"/>
      <w:r>
        <w:t>Notes</w:t>
      </w:r>
      <w:bookmarkEnd w:id="423"/>
      <w:bookmarkEnd w:id="424"/>
      <w:bookmarkEnd w:id="425"/>
      <w:bookmarkEnd w:id="426"/>
      <w:bookmarkEnd w:id="427"/>
      <w:bookmarkEnd w:id="428"/>
      <w:bookmarkEnd w:id="429"/>
      <w:bookmarkEnd w:id="430"/>
    </w:p>
    <w:p>
      <w:pPr>
        <w:pStyle w:val="nSubsection"/>
        <w:rPr>
          <w:snapToGrid w:val="0"/>
        </w:rPr>
      </w:pPr>
      <w:r>
        <w:rPr>
          <w:snapToGrid w:val="0"/>
          <w:vertAlign w:val="superscript"/>
        </w:rPr>
        <w:t>1</w:t>
      </w:r>
      <w:r>
        <w:rPr>
          <w:snapToGrid w:val="0"/>
        </w:rPr>
        <w:tab/>
        <w:t xml:space="preserve">This reprint is a compilation as at 8 September 2006 of the </w:t>
      </w:r>
      <w:r>
        <w:rPr>
          <w:i/>
          <w:noProof/>
          <w:snapToGrid w:val="0"/>
        </w:rPr>
        <w:t>Insurance Commission of Western Australia Act 1986</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pPr>
      <w:bookmarkStart w:id="431" w:name="_Toc146528337"/>
      <w:r>
        <w:t>Compilation table</w:t>
      </w:r>
      <w:bookmarkEnd w:id="4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before="60"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40"/>
              <w:rPr>
                <w:b/>
                <w:sz w:val="19"/>
              </w:rPr>
            </w:pPr>
            <w:r>
              <w:rPr>
                <w:b/>
                <w:sz w:val="19"/>
              </w:rPr>
              <w:t>Assent</w:t>
            </w:r>
          </w:p>
        </w:tc>
        <w:tc>
          <w:tcPr>
            <w:tcW w:w="2551" w:type="dxa"/>
            <w:tcBorders>
              <w:top w:val="single" w:sz="8" w:space="0" w:color="auto"/>
              <w:bottom w:val="single" w:sz="8" w:space="0" w:color="auto"/>
            </w:tcBorders>
          </w:tcPr>
          <w:p>
            <w:pPr>
              <w:pStyle w:val="nTable"/>
              <w:spacing w:before="60" w:after="40"/>
              <w:rPr>
                <w:b/>
                <w:sz w:val="19"/>
              </w:rPr>
            </w:pPr>
            <w:r>
              <w:rPr>
                <w:b/>
                <w:sz w:val="19"/>
              </w:rPr>
              <w:t>Commencement</w:t>
            </w:r>
          </w:p>
        </w:tc>
      </w:tr>
      <w:tr>
        <w:trPr>
          <w:cantSplit/>
        </w:trPr>
        <w:tc>
          <w:tcPr>
            <w:tcW w:w="2268" w:type="dxa"/>
          </w:tcPr>
          <w:p>
            <w:pPr>
              <w:pStyle w:val="nTable"/>
              <w:spacing w:before="60" w:after="40"/>
              <w:ind w:right="113"/>
              <w:rPr>
                <w:sz w:val="19"/>
                <w:vertAlign w:val="superscript"/>
              </w:rPr>
            </w:pPr>
            <w:r>
              <w:rPr>
                <w:i/>
                <w:sz w:val="19"/>
              </w:rPr>
              <w:t>State Government Insurance Commission Act 1986</w:t>
            </w:r>
            <w:r>
              <w:rPr>
                <w:i/>
                <w:sz w:val="19"/>
                <w:vertAlign w:val="superscript"/>
              </w:rPr>
              <w:t> </w:t>
            </w:r>
            <w:r>
              <w:rPr>
                <w:iCs/>
                <w:sz w:val="19"/>
                <w:vertAlign w:val="superscript"/>
              </w:rPr>
              <w:t>13</w:t>
            </w:r>
          </w:p>
        </w:tc>
        <w:tc>
          <w:tcPr>
            <w:tcW w:w="1134" w:type="dxa"/>
          </w:tcPr>
          <w:p>
            <w:pPr>
              <w:pStyle w:val="nTable"/>
              <w:spacing w:before="60" w:after="40"/>
              <w:rPr>
                <w:sz w:val="19"/>
              </w:rPr>
            </w:pPr>
            <w:r>
              <w:rPr>
                <w:sz w:val="19"/>
              </w:rPr>
              <w:t>51 of 1986</w:t>
            </w:r>
          </w:p>
        </w:tc>
        <w:tc>
          <w:tcPr>
            <w:tcW w:w="1134" w:type="dxa"/>
          </w:tcPr>
          <w:p>
            <w:pPr>
              <w:pStyle w:val="nTable"/>
              <w:spacing w:before="60" w:after="40"/>
              <w:rPr>
                <w:sz w:val="19"/>
              </w:rPr>
            </w:pPr>
            <w:r>
              <w:rPr>
                <w:sz w:val="19"/>
              </w:rPr>
              <w:t>5 Aug 1986</w:t>
            </w:r>
          </w:p>
        </w:tc>
        <w:tc>
          <w:tcPr>
            <w:tcW w:w="2551" w:type="dxa"/>
          </w:tcPr>
          <w:p>
            <w:pPr>
              <w:pStyle w:val="nTable"/>
              <w:spacing w:before="60"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before="60" w:after="40"/>
              <w:ind w:right="113"/>
              <w:rPr>
                <w:sz w:val="19"/>
              </w:rPr>
            </w:pPr>
            <w:r>
              <w:rPr>
                <w:i/>
                <w:sz w:val="19"/>
              </w:rPr>
              <w:t xml:space="preserve">Acts Amendment (Public Service) Act 1987 </w:t>
            </w:r>
            <w:r>
              <w:rPr>
                <w:sz w:val="19"/>
              </w:rPr>
              <w:t>s. 32</w:t>
            </w:r>
          </w:p>
        </w:tc>
        <w:tc>
          <w:tcPr>
            <w:tcW w:w="1134" w:type="dxa"/>
          </w:tcPr>
          <w:p>
            <w:pPr>
              <w:pStyle w:val="nTable"/>
              <w:spacing w:before="60" w:after="40"/>
              <w:rPr>
                <w:sz w:val="19"/>
              </w:rPr>
            </w:pPr>
            <w:r>
              <w:rPr>
                <w:sz w:val="19"/>
              </w:rPr>
              <w:t>113 of 1987</w:t>
            </w:r>
          </w:p>
        </w:tc>
        <w:tc>
          <w:tcPr>
            <w:tcW w:w="1134" w:type="dxa"/>
          </w:tcPr>
          <w:p>
            <w:pPr>
              <w:pStyle w:val="nTable"/>
              <w:spacing w:before="60" w:after="40"/>
              <w:rPr>
                <w:sz w:val="19"/>
              </w:rPr>
            </w:pPr>
            <w:r>
              <w:rPr>
                <w:sz w:val="19"/>
              </w:rPr>
              <w:t>31 Dec 1987</w:t>
            </w:r>
          </w:p>
        </w:tc>
        <w:tc>
          <w:tcPr>
            <w:tcW w:w="2551" w:type="dxa"/>
          </w:tcPr>
          <w:p>
            <w:pPr>
              <w:pStyle w:val="nTable"/>
              <w:spacing w:before="60"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60" w:after="40"/>
              <w:ind w:right="113"/>
              <w:rPr>
                <w:sz w:val="19"/>
              </w:rPr>
            </w:pPr>
            <w:r>
              <w:rPr>
                <w:i/>
                <w:sz w:val="19"/>
              </w:rPr>
              <w:t>Acts Amendment (Accountability) Act 1989</w:t>
            </w:r>
            <w:r>
              <w:rPr>
                <w:sz w:val="19"/>
              </w:rPr>
              <w:t xml:space="preserve"> Pt. 6</w:t>
            </w:r>
          </w:p>
        </w:tc>
        <w:tc>
          <w:tcPr>
            <w:tcW w:w="1134" w:type="dxa"/>
          </w:tcPr>
          <w:p>
            <w:pPr>
              <w:pStyle w:val="nTable"/>
              <w:spacing w:before="60" w:after="40"/>
              <w:rPr>
                <w:sz w:val="19"/>
              </w:rPr>
            </w:pPr>
            <w:r>
              <w:rPr>
                <w:sz w:val="19"/>
              </w:rPr>
              <w:t>5 of 1989</w:t>
            </w:r>
          </w:p>
        </w:tc>
        <w:tc>
          <w:tcPr>
            <w:tcW w:w="1134" w:type="dxa"/>
          </w:tcPr>
          <w:p>
            <w:pPr>
              <w:pStyle w:val="nTable"/>
              <w:spacing w:before="60" w:after="40"/>
              <w:rPr>
                <w:sz w:val="19"/>
              </w:rPr>
            </w:pPr>
            <w:r>
              <w:rPr>
                <w:sz w:val="19"/>
              </w:rPr>
              <w:t>26 Apr 1989</w:t>
            </w:r>
          </w:p>
        </w:tc>
        <w:tc>
          <w:tcPr>
            <w:tcW w:w="2551" w:type="dxa"/>
          </w:tcPr>
          <w:p>
            <w:pPr>
              <w:pStyle w:val="nTable"/>
              <w:spacing w:before="60" w:after="40"/>
              <w:rPr>
                <w:sz w:val="19"/>
              </w:rPr>
            </w:pPr>
            <w:r>
              <w:rPr>
                <w:sz w:val="19"/>
              </w:rPr>
              <w:t xml:space="preserve">1 Jul 1989 (see s. 2 and </w:t>
            </w:r>
            <w:r>
              <w:rPr>
                <w:i/>
                <w:sz w:val="19"/>
              </w:rPr>
              <w:t>Gazette</w:t>
            </w:r>
            <w:r>
              <w:rPr>
                <w:sz w:val="19"/>
              </w:rPr>
              <w:t xml:space="preserve"> 30 Jun 1989 p. 1893)</w:t>
            </w:r>
          </w:p>
        </w:tc>
      </w:tr>
      <w:tr>
        <w:trPr>
          <w:cantSplit/>
        </w:trPr>
        <w:tc>
          <w:tcPr>
            <w:tcW w:w="2268" w:type="dxa"/>
          </w:tcPr>
          <w:p>
            <w:pPr>
              <w:pStyle w:val="nTable"/>
              <w:spacing w:before="60" w:after="40"/>
              <w:ind w:right="113"/>
              <w:rPr>
                <w:sz w:val="19"/>
              </w:rPr>
            </w:pPr>
            <w:r>
              <w:rPr>
                <w:i/>
                <w:sz w:val="19"/>
              </w:rPr>
              <w:t>SGIO Privatisation Act 1992</w:t>
            </w:r>
            <w:r>
              <w:rPr>
                <w:sz w:val="19"/>
              </w:rPr>
              <w:t xml:space="preserve"> s. 28</w:t>
            </w:r>
          </w:p>
        </w:tc>
        <w:tc>
          <w:tcPr>
            <w:tcW w:w="1134" w:type="dxa"/>
          </w:tcPr>
          <w:p>
            <w:pPr>
              <w:pStyle w:val="nTable"/>
              <w:spacing w:before="60" w:after="40"/>
              <w:rPr>
                <w:sz w:val="19"/>
              </w:rPr>
            </w:pPr>
            <w:r>
              <w:rPr>
                <w:sz w:val="19"/>
              </w:rPr>
              <w:t>49 of 1992</w:t>
            </w:r>
          </w:p>
        </w:tc>
        <w:tc>
          <w:tcPr>
            <w:tcW w:w="1134" w:type="dxa"/>
          </w:tcPr>
          <w:p>
            <w:pPr>
              <w:pStyle w:val="nTable"/>
              <w:spacing w:before="60" w:after="40"/>
              <w:rPr>
                <w:sz w:val="19"/>
              </w:rPr>
            </w:pPr>
            <w:r>
              <w:rPr>
                <w:sz w:val="19"/>
              </w:rPr>
              <w:t>9 Dec 1992</w:t>
            </w:r>
          </w:p>
        </w:tc>
        <w:tc>
          <w:tcPr>
            <w:tcW w:w="2551" w:type="dxa"/>
          </w:tcPr>
          <w:p>
            <w:pPr>
              <w:pStyle w:val="nTable"/>
              <w:spacing w:before="60" w:after="40"/>
              <w:rPr>
                <w:sz w:val="19"/>
              </w:rPr>
            </w:pPr>
            <w:r>
              <w:rPr>
                <w:sz w:val="19"/>
              </w:rPr>
              <w:t xml:space="preserve">7 Jan 1993 (see s. 2(3) and </w:t>
            </w:r>
            <w:r>
              <w:rPr>
                <w:i/>
                <w:sz w:val="19"/>
              </w:rPr>
              <w:t>Gazette</w:t>
            </w:r>
            <w:r>
              <w:rPr>
                <w:sz w:val="19"/>
              </w:rPr>
              <w:t xml:space="preserve"> 7 Jan 1993 p. 15)</w:t>
            </w:r>
          </w:p>
        </w:tc>
      </w:tr>
      <w:tr>
        <w:trPr>
          <w:cantSplit/>
        </w:trPr>
        <w:tc>
          <w:tcPr>
            <w:tcW w:w="2268" w:type="dxa"/>
          </w:tcPr>
          <w:p>
            <w:pPr>
              <w:pStyle w:val="nTable"/>
              <w:spacing w:before="60" w:after="40"/>
              <w:ind w:right="113"/>
              <w:rPr>
                <w:sz w:val="19"/>
              </w:rPr>
            </w:pPr>
            <w:r>
              <w:rPr>
                <w:i/>
                <w:sz w:val="19"/>
              </w:rPr>
              <w:t>Financial Administration Legislation Amendment Act 1993</w:t>
            </w:r>
            <w:r>
              <w:rPr>
                <w:sz w:val="19"/>
              </w:rPr>
              <w:t xml:space="preserve"> s. 11</w:t>
            </w:r>
          </w:p>
        </w:tc>
        <w:tc>
          <w:tcPr>
            <w:tcW w:w="1134" w:type="dxa"/>
          </w:tcPr>
          <w:p>
            <w:pPr>
              <w:pStyle w:val="nTable"/>
              <w:spacing w:before="60" w:after="40"/>
              <w:rPr>
                <w:sz w:val="19"/>
              </w:rPr>
            </w:pPr>
            <w:r>
              <w:rPr>
                <w:sz w:val="19"/>
              </w:rPr>
              <w:t>6 of 1993</w:t>
            </w:r>
          </w:p>
        </w:tc>
        <w:tc>
          <w:tcPr>
            <w:tcW w:w="1134" w:type="dxa"/>
          </w:tcPr>
          <w:p>
            <w:pPr>
              <w:pStyle w:val="nTable"/>
              <w:spacing w:before="60" w:after="40"/>
              <w:rPr>
                <w:sz w:val="19"/>
              </w:rPr>
            </w:pPr>
            <w:r>
              <w:rPr>
                <w:sz w:val="19"/>
              </w:rPr>
              <w:t>27 Aug 1993</w:t>
            </w:r>
          </w:p>
        </w:tc>
        <w:tc>
          <w:tcPr>
            <w:tcW w:w="2551" w:type="dxa"/>
          </w:tcPr>
          <w:p>
            <w:pPr>
              <w:pStyle w:val="nTable"/>
              <w:spacing w:before="60" w:after="40"/>
              <w:rPr>
                <w:sz w:val="19"/>
              </w:rPr>
            </w:pPr>
            <w:r>
              <w:rPr>
                <w:sz w:val="19"/>
              </w:rPr>
              <w:t xml:space="preserve"> 1 Jul 1993 (see s. 2(1))</w:t>
            </w:r>
          </w:p>
        </w:tc>
      </w:tr>
      <w:tr>
        <w:trPr>
          <w:cantSplit/>
        </w:trPr>
        <w:tc>
          <w:tcPr>
            <w:tcW w:w="2268" w:type="dxa"/>
          </w:tcPr>
          <w:p>
            <w:pPr>
              <w:pStyle w:val="nTable"/>
              <w:spacing w:before="60" w:after="40"/>
              <w:ind w:right="113"/>
              <w:rPr>
                <w:sz w:val="19"/>
              </w:rPr>
            </w:pPr>
            <w:r>
              <w:rPr>
                <w:i/>
                <w:sz w:val="19"/>
              </w:rPr>
              <w:t>Acts Amendment (Public Sector Management) Act 1994</w:t>
            </w:r>
            <w:r>
              <w:rPr>
                <w:sz w:val="19"/>
              </w:rPr>
              <w:t xml:space="preserve"> s. 19</w:t>
            </w:r>
          </w:p>
        </w:tc>
        <w:tc>
          <w:tcPr>
            <w:tcW w:w="1134" w:type="dxa"/>
          </w:tcPr>
          <w:p>
            <w:pPr>
              <w:pStyle w:val="nTable"/>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13"/>
              <w:rPr>
                <w:sz w:val="19"/>
              </w:rPr>
            </w:pPr>
            <w:r>
              <w:rPr>
                <w:i/>
                <w:sz w:val="19"/>
              </w:rPr>
              <w:t>Statutory Corporations (Liability of Directors) Act 1996</w:t>
            </w:r>
            <w:r>
              <w:rPr>
                <w:sz w:val="19"/>
              </w:rPr>
              <w:t xml:space="preserve"> s. 3</w:t>
            </w:r>
          </w:p>
        </w:tc>
        <w:tc>
          <w:tcPr>
            <w:tcW w:w="1134" w:type="dxa"/>
          </w:tcPr>
          <w:p>
            <w:pPr>
              <w:pStyle w:val="nTable"/>
              <w:spacing w:before="60" w:after="40"/>
              <w:rPr>
                <w:sz w:val="19"/>
              </w:rPr>
            </w:pPr>
            <w:r>
              <w:rPr>
                <w:sz w:val="19"/>
              </w:rPr>
              <w:t>41 of 1996</w:t>
            </w:r>
          </w:p>
        </w:tc>
        <w:tc>
          <w:tcPr>
            <w:tcW w:w="1134" w:type="dxa"/>
          </w:tcPr>
          <w:p>
            <w:pPr>
              <w:pStyle w:val="nTable"/>
              <w:spacing w:before="60" w:after="40"/>
              <w:rPr>
                <w:sz w:val="19"/>
              </w:rPr>
            </w:pPr>
            <w:r>
              <w:rPr>
                <w:sz w:val="19"/>
              </w:rPr>
              <w:t>10 Oct 1996</w:t>
            </w:r>
          </w:p>
        </w:tc>
        <w:tc>
          <w:tcPr>
            <w:tcW w:w="2551" w:type="dxa"/>
          </w:tcPr>
          <w:p>
            <w:pPr>
              <w:pStyle w:val="nTable"/>
              <w:spacing w:before="60"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before="60" w:after="40"/>
              <w:ind w:right="113"/>
              <w:rPr>
                <w:iCs/>
                <w:sz w:val="19"/>
              </w:rPr>
            </w:pPr>
            <w:r>
              <w:rPr>
                <w:i/>
                <w:sz w:val="19"/>
              </w:rPr>
              <w:t>Acts Amendment (ICWA) Act 1996</w:t>
            </w:r>
            <w:r>
              <w:rPr>
                <w:iCs/>
                <w:sz w:val="19"/>
                <w:vertAlign w:val="superscript"/>
              </w:rPr>
              <w:t> 14, 15</w:t>
            </w:r>
          </w:p>
        </w:tc>
        <w:tc>
          <w:tcPr>
            <w:tcW w:w="1134" w:type="dxa"/>
          </w:tcPr>
          <w:p>
            <w:pPr>
              <w:pStyle w:val="nTable"/>
              <w:keepNext/>
              <w:spacing w:before="60" w:after="40"/>
              <w:rPr>
                <w:sz w:val="19"/>
              </w:rPr>
            </w:pPr>
            <w:r>
              <w:rPr>
                <w:sz w:val="19"/>
              </w:rPr>
              <w:t>45 of 1996</w:t>
            </w:r>
          </w:p>
        </w:tc>
        <w:tc>
          <w:tcPr>
            <w:tcW w:w="1134" w:type="dxa"/>
          </w:tcPr>
          <w:p>
            <w:pPr>
              <w:pStyle w:val="nTable"/>
              <w:keepNext/>
              <w:spacing w:before="60" w:after="40"/>
              <w:rPr>
                <w:sz w:val="19"/>
              </w:rPr>
            </w:pPr>
            <w:r>
              <w:rPr>
                <w:sz w:val="19"/>
              </w:rPr>
              <w:t>25 Oct 1996</w:t>
            </w:r>
          </w:p>
        </w:tc>
        <w:tc>
          <w:tcPr>
            <w:tcW w:w="2551" w:type="dxa"/>
          </w:tcPr>
          <w:p>
            <w:pPr>
              <w:pStyle w:val="nTable"/>
              <w:spacing w:before="60" w:after="40"/>
              <w:rPr>
                <w:sz w:val="19"/>
              </w:rPr>
            </w:pPr>
            <w:r>
              <w:rPr>
                <w:sz w:val="19"/>
              </w:rPr>
              <w:t xml:space="preserve">s. 3, 6(b) (to the extent it inserts definition of “Commission Account”), 6(c), 9-12, 15-19, 23 and 26: 14 Dec 1996 (see s. 2 and </w:t>
            </w:r>
            <w:r>
              <w:rPr>
                <w:i/>
                <w:sz w:val="19"/>
              </w:rPr>
              <w:t>Gazette</w:t>
            </w:r>
            <w:r>
              <w:rPr>
                <w:sz w:val="19"/>
              </w:rPr>
              <w:t xml:space="preserve"> 13 Dec 1996 p. 6901);</w:t>
            </w:r>
            <w:r>
              <w:rPr>
                <w:sz w:val="19"/>
              </w:rPr>
              <w:br/>
              <w:t>s. 4, 5, 6(b) (to the extent it inserts the definition of “Commission”), 7, 8 and   29</w:t>
            </w:r>
            <w:r>
              <w:rPr>
                <w:sz w:val="19"/>
              </w:rPr>
              <w:noBreakHyphen/>
              <w:t xml:space="preserve">37: 1 Oct 1997 (see s. 2 and </w:t>
            </w:r>
            <w:r>
              <w:rPr>
                <w:i/>
                <w:sz w:val="19"/>
              </w:rPr>
              <w:t>Gazette</w:t>
            </w:r>
            <w:r>
              <w:rPr>
                <w:sz w:val="19"/>
              </w:rPr>
              <w:t xml:space="preserve"> 23 Sep 1997 p. 5357)</w:t>
            </w:r>
          </w:p>
        </w:tc>
      </w:tr>
      <w:tr>
        <w:trPr>
          <w:cantSplit/>
        </w:trPr>
        <w:tc>
          <w:tcPr>
            <w:tcW w:w="2268" w:type="dxa"/>
          </w:tcPr>
          <w:p>
            <w:pPr>
              <w:pStyle w:val="nTable"/>
              <w:spacing w:before="60" w:after="40"/>
              <w:ind w:right="113"/>
              <w:rPr>
                <w:sz w:val="19"/>
              </w:rPr>
            </w:pPr>
            <w:r>
              <w:rPr>
                <w:i/>
                <w:sz w:val="19"/>
              </w:rPr>
              <w:t>Financial Legislation Amendment Act 1996</w:t>
            </w:r>
            <w:r>
              <w:rPr>
                <w:sz w:val="19"/>
              </w:rPr>
              <w:t xml:space="preserve"> s. 64</w:t>
            </w:r>
          </w:p>
        </w:tc>
        <w:tc>
          <w:tcPr>
            <w:tcW w:w="1134" w:type="dxa"/>
          </w:tcPr>
          <w:p>
            <w:pPr>
              <w:pStyle w:val="nTable"/>
              <w:spacing w:before="60" w:after="40"/>
              <w:rPr>
                <w:sz w:val="19"/>
              </w:rPr>
            </w:pPr>
            <w:r>
              <w:rPr>
                <w:sz w:val="19"/>
              </w:rPr>
              <w:t>49 of 1996</w:t>
            </w:r>
          </w:p>
        </w:tc>
        <w:tc>
          <w:tcPr>
            <w:tcW w:w="1134" w:type="dxa"/>
          </w:tcPr>
          <w:p>
            <w:pPr>
              <w:pStyle w:val="nTable"/>
              <w:spacing w:before="60" w:after="40"/>
              <w:rPr>
                <w:sz w:val="19"/>
              </w:rPr>
            </w:pPr>
            <w:r>
              <w:rPr>
                <w:sz w:val="19"/>
              </w:rPr>
              <w:t>25 Oct 1996</w:t>
            </w:r>
          </w:p>
        </w:tc>
        <w:tc>
          <w:tcPr>
            <w:tcW w:w="2551" w:type="dxa"/>
          </w:tcPr>
          <w:p>
            <w:pPr>
              <w:pStyle w:val="nTable"/>
              <w:spacing w:before="60" w:after="40"/>
              <w:rPr>
                <w:sz w:val="19"/>
              </w:rPr>
            </w:pPr>
            <w:r>
              <w:rPr>
                <w:sz w:val="19"/>
              </w:rPr>
              <w:t>25 Oct 1996 (see s. 2(1))</w:t>
            </w:r>
          </w:p>
        </w:tc>
      </w:tr>
      <w:tr>
        <w:trPr>
          <w:cantSplit/>
        </w:trPr>
        <w:tc>
          <w:tcPr>
            <w:tcW w:w="2268" w:type="dxa"/>
          </w:tcPr>
          <w:p>
            <w:pPr>
              <w:pStyle w:val="nTable"/>
              <w:spacing w:before="60" w:after="40"/>
              <w:ind w:right="113"/>
              <w:rPr>
                <w:sz w:val="19"/>
              </w:rPr>
            </w:pPr>
            <w:r>
              <w:rPr>
                <w:i/>
                <w:sz w:val="19"/>
              </w:rPr>
              <w:t>State Enterprises (Commonwealth Tax Equivalents) Act 1996</w:t>
            </w:r>
            <w:r>
              <w:rPr>
                <w:sz w:val="19"/>
              </w:rPr>
              <w:t xml:space="preserve"> s. 10(1)</w:t>
            </w:r>
          </w:p>
        </w:tc>
        <w:tc>
          <w:tcPr>
            <w:tcW w:w="1134" w:type="dxa"/>
          </w:tcPr>
          <w:p>
            <w:pPr>
              <w:pStyle w:val="nTable"/>
              <w:spacing w:before="60" w:after="40"/>
              <w:rPr>
                <w:sz w:val="19"/>
              </w:rPr>
            </w:pPr>
            <w:r>
              <w:rPr>
                <w:sz w:val="19"/>
              </w:rPr>
              <w:t>55 of 1996</w:t>
            </w:r>
          </w:p>
        </w:tc>
        <w:tc>
          <w:tcPr>
            <w:tcW w:w="1134" w:type="dxa"/>
          </w:tcPr>
          <w:p>
            <w:pPr>
              <w:pStyle w:val="nTable"/>
              <w:spacing w:before="60" w:after="40"/>
              <w:rPr>
                <w:sz w:val="19"/>
              </w:rPr>
            </w:pPr>
            <w:r>
              <w:rPr>
                <w:sz w:val="19"/>
              </w:rPr>
              <w:t>11 Nov 1996</w:t>
            </w:r>
          </w:p>
        </w:tc>
        <w:tc>
          <w:tcPr>
            <w:tcW w:w="2551" w:type="dxa"/>
          </w:tcPr>
          <w:p>
            <w:pPr>
              <w:pStyle w:val="nTable"/>
              <w:spacing w:before="60" w:after="40"/>
              <w:rPr>
                <w:sz w:val="19"/>
              </w:rPr>
            </w:pPr>
            <w:r>
              <w:rPr>
                <w:sz w:val="19"/>
              </w:rPr>
              <w:t>1 Jul 1996 (see s. 2 and 3(3))</w:t>
            </w:r>
          </w:p>
        </w:tc>
      </w:tr>
      <w:tr>
        <w:trPr>
          <w:cantSplit/>
        </w:trPr>
        <w:tc>
          <w:tcPr>
            <w:tcW w:w="7087" w:type="dxa"/>
            <w:gridSpan w:val="4"/>
          </w:tcPr>
          <w:p>
            <w:pPr>
              <w:pStyle w:val="nTable"/>
              <w:spacing w:before="60" w:after="40"/>
              <w:rPr>
                <w:sz w:val="19"/>
              </w:rPr>
            </w:pPr>
            <w:r>
              <w:rPr>
                <w:b/>
                <w:bCs/>
                <w:sz w:val="19"/>
              </w:rPr>
              <w:t xml:space="preserve">Reprint of the </w:t>
            </w:r>
            <w:r>
              <w:rPr>
                <w:b/>
                <w:bCs/>
                <w:i/>
                <w:iCs/>
                <w:sz w:val="19"/>
              </w:rPr>
              <w:t>Insurance Commission of Western Australia Act 1986</w:t>
            </w:r>
            <w:r>
              <w:rPr>
                <w:b/>
                <w:bCs/>
                <w:sz w:val="19"/>
              </w:rPr>
              <w:t xml:space="preserve"> as at 12 Nov 1999 </w:t>
            </w:r>
            <w:r>
              <w:rPr>
                <w:sz w:val="19"/>
              </w:rPr>
              <w:t xml:space="preserve">(includes amendments listed above) </w:t>
            </w:r>
          </w:p>
        </w:tc>
      </w:tr>
      <w:tr>
        <w:trPr>
          <w:cantSplit/>
        </w:trPr>
        <w:tc>
          <w:tcPr>
            <w:tcW w:w="2268" w:type="dxa"/>
          </w:tcPr>
          <w:p>
            <w:pPr>
              <w:pStyle w:val="nTable"/>
              <w:spacing w:before="60" w:after="40"/>
              <w:ind w:right="113"/>
              <w:rPr>
                <w:sz w:val="19"/>
              </w:rPr>
            </w:pPr>
            <w:r>
              <w:rPr>
                <w:i/>
                <w:sz w:val="19"/>
              </w:rPr>
              <w:t>Insurance Commission of Western Australia Amendment Act 2002</w:t>
            </w:r>
            <w:r>
              <w:rPr>
                <w:sz w:val="19"/>
                <w:vertAlign w:val="superscript"/>
              </w:rPr>
              <w:t> 16</w:t>
            </w:r>
          </w:p>
        </w:tc>
        <w:tc>
          <w:tcPr>
            <w:tcW w:w="1134" w:type="dxa"/>
          </w:tcPr>
          <w:p>
            <w:pPr>
              <w:pStyle w:val="nTable"/>
              <w:spacing w:before="60" w:after="40"/>
              <w:rPr>
                <w:sz w:val="19"/>
              </w:rPr>
            </w:pPr>
            <w:r>
              <w:rPr>
                <w:sz w:val="19"/>
              </w:rPr>
              <w:t>34 of 2002</w:t>
            </w:r>
          </w:p>
        </w:tc>
        <w:tc>
          <w:tcPr>
            <w:tcW w:w="1134" w:type="dxa"/>
          </w:tcPr>
          <w:p>
            <w:pPr>
              <w:pStyle w:val="nTable"/>
              <w:spacing w:before="60" w:after="40"/>
              <w:rPr>
                <w:sz w:val="19"/>
              </w:rPr>
            </w:pPr>
            <w:r>
              <w:rPr>
                <w:sz w:val="19"/>
              </w:rPr>
              <w:t>20 Nov 2002</w:t>
            </w:r>
          </w:p>
        </w:tc>
        <w:tc>
          <w:tcPr>
            <w:tcW w:w="2551" w:type="dxa"/>
          </w:tcPr>
          <w:p>
            <w:pPr>
              <w:pStyle w:val="nTable"/>
              <w:spacing w:before="60" w:after="40"/>
              <w:rPr>
                <w:sz w:val="19"/>
              </w:rPr>
            </w:pPr>
            <w:r>
              <w:rPr>
                <w:sz w:val="19"/>
              </w:rPr>
              <w:t>20 Nov 2002 (see s. 2)</w:t>
            </w:r>
          </w:p>
        </w:tc>
      </w:tr>
      <w:tr>
        <w:trPr>
          <w:cantSplit/>
        </w:trPr>
        <w:tc>
          <w:tcPr>
            <w:tcW w:w="2268" w:type="dxa"/>
          </w:tcPr>
          <w:p>
            <w:pPr>
              <w:pStyle w:val="nTable"/>
              <w:spacing w:before="60" w:after="40"/>
              <w:ind w:right="113"/>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before="60" w:after="40"/>
              <w:rPr>
                <w:sz w:val="19"/>
              </w:rPr>
            </w:pPr>
            <w:r>
              <w:rPr>
                <w:snapToGrid w:val="0"/>
                <w:sz w:val="19"/>
                <w:lang w:val="en-US"/>
              </w:rPr>
              <w:t>42 of 2004</w:t>
            </w:r>
          </w:p>
        </w:tc>
        <w:tc>
          <w:tcPr>
            <w:tcW w:w="1134" w:type="dxa"/>
          </w:tcPr>
          <w:p>
            <w:pPr>
              <w:pStyle w:val="nTable"/>
              <w:spacing w:before="60" w:after="40"/>
              <w:rPr>
                <w:sz w:val="19"/>
              </w:rPr>
            </w:pPr>
            <w:r>
              <w:rPr>
                <w:sz w:val="19"/>
              </w:rPr>
              <w:t>9 Nov 2004</w:t>
            </w:r>
          </w:p>
        </w:tc>
        <w:tc>
          <w:tcPr>
            <w:tcW w:w="2551" w:type="dxa"/>
          </w:tcPr>
          <w:p>
            <w:pPr>
              <w:pStyle w:val="nTable"/>
              <w:spacing w:before="60"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before="60"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5</w:t>
            </w:r>
          </w:p>
        </w:tc>
        <w:tc>
          <w:tcPr>
            <w:tcW w:w="1134" w:type="dxa"/>
          </w:tcPr>
          <w:p>
            <w:pPr>
              <w:pStyle w:val="nTable"/>
              <w:spacing w:before="60" w:after="40"/>
              <w:rPr>
                <w:snapToGrid w:val="0"/>
                <w:sz w:val="19"/>
                <w:lang w:val="en-US"/>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napToGrid w:val="0"/>
                <w:spacing w:val="-2"/>
                <w:sz w:val="19"/>
                <w:lang w:val="en-US"/>
              </w:rPr>
            </w:pPr>
            <w:r>
              <w:rPr>
                <w:snapToGrid w:val="0"/>
                <w:spacing w:val="-2"/>
                <w:sz w:val="19"/>
                <w:lang w:val="en-US"/>
              </w:rPr>
              <w:t xml:space="preserve">1 Jul 2006 (see s. 2 and </w:t>
            </w:r>
            <w:r>
              <w:rPr>
                <w:i/>
                <w:iCs/>
                <w:snapToGrid w:val="0"/>
                <w:spacing w:val="-2"/>
                <w:sz w:val="19"/>
                <w:lang w:val="en-US"/>
              </w:rPr>
              <w:t>Gazette</w:t>
            </w:r>
            <w:r>
              <w:rPr>
                <w:snapToGrid w:val="0"/>
                <w:spacing w:val="-2"/>
                <w:sz w:val="19"/>
                <w:lang w:val="en-US"/>
              </w:rPr>
              <w:t xml:space="preserve"> 27 Jun 2006 p. 2347)</w:t>
            </w:r>
          </w:p>
        </w:tc>
      </w:tr>
      <w:tr>
        <w:trPr>
          <w:cantSplit/>
        </w:trPr>
        <w:tc>
          <w:tcPr>
            <w:tcW w:w="7087" w:type="dxa"/>
            <w:gridSpan w:val="4"/>
            <w:tcBorders>
              <w:bottom w:val="single" w:sz="8" w:space="0" w:color="auto"/>
            </w:tcBorders>
          </w:tcPr>
          <w:p>
            <w:pPr>
              <w:pStyle w:val="nTable"/>
              <w:spacing w:before="60" w:after="40"/>
              <w:rPr>
                <w:snapToGrid w:val="0"/>
                <w:spacing w:val="-2"/>
                <w:sz w:val="19"/>
                <w:lang w:val="en-US"/>
              </w:rPr>
            </w:pPr>
            <w:r>
              <w:rPr>
                <w:b/>
                <w:bCs/>
                <w:sz w:val="19"/>
              </w:rPr>
              <w:t xml:space="preserve">Reprint 2:  The </w:t>
            </w:r>
            <w:r>
              <w:rPr>
                <w:b/>
                <w:bCs/>
                <w:i/>
                <w:iCs/>
                <w:sz w:val="19"/>
              </w:rPr>
              <w:t>Insurance Commission of Western Australia Act 1986</w:t>
            </w:r>
            <w:r>
              <w:rPr>
                <w:b/>
                <w:bCs/>
                <w:sz w:val="19"/>
              </w:rPr>
              <w:t xml:space="preserve"> as at 8 Sep 2006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432" w:name="_Hlt507390729"/>
      <w:bookmarkEnd w:id="43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33" w:name="_Toc511102521"/>
      <w:bookmarkStart w:id="434" w:name="_Toc139707398"/>
      <w:bookmarkStart w:id="435" w:name="_Toc146528338"/>
      <w:r>
        <w:t>Provisions that have not come into operation</w:t>
      </w:r>
      <w:bookmarkEnd w:id="433"/>
      <w:bookmarkEnd w:id="434"/>
      <w:bookmarkEnd w:id="43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rPr>
              <w:t>Acts Amendment (ICWA) Act 1996</w:t>
            </w:r>
            <w:r>
              <w:rPr>
                <w:snapToGrid w:val="0"/>
              </w:rPr>
              <w:t xml:space="preserve"> s. 6(a), 13, 14, </w:t>
            </w:r>
            <w:r>
              <w:rPr>
                <w:snapToGrid w:val="0"/>
              </w:rPr>
              <w:br/>
              <w:t>20-22, 24, 25, 27 and 28 </w:t>
            </w:r>
            <w:r>
              <w:rPr>
                <w:snapToGrid w:val="0"/>
                <w:vertAlign w:val="superscript"/>
              </w:rPr>
              <w:t>17</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napToGrid w:val="0"/>
              </w:rPr>
            </w:pPr>
            <w:r>
              <w:rPr>
                <w:i/>
                <w:snapToGrid w:val="0"/>
              </w:rPr>
              <w:t xml:space="preserve">State Superannuation (Transitional and Consequential Provisions) Act 2000 </w:t>
            </w:r>
            <w:r>
              <w:rPr>
                <w:snapToGrid w:val="0"/>
              </w:rPr>
              <w:t>s. 50 </w:t>
            </w:r>
            <w:r>
              <w:rPr>
                <w:snapToGrid w:val="0"/>
                <w:vertAlign w:val="superscript"/>
              </w:rPr>
              <w:t>18</w:t>
            </w:r>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52" w:type="dxa"/>
            <w:tcBorders>
              <w:bottom w:val="single" w:sz="4" w:space="0" w:color="auto"/>
            </w:tcBorders>
          </w:tcPr>
          <w:p>
            <w:pPr>
              <w:pStyle w:val="nTable"/>
              <w:keepNext/>
              <w:spacing w:after="40"/>
              <w:rPr>
                <w:sz w:val="19"/>
              </w:rPr>
            </w:pPr>
            <w:r>
              <w:rPr>
                <w:sz w:val="19"/>
              </w:rPr>
              <w:t>To be proclaimed (see s. 2(2))</w:t>
            </w:r>
          </w:p>
        </w:tc>
      </w:tr>
    </w:tbl>
    <w:p>
      <w:pPr>
        <w:pStyle w:val="nSubsection"/>
        <w:spacing w:before="160"/>
        <w:rPr>
          <w:snapToGrid w:val="0"/>
        </w:rPr>
      </w:pPr>
      <w:r>
        <w:rPr>
          <w:snapToGrid w:val="0"/>
          <w:vertAlign w:val="superscript"/>
        </w:rPr>
        <w:t>2</w:t>
      </w:r>
      <w:r>
        <w:rPr>
          <w:snapToGrid w:val="0"/>
        </w:rPr>
        <w:tab/>
        <w:t xml:space="preserve">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Insurance Commission of Western Australia Act 1986</w:t>
      </w:r>
      <w:r>
        <w:rPr>
          <w:snapToGrid w:val="0"/>
        </w:rPr>
        <w:t xml:space="preserve"> s. 46(1).</w:t>
      </w:r>
    </w:p>
    <w:p>
      <w:pPr>
        <w:pStyle w:val="nSubsection"/>
        <w:keepLines/>
        <w:rPr>
          <w:snapToGrid w:val="0"/>
        </w:rPr>
      </w:pPr>
      <w:r>
        <w:rPr>
          <w:snapToGrid w:val="0"/>
          <w:vertAlign w:val="superscript"/>
        </w:rPr>
        <w:t>4</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The reference was amended under the </w:t>
      </w:r>
      <w:r>
        <w:rPr>
          <w:i/>
        </w:rPr>
        <w:t>Reprints Act 1984</w:t>
      </w:r>
      <w:r>
        <w:t xml:space="preserve"> s. 7(5)(a).</w:t>
      </w:r>
    </w:p>
    <w:p>
      <w:pPr>
        <w:pStyle w:val="nSubsection"/>
        <w:rPr>
          <w:iCs/>
        </w:rPr>
      </w:pPr>
      <w:r>
        <w:rPr>
          <w:vertAlign w:val="superscript"/>
        </w:rPr>
        <w:t>5</w:t>
      </w:r>
      <w:r>
        <w:tab/>
        <w:t xml:space="preserve">Under the </w:t>
      </w:r>
      <w:r>
        <w:rPr>
          <w:i/>
        </w:rPr>
        <w:t xml:space="preserve">Public Sector Management Act 1994 </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t xml:space="preserve">The </w:t>
      </w:r>
      <w:r>
        <w:rPr>
          <w:i/>
          <w:snapToGrid w:val="0"/>
        </w:rPr>
        <w:t>SGIO Privatisation Act 1992</w:t>
      </w:r>
      <w:r>
        <w:rPr>
          <w:snapToGrid w:val="0"/>
        </w:rPr>
        <w:t xml:space="preserve"> Pt. 3 came into operation on 24 December 1992.</w:t>
      </w:r>
    </w:p>
    <w:p>
      <w:pPr>
        <w:pStyle w:val="nSubsection"/>
        <w:rPr>
          <w:snapToGrid w:val="0"/>
        </w:rPr>
      </w:pPr>
      <w:r>
        <w:rPr>
          <w:snapToGrid w:val="0"/>
          <w:vertAlign w:val="superscript"/>
        </w:rPr>
        <w:t>7</w:t>
      </w:r>
      <w:r>
        <w:rPr>
          <w:snapToGrid w:val="0"/>
        </w:rPr>
        <w:tab/>
        <w:t xml:space="preserve">The appointed day under the </w:t>
      </w:r>
      <w:r>
        <w:rPr>
          <w:i/>
          <w:snapToGrid w:val="0"/>
        </w:rPr>
        <w:t>SGIO Privatisation Act 1992</w:t>
      </w:r>
      <w:r>
        <w:rPr>
          <w:snapToGrid w:val="0"/>
        </w:rPr>
        <w:t xml:space="preserve"> was 7 January 1993.</w:t>
      </w:r>
    </w:p>
    <w:p>
      <w:pPr>
        <w:pStyle w:val="nSubsection"/>
        <w:rPr>
          <w:snapToGrid w:val="0"/>
        </w:rPr>
      </w:pPr>
      <w:r>
        <w:rPr>
          <w:snapToGrid w:val="0"/>
          <w:vertAlign w:val="superscript"/>
        </w:rPr>
        <w:t>8</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9</w:t>
      </w:r>
      <w:r>
        <w:rPr>
          <w:snapToGrid w:val="0"/>
        </w:rPr>
        <w:tab/>
        <w:t xml:space="preserve">Section 31(2)(k) was repealed by the </w:t>
      </w:r>
      <w:r>
        <w:rPr>
          <w:i/>
          <w:snapToGrid w:val="0"/>
        </w:rPr>
        <w:t xml:space="preserve">SGIO Privatisation Act 1992 </w:t>
      </w:r>
      <w:r>
        <w:rPr>
          <w:snapToGrid w:val="0"/>
        </w:rPr>
        <w:t>s. 28</w:t>
      </w:r>
      <w:r>
        <w:rPr>
          <w:i/>
          <w:snapToGrid w:val="0"/>
        </w:rPr>
        <w:t>.</w:t>
      </w:r>
    </w:p>
    <w:p>
      <w:pPr>
        <w:pStyle w:val="nSubsection"/>
      </w:pPr>
      <w:r>
        <w:rPr>
          <w:vertAlign w:val="superscript"/>
        </w:rPr>
        <w:t>10</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p>
    <w:p>
      <w:pPr>
        <w:pStyle w:val="nSubsection"/>
        <w:rPr>
          <w:snapToGrid w:val="0"/>
        </w:rPr>
      </w:pPr>
      <w:r>
        <w:rPr>
          <w:vertAlign w:val="superscript"/>
        </w:rPr>
        <w:t>11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18.</w:t>
      </w:r>
    </w:p>
    <w:p>
      <w:pPr>
        <w:pStyle w:val="nSubsection"/>
      </w:pPr>
      <w:r>
        <w:rPr>
          <w:snapToGrid w:val="0"/>
          <w:vertAlign w:val="superscript"/>
        </w:rPr>
        <w:t>12</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rPr>
          <w:iCs/>
          <w:snapToGrid w:val="0"/>
        </w:rPr>
      </w:pPr>
      <w:r>
        <w:rPr>
          <w:snapToGrid w:val="0"/>
          <w:vertAlign w:val="superscript"/>
        </w:rPr>
        <w:t>13</w:t>
      </w:r>
      <w:r>
        <w:rPr>
          <w:snapToGrid w:val="0"/>
        </w:rPr>
        <w:tab/>
        <w:t xml:space="preserve">Now known as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Insurance Commission of Western Australia Act 1986</w:t>
      </w:r>
      <w:r>
        <w:rPr>
          <w:i/>
          <w:snapToGrid w:val="0"/>
        </w:rPr>
        <w:fldChar w:fldCharType="end"/>
      </w:r>
      <w:r>
        <w:rPr>
          <w:iCs/>
          <w:snapToGrid w:val="0"/>
        </w:rPr>
        <w:t>; short title changed (see note under s. 1).</w:t>
      </w:r>
    </w:p>
    <w:p>
      <w:pPr>
        <w:pStyle w:val="nSubsection"/>
        <w:keepNext/>
        <w:rPr>
          <w:snapToGrid w:val="0"/>
        </w:rPr>
      </w:pPr>
      <w:r>
        <w:rPr>
          <w:snapToGrid w:val="0"/>
          <w:vertAlign w:val="superscript"/>
        </w:rPr>
        <w:t>14</w:t>
      </w:r>
      <w:r>
        <w:rPr>
          <w:snapToGrid w:val="0"/>
        </w:rPr>
        <w:tab/>
        <w:t xml:space="preserve">The </w:t>
      </w:r>
      <w:r>
        <w:rPr>
          <w:i/>
          <w:snapToGrid w:val="0"/>
        </w:rPr>
        <w:t>Acts Amendment (ICWA) Act 1996</w:t>
      </w:r>
      <w:r>
        <w:rPr>
          <w:snapToGrid w:val="0"/>
        </w:rPr>
        <w:t xml:space="preserve"> s. 11(9) reads as follows:</w:t>
      </w:r>
    </w:p>
    <w:p>
      <w:pPr>
        <w:pStyle w:val="MiscOpen"/>
        <w:rPr>
          <w:snapToGrid w:val="0"/>
        </w:rPr>
      </w:pPr>
      <w:r>
        <w:rPr>
          <w:snapToGrid w:val="0"/>
        </w:rPr>
        <w:t>“</w:t>
      </w:r>
    </w:p>
    <w:p>
      <w:pPr>
        <w:pStyle w:val="nzSubsection"/>
        <w:keepNext/>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Pt. 3 contained a transitional and savings provisions that are of no further effect.</w:t>
      </w:r>
    </w:p>
    <w:p>
      <w:pPr>
        <w:pStyle w:val="nSubsection"/>
        <w:keepNext/>
        <w:rPr>
          <w:snapToGrid w:val="0"/>
        </w:rPr>
      </w:pPr>
      <w:r>
        <w:rPr>
          <w:snapToGrid w:val="0"/>
          <w:vertAlign w:val="superscript"/>
        </w:rPr>
        <w:t>16</w:t>
      </w:r>
      <w:r>
        <w:rPr>
          <w:snapToGrid w:val="0"/>
        </w:rPr>
        <w:tab/>
        <w:t xml:space="preserve">The </w:t>
      </w:r>
      <w:r>
        <w:rPr>
          <w:i/>
          <w:snapToGrid w:val="0"/>
        </w:rPr>
        <w:t>Insurance Commission of Western Australia Amendment Act </w:t>
      </w:r>
      <w:r>
        <w:rPr>
          <w:i/>
        </w:rPr>
        <w:t>2002</w:t>
      </w:r>
      <w:r>
        <w:t xml:space="preserve"> s. 10 </w:t>
      </w:r>
      <w:r>
        <w:rPr>
          <w:snapToGrid w:val="0"/>
        </w:rPr>
        <w:t>reads as follows: </w:t>
      </w:r>
    </w:p>
    <w:p>
      <w:pPr>
        <w:pStyle w:val="MiscOpen"/>
        <w:rPr>
          <w:snapToGrid w:val="0"/>
        </w:rPr>
      </w:pPr>
      <w:r>
        <w:rPr>
          <w:snapToGrid w:val="0"/>
        </w:rPr>
        <w:t>“</w:t>
      </w:r>
    </w:p>
    <w:p>
      <w:pPr>
        <w:pStyle w:val="nzHeading5"/>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Western Australia Act 1986 </w:t>
      </w:r>
      <w:r>
        <w:t>as amended by this Act are taken always to have been functions of the Commission.</w:t>
      </w:r>
    </w:p>
    <w:p>
      <w:pPr>
        <w:pStyle w:val="MiscClose"/>
      </w:pPr>
      <w:r>
        <w:t>”.</w:t>
      </w:r>
    </w:p>
    <w:p>
      <w:pPr>
        <w:pStyle w:val="nSubsection"/>
        <w:keepNext/>
        <w:rPr>
          <w:snapToGrid w:val="0"/>
        </w:rPr>
      </w:pPr>
      <w:r>
        <w:rPr>
          <w:snapToGrid w:val="0"/>
          <w:vertAlign w:val="superscript"/>
        </w:rPr>
        <w:t>17</w:t>
      </w:r>
      <w:r>
        <w:rPr>
          <w:snapToGrid w:val="0"/>
        </w:rPr>
        <w:tab/>
        <w:t xml:space="preserve">On the date as at which this reprint was prepared, the </w:t>
      </w:r>
      <w:r>
        <w:rPr>
          <w:i/>
          <w:snapToGrid w:val="0"/>
        </w:rPr>
        <w:t>Acts Amendment (ICWA) Act 1996</w:t>
      </w:r>
      <w:r>
        <w:rPr>
          <w:snapToGrid w:val="0"/>
        </w:rPr>
        <w:t xml:space="preserve"> s. 6(a), 13, 14, 20</w:t>
      </w:r>
      <w:r>
        <w:rPr>
          <w:snapToGrid w:val="0"/>
        </w:rPr>
        <w:noBreakHyphen/>
        <w:t>22, 24, 25, 27 and 28 had not come into operation.  They read as follows:</w:t>
      </w:r>
    </w:p>
    <w:p>
      <w:pPr>
        <w:pStyle w:val="MiscOpen"/>
        <w:rPr>
          <w:snapToGrid w:val="0"/>
          <w:highlight w:val="cyan"/>
        </w:rPr>
      </w:pPr>
      <w:r>
        <w:rPr>
          <w:snapToGrid w:val="0"/>
        </w:rPr>
        <w:t>“</w:t>
      </w:r>
    </w:p>
    <w:p>
      <w:pPr>
        <w:pStyle w:val="nzHeading5"/>
        <w:rPr>
          <w:snapToGrid w:val="0"/>
        </w:rPr>
      </w:pPr>
      <w:r>
        <w:rPr>
          <w:snapToGrid w:val="0"/>
        </w:rPr>
        <w:t>6.</w:t>
      </w:r>
      <w:r>
        <w:rPr>
          <w:snapToGrid w:val="0"/>
        </w:rPr>
        <w:tab/>
        <w:t>Section 3 amended</w:t>
      </w:r>
    </w:p>
    <w:p>
      <w:pPr>
        <w:pStyle w:val="nzIndenta"/>
        <w:spacing w:before="80"/>
        <w:rPr>
          <w:snapToGrid w:val="0"/>
        </w:rPr>
      </w:pPr>
      <w:r>
        <w:rPr>
          <w:snapToGrid w:val="0"/>
        </w:rPr>
        <w:tab/>
        <w:t>(a)</w:t>
      </w:r>
      <w:r>
        <w:rPr>
          <w:snapToGrid w:val="0"/>
        </w:rPr>
        <w:tab/>
        <w:t>by deleting the definitions of “board of directors”, “Corporation”, “debt paper” and “director of the Corporation”;</w:t>
      </w:r>
    </w:p>
    <w:p>
      <w:pPr>
        <w:pStyle w:val="nzHeading5"/>
        <w:rPr>
          <w:snapToGrid w:val="0"/>
        </w:rPr>
      </w:pPr>
      <w:r>
        <w:rPr>
          <w:snapToGrid w:val="0"/>
        </w:rPr>
        <w:t>13.</w:t>
      </w:r>
      <w:r>
        <w:rPr>
          <w:snapToGrid w:val="0"/>
        </w:rPr>
        <w:tab/>
        <w:t>Section 12 amended</w:t>
      </w:r>
    </w:p>
    <w:p>
      <w:pPr>
        <w:pStyle w:val="nzSubsection"/>
        <w:rPr>
          <w:snapToGrid w:val="0"/>
        </w:rPr>
      </w:pPr>
      <w:r>
        <w:rPr>
          <w:snapToGrid w:val="0"/>
        </w:rPr>
        <w:tab/>
        <w:t>(1)</w:t>
      </w:r>
      <w:r>
        <w:rPr>
          <w:snapToGrid w:val="0"/>
        </w:rPr>
        <w:tab/>
        <w:t xml:space="preserve">Section 12(1) of the principal Act is amended by deleting “and the Corporation to carry out their respective functions” and substituting the following — </w:t>
      </w:r>
    </w:p>
    <w:p>
      <w:pPr>
        <w:pStyle w:val="nzSubsection"/>
        <w:rPr>
          <w:snapToGrid w:val="0"/>
        </w:rPr>
      </w:pPr>
      <w:r>
        <w:rPr>
          <w:snapToGrid w:val="0"/>
        </w:rPr>
        <w:tab/>
      </w:r>
      <w:r>
        <w:rPr>
          <w:snapToGrid w:val="0"/>
        </w:rPr>
        <w:tab/>
        <w:t>“    to carry out its functions    ”.</w:t>
      </w:r>
    </w:p>
    <w:p>
      <w:pPr>
        <w:pStyle w:val="nzSubsection"/>
        <w:rPr>
          <w:snapToGrid w:val="0"/>
        </w:rPr>
      </w:pPr>
      <w:r>
        <w:rPr>
          <w:snapToGrid w:val="0"/>
        </w:rPr>
        <w:tab/>
        <w:t>(2)</w:t>
      </w:r>
      <w:r>
        <w:rPr>
          <w:snapToGrid w:val="0"/>
        </w:rPr>
        <w:tab/>
        <w:t xml:space="preserve">Section 12(4) of the principal Act is amended by deleting “it considers necessary to enable the Commission and the Corporation to carry out their respective functions” and substituting the following — </w:t>
      </w:r>
    </w:p>
    <w:p>
      <w:pPr>
        <w:pStyle w:val="nzSubsection"/>
        <w:rPr>
          <w:snapToGrid w:val="0"/>
        </w:rPr>
      </w:pPr>
      <w:r>
        <w:rPr>
          <w:snapToGrid w:val="0"/>
        </w:rPr>
        <w:tab/>
      </w:r>
      <w:r>
        <w:rPr>
          <w:snapToGrid w:val="0"/>
        </w:rPr>
        <w:tab/>
        <w:t>“</w:t>
      </w:r>
    </w:p>
    <w:p>
      <w:pPr>
        <w:pStyle w:val="nzSubsection"/>
        <w:tabs>
          <w:tab w:val="clear" w:pos="1446"/>
          <w:tab w:val="left" w:pos="1701"/>
        </w:tabs>
        <w:ind w:left="1701" w:right="861" w:hanging="1106"/>
        <w:rPr>
          <w:snapToGrid w:val="0"/>
        </w:rPr>
      </w:pPr>
      <w:r>
        <w:rPr>
          <w:snapToGrid w:val="0"/>
        </w:rPr>
        <w:tab/>
      </w:r>
      <w:r>
        <w:rPr>
          <w:snapToGrid w:val="0"/>
        </w:rPr>
        <w:tab/>
        <w:t>the board considers necessary to enable the Commission to carry out its functions</w:t>
      </w:r>
    </w:p>
    <w:p>
      <w:pPr>
        <w:pStyle w:val="nzSubsection"/>
        <w:tabs>
          <w:tab w:val="clear" w:pos="1162"/>
          <w:tab w:val="clear" w:pos="1446"/>
          <w:tab w:val="left" w:pos="1701"/>
        </w:tabs>
        <w:ind w:left="1701" w:hanging="110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14.</w:t>
      </w:r>
      <w:r>
        <w:rPr>
          <w:snapToGrid w:val="0"/>
        </w:rPr>
        <w:tab/>
        <w:t>Section 15 amended</w:t>
      </w:r>
    </w:p>
    <w:p>
      <w:pPr>
        <w:pStyle w:val="nzSubsection"/>
        <w:rPr>
          <w:snapToGrid w:val="0"/>
        </w:rPr>
      </w:pPr>
      <w:r>
        <w:rPr>
          <w:snapToGrid w:val="0"/>
        </w:rPr>
        <w:tab/>
      </w:r>
      <w:r>
        <w:rPr>
          <w:snapToGrid w:val="0"/>
        </w:rPr>
        <w:tab/>
        <w:t>Section 15(2)(d) of the principal Act is deleted.</w:t>
      </w:r>
    </w:p>
    <w:p>
      <w:pPr>
        <w:pStyle w:val="nzHeading5"/>
        <w:rPr>
          <w:snapToGrid w:val="0"/>
        </w:rPr>
      </w:pPr>
      <w:r>
        <w:rPr>
          <w:snapToGrid w:val="0"/>
        </w:rPr>
        <w:t>20.</w:t>
      </w:r>
      <w:r>
        <w:rPr>
          <w:snapToGrid w:val="0"/>
        </w:rPr>
        <w:tab/>
        <w:t>Part III repealed</w:t>
      </w:r>
    </w:p>
    <w:p>
      <w:pPr>
        <w:pStyle w:val="nzSubsection"/>
        <w:keepNext/>
        <w:keepLines/>
        <w:rPr>
          <w:snapToGrid w:val="0"/>
        </w:rPr>
      </w:pPr>
      <w:r>
        <w:rPr>
          <w:snapToGrid w:val="0"/>
        </w:rPr>
        <w:tab/>
      </w:r>
      <w:r>
        <w:rPr>
          <w:snapToGrid w:val="0"/>
        </w:rPr>
        <w:tab/>
        <w:t>Part III of the principal Act is repealed.</w:t>
      </w:r>
    </w:p>
    <w:p>
      <w:pPr>
        <w:pStyle w:val="nzHeading5"/>
        <w:rPr>
          <w:snapToGrid w:val="0"/>
        </w:rPr>
      </w:pPr>
      <w:r>
        <w:rPr>
          <w:snapToGrid w:val="0"/>
        </w:rPr>
        <w:t>21.</w:t>
      </w:r>
      <w:r>
        <w:rPr>
          <w:snapToGrid w:val="0"/>
        </w:rPr>
        <w:tab/>
        <w:t>Section 42 amended</w:t>
      </w:r>
    </w:p>
    <w:p>
      <w:pPr>
        <w:pStyle w:val="nzSubsection"/>
        <w:rPr>
          <w:snapToGrid w:val="0"/>
        </w:rPr>
      </w:pPr>
      <w:r>
        <w:rPr>
          <w:snapToGrid w:val="0"/>
        </w:rPr>
        <w:tab/>
      </w:r>
      <w:r>
        <w:rPr>
          <w:snapToGrid w:val="0"/>
        </w:rPr>
        <w:tab/>
        <w:t xml:space="preserve">Section 42(2)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nzSubsection"/>
        <w:tabs>
          <w:tab w:val="clear" w:pos="1162"/>
          <w:tab w:val="clear" w:pos="1446"/>
          <w:tab w:val="left" w:pos="1701"/>
          <w:tab w:val="left" w:pos="2268"/>
        </w:tabs>
        <w:ind w:left="2268" w:hanging="1673"/>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22.</w:t>
      </w:r>
      <w:r>
        <w:rPr>
          <w:snapToGrid w:val="0"/>
        </w:rPr>
        <w:tab/>
        <w:t>Section 43 amended</w:t>
      </w:r>
    </w:p>
    <w:p>
      <w:pPr>
        <w:pStyle w:val="nzSubsection"/>
        <w:rPr>
          <w:snapToGrid w:val="0"/>
        </w:rPr>
      </w:pPr>
      <w:r>
        <w:rPr>
          <w:snapToGrid w:val="0"/>
        </w:rPr>
        <w:tab/>
      </w:r>
      <w:r>
        <w:rPr>
          <w:snapToGrid w:val="0"/>
        </w:rPr>
        <w:tab/>
        <w:t>Section 43(9) of the principal Act is repealed.</w:t>
      </w:r>
    </w:p>
    <w:p>
      <w:pPr>
        <w:pStyle w:val="nzHeading5"/>
        <w:rPr>
          <w:snapToGrid w:val="0"/>
        </w:rPr>
      </w:pPr>
      <w:r>
        <w:rPr>
          <w:snapToGrid w:val="0"/>
        </w:rPr>
        <w:t>24.</w:t>
      </w:r>
      <w:r>
        <w:rPr>
          <w:snapToGrid w:val="0"/>
        </w:rPr>
        <w:tab/>
        <w:t>Section 45 amended</w:t>
      </w:r>
    </w:p>
    <w:p>
      <w:pPr>
        <w:pStyle w:val="nzSubsection"/>
        <w:rPr>
          <w:snapToGrid w:val="0"/>
        </w:rPr>
      </w:pPr>
      <w:r>
        <w:rPr>
          <w:snapToGrid w:val="0"/>
        </w:rPr>
        <w:tab/>
      </w:r>
      <w:r>
        <w:rPr>
          <w:snapToGrid w:val="0"/>
        </w:rPr>
        <w:tab/>
        <w:t xml:space="preserve">Section 45(2)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Without limiting subsection (1), regulations may provide for the use of the common seal of the Commission in Western Australia and elsewhere.</w:t>
      </w:r>
    </w:p>
    <w:p>
      <w:pPr>
        <w:pStyle w:val="nz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27.</w:t>
      </w:r>
      <w:r>
        <w:rPr>
          <w:snapToGrid w:val="0"/>
        </w:rPr>
        <w:tab/>
        <w:t>Schedule 2 repealed</w:t>
      </w:r>
    </w:p>
    <w:p>
      <w:pPr>
        <w:pStyle w:val="nzSubsection"/>
        <w:rPr>
          <w:snapToGrid w:val="0"/>
        </w:rPr>
      </w:pPr>
      <w:r>
        <w:rPr>
          <w:snapToGrid w:val="0"/>
        </w:rPr>
        <w:tab/>
      </w:r>
      <w:r>
        <w:rPr>
          <w:snapToGrid w:val="0"/>
        </w:rPr>
        <w:tab/>
        <w:t>Schedule 2 to the principal Act is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MiscClose"/>
        <w:rPr>
          <w:snapToGrid w:val="0"/>
        </w:rPr>
      </w:pPr>
      <w:r>
        <w:rPr>
          <w:snapToGrid w:val="0"/>
        </w:rPr>
        <w:t>”.</w:t>
      </w:r>
    </w:p>
    <w:p>
      <w:pPr>
        <w:pStyle w:val="nSubsection"/>
        <w:keepNext/>
        <w:rPr>
          <w:snapToGrid w:val="0"/>
        </w:rPr>
      </w:pPr>
      <w:r>
        <w:rPr>
          <w:snapToGrid w:val="0"/>
          <w:vertAlign w:val="superscript"/>
        </w:rPr>
        <w:t>18</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50 had not come into operation.  It reads as follows:</w:t>
      </w:r>
    </w:p>
    <w:p>
      <w:pPr>
        <w:pStyle w:val="MiscOpen"/>
        <w:rPr>
          <w:snapToGrid w:val="0"/>
          <w:sz w:val="20"/>
        </w:rPr>
      </w:pPr>
      <w:r>
        <w:rPr>
          <w:snapToGrid w:val="0"/>
          <w:sz w:val="20"/>
        </w:rPr>
        <w:t>“</w:t>
      </w:r>
    </w:p>
    <w:p>
      <w:pPr>
        <w:pStyle w:val="nzHeading5"/>
      </w:pPr>
      <w:bookmarkStart w:id="436" w:name="_Toc497533369"/>
      <w:r>
        <w:rPr>
          <w:rStyle w:val="CharSectno"/>
        </w:rPr>
        <w:t>50</w:t>
      </w:r>
      <w:r>
        <w:t>.</w:t>
      </w:r>
      <w:r>
        <w:tab/>
      </w:r>
      <w:r>
        <w:rPr>
          <w:i/>
        </w:rPr>
        <w:t>Insurance Commission of Western Australia Act 1986</w:t>
      </w:r>
      <w:r>
        <w:t xml:space="preserve"> amended</w:t>
      </w:r>
      <w:bookmarkEnd w:id="436"/>
    </w:p>
    <w:p>
      <w:pPr>
        <w:pStyle w:val="nzSubsection"/>
      </w:pPr>
      <w:r>
        <w:tab/>
      </w:r>
      <w:r>
        <w:tab/>
        <w:t xml:space="preserve">Clause 16(2) of Schedule 4 to the </w:t>
      </w:r>
      <w:r>
        <w:rPr>
          <w:i/>
        </w:rPr>
        <w:t>Insurance Commission of Western Australia Act 1986</w:t>
      </w:r>
      <w:r>
        <w:t xml:space="preserve"> is amended by deleting “(including, if he is a contributor under the </w:t>
      </w:r>
      <w:r>
        <w:rPr>
          <w:i/>
        </w:rPr>
        <w:t>Superannuation and Family Benefits Act 1938</w:t>
      </w:r>
      <w:r>
        <w:t>, his rights under that Act)”.</w:t>
      </w:r>
    </w:p>
    <w:p>
      <w:pPr>
        <w:pStyle w:val="MiscClose"/>
        <w:rPr>
          <w:snapToGrid w:val="0"/>
        </w:rPr>
      </w:pPr>
      <w:r>
        <w:rPr>
          <w:snapToGrid w:val="0"/>
        </w:rP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Insurance Commission of Western Australia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17374</Words>
  <Characters>86003</Characters>
  <Application>Microsoft Office Word</Application>
  <DocSecurity>0</DocSecurity>
  <Lines>2205</Lines>
  <Paragraphs>1161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102216</CharactersWithSpaces>
  <SharedDoc>false</SharedDoc>
  <HLinks>
    <vt:vector size="12" baseType="variant">
      <vt:variant>
        <vt:i4>3014716</vt:i4>
      </vt:variant>
      <vt:variant>
        <vt:i4>9568</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1986 - 02-a0-02</dc:title>
  <dc:subject/>
  <dc:creator/>
  <cp:keywords/>
  <dc:description/>
  <cp:lastModifiedBy>svcMRProcess</cp:lastModifiedBy>
  <cp:revision>4</cp:revision>
  <cp:lastPrinted>2006-09-11T07:54:00Z</cp:lastPrinted>
  <dcterms:created xsi:type="dcterms:W3CDTF">2018-09-03T05:36:00Z</dcterms:created>
  <dcterms:modified xsi:type="dcterms:W3CDTF">2018-09-03T05:36:00Z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20060908</vt:lpwstr>
  </property>
  <property fmtid="{D5CDD505-2E9C-101B-9397-08002B2CF9AE}" pid="4" name="DocumentType">
    <vt:lpwstr>Act</vt:lpwstr>
  </property>
  <property fmtid="{D5CDD505-2E9C-101B-9397-08002B2CF9AE}" pid="5" name="OwlsUID">
    <vt:i4>775</vt:i4>
  </property>
  <property fmtid="{D5CDD505-2E9C-101B-9397-08002B2CF9AE}" pid="6" name="ReprintedAsAt">
    <vt:filetime>2006-09-07T16:00:00Z</vt:filetime>
  </property>
  <property fmtid="{D5CDD505-2E9C-101B-9397-08002B2CF9AE}" pid="7" name="ReprintNo">
    <vt:lpwstr>2</vt:lpwstr>
  </property>
  <property fmtid="{D5CDD505-2E9C-101B-9397-08002B2CF9AE}" pid="8" name="AsAtDate">
    <vt:lpwstr>08 Sep 2006</vt:lpwstr>
  </property>
  <property fmtid="{D5CDD505-2E9C-101B-9397-08002B2CF9AE}" pid="9" name="Suffix">
    <vt:lpwstr>02-a0-02</vt:lpwstr>
  </property>
</Properties>
</file>