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_Toc212605340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_Toc212605341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_Toc212605342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_Toc212605343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_Toc212605344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_Toc212605345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_Toc212605346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_Toc212605347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_Toc212605348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_Toc212605349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_Toc212605350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_Toc212605351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_Toc212605352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_Toc212605353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_Toc212605354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_Toc212605355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_Toc212605356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_Toc212605357 \h </w:instrText>
      </w:r>
      <w:r>
        <w:fldChar w:fldCharType="separate"/>
      </w:r>
      <w:r>
        <w:t>12</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_Toc212605358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_Toc212605359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_Toc212605360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_Toc212605361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_Toc212605362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_Toc212605363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_Toc212605364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_Toc212605365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_Toc212605366 \h </w:instrText>
      </w:r>
      <w:r>
        <w:fldChar w:fldCharType="separate"/>
      </w:r>
      <w:r>
        <w:t>21</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_Toc212605367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_Toc212605368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_Toc212605369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_Toc212605370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_Toc212605371 \h </w:instrText>
      </w:r>
      <w:r>
        <w:fldChar w:fldCharType="separate"/>
      </w:r>
      <w:r>
        <w:t>25</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_Toc212605372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_Toc212605373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_Toc212605374 \h </w:instrText>
      </w:r>
      <w:r>
        <w:fldChar w:fldCharType="separate"/>
      </w:r>
      <w:r>
        <w:t>27</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_Toc212605375 \h </w:instrText>
      </w:r>
      <w:r>
        <w:fldChar w:fldCharType="separate"/>
      </w:r>
      <w:r>
        <w:t>28</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_Toc212605376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_Toc212605377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_Toc212605378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_Toc212605379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_Toc212605380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_Toc212605381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_Toc212605382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_Toc212605383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_Toc212605384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_Toc212605385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_Toc212605386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_Toc212605387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_Toc212605388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_Toc212605389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_Toc212605390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_Toc212605391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_Toc212605392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_Toc212605393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_Toc212605394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_Toc212605395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_Toc212605396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_Toc212605397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_Toc212605398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_Toc212605399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_Toc212605400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_Toc212605401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_Toc212605402 \h </w:instrText>
      </w:r>
      <w:r>
        <w:fldChar w:fldCharType="separate"/>
      </w:r>
      <w:r>
        <w:t>48</w:t>
      </w:r>
      <w:r>
        <w:fldChar w:fldCharType="end"/>
      </w:r>
    </w:p>
    <w:p>
      <w:pPr>
        <w:pStyle w:val="TOC2"/>
        <w:keepNext w:val="0"/>
        <w:tabs>
          <w:tab w:val="right" w:leader="dot" w:pos="7086"/>
        </w:tabs>
        <w:rPr>
          <w:b w:val="0"/>
          <w:sz w:val="24"/>
          <w:szCs w:val="24"/>
        </w:rPr>
      </w:pPr>
      <w:r>
        <w:rPr>
          <w:szCs w:val="28"/>
        </w:rPr>
        <w:t>Schedule 1</w:t>
      </w:r>
    </w:p>
    <w:p>
      <w:pPr>
        <w:pStyle w:val="TOC2"/>
        <w:keepNext w:val="0"/>
        <w:tabs>
          <w:tab w:val="right" w:leader="dot" w:pos="7086"/>
        </w:tabs>
        <w:rPr>
          <w:b w:val="0"/>
          <w:sz w:val="24"/>
          <w:szCs w:val="24"/>
        </w:rPr>
      </w:pPr>
      <w:r>
        <w:rPr>
          <w:szCs w:val="28"/>
        </w:rPr>
        <w:t>Forms</w:t>
      </w:r>
    </w:p>
    <w:p>
      <w:pPr>
        <w:pStyle w:val="TOC2"/>
        <w:keepNext w:val="0"/>
        <w:tabs>
          <w:tab w:val="right" w:leader="dot" w:pos="7086"/>
        </w:tabs>
        <w:rPr>
          <w:b w:val="0"/>
          <w:sz w:val="24"/>
          <w:szCs w:val="24"/>
        </w:rPr>
      </w:pPr>
      <w:r>
        <w:rPr>
          <w:szCs w:val="28"/>
        </w:rPr>
        <w:t>Schedule 2</w:t>
      </w:r>
    </w:p>
    <w:p>
      <w:pPr>
        <w:pStyle w:val="TOC2"/>
        <w:keepNext w:val="0"/>
        <w:tabs>
          <w:tab w:val="right" w:leader="dot" w:pos="7086"/>
        </w:tabs>
        <w:rPr>
          <w:b w:val="0"/>
          <w:sz w:val="24"/>
          <w:szCs w:val="24"/>
        </w:rPr>
      </w:pPr>
      <w:r>
        <w:rPr>
          <w:szCs w:val="28"/>
        </w:rPr>
        <w:t>Details of applicant</w:t>
      </w:r>
    </w:p>
    <w:p>
      <w:pPr>
        <w:pStyle w:val="TOC2"/>
        <w:keepNext w:val="0"/>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keepNext/>
        <w:rPr>
          <w:sz w:val="24"/>
          <w:szCs w:val="24"/>
        </w:rPr>
      </w:pPr>
      <w:r>
        <w:rPr>
          <w:snapToGrid w:val="0"/>
          <w:szCs w:val="24"/>
        </w:rPr>
        <w:tab/>
        <w:t>Compilation table</w:t>
      </w:r>
      <w:r>
        <w:tab/>
      </w:r>
      <w:r>
        <w:fldChar w:fldCharType="begin"/>
      </w:r>
      <w:r>
        <w:instrText xml:space="preserve"> PAGEREF _Toc212605409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12605340"/>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12605341"/>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12605342"/>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12605343"/>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212605344"/>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212605345"/>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212605346"/>
      <w:r>
        <w:rPr>
          <w:rStyle w:val="CharSectno"/>
        </w:rPr>
        <w:t>4</w:t>
      </w:r>
      <w:r>
        <w:rPr>
          <w:snapToGrid w:val="0"/>
        </w:rPr>
        <w:t>.</w:t>
      </w:r>
      <w:r>
        <w:rPr>
          <w:snapToGrid w:val="0"/>
        </w:rPr>
        <w:tab/>
        <w:t>“</w:t>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12605347"/>
      <w:r>
        <w:rPr>
          <w:rStyle w:val="CharSectno"/>
        </w:rPr>
        <w:t>4AA</w:t>
      </w:r>
      <w:r>
        <w:rPr>
          <w:snapToGrid w:val="0"/>
        </w:rPr>
        <w:t>.</w:t>
      </w:r>
      <w:r>
        <w:rPr>
          <w:snapToGrid w:val="0"/>
        </w:rPr>
        <w:tab/>
        <w:t>“</w:t>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12605348"/>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212605349"/>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12605350"/>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12605351"/>
      <w:r>
        <w:rPr>
          <w:rStyle w:val="CharSectno"/>
        </w:rPr>
        <w:t>5</w:t>
      </w:r>
      <w:r>
        <w:rPr>
          <w:snapToGrid w:val="0"/>
        </w:rPr>
        <w:t>.</w:t>
      </w:r>
      <w:r>
        <w:rPr>
          <w:snapToGrid w:val="0"/>
        </w:rPr>
        <w:tab/>
        <w:t>“</w:t>
      </w:r>
      <w: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212605352"/>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12605353"/>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Repealed in Gazette 1 May 2007 p. 1867.]</w:t>
      </w:r>
    </w:p>
    <w:p>
      <w:pPr>
        <w:pStyle w:val="Heading5"/>
        <w:rPr>
          <w:snapToGrid w:val="0"/>
        </w:rPr>
      </w:pPr>
      <w:bookmarkStart w:id="122" w:name="_Toc172713912"/>
      <w:bookmarkStart w:id="123" w:name="_Toc212605354"/>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12605355"/>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12605356"/>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12605357"/>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12605358"/>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r>
        <w:rPr>
          <w:snapToGrid w:val="0"/>
        </w:rPr>
        <w:t xml:space="preserve"> </w:t>
      </w:r>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69" w:name="_Toc172713917"/>
      <w:bookmarkStart w:id="170" w:name="_Toc212605359"/>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12605360"/>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12605361"/>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212605362"/>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12605363"/>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12605364"/>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12605365"/>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12605366"/>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12605367"/>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12605368"/>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12605369"/>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pPr>
      <w:bookmarkStart w:id="256" w:name="_Toc212605370"/>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12605371"/>
      <w:r>
        <w:rPr>
          <w:rStyle w:val="CharSectno"/>
        </w:rPr>
        <w:t>14AB</w:t>
      </w:r>
      <w:r>
        <w:t>.</w:t>
      </w:r>
      <w:r>
        <w:tab/>
        <w:t>Lodgement periods for applications for certain occasional licences — section 75(1)(b)</w:t>
      </w:r>
      <w:bookmarkEnd w:id="257"/>
      <w:bookmarkEnd w:id="26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12605372"/>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12605373"/>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12605374"/>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12605375"/>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12605376"/>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Repealed in Gazette 28 Sep 2007 p. 4929.]</w:t>
      </w:r>
    </w:p>
    <w:p>
      <w:pPr>
        <w:pStyle w:val="Heading5"/>
        <w:rPr>
          <w:snapToGrid w:val="0"/>
        </w:rPr>
      </w:pPr>
      <w:bookmarkStart w:id="282" w:name="_Toc212605377"/>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12605378"/>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12605379"/>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12605380"/>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12605381"/>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12605382"/>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12605383"/>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12605384"/>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212605385"/>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212605386"/>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372" w:name="_Toc212605387"/>
      <w:r>
        <w:rPr>
          <w:rStyle w:val="CharSectno"/>
        </w:rPr>
        <w:t>18F</w:t>
      </w:r>
      <w:r>
        <w:t>.</w:t>
      </w:r>
      <w:r>
        <w:tab/>
        <w:t>Prescribed training courses — section 121(11)(c)(ii)</w:t>
      </w:r>
      <w:bookmarkEnd w:id="361"/>
      <w:bookmarkEnd w:id="372"/>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373" w:name="_Toc172713947"/>
      <w:bookmarkStart w:id="374" w:name="_Toc212605388"/>
      <w:r>
        <w:rPr>
          <w:rStyle w:val="CharSectno"/>
        </w:rPr>
        <w:t>18G</w:t>
      </w:r>
      <w:r>
        <w:t>.</w:t>
      </w:r>
      <w:r>
        <w:tab/>
        <w:t>Dealing with confiscated documents — section 126(2b)</w:t>
      </w:r>
      <w:bookmarkEnd w:id="373"/>
      <w:bookmarkEnd w:id="374"/>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5" w:name="_Toc172713948"/>
      <w:bookmarkStart w:id="376" w:name="_Toc212605389"/>
      <w:r>
        <w:rPr>
          <w:rStyle w:val="CharSectno"/>
        </w:rPr>
        <w:t>18H</w:t>
      </w:r>
      <w:r>
        <w:t>.</w:t>
      </w:r>
      <w:r>
        <w:tab/>
        <w:t>Provisions of the Act that may be modified under a special event notice — section 126E(4)</w:t>
      </w:r>
      <w:bookmarkEnd w:id="375"/>
      <w:bookmarkEnd w:id="37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212605390"/>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212605391"/>
      <w:r>
        <w:rPr>
          <w:rStyle w:val="CharSectno"/>
        </w:rPr>
        <w:t>20</w:t>
      </w:r>
      <w:r>
        <w:rPr>
          <w:snapToGrid w:val="0"/>
        </w:rPr>
        <w:t>.</w:t>
      </w:r>
      <w:r>
        <w:rPr>
          <w:snapToGrid w:val="0"/>
        </w:rPr>
        <w:tab/>
        <w:t>Extension of definition of “</w:t>
      </w:r>
      <w: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212605392"/>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212605393"/>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0" o:title=""/>
          </v:shape>
          <o:OLEObject Type="Embed" ProgID="Equation.3" ShapeID="_x0000_i1025" DrawAspect="Content" ObjectID="_1644255660" r:id="rId21"/>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212605394"/>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212605395"/>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212605396"/>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212605397"/>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212605398"/>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212605399"/>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212605400"/>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212605401"/>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212605402"/>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bookmarkStart w:id="545" w:name="_Toc196630684"/>
      <w:bookmarkStart w:id="546" w:name="_Toc197489584"/>
      <w:bookmarkStart w:id="547" w:name="_Toc197489655"/>
      <w:bookmarkStart w:id="548" w:name="_Toc197493322"/>
      <w:bookmarkStart w:id="549" w:name="_Toc201728696"/>
      <w:bookmarkStart w:id="550" w:name="_Toc201738254"/>
      <w:bookmarkStart w:id="551" w:name="_Toc201738324"/>
      <w:bookmarkStart w:id="552" w:name="_Toc201741262"/>
      <w:bookmarkStart w:id="553" w:name="_Toc201741453"/>
      <w:bookmarkStart w:id="554" w:name="_Toc202058819"/>
      <w:bookmarkStart w:id="555" w:name="_Toc202842898"/>
      <w:bookmarkStart w:id="556" w:name="_Toc212535052"/>
      <w:bookmarkStart w:id="557" w:name="_Toc212605403"/>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58" w:name="_Toc113176299"/>
      <w:bookmarkStart w:id="559" w:name="_Toc113180388"/>
      <w:bookmarkStart w:id="560" w:name="_Toc114391763"/>
      <w:bookmarkStart w:id="561" w:name="_Toc115171740"/>
      <w:bookmarkStart w:id="562" w:name="_Toc118609142"/>
      <w:bookmarkStart w:id="563" w:name="_Toc119294101"/>
      <w:bookmarkStart w:id="564" w:name="_Toc123633194"/>
      <w:bookmarkStart w:id="565" w:name="_Toc123633281"/>
      <w:bookmarkStart w:id="566" w:name="_Toc127594638"/>
      <w:bookmarkStart w:id="567" w:name="_Toc155066801"/>
      <w:bookmarkStart w:id="568" w:name="_Toc155084699"/>
      <w:bookmarkStart w:id="569" w:name="_Toc166316641"/>
      <w:bookmarkStart w:id="570" w:name="_Toc169665140"/>
      <w:bookmarkStart w:id="571" w:name="_Toc169672018"/>
      <w:bookmarkStart w:id="572" w:name="_Toc171323206"/>
      <w:bookmarkStart w:id="573" w:name="_Toc172713670"/>
      <w:bookmarkStart w:id="574" w:name="_Toc172713963"/>
      <w:bookmarkStart w:id="575" w:name="_Toc173550874"/>
      <w:bookmarkStart w:id="576" w:name="_Toc173560587"/>
      <w:bookmarkStart w:id="577" w:name="_Toc178676594"/>
      <w:bookmarkStart w:id="578" w:name="_Toc178676874"/>
      <w:bookmarkStart w:id="579" w:name="_Toc178677071"/>
      <w:bookmarkStart w:id="580" w:name="_Toc178734885"/>
      <w:bookmarkStart w:id="581" w:name="_Toc178741344"/>
      <w:bookmarkStart w:id="582" w:name="_Toc179100284"/>
      <w:bookmarkStart w:id="583" w:name="_Toc179103250"/>
      <w:bookmarkStart w:id="584" w:name="_Toc179708632"/>
      <w:bookmarkStart w:id="585" w:name="_Toc179708738"/>
      <w:bookmarkStart w:id="586" w:name="_Toc185652747"/>
      <w:bookmarkStart w:id="587" w:name="_Toc185654452"/>
      <w:bookmarkStart w:id="588" w:name="_Toc196630685"/>
      <w:bookmarkStart w:id="589" w:name="_Toc197489585"/>
      <w:bookmarkStart w:id="590" w:name="_Toc197489656"/>
      <w:bookmarkStart w:id="591" w:name="_Toc197493323"/>
      <w:bookmarkStart w:id="592" w:name="_Toc201728697"/>
      <w:bookmarkStart w:id="593" w:name="_Toc201738255"/>
      <w:bookmarkStart w:id="594" w:name="_Toc201738325"/>
      <w:bookmarkStart w:id="595" w:name="_Toc201741263"/>
      <w:bookmarkStart w:id="596" w:name="_Toc201741454"/>
      <w:bookmarkStart w:id="597" w:name="_Toc202058820"/>
      <w:bookmarkStart w:id="598" w:name="_Toc202842899"/>
      <w:bookmarkStart w:id="599" w:name="_Toc212535053"/>
      <w:bookmarkStart w:id="600" w:name="_Toc212605404"/>
      <w:r>
        <w:rPr>
          <w:rStyle w:val="CharSchText"/>
        </w:rPr>
        <w:t>Forms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01" w:name="_Toc534780070"/>
      <w:bookmarkStart w:id="602" w:name="_Toc3352152"/>
      <w:bookmarkStart w:id="603" w:name="_Toc22966253"/>
      <w:bookmarkStart w:id="604" w:name="_Toc66263860"/>
      <w:bookmarkStart w:id="605" w:name="_Toc67978811"/>
      <w:bookmarkStart w:id="606" w:name="_Toc79826633"/>
      <w:bookmarkStart w:id="607" w:name="_Toc113176300"/>
      <w:bookmarkStart w:id="608" w:name="_Toc113180389"/>
      <w:bookmarkStart w:id="609" w:name="_Toc114391764"/>
      <w:bookmarkStart w:id="610" w:name="_Toc115171741"/>
      <w:bookmarkStart w:id="611" w:name="_Toc118609143"/>
      <w:bookmarkStart w:id="612" w:name="_Toc119294102"/>
      <w:bookmarkStart w:id="613" w:name="_Toc123633195"/>
      <w:bookmarkStart w:id="614" w:name="_Toc123633282"/>
      <w:bookmarkStart w:id="615" w:name="_Toc127594639"/>
      <w:bookmarkStart w:id="616" w:name="_Toc155066802"/>
      <w:bookmarkStart w:id="617" w:name="_Toc155084700"/>
      <w:bookmarkStart w:id="618" w:name="_Toc166316642"/>
      <w:bookmarkStart w:id="619" w:name="_Toc169665141"/>
      <w:bookmarkStart w:id="620" w:name="_Toc169672019"/>
      <w:bookmarkStart w:id="621" w:name="_Toc171323207"/>
      <w:bookmarkStart w:id="622" w:name="_Toc172713671"/>
      <w:bookmarkStart w:id="623" w:name="_Toc172713964"/>
      <w:bookmarkStart w:id="624" w:name="_Toc173550875"/>
      <w:bookmarkStart w:id="625" w:name="_Toc173560588"/>
      <w:bookmarkStart w:id="626" w:name="_Toc178676595"/>
      <w:bookmarkStart w:id="627" w:name="_Toc178676875"/>
      <w:bookmarkStart w:id="628" w:name="_Toc178677072"/>
      <w:bookmarkStart w:id="629" w:name="_Toc178734886"/>
      <w:bookmarkStart w:id="630" w:name="_Toc178741345"/>
      <w:bookmarkStart w:id="631" w:name="_Toc179100285"/>
      <w:bookmarkStart w:id="632" w:name="_Toc179103251"/>
      <w:bookmarkStart w:id="633" w:name="_Toc179708633"/>
      <w:bookmarkStart w:id="634" w:name="_Toc179708739"/>
      <w:bookmarkStart w:id="635" w:name="_Toc185652748"/>
      <w:bookmarkStart w:id="636" w:name="_Toc185654453"/>
      <w:bookmarkStart w:id="637" w:name="_Toc196630686"/>
      <w:bookmarkStart w:id="638" w:name="_Toc197489586"/>
      <w:bookmarkStart w:id="639" w:name="_Toc197489657"/>
      <w:bookmarkStart w:id="640" w:name="_Toc197493324"/>
      <w:bookmarkStart w:id="641" w:name="_Toc201728698"/>
      <w:bookmarkStart w:id="642" w:name="_Toc201738256"/>
      <w:bookmarkStart w:id="643" w:name="_Toc201738326"/>
      <w:bookmarkStart w:id="644" w:name="_Toc201741264"/>
      <w:bookmarkStart w:id="645" w:name="_Toc201741455"/>
      <w:bookmarkStart w:id="646" w:name="_Toc202058821"/>
      <w:bookmarkStart w:id="647" w:name="_Toc202842900"/>
      <w:bookmarkStart w:id="648" w:name="_Toc212535054"/>
      <w:bookmarkStart w:id="649" w:name="_Toc212605405"/>
      <w:r>
        <w:rPr>
          <w:rStyle w:val="CharSchNo"/>
        </w:rPr>
        <w:t>Schedule 2</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rPr>
          <w:snapToGrid w:val="0"/>
        </w:rPr>
      </w:pPr>
      <w:r>
        <w:rPr>
          <w:snapToGrid w:val="0"/>
        </w:rPr>
        <w:t>[Regulation 13]</w:t>
      </w:r>
    </w:p>
    <w:p>
      <w:pPr>
        <w:pStyle w:val="yHeading2"/>
        <w:spacing w:after="80"/>
      </w:pPr>
      <w:bookmarkStart w:id="650" w:name="_Toc113176301"/>
      <w:bookmarkStart w:id="651" w:name="_Toc113180390"/>
      <w:bookmarkStart w:id="652" w:name="_Toc114391765"/>
      <w:bookmarkStart w:id="653" w:name="_Toc115171742"/>
      <w:bookmarkStart w:id="654" w:name="_Toc118609144"/>
      <w:bookmarkStart w:id="655" w:name="_Toc119294103"/>
      <w:bookmarkStart w:id="656" w:name="_Toc123633196"/>
      <w:bookmarkStart w:id="657" w:name="_Toc123633283"/>
      <w:bookmarkStart w:id="658" w:name="_Toc127594640"/>
      <w:bookmarkStart w:id="659" w:name="_Toc155066803"/>
      <w:bookmarkStart w:id="660" w:name="_Toc155084701"/>
      <w:bookmarkStart w:id="661" w:name="_Toc166316643"/>
      <w:bookmarkStart w:id="662" w:name="_Toc169665142"/>
      <w:bookmarkStart w:id="663" w:name="_Toc169672020"/>
      <w:bookmarkStart w:id="664" w:name="_Toc171323208"/>
      <w:bookmarkStart w:id="665" w:name="_Toc172713672"/>
      <w:bookmarkStart w:id="666" w:name="_Toc172713965"/>
      <w:bookmarkStart w:id="667" w:name="_Toc173550876"/>
      <w:bookmarkStart w:id="668" w:name="_Toc173560589"/>
      <w:bookmarkStart w:id="669" w:name="_Toc178676596"/>
      <w:bookmarkStart w:id="670" w:name="_Toc178676876"/>
      <w:bookmarkStart w:id="671" w:name="_Toc178677073"/>
      <w:bookmarkStart w:id="672" w:name="_Toc178734887"/>
      <w:bookmarkStart w:id="673" w:name="_Toc178741346"/>
      <w:bookmarkStart w:id="674" w:name="_Toc179100286"/>
      <w:bookmarkStart w:id="675" w:name="_Toc179103252"/>
      <w:bookmarkStart w:id="676" w:name="_Toc179708634"/>
      <w:bookmarkStart w:id="677" w:name="_Toc179708740"/>
      <w:bookmarkStart w:id="678" w:name="_Toc185652749"/>
      <w:bookmarkStart w:id="679" w:name="_Toc185654454"/>
      <w:bookmarkStart w:id="680" w:name="_Toc196630687"/>
      <w:bookmarkStart w:id="681" w:name="_Toc197489587"/>
      <w:bookmarkStart w:id="682" w:name="_Toc197489658"/>
      <w:bookmarkStart w:id="683" w:name="_Toc197493325"/>
      <w:bookmarkStart w:id="684" w:name="_Toc201728699"/>
      <w:bookmarkStart w:id="685" w:name="_Toc201738257"/>
      <w:bookmarkStart w:id="686" w:name="_Toc201738327"/>
      <w:bookmarkStart w:id="687" w:name="_Toc201741265"/>
      <w:bookmarkStart w:id="688" w:name="_Toc201741456"/>
      <w:bookmarkStart w:id="689" w:name="_Toc202058822"/>
      <w:bookmarkStart w:id="690" w:name="_Toc202842901"/>
      <w:bookmarkStart w:id="691" w:name="_Toc212535055"/>
      <w:bookmarkStart w:id="692" w:name="_Toc212605406"/>
      <w:r>
        <w:rPr>
          <w:rStyle w:val="CharSchText"/>
        </w:rPr>
        <w:t>Details of applicant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693" w:name="_Toc212535057"/>
      <w:bookmarkStart w:id="694" w:name="_Toc212605407"/>
      <w:r>
        <w:rPr>
          <w:rStyle w:val="CharSchNo"/>
        </w:rPr>
        <w:t>Schedule 3</w:t>
      </w:r>
      <w:r>
        <w:t> — </w:t>
      </w:r>
      <w:r>
        <w:rPr>
          <w:rStyle w:val="CharSchText"/>
        </w:rPr>
        <w:t>Fees</w:t>
      </w:r>
      <w:bookmarkEnd w:id="693"/>
      <w:bookmarkEnd w:id="694"/>
    </w:p>
    <w:p>
      <w:pPr>
        <w:pStyle w:val="yShoulderClause"/>
      </w:pPr>
      <w:r>
        <w:t>[r. 26(1) and (2A)]</w:t>
      </w:r>
    </w:p>
    <w:p>
      <w:pPr>
        <w:pStyle w:val="yFootnoteheading"/>
        <w:spacing w:after="120"/>
      </w:pPr>
      <w:r>
        <w:tab/>
        <w:t>[Heading inserted in Gazette 24 Oct 2008 p. 4684.]</w:t>
      </w:r>
    </w:p>
    <w:tbl>
      <w:tblPr>
        <w:tblW w:w="0" w:type="auto"/>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trPr>
        <w:tc>
          <w:tcPr>
            <w:tcW w:w="4812" w:type="dxa"/>
            <w:tcBorders>
              <w:top w:val="single" w:sz="4" w:space="0" w:color="auto"/>
              <w:bottom w:val="single" w:sz="4" w:space="0" w:color="auto"/>
            </w:tcBorders>
          </w:tcPr>
          <w:p>
            <w:pPr>
              <w:pStyle w:val="yTable"/>
              <w:tabs>
                <w:tab w:val="left" w:pos="635"/>
              </w:tabs>
              <w:rPr>
                <w:b/>
                <w:bCs/>
                <w:sz w:val="20"/>
              </w:rPr>
            </w:pPr>
            <w:r>
              <w:rPr>
                <w:b/>
                <w:bCs/>
                <w:sz w:val="20"/>
              </w:rPr>
              <w:t>Item</w:t>
            </w:r>
            <w:r>
              <w:rPr>
                <w:b/>
                <w:bCs/>
                <w:sz w:val="20"/>
              </w:rPr>
              <w:tab/>
              <w:t>Description</w:t>
            </w:r>
          </w:p>
        </w:tc>
        <w:tc>
          <w:tcPr>
            <w:tcW w:w="1103" w:type="dxa"/>
            <w:tcBorders>
              <w:top w:val="single" w:sz="4" w:space="0" w:color="auto"/>
              <w:bottom w:val="single" w:sz="4" w:space="0" w:color="auto"/>
            </w:tcBorders>
          </w:tcPr>
          <w:p>
            <w:pPr>
              <w:pStyle w:val="yTable"/>
              <w:spacing w:before="0"/>
              <w:jc w:val="center"/>
              <w:rPr>
                <w:b/>
                <w:bCs/>
                <w:sz w:val="20"/>
              </w:rPr>
            </w:pPr>
            <w:r>
              <w:rPr>
                <w:b/>
                <w:bCs/>
                <w:sz w:val="20"/>
              </w:rPr>
              <w:t>Fee</w:t>
            </w:r>
          </w:p>
          <w:p>
            <w:pPr>
              <w:pStyle w:val="yTable"/>
              <w:spacing w:before="0"/>
              <w:jc w:val="center"/>
              <w:rPr>
                <w:b/>
                <w:bCs/>
                <w:sz w:val="20"/>
              </w:rPr>
            </w:pPr>
            <w:r>
              <w:rPr>
                <w:b/>
                <w:bCs/>
                <w:sz w:val="20"/>
              </w:rPr>
              <w:t>$</w:t>
            </w:r>
          </w:p>
        </w:tc>
        <w:tc>
          <w:tcPr>
            <w:tcW w:w="1031" w:type="dxa"/>
            <w:tcBorders>
              <w:top w:val="single" w:sz="4" w:space="0" w:color="auto"/>
              <w:bottom w:val="single" w:sz="4" w:space="0" w:color="auto"/>
            </w:tcBorders>
          </w:tcPr>
          <w:p>
            <w:pPr>
              <w:pStyle w:val="yTable"/>
              <w:spacing w:before="0"/>
              <w:jc w:val="center"/>
              <w:rPr>
                <w:b/>
                <w:bCs/>
                <w:sz w:val="20"/>
              </w:rPr>
            </w:pPr>
            <w:r>
              <w:rPr>
                <w:b/>
                <w:bCs/>
                <w:sz w:val="20"/>
              </w:rPr>
              <w:t>Electronic lodgment fee</w:t>
            </w:r>
          </w:p>
          <w:p>
            <w:pPr>
              <w:pStyle w:val="yTable"/>
              <w:spacing w:before="0"/>
              <w:jc w:val="center"/>
              <w:rPr>
                <w:sz w:val="20"/>
              </w:rPr>
            </w:pPr>
            <w:r>
              <w:rPr>
                <w:b/>
                <w:bCs/>
                <w:sz w:val="20"/>
              </w:rPr>
              <w:t>$</w:t>
            </w:r>
          </w:p>
        </w:tc>
      </w:tr>
      <w:tr>
        <w:trPr>
          <w:cantSplit/>
        </w:trPr>
        <w:tc>
          <w:tcPr>
            <w:tcW w:w="4812" w:type="dxa"/>
            <w:tcBorders>
              <w:top w:val="single" w:sz="4" w:space="0" w:color="auto"/>
            </w:tcBorders>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103" w:type="dxa"/>
            <w:tcBorders>
              <w:top w:val="single" w:sz="4" w:space="0" w:color="auto"/>
            </w:tcBorders>
          </w:tcPr>
          <w:p>
            <w:pPr>
              <w:pStyle w:val="yTable"/>
              <w:tabs>
                <w:tab w:val="right" w:pos="777"/>
              </w:tabs>
              <w:spacing w:before="0"/>
              <w:rPr>
                <w:sz w:val="20"/>
              </w:rPr>
            </w:pPr>
            <w:r>
              <w:rPr>
                <w:sz w:val="20"/>
              </w:rPr>
              <w:br/>
            </w:r>
            <w:r>
              <w:rPr>
                <w:sz w:val="20"/>
              </w:rPr>
              <w:br/>
            </w:r>
            <w:r>
              <w:rPr>
                <w:sz w:val="20"/>
              </w:rPr>
              <w:tab/>
              <w:t>2 125.00</w:t>
            </w:r>
          </w:p>
        </w:tc>
        <w:tc>
          <w:tcPr>
            <w:tcW w:w="1031" w:type="dxa"/>
            <w:tcBorders>
              <w:top w:val="single" w:sz="4" w:space="0" w:color="auto"/>
            </w:tcBorders>
          </w:tcPr>
          <w:p>
            <w:pPr>
              <w:pStyle w:val="yTable"/>
              <w:tabs>
                <w:tab w:val="right" w:pos="777"/>
              </w:tabs>
              <w:spacing w:before="0"/>
              <w:jc w:val="right"/>
              <w:rPr>
                <w:sz w:val="20"/>
              </w:rPr>
            </w:pPr>
            <w:r>
              <w:rPr>
                <w:sz w:val="20"/>
              </w:rPr>
              <w:br/>
            </w:r>
            <w:r>
              <w:rPr>
                <w:sz w:val="20"/>
              </w:rPr>
              <w:br/>
              <w:t>2 000.00</w:t>
            </w:r>
          </w:p>
        </w:tc>
      </w:tr>
      <w:tr>
        <w:trPr>
          <w:cantSplit/>
        </w:trPr>
        <w:tc>
          <w:tcPr>
            <w:tcW w:w="4812" w:type="dxa"/>
          </w:tcPr>
          <w:p>
            <w:pPr>
              <w:pStyle w:val="yTable"/>
              <w:tabs>
                <w:tab w:val="left" w:pos="553"/>
              </w:tabs>
              <w:spacing w:before="0"/>
              <w:ind w:left="567" w:hanging="567"/>
              <w:rPr>
                <w:sz w:val="20"/>
              </w:rPr>
            </w:pPr>
            <w:r>
              <w:rPr>
                <w:sz w:val="20"/>
              </w:rPr>
              <w:t>2.</w:t>
            </w:r>
            <w:r>
              <w:rPr>
                <w:sz w:val="20"/>
              </w:rPr>
              <w:tab/>
              <w:t>Application for the grant or removal of a club licence, restaurant licence, producer’s licence or wholesaler’s licence ................................................</w:t>
            </w:r>
          </w:p>
        </w:tc>
        <w:tc>
          <w:tcPr>
            <w:tcW w:w="1103" w:type="dxa"/>
          </w:tcPr>
          <w:p>
            <w:pPr>
              <w:pStyle w:val="yTable"/>
              <w:tabs>
                <w:tab w:val="right" w:pos="777"/>
              </w:tabs>
              <w:spacing w:before="0"/>
              <w:rPr>
                <w:sz w:val="20"/>
              </w:rPr>
            </w:pPr>
            <w:r>
              <w:rPr>
                <w:sz w:val="20"/>
              </w:rPr>
              <w:br/>
            </w:r>
            <w:r>
              <w:rPr>
                <w:sz w:val="20"/>
              </w:rPr>
              <w:br/>
            </w:r>
            <w:r>
              <w:rPr>
                <w:sz w:val="20"/>
              </w:rPr>
              <w:tab/>
              <w:t>485.00</w:t>
            </w:r>
          </w:p>
        </w:tc>
        <w:tc>
          <w:tcPr>
            <w:tcW w:w="1031" w:type="dxa"/>
          </w:tcPr>
          <w:p>
            <w:pPr>
              <w:pStyle w:val="yTable"/>
              <w:tabs>
                <w:tab w:val="right" w:pos="777"/>
              </w:tabs>
              <w:spacing w:before="0"/>
              <w:jc w:val="right"/>
              <w:rPr>
                <w:sz w:val="20"/>
              </w:rPr>
            </w:pPr>
            <w:r>
              <w:rPr>
                <w:sz w:val="20"/>
              </w:rPr>
              <w:br/>
            </w:r>
            <w:r>
              <w:rPr>
                <w:sz w:val="20"/>
              </w:rPr>
              <w:br/>
              <w:t>460.00</w:t>
            </w:r>
          </w:p>
        </w:tc>
      </w:tr>
      <w:tr>
        <w:trPr>
          <w:cantSplit/>
        </w:trPr>
        <w:tc>
          <w:tcPr>
            <w:tcW w:w="4812"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103" w:type="dxa"/>
          </w:tcPr>
          <w:p>
            <w:pPr>
              <w:pStyle w:val="yTable"/>
              <w:tabs>
                <w:tab w:val="right" w:pos="777"/>
              </w:tabs>
              <w:spacing w:before="0"/>
              <w:rPr>
                <w:sz w:val="20"/>
              </w:rPr>
            </w:pPr>
            <w:r>
              <w:rPr>
                <w:sz w:val="20"/>
              </w:rPr>
              <w:tab/>
              <w:t>485.00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4.</w:t>
            </w:r>
            <w:r>
              <w:rPr>
                <w:sz w:val="20"/>
              </w:rPr>
              <w:tab/>
              <w:t>Licence fee for all licences other than a wholesaler’s licence ................................................</w:t>
            </w:r>
          </w:p>
        </w:tc>
        <w:tc>
          <w:tcPr>
            <w:tcW w:w="1103" w:type="dxa"/>
          </w:tcPr>
          <w:p>
            <w:pPr>
              <w:pStyle w:val="yTable"/>
              <w:tabs>
                <w:tab w:val="right" w:pos="777"/>
              </w:tabs>
              <w:spacing w:before="0"/>
              <w:rPr>
                <w:sz w:val="20"/>
              </w:rPr>
            </w:pPr>
            <w:r>
              <w:rPr>
                <w:sz w:val="20"/>
              </w:rPr>
              <w:br/>
            </w:r>
            <w:r>
              <w:rPr>
                <w:sz w:val="20"/>
              </w:rPr>
              <w:tab/>
              <w:t>150.00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103" w:type="dxa"/>
          </w:tcPr>
          <w:p>
            <w:pPr>
              <w:pStyle w:val="yTable"/>
              <w:tabs>
                <w:tab w:val="right" w:pos="777"/>
              </w:tabs>
              <w:spacing w:before="0"/>
              <w:rPr>
                <w:sz w:val="20"/>
              </w:rPr>
            </w:pPr>
            <w:r>
              <w:rPr>
                <w:sz w:val="20"/>
              </w:rPr>
              <w:tab/>
              <w:t>320.00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 xml:space="preserve">issued for a purpose referred to in </w:t>
            </w:r>
            <w:r>
              <w:rPr>
                <w:sz w:val="20"/>
              </w:rPr>
              <w:tab/>
              <w:t>section 60(4)(ca) ..........................................</w:t>
            </w:r>
          </w:p>
          <w:p>
            <w:pPr>
              <w:pStyle w:val="yTable"/>
              <w:tabs>
                <w:tab w:val="left" w:pos="553"/>
              </w:tabs>
              <w:spacing w:before="0"/>
              <w:ind w:left="567" w:hanging="567"/>
              <w:rPr>
                <w:sz w:val="20"/>
              </w:rPr>
            </w:pPr>
            <w:r>
              <w:rPr>
                <w:sz w:val="20"/>
              </w:rPr>
              <w:tab/>
              <w:t>(b)</w:t>
            </w:r>
            <w:r>
              <w:rPr>
                <w:sz w:val="20"/>
              </w:rPr>
              <w:tab/>
              <w:t xml:space="preserve">issued for a purpose referred to in </w:t>
            </w:r>
            <w:r>
              <w:rPr>
                <w:sz w:val="20"/>
              </w:rPr>
              <w:tab/>
              <w:t>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br/>
            </w:r>
            <w:r>
              <w:rPr>
                <w:sz w:val="20"/>
              </w:rPr>
              <w:tab/>
              <w:t>360.00</w:t>
            </w:r>
          </w:p>
          <w:p>
            <w:pPr>
              <w:pStyle w:val="yTable"/>
              <w:tabs>
                <w:tab w:val="right" w:pos="777"/>
              </w:tabs>
              <w:spacing w:before="0"/>
              <w:rPr>
                <w:sz w:val="20"/>
              </w:rPr>
            </w:pPr>
            <w:r>
              <w:rPr>
                <w:sz w:val="20"/>
              </w:rPr>
              <w:br/>
            </w:r>
            <w:r>
              <w:rPr>
                <w:sz w:val="20"/>
              </w:rPr>
              <w:tab/>
              <w:t>240.00</w:t>
            </w:r>
          </w:p>
          <w:p>
            <w:pPr>
              <w:pStyle w:val="yTable"/>
              <w:tabs>
                <w:tab w:val="right" w:pos="777"/>
              </w:tabs>
              <w:spacing w:before="0"/>
              <w:rPr>
                <w:sz w:val="20"/>
              </w:rPr>
            </w:pPr>
            <w:r>
              <w:rPr>
                <w:sz w:val="20"/>
              </w:rPr>
              <w:tab/>
              <w:t>655.00</w:t>
            </w:r>
          </w:p>
        </w:tc>
        <w:tc>
          <w:tcPr>
            <w:tcW w:w="1031" w:type="dxa"/>
          </w:tcPr>
          <w:p>
            <w:pPr>
              <w:pStyle w:val="yTable"/>
              <w:tabs>
                <w:tab w:val="right" w:pos="777"/>
              </w:tabs>
              <w:spacing w:before="0"/>
              <w:rPr>
                <w:sz w:val="20"/>
              </w:rPr>
            </w:pPr>
            <w:r>
              <w:rPr>
                <w:sz w:val="20"/>
              </w:rPr>
              <w:br/>
            </w:r>
          </w:p>
          <w:p>
            <w:pPr>
              <w:pStyle w:val="yTable"/>
              <w:tabs>
                <w:tab w:val="right" w:pos="777"/>
              </w:tabs>
              <w:spacing w:before="0"/>
              <w:jc w:val="right"/>
              <w:rPr>
                <w:sz w:val="20"/>
              </w:rPr>
            </w:pPr>
            <w:r>
              <w:rPr>
                <w:sz w:val="20"/>
              </w:rPr>
              <w:br/>
              <w:t>340.00</w:t>
            </w:r>
          </w:p>
          <w:p>
            <w:pPr>
              <w:pStyle w:val="yTable"/>
              <w:tabs>
                <w:tab w:val="right" w:pos="777"/>
              </w:tabs>
              <w:spacing w:before="0"/>
              <w:jc w:val="right"/>
              <w:rPr>
                <w:sz w:val="20"/>
              </w:rPr>
            </w:pPr>
            <w:r>
              <w:rPr>
                <w:sz w:val="20"/>
              </w:rPr>
              <w:br/>
              <w:t>230.00</w:t>
            </w:r>
          </w:p>
          <w:p>
            <w:pPr>
              <w:pStyle w:val="yTable"/>
              <w:tabs>
                <w:tab w:val="right" w:pos="777"/>
              </w:tabs>
              <w:spacing w:before="0"/>
              <w:jc w:val="right"/>
              <w:rPr>
                <w:sz w:val="20"/>
              </w:rPr>
            </w:pPr>
            <w:r>
              <w:rPr>
                <w:sz w:val="20"/>
              </w:rPr>
              <w:t>620.00</w:t>
            </w:r>
          </w:p>
        </w:tc>
      </w:tr>
      <w:tr>
        <w:trPr>
          <w:cantSplit/>
        </w:trPr>
        <w:tc>
          <w:tcPr>
            <w:tcW w:w="4812"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103" w:type="dxa"/>
          </w:tcPr>
          <w:p>
            <w:pPr>
              <w:pStyle w:val="yTable"/>
              <w:tabs>
                <w:tab w:val="right" w:pos="777"/>
              </w:tabs>
              <w:spacing w:before="0"/>
              <w:rPr>
                <w:sz w:val="20"/>
              </w:rPr>
            </w:pPr>
            <w:r>
              <w:rPr>
                <w:sz w:val="20"/>
              </w:rPr>
              <w:br/>
            </w: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103" w:type="dxa"/>
          </w:tcPr>
          <w:p>
            <w:pPr>
              <w:pStyle w:val="yTable"/>
              <w:tabs>
                <w:tab w:val="right" w:pos="777"/>
              </w:tabs>
              <w:spacing w:before="0"/>
              <w:rPr>
                <w:sz w:val="20"/>
              </w:rPr>
            </w:pPr>
            <w:r>
              <w:rPr>
                <w:sz w:val="20"/>
              </w:rPr>
              <w:br/>
            </w: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103" w:type="dxa"/>
          </w:tcPr>
          <w:p>
            <w:pPr>
              <w:pStyle w:val="yTable"/>
              <w:tabs>
                <w:tab w:val="right" w:pos="777"/>
              </w:tabs>
              <w:spacing w:before="0"/>
              <w:rPr>
                <w:sz w:val="20"/>
              </w:rPr>
            </w:pP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103" w:type="dxa"/>
          </w:tcPr>
          <w:p>
            <w:pPr>
              <w:pStyle w:val="yTable"/>
              <w:tabs>
                <w:tab w:val="right" w:pos="777"/>
              </w:tabs>
              <w:spacing w:before="0"/>
              <w:rPr>
                <w:sz w:val="20"/>
              </w:rPr>
            </w:pPr>
            <w:r>
              <w:rPr>
                <w:sz w:val="20"/>
              </w:rPr>
              <w:br/>
            </w:r>
            <w:r>
              <w:rPr>
                <w:sz w:val="20"/>
              </w:rPr>
              <w:tab/>
              <w:t>85.00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103" w:type="dxa"/>
          </w:tcPr>
          <w:p>
            <w:pPr>
              <w:pStyle w:val="yTable"/>
              <w:tabs>
                <w:tab w:val="right" w:pos="777"/>
              </w:tabs>
              <w:spacing w:before="0"/>
              <w:rPr>
                <w:sz w:val="20"/>
              </w:rPr>
            </w:pPr>
            <w:r>
              <w:rPr>
                <w:sz w:val="20"/>
              </w:rPr>
              <w:br/>
            </w:r>
            <w:r>
              <w:rPr>
                <w:sz w:val="20"/>
              </w:rPr>
              <w:tab/>
              <w:t>300.00</w:t>
            </w:r>
          </w:p>
        </w:tc>
        <w:tc>
          <w:tcPr>
            <w:tcW w:w="1031" w:type="dxa"/>
          </w:tcPr>
          <w:p>
            <w:pPr>
              <w:pStyle w:val="yTable"/>
              <w:tabs>
                <w:tab w:val="right" w:pos="777"/>
              </w:tabs>
              <w:spacing w:before="0"/>
              <w:jc w:val="right"/>
              <w:rPr>
                <w:sz w:val="20"/>
              </w:rPr>
            </w:pPr>
            <w:r>
              <w:rPr>
                <w:sz w:val="20"/>
              </w:rPr>
              <w:br/>
              <w:t>285.00</w:t>
            </w:r>
          </w:p>
        </w:tc>
      </w:tr>
      <w:tr>
        <w:trPr>
          <w:cantSplit/>
        </w:trPr>
        <w:tc>
          <w:tcPr>
            <w:tcW w:w="4812"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103" w:type="dxa"/>
          </w:tcPr>
          <w:p>
            <w:pPr>
              <w:pStyle w:val="yTable"/>
              <w:tabs>
                <w:tab w:val="right" w:pos="777"/>
              </w:tabs>
              <w:spacing w:before="0"/>
              <w:rPr>
                <w:sz w:val="20"/>
              </w:rPr>
            </w:pP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14.</w:t>
            </w:r>
            <w:r>
              <w:rPr>
                <w:sz w:val="20"/>
              </w:rPr>
              <w:tab/>
              <w:t>Application for duplicate licence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103" w:type="dxa"/>
          </w:tcPr>
          <w:p>
            <w:pPr>
              <w:pStyle w:val="yTable"/>
              <w:tabs>
                <w:tab w:val="right" w:pos="777"/>
              </w:tabs>
              <w:spacing w:before="0"/>
              <w:rPr>
                <w:sz w:val="20"/>
              </w:rPr>
            </w:pP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103" w:type="dxa"/>
          </w:tcPr>
          <w:p>
            <w:pPr>
              <w:pStyle w:val="yTable"/>
              <w:tabs>
                <w:tab w:val="right" w:pos="777"/>
              </w:tabs>
              <w:spacing w:before="0"/>
              <w:rPr>
                <w:sz w:val="20"/>
              </w:rPr>
            </w:pPr>
            <w:r>
              <w:rPr>
                <w:sz w:val="20"/>
              </w:rPr>
              <w:br/>
            </w:r>
            <w:r>
              <w:rPr>
                <w:sz w:val="20"/>
              </w:rPr>
              <w:br/>
            </w:r>
            <w:r>
              <w:rPr>
                <w:sz w:val="20"/>
              </w:rPr>
              <w:tab/>
              <w:t>75.00</w:t>
            </w:r>
          </w:p>
        </w:tc>
        <w:tc>
          <w:tcPr>
            <w:tcW w:w="1031" w:type="dxa"/>
          </w:tcPr>
          <w:p>
            <w:pPr>
              <w:pStyle w:val="yTable"/>
              <w:tabs>
                <w:tab w:val="right" w:pos="777"/>
              </w:tabs>
              <w:spacing w:before="0"/>
              <w:jc w:val="right"/>
              <w:rPr>
                <w:sz w:val="20"/>
              </w:rPr>
            </w:pPr>
            <w:r>
              <w:rPr>
                <w:sz w:val="20"/>
              </w:rPr>
              <w:br/>
            </w:r>
            <w:r>
              <w:rPr>
                <w:sz w:val="20"/>
              </w:rPr>
              <w:br/>
              <w:t>70.00</w:t>
            </w:r>
          </w:p>
        </w:tc>
      </w:tr>
      <w:tr>
        <w:trPr>
          <w:cantSplit/>
        </w:trPr>
        <w:tc>
          <w:tcPr>
            <w:tcW w:w="4812"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103" w:type="dxa"/>
          </w:tcPr>
          <w:p>
            <w:pPr>
              <w:pStyle w:val="yTable"/>
              <w:tabs>
                <w:tab w:val="right" w:pos="777"/>
              </w:tabs>
              <w:spacing w:before="0"/>
              <w:rPr>
                <w:sz w:val="20"/>
              </w:rPr>
            </w:pPr>
            <w:r>
              <w:rPr>
                <w:sz w:val="20"/>
              </w:rPr>
              <w:br/>
            </w: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103" w:type="dxa"/>
          </w:tcPr>
          <w:p>
            <w:pPr>
              <w:pStyle w:val="yTable"/>
              <w:tabs>
                <w:tab w:val="right" w:pos="777"/>
              </w:tabs>
              <w:spacing w:before="0"/>
              <w:rPr>
                <w:sz w:val="20"/>
              </w:rPr>
            </w:pP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103" w:type="dxa"/>
          </w:tcPr>
          <w:p>
            <w:pPr>
              <w:pStyle w:val="yTable"/>
              <w:tabs>
                <w:tab w:val="right" w:pos="777"/>
              </w:tabs>
              <w:spacing w:before="0"/>
              <w:rPr>
                <w:sz w:val="20"/>
              </w:rPr>
            </w:pPr>
            <w:r>
              <w:rPr>
                <w:sz w:val="20"/>
              </w:rPr>
              <w:br/>
            </w:r>
            <w:r>
              <w:rPr>
                <w:sz w:val="20"/>
              </w:rPr>
              <w:tab/>
              <w:t>50.00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103" w:type="dxa"/>
          </w:tcPr>
          <w:p>
            <w:pPr>
              <w:pStyle w:val="yTable"/>
              <w:tabs>
                <w:tab w:val="right" w:pos="777"/>
              </w:tabs>
              <w:spacing w:before="0"/>
              <w:rPr>
                <w:sz w:val="20"/>
              </w:rPr>
            </w:pPr>
            <w:r>
              <w:rPr>
                <w:sz w:val="20"/>
              </w:rPr>
              <w:tab/>
              <w:t>115.00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103" w:type="dxa"/>
          </w:tcPr>
          <w:p>
            <w:pPr>
              <w:pStyle w:val="yTable"/>
              <w:tabs>
                <w:tab w:val="right" w:pos="777"/>
              </w:tabs>
              <w:spacing w:before="0"/>
              <w:rPr>
                <w:sz w:val="20"/>
              </w:rPr>
            </w:pP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22.</w:t>
            </w:r>
            <w:r>
              <w:rPr>
                <w:sz w:val="20"/>
              </w:rPr>
              <w:tab/>
              <w:t>Supply of approved heading for advertising an application ...............................................................</w:t>
            </w:r>
          </w:p>
        </w:tc>
        <w:tc>
          <w:tcPr>
            <w:tcW w:w="1103" w:type="dxa"/>
          </w:tcPr>
          <w:p>
            <w:pPr>
              <w:pStyle w:val="yTable"/>
              <w:tabs>
                <w:tab w:val="right" w:pos="777"/>
              </w:tabs>
              <w:spacing w:before="0"/>
              <w:rPr>
                <w:sz w:val="20"/>
              </w:rPr>
            </w:pP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23.</w:t>
            </w:r>
            <w:r>
              <w:rPr>
                <w:sz w:val="20"/>
              </w:rPr>
              <w:tab/>
              <w:t>Copy of plan — per sheet ........................................</w:t>
            </w:r>
          </w:p>
        </w:tc>
        <w:tc>
          <w:tcPr>
            <w:tcW w:w="1103" w:type="dxa"/>
          </w:tcPr>
          <w:p>
            <w:pPr>
              <w:pStyle w:val="yTable"/>
              <w:tabs>
                <w:tab w:val="right" w:pos="777"/>
              </w:tabs>
              <w:spacing w:before="0"/>
              <w:rPr>
                <w:sz w:val="20"/>
              </w:rPr>
            </w:pP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25.</w:t>
            </w:r>
            <w:r>
              <w:rPr>
                <w:sz w:val="20"/>
              </w:rPr>
              <w:tab/>
              <w:t>Issue of a summons to a witness .............................</w:t>
            </w:r>
          </w:p>
        </w:tc>
        <w:tc>
          <w:tcPr>
            <w:tcW w:w="1103" w:type="dxa"/>
          </w:tcPr>
          <w:p>
            <w:pPr>
              <w:pStyle w:val="yTable"/>
              <w:tabs>
                <w:tab w:val="right" w:pos="777"/>
              </w:tabs>
              <w:spacing w:before="0"/>
              <w:rPr>
                <w:sz w:val="20"/>
              </w:rPr>
            </w:pPr>
            <w:r>
              <w:rPr>
                <w:sz w:val="20"/>
              </w:rPr>
              <w:tab/>
              <w:t>15.00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103" w:type="dxa"/>
          </w:tcPr>
          <w:p>
            <w:pPr>
              <w:pStyle w:val="yTable"/>
              <w:tabs>
                <w:tab w:val="right" w:pos="777"/>
              </w:tabs>
              <w:spacing w:before="0"/>
              <w:rPr>
                <w:sz w:val="20"/>
              </w:rPr>
            </w:pPr>
            <w:r>
              <w:rPr>
                <w:sz w:val="20"/>
              </w:rPr>
              <w:br/>
            </w: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103" w:type="dxa"/>
          </w:tcPr>
          <w:p>
            <w:pPr>
              <w:pStyle w:val="yTable"/>
              <w:tabs>
                <w:tab w:val="right" w:pos="777"/>
              </w:tabs>
              <w:spacing w:before="0"/>
              <w:rPr>
                <w:sz w:val="20"/>
              </w:rPr>
            </w:pPr>
            <w:r>
              <w:rPr>
                <w:sz w:val="20"/>
              </w:rPr>
              <w:br/>
            </w:r>
            <w:r>
              <w:rPr>
                <w:sz w:val="20"/>
              </w:rPr>
              <w:br/>
            </w:r>
            <w:r>
              <w:rPr>
                <w:sz w:val="20"/>
              </w:rPr>
              <w:br/>
            </w: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103" w:type="dxa"/>
          </w:tcPr>
          <w:p>
            <w:pPr>
              <w:pStyle w:val="yTable"/>
              <w:tabs>
                <w:tab w:val="right" w:pos="777"/>
              </w:tabs>
              <w:spacing w:before="0"/>
              <w:rPr>
                <w:sz w:val="20"/>
              </w:rPr>
            </w:pP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103" w:type="dxa"/>
          </w:tcPr>
          <w:p>
            <w:pPr>
              <w:pStyle w:val="yTable"/>
              <w:tabs>
                <w:tab w:val="right" w:pos="777"/>
              </w:tabs>
              <w:spacing w:before="0"/>
              <w:rPr>
                <w:sz w:val="20"/>
              </w:rPr>
            </w:pPr>
            <w:r>
              <w:rPr>
                <w:sz w:val="20"/>
              </w:rPr>
              <w:br/>
            </w:r>
            <w:r>
              <w:rPr>
                <w:sz w:val="20"/>
              </w:rPr>
              <w:tab/>
              <w:t>4.50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31.</w:t>
            </w:r>
            <w:r>
              <w:rPr>
                <w:sz w:val="20"/>
              </w:rPr>
              <w:tab/>
              <w:t>For a search of postcodes — </w:t>
            </w:r>
          </w:p>
        </w:tc>
        <w:tc>
          <w:tcPr>
            <w:tcW w:w="1103" w:type="dxa"/>
          </w:tcPr>
          <w:p>
            <w:pPr>
              <w:pStyle w:val="yTable"/>
              <w:tabs>
                <w:tab w:val="right" w:pos="777"/>
              </w:tabs>
              <w:spacing w:before="0"/>
              <w:rPr>
                <w:sz w:val="20"/>
              </w:rPr>
            </w:pP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(a)</w:t>
            </w:r>
            <w:r>
              <w:rPr>
                <w:sz w:val="20"/>
              </w:rPr>
              <w:tab/>
              <w:t>1 to 10 postcodes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(b)</w:t>
            </w:r>
            <w:r>
              <w:rPr>
                <w:sz w:val="20"/>
              </w:rPr>
              <w:tab/>
              <w:t>more than 10 postcodes ...............................</w:t>
            </w:r>
          </w:p>
        </w:tc>
        <w:tc>
          <w:tcPr>
            <w:tcW w:w="1103" w:type="dxa"/>
          </w:tcPr>
          <w:p>
            <w:pPr>
              <w:pStyle w:val="yTable"/>
              <w:tabs>
                <w:tab w:val="right" w:pos="777"/>
              </w:tabs>
              <w:spacing w:before="0"/>
              <w:rPr>
                <w:sz w:val="20"/>
              </w:rPr>
            </w:pPr>
            <w:r>
              <w:rPr>
                <w:sz w:val="20"/>
              </w:rPr>
              <w:tab/>
              <w:t>70.00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103" w:type="dxa"/>
          </w:tcPr>
          <w:p>
            <w:pPr>
              <w:pStyle w:val="yTable"/>
              <w:tabs>
                <w:tab w:val="right" w:pos="777"/>
              </w:tabs>
              <w:spacing w:before="0"/>
              <w:rPr>
                <w:sz w:val="20"/>
              </w:rPr>
            </w:pPr>
            <w:r>
              <w:rPr>
                <w:sz w:val="20"/>
              </w:rPr>
              <w:tab/>
              <w:t>45.00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103" w:type="dxa"/>
          </w:tcPr>
          <w:p>
            <w:pPr>
              <w:pStyle w:val="yTable"/>
              <w:tabs>
                <w:tab w:val="right" w:pos="777"/>
              </w:tabs>
              <w:spacing w:before="0"/>
              <w:rPr>
                <w:sz w:val="20"/>
              </w:rPr>
            </w:pPr>
            <w:r>
              <w:rPr>
                <w:sz w:val="20"/>
              </w:rPr>
              <w:br/>
            </w:r>
            <w:r>
              <w:rPr>
                <w:sz w:val="20"/>
              </w:rPr>
              <w:tab/>
              <w:t>230.00</w:t>
            </w:r>
          </w:p>
        </w:tc>
        <w:tc>
          <w:tcPr>
            <w:tcW w:w="1031" w:type="dxa"/>
          </w:tcPr>
          <w:p>
            <w:pPr>
              <w:pStyle w:val="yTable"/>
              <w:tabs>
                <w:tab w:val="right" w:pos="777"/>
              </w:tabs>
              <w:spacing w:before="0"/>
              <w:jc w:val="right"/>
              <w:rPr>
                <w:sz w:val="20"/>
              </w:rPr>
            </w:pPr>
            <w:r>
              <w:rPr>
                <w:sz w:val="20"/>
              </w:rPr>
              <w:br/>
              <w:t>220.00</w:t>
            </w:r>
          </w:p>
        </w:tc>
      </w:tr>
      <w:tr>
        <w:trPr>
          <w:cantSplit/>
        </w:trPr>
        <w:tc>
          <w:tcPr>
            <w:tcW w:w="4812" w:type="dxa"/>
            <w:tcBorders>
              <w:bottom w:val="single" w:sz="4" w:space="0" w:color="auto"/>
            </w:tcBorders>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103" w:type="dxa"/>
            <w:tcBorders>
              <w:bottom w:val="single" w:sz="4" w:space="0" w:color="auto"/>
            </w:tcBorders>
          </w:tcPr>
          <w:p>
            <w:pPr>
              <w:pStyle w:val="yTable"/>
              <w:tabs>
                <w:tab w:val="right" w:pos="777"/>
              </w:tabs>
              <w:spacing w:before="0"/>
              <w:rPr>
                <w:sz w:val="20"/>
              </w:rPr>
            </w:pPr>
            <w:r>
              <w:rPr>
                <w:sz w:val="20"/>
              </w:rPr>
              <w:br/>
            </w:r>
            <w:r>
              <w:rPr>
                <w:sz w:val="20"/>
              </w:rPr>
              <w:tab/>
              <w:t>55.00</w:t>
            </w:r>
          </w:p>
        </w:tc>
        <w:tc>
          <w:tcPr>
            <w:tcW w:w="1031" w:type="dxa"/>
            <w:tcBorders>
              <w:bottom w:val="single" w:sz="4" w:space="0" w:color="auto"/>
            </w:tcBorders>
          </w:tcPr>
          <w:p>
            <w:pPr>
              <w:pStyle w:val="yTable"/>
              <w:tabs>
                <w:tab w:val="right" w:pos="777"/>
              </w:tabs>
              <w:spacing w:before="0"/>
              <w:rPr>
                <w:sz w:val="20"/>
              </w:rPr>
            </w:pPr>
          </w:p>
        </w:tc>
      </w:tr>
    </w:tbl>
    <w:p>
      <w:pPr>
        <w:pStyle w:val="yFootnotesection"/>
      </w:pPr>
      <w:r>
        <w:tab/>
        <w:t>[Schedule 3 inserted in Gazette 24 Oct 2008 p. 4684-5.]</w:t>
      </w:r>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553"/>
          <w:tab w:val="right" w:pos="777"/>
        </w:tabs>
        <w:ind w:left="567" w:hanging="567"/>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695" w:name="_Toc66263862"/>
      <w:bookmarkStart w:id="696" w:name="_Toc72140219"/>
      <w:bookmarkStart w:id="697" w:name="_Toc79826637"/>
      <w:bookmarkStart w:id="698" w:name="_Toc89577182"/>
      <w:bookmarkStart w:id="699" w:name="_Toc89580193"/>
      <w:bookmarkStart w:id="700" w:name="_Toc92425375"/>
      <w:bookmarkStart w:id="701" w:name="_Toc93288107"/>
      <w:bookmarkStart w:id="702" w:name="_Toc112152488"/>
      <w:bookmarkStart w:id="703" w:name="_Toc113173950"/>
      <w:bookmarkStart w:id="704" w:name="_Toc113174007"/>
      <w:bookmarkStart w:id="705" w:name="_Toc113176304"/>
      <w:bookmarkStart w:id="706" w:name="_Toc113180393"/>
      <w:bookmarkStart w:id="707" w:name="_Toc114391768"/>
      <w:bookmarkStart w:id="708" w:name="_Toc115171745"/>
      <w:bookmarkStart w:id="709" w:name="_Toc118609147"/>
      <w:bookmarkStart w:id="710" w:name="_Toc119294106"/>
      <w:bookmarkStart w:id="711" w:name="_Toc123633199"/>
      <w:bookmarkStart w:id="712" w:name="_Toc123633286"/>
      <w:bookmarkStart w:id="713" w:name="_Toc127594642"/>
      <w:bookmarkStart w:id="714" w:name="_Toc155066805"/>
      <w:bookmarkStart w:id="715" w:name="_Toc155084703"/>
      <w:bookmarkStart w:id="716" w:name="_Toc166316645"/>
      <w:bookmarkStart w:id="717" w:name="_Toc169665144"/>
      <w:bookmarkStart w:id="718" w:name="_Toc169672022"/>
      <w:bookmarkStart w:id="719" w:name="_Toc171323210"/>
      <w:bookmarkStart w:id="720" w:name="_Toc172713674"/>
      <w:bookmarkStart w:id="721" w:name="_Toc172713967"/>
      <w:bookmarkStart w:id="722" w:name="_Toc173550878"/>
      <w:bookmarkStart w:id="723" w:name="_Toc173560591"/>
      <w:bookmarkStart w:id="724" w:name="_Toc178676598"/>
      <w:bookmarkStart w:id="725" w:name="_Toc178676878"/>
      <w:bookmarkStart w:id="726" w:name="_Toc178677075"/>
      <w:bookmarkStart w:id="727" w:name="_Toc178734889"/>
      <w:bookmarkStart w:id="728" w:name="_Toc178741348"/>
      <w:bookmarkStart w:id="729" w:name="_Toc179100288"/>
      <w:bookmarkStart w:id="730" w:name="_Toc179103254"/>
      <w:bookmarkStart w:id="731" w:name="_Toc179708636"/>
      <w:bookmarkStart w:id="732" w:name="_Toc179708742"/>
      <w:bookmarkStart w:id="733" w:name="_Toc185652752"/>
      <w:bookmarkStart w:id="734" w:name="_Toc185654456"/>
      <w:bookmarkStart w:id="735" w:name="_Toc196630689"/>
      <w:bookmarkStart w:id="736" w:name="_Toc197489589"/>
      <w:bookmarkStart w:id="737" w:name="_Toc197489660"/>
      <w:bookmarkStart w:id="738" w:name="_Toc197493327"/>
      <w:bookmarkStart w:id="739" w:name="_Toc201728701"/>
      <w:bookmarkStart w:id="740" w:name="_Toc201738259"/>
      <w:bookmarkStart w:id="741" w:name="_Toc201738329"/>
      <w:bookmarkStart w:id="742" w:name="_Toc201741267"/>
      <w:bookmarkStart w:id="743" w:name="_Toc201741458"/>
      <w:bookmarkStart w:id="744" w:name="_Toc202058824"/>
      <w:bookmarkStart w:id="745" w:name="_Toc202842903"/>
      <w:bookmarkStart w:id="746" w:name="_Toc212535058"/>
      <w:bookmarkStart w:id="747" w:name="_Toc212605408"/>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8" w:name="_Toc212605409"/>
      <w:r>
        <w:rPr>
          <w:snapToGrid w:val="0"/>
        </w:rPr>
        <w:t>Compilation table</w:t>
      </w:r>
      <w:bookmarkEnd w:id="7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Borders>
              <w:bottom w:val="single" w:sz="4" w:space="0" w:color="auto"/>
            </w:tcBorders>
          </w:tcPr>
          <w:p>
            <w:pPr>
              <w:pStyle w:val="nTable"/>
              <w:spacing w:after="40"/>
              <w:rPr>
                <w:i/>
                <w:sz w:val="19"/>
              </w:rPr>
            </w:pPr>
            <w:r>
              <w:rPr>
                <w:sz w:val="24"/>
              </w:rPr>
              <w:br w:type="page"/>
            </w:r>
            <w:r>
              <w:rPr>
                <w:i/>
                <w:sz w:val="19"/>
              </w:rPr>
              <w:t>Liquor Control Amendment Regulations (No. 3) 2008</w:t>
            </w:r>
          </w:p>
        </w:tc>
        <w:tc>
          <w:tcPr>
            <w:tcW w:w="1276" w:type="dxa"/>
            <w:tcBorders>
              <w:bottom w:val="single" w:sz="4" w:space="0" w:color="auto"/>
            </w:tcBorders>
          </w:tcPr>
          <w:p>
            <w:pPr>
              <w:pStyle w:val="nTable"/>
              <w:spacing w:after="40"/>
              <w:rPr>
                <w:sz w:val="19"/>
              </w:rPr>
            </w:pPr>
            <w:r>
              <w:rPr>
                <w:sz w:val="19"/>
              </w:rPr>
              <w:t>24 Oct 2008 p. 4682-5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bl>
    <w:p>
      <w:pPr>
        <w:pStyle w:val="nSubsection"/>
      </w:pPr>
      <w:bookmarkStart w:id="749" w:name="UpToHere"/>
      <w:bookmarkEnd w:id="749"/>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pPr>
      <w:bookmarkStart w:id="750" w:name="_Toc202058826"/>
      <w:bookmarkStart w:id="751" w:name="_Toc202842905"/>
      <w:bookmarkStart w:id="752" w:name="_Toc212535060"/>
      <w:bookmarkStart w:id="753" w:name="_Toc212605410"/>
      <w:r>
        <w:t>Defined Terms</w:t>
      </w:r>
      <w:bookmarkEnd w:id="750"/>
      <w:bookmarkEnd w:id="751"/>
      <w:bookmarkEnd w:id="752"/>
      <w:bookmarkEnd w:id="7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4" w:name="DefinedTerms"/>
      <w:bookmarkEnd w:id="754"/>
      <w:r>
        <w:t>accredited</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anticipated number of persons attending</w:t>
      </w:r>
      <w:r>
        <w:tab/>
        <w:t>3A(1), 14AC(3)</w:t>
      </w:r>
    </w:p>
    <w:p>
      <w:pPr>
        <w:pStyle w:val="DefinedTerms"/>
      </w:pPr>
      <w:r>
        <w:t>approved operator</w:t>
      </w:r>
      <w:r>
        <w:tab/>
        <w:t>8(2)</w:t>
      </w:r>
    </w:p>
    <w:p>
      <w:pPr>
        <w:pStyle w:val="DefinedTerms"/>
      </w:pPr>
      <w:r>
        <w:t>approved person</w:t>
      </w:r>
      <w:r>
        <w:tab/>
        <w:t>18B(5)</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liquor</w:t>
      </w:r>
      <w:r>
        <w:tab/>
        <w:t>4AA</w:t>
      </w:r>
    </w:p>
    <w:p>
      <w:pPr>
        <w:pStyle w:val="DefinedTerms"/>
      </w:pPr>
      <w:r>
        <w:t>low alcohol liquor</w:t>
      </w:r>
      <w:r>
        <w:tab/>
        <w:t>4</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skills training programme</w:t>
      </w:r>
      <w:r>
        <w:tab/>
        <w:t>18F(1)</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Pr>
        <w:pStyle w:val="DefinedTerms"/>
      </w:pPr>
    </w:p>
    <w:p>
      <w:pPr>
        <w:tabs>
          <w:tab w:val="left" w:pos="744"/>
        </w:tabs>
        <w:ind w:left="744"/>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
    <w:p/>
    <w:p/>
    <w:p/>
    <w:p/>
    <w:p/>
    <w:p/>
    <w:p/>
    <w:p/>
    <w:p/>
    <w:p/>
    <w:p/>
    <w:p/>
    <w:p/>
    <w:p/>
    <w:p/>
    <w:p/>
    <w:p/>
    <w:p/>
    <w:p/>
    <w:p/>
    <w:p/>
    <w:p/>
    <w:p/>
    <w:p/>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651"/>
    <w:docVar w:name="WAFER_20151207120651" w:val="RemoveTrackChanges"/>
    <w:docVar w:name="WAFER_20151207120651_GUID" w:val="8385f159-4c0a-4ace-b0ac-d485601ad8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17733</Words>
  <Characters>88489</Characters>
  <Application>Microsoft Office Word</Application>
  <DocSecurity>0</DocSecurity>
  <Lines>3051</Lines>
  <Paragraphs>1770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104452</CharactersWithSpaces>
  <SharedDoc>false</SharedDoc>
  <HLinks>
    <vt:vector size="12" baseType="variant">
      <vt:variant>
        <vt:i4>131085</vt:i4>
      </vt:variant>
      <vt:variant>
        <vt:i4>98220</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1989 - 07-b0-02</dc:title>
  <dc:subject/>
  <dc:creator/>
  <cp:keywords/>
  <dc:description/>
  <cp:lastModifiedBy>svcMRProcess</cp:lastModifiedBy>
  <cp:revision>4</cp:revision>
  <cp:lastPrinted>2008-07-04T04:14:00Z</cp:lastPrinted>
  <dcterms:created xsi:type="dcterms:W3CDTF">2020-02-26T12:54:00Z</dcterms:created>
  <dcterms:modified xsi:type="dcterms:W3CDTF">2020-02-26T12:55:00Z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AsAtDate">
    <vt:lpwstr>25 Oct 2008</vt:lpwstr>
  </property>
  <property fmtid="{D5CDD505-2E9C-101B-9397-08002B2CF9AE}" pid="8" name="Suffix">
    <vt:lpwstr>07-b0-02</vt:lpwstr>
  </property>
</Properties>
</file>