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Land Tax Act 1976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5(c) (No. 45 of 2002) as at 1 Jul 2003 (see s. 2(1) and (2)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_Toc425838772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_Toc425838773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Incorporation of Act</w:t>
      </w:r>
      <w:r>
        <w:tab/>
      </w:r>
      <w:r>
        <w:fldChar w:fldCharType="begin"/>
      </w:r>
      <w:r>
        <w:instrText xml:space="preserve"> PAGEREF _Toc425838774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Land tax rate from 1 July 1976</w:t>
      </w:r>
      <w:r>
        <w:tab/>
      </w:r>
      <w:r>
        <w:fldChar w:fldCharType="begin"/>
      </w:r>
      <w:r>
        <w:instrText xml:space="preserve"> PAGEREF _Toc425838775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Land tax rate from 1 July 1987</w:t>
      </w:r>
      <w:r>
        <w:tab/>
      </w:r>
      <w:r>
        <w:fldChar w:fldCharType="begin"/>
      </w:r>
      <w:r>
        <w:instrText xml:space="preserve"> PAGEREF _Toc425838776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 tax rate from 1 July 1993</w:t>
      </w:r>
      <w:r>
        <w:tab/>
      </w:r>
      <w:r>
        <w:fldChar w:fldCharType="begin"/>
      </w:r>
      <w:r>
        <w:instrText xml:space="preserve"> PAGEREF _Toc425838777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 tax rate from 1 July 1995</w:t>
      </w:r>
      <w:r>
        <w:tab/>
      </w:r>
      <w:r>
        <w:fldChar w:fldCharType="begin"/>
      </w:r>
      <w:r>
        <w:instrText xml:space="preserve"> PAGEREF _Toc425838778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Land tax rate from 1 July 1996</w:t>
      </w:r>
      <w:r>
        <w:tab/>
      </w:r>
      <w:r>
        <w:fldChar w:fldCharType="begin"/>
      </w:r>
      <w:r>
        <w:instrText xml:space="preserve"> PAGEREF _Toc425838779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Land tax rate from 1 July 1997</w:t>
      </w:r>
      <w:r>
        <w:tab/>
      </w:r>
      <w:r>
        <w:fldChar w:fldCharType="begin"/>
      </w:r>
      <w:r>
        <w:instrText xml:space="preserve"> PAGEREF _Toc425838780 \h </w:instrText>
      </w:r>
      <w:r>
        <w:fldChar w:fldCharType="separate"/>
      </w:r>
      <w:r>
        <w:t>2</w:t>
      </w:r>
      <w:r>
        <w:fldChar w:fldCharType="end"/>
      </w:r>
    </w:p>
    <w:p>
      <w:pPr>
        <w:pStyle w:val="TOC8"/>
        <w:rPr>
          <w:rFonts w:asciiTheme="minorHAnsi" w:eastAsiaTheme="minorEastAsia" w:hAnsiTheme="minorHAnsi" w:cstheme="minorBidi"/>
          <w:szCs w:val="22"/>
        </w:rPr>
      </w:pPr>
      <w:r>
        <w:t>11.</w:t>
      </w:r>
      <w:r>
        <w:tab/>
        <w:t>Land tax rate from 1 July 1998</w:t>
      </w:r>
      <w:r>
        <w:tab/>
      </w:r>
      <w:r>
        <w:fldChar w:fldCharType="begin"/>
      </w:r>
      <w:r>
        <w:instrText xml:space="preserve"> PAGEREF _Toc425838781 \h </w:instrText>
      </w:r>
      <w:r>
        <w:fldChar w:fldCharType="separate"/>
      </w:r>
      <w:r>
        <w:t>3</w:t>
      </w:r>
      <w:r>
        <w:fldChar w:fldCharType="end"/>
      </w:r>
    </w:p>
    <w:p>
      <w:pPr>
        <w:pStyle w:val="TOC8"/>
        <w:rPr>
          <w:rFonts w:asciiTheme="minorHAnsi" w:eastAsiaTheme="minorEastAsia" w:hAnsiTheme="minorHAnsi" w:cstheme="minorBidi"/>
          <w:szCs w:val="22"/>
        </w:rPr>
      </w:pPr>
      <w:r>
        <w:t>12.</w:t>
      </w:r>
      <w:r>
        <w:tab/>
        <w:t>Land tax rate from 1 July 1999</w:t>
      </w:r>
      <w:r>
        <w:tab/>
      </w:r>
      <w:r>
        <w:fldChar w:fldCharType="begin"/>
      </w:r>
      <w:r>
        <w:instrText xml:space="preserve"> PAGEREF _Toc425838782 \h </w:instrText>
      </w:r>
      <w:r>
        <w:fldChar w:fldCharType="separate"/>
      </w:r>
      <w:r>
        <w:t>3</w:t>
      </w:r>
      <w:r>
        <w:fldChar w:fldCharType="end"/>
      </w:r>
    </w:p>
    <w:p>
      <w:pPr>
        <w:pStyle w:val="TOC8"/>
        <w:rPr>
          <w:rFonts w:asciiTheme="minorHAnsi" w:eastAsiaTheme="minorEastAsia" w:hAnsiTheme="minorHAnsi" w:cstheme="minorBidi"/>
          <w:szCs w:val="22"/>
        </w:rPr>
      </w:pPr>
      <w:r>
        <w:t>13.</w:t>
      </w:r>
      <w:r>
        <w:tab/>
        <w:t>Land tax rate from 1 July 2002</w:t>
      </w:r>
      <w:r>
        <w:tab/>
      </w:r>
      <w:r>
        <w:fldChar w:fldCharType="begin"/>
      </w:r>
      <w:r>
        <w:instrText xml:space="preserve"> PAGEREF _Toc425838783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Schedule 8</w:t>
      </w:r>
    </w:p>
    <w:p>
      <w:pPr>
        <w:pStyle w:val="TOC2"/>
        <w:tabs>
          <w:tab w:val="right" w:leader="dot" w:pos="7077"/>
        </w:tabs>
        <w:rPr>
          <w:rFonts w:asciiTheme="minorHAnsi" w:eastAsiaTheme="minorEastAsia" w:hAnsiTheme="minorHAnsi" w:cstheme="minorBidi"/>
          <w:b w:val="0"/>
          <w:sz w:val="22"/>
          <w:szCs w:val="22"/>
        </w:rPr>
      </w:pPr>
      <w:r>
        <w:t>Schedule 9</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_Toc425838794 \h </w:instrText>
      </w:r>
      <w:r>
        <w:fldChar w:fldCharType="separate"/>
      </w:r>
      <w:r>
        <w:t>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_Toc425838795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800"/>
      </w:pPr>
      <w:r>
        <w:t xml:space="preserve">Land Tax Act 1976 </w:t>
      </w:r>
    </w:p>
    <w:p>
      <w:pPr>
        <w:pStyle w:val="LongTitle"/>
        <w:spacing w:after="360"/>
        <w:rPr>
          <w:snapToGrid w:val="0"/>
        </w:rPr>
      </w:pPr>
      <w:r>
        <w:rPr>
          <w:snapToGrid w:val="0"/>
        </w:rPr>
        <w:t xml:space="preserve">An Act to impose a land tax. </w:t>
      </w:r>
    </w:p>
    <w:p>
      <w:pPr>
        <w:pStyle w:val="Heading5"/>
        <w:rPr>
          <w:snapToGrid w:val="0"/>
        </w:rPr>
      </w:pPr>
      <w:bookmarkStart w:id="4" w:name="_Toc378945251"/>
      <w:bookmarkStart w:id="5" w:name="_Toc425838772"/>
      <w:r>
        <w:rPr>
          <w:rStyle w:val="CharSectno"/>
        </w:rPr>
        <w:t>1</w:t>
      </w:r>
      <w:r>
        <w:rPr>
          <w:snapToGrid w:val="0"/>
        </w:rPr>
        <w:t>.</w:t>
      </w:r>
      <w:r>
        <w:rPr>
          <w:snapToGrid w:val="0"/>
        </w:rPr>
        <w:tab/>
        <w:t>Short title</w:t>
      </w:r>
      <w:bookmarkEnd w:id="4"/>
      <w:bookmarkEnd w:id="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Land Tax Act 1976</w:t>
      </w:r>
      <w:r>
        <w:rPr>
          <w:snapToGrid w:val="0"/>
          <w:vertAlign w:val="superscript"/>
        </w:rPr>
        <w:t> 1</w:t>
      </w:r>
      <w:r>
        <w:rPr>
          <w:i/>
          <w:snapToGrid w:val="0"/>
        </w:rPr>
        <w:t>.</w:t>
      </w:r>
    </w:p>
    <w:p>
      <w:pPr>
        <w:pStyle w:val="Heading5"/>
        <w:spacing w:before="180"/>
        <w:rPr>
          <w:snapToGrid w:val="0"/>
        </w:rPr>
      </w:pPr>
      <w:bookmarkStart w:id="6" w:name="_Toc378945252"/>
      <w:bookmarkStart w:id="7" w:name="_Toc425838773"/>
      <w:r>
        <w:rPr>
          <w:rStyle w:val="CharSectno"/>
        </w:rPr>
        <w:t>2</w:t>
      </w:r>
      <w:r>
        <w:rPr>
          <w:snapToGrid w:val="0"/>
        </w:rPr>
        <w:t>.</w:t>
      </w:r>
      <w:r>
        <w:rPr>
          <w:snapToGrid w:val="0"/>
        </w:rPr>
        <w:tab/>
        <w:t>Commencement</w:t>
      </w:r>
      <w:bookmarkEnd w:id="6"/>
      <w:bookmarkEnd w:id="7"/>
      <w:r>
        <w:rPr>
          <w:snapToGrid w:val="0"/>
        </w:rPr>
        <w:t xml:space="preserve"> </w:t>
      </w:r>
    </w:p>
    <w:p>
      <w:pPr>
        <w:pStyle w:val="Subsection"/>
        <w:spacing w:before="120"/>
        <w:rPr>
          <w:snapToGrid w:val="0"/>
        </w:rPr>
      </w:pPr>
      <w:r>
        <w:rPr>
          <w:snapToGrid w:val="0"/>
        </w:rPr>
        <w:tab/>
      </w:r>
      <w:r>
        <w:rPr>
          <w:snapToGrid w:val="0"/>
        </w:rPr>
        <w:tab/>
        <w:t>This Act shall come into operation on 1 July 1976.</w:t>
      </w:r>
    </w:p>
    <w:p>
      <w:pPr>
        <w:pStyle w:val="Ednotesection"/>
        <w:spacing w:before="180"/>
        <w:ind w:left="890" w:hanging="890"/>
      </w:pPr>
      <w:r>
        <w:t>[</w:t>
      </w:r>
      <w:r>
        <w:rPr>
          <w:b/>
        </w:rPr>
        <w:t>3.</w:t>
      </w:r>
      <w:r>
        <w:tab/>
        <w:t>Omitted under the Reprints Act 1984 s. 7(4)(e) and (f).]</w:t>
      </w:r>
    </w:p>
    <w:p>
      <w:pPr>
        <w:pStyle w:val="Heading5"/>
        <w:spacing w:before="180"/>
        <w:rPr>
          <w:snapToGrid w:val="0"/>
        </w:rPr>
      </w:pPr>
      <w:bookmarkStart w:id="8" w:name="_Toc378945253"/>
      <w:bookmarkStart w:id="9" w:name="_Toc425838774"/>
      <w:r>
        <w:rPr>
          <w:rStyle w:val="CharSectno"/>
        </w:rPr>
        <w:t>4</w:t>
      </w:r>
      <w:r>
        <w:rPr>
          <w:snapToGrid w:val="0"/>
        </w:rPr>
        <w:t>.</w:t>
      </w:r>
      <w:r>
        <w:rPr>
          <w:snapToGrid w:val="0"/>
        </w:rPr>
        <w:tab/>
        <w:t>Incorporation of Act</w:t>
      </w:r>
      <w:bookmarkEnd w:id="8"/>
      <w:bookmarkEnd w:id="9"/>
      <w:r>
        <w:rPr>
          <w:snapToGrid w:val="0"/>
        </w:rPr>
        <w:t> </w:t>
      </w:r>
    </w:p>
    <w:p>
      <w:pPr>
        <w:pStyle w:val="Subsection"/>
        <w:spacing w:before="120"/>
        <w:rPr>
          <w:snapToGrid w:val="0"/>
        </w:rPr>
      </w:pPr>
      <w:r>
        <w:rPr>
          <w:snapToGrid w:val="0"/>
        </w:rPr>
        <w:tab/>
      </w:r>
      <w:r>
        <w:rPr>
          <w:snapToGrid w:val="0"/>
        </w:rPr>
        <w:tab/>
        <w:t xml:space="preserve">The </w:t>
      </w:r>
      <w:r>
        <w:rPr>
          <w:i/>
          <w:snapToGrid w:val="0"/>
        </w:rPr>
        <w:t>Land Tax Assessment Act 1976</w:t>
      </w:r>
      <w:r>
        <w:rPr>
          <w:snapToGrid w:val="0"/>
        </w:rPr>
        <w:t xml:space="preserve"> is incorporated with and shall be read as one with this Act.</w:t>
      </w:r>
    </w:p>
    <w:p>
      <w:pPr>
        <w:pStyle w:val="Heading5"/>
        <w:spacing w:before="180"/>
        <w:rPr>
          <w:snapToGrid w:val="0"/>
        </w:rPr>
      </w:pPr>
      <w:bookmarkStart w:id="10" w:name="_Toc378945254"/>
      <w:bookmarkStart w:id="11" w:name="_Toc425838775"/>
      <w:r>
        <w:rPr>
          <w:rStyle w:val="CharSectno"/>
        </w:rPr>
        <w:t>5</w:t>
      </w:r>
      <w:r>
        <w:rPr>
          <w:snapToGrid w:val="0"/>
        </w:rPr>
        <w:t>.</w:t>
      </w:r>
      <w:r>
        <w:rPr>
          <w:snapToGrid w:val="0"/>
        </w:rPr>
        <w:tab/>
        <w:t>Land tax rate from 1 July 1976</w:t>
      </w:r>
      <w:bookmarkEnd w:id="10"/>
      <w:bookmarkEnd w:id="11"/>
    </w:p>
    <w:p>
      <w:pPr>
        <w:pStyle w:val="Subsection"/>
        <w:spacing w:before="120"/>
        <w:rPr>
          <w:snapToGrid w:val="0"/>
        </w:rPr>
      </w:pPr>
      <w:r>
        <w:rPr>
          <w:snapToGrid w:val="0"/>
        </w:rPr>
        <w:tab/>
      </w:r>
      <w:r>
        <w:rPr>
          <w:snapToGrid w:val="0"/>
        </w:rPr>
        <w:tab/>
        <w:t xml:space="preserve">For the year of assessment commencing on 1 July 1976, and for each year of assessment thereafter to and including the year of assessment commencing on 1 July 1986, land tax is imposed, and shall be payable pursuant to the </w:t>
      </w:r>
      <w:r>
        <w:rPr>
          <w:i/>
          <w:snapToGrid w:val="0"/>
        </w:rPr>
        <w:t>Land Tax Assessment Act 1976</w:t>
      </w:r>
      <w:r>
        <w:rPr>
          <w:snapToGrid w:val="0"/>
        </w:rPr>
        <w:t>, at the rate shown in Schedule 1.</w:t>
      </w:r>
    </w:p>
    <w:p>
      <w:pPr>
        <w:pStyle w:val="Footnotesection"/>
        <w:keepLines w:val="0"/>
        <w:spacing w:before="80"/>
        <w:ind w:left="890" w:hanging="890"/>
      </w:pPr>
      <w:r>
        <w:tab/>
        <w:t xml:space="preserve">[Section 5 amended by No. 68 of 1986 s. 4.] </w:t>
      </w:r>
    </w:p>
    <w:p>
      <w:pPr>
        <w:pStyle w:val="Heading5"/>
        <w:rPr>
          <w:snapToGrid w:val="0"/>
        </w:rPr>
      </w:pPr>
      <w:bookmarkStart w:id="12" w:name="_Toc378945255"/>
      <w:bookmarkStart w:id="13" w:name="_Toc425838776"/>
      <w:r>
        <w:rPr>
          <w:rStyle w:val="CharSectno"/>
        </w:rPr>
        <w:t>6</w:t>
      </w:r>
      <w:r>
        <w:rPr>
          <w:snapToGrid w:val="0"/>
        </w:rPr>
        <w:t>.</w:t>
      </w:r>
      <w:r>
        <w:rPr>
          <w:snapToGrid w:val="0"/>
        </w:rPr>
        <w:tab/>
        <w:t>Land tax rate from 1 July 1987</w:t>
      </w:r>
      <w:bookmarkEnd w:id="12"/>
      <w:bookmarkEnd w:id="13"/>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to and including the year of assessment commencing on 1 July 1992, land tax is imposed, and shall be payable pursuant to the </w:t>
      </w:r>
      <w:r>
        <w:rPr>
          <w:i/>
          <w:snapToGrid w:val="0"/>
        </w:rPr>
        <w:t>Land Tax Assessment Act 1976</w:t>
      </w:r>
      <w:r>
        <w:rPr>
          <w:snapToGrid w:val="0"/>
        </w:rPr>
        <w:t xml:space="preserve"> at the rate shown in Schedule 2.</w:t>
      </w:r>
    </w:p>
    <w:p>
      <w:pPr>
        <w:pStyle w:val="Footnotesection"/>
      </w:pPr>
      <w:r>
        <w:tab/>
        <w:t xml:space="preserve">[Section 6 inserted by No. 68 of 1986 s. 5; amended by No. 16 of 1993 s. 4.] </w:t>
      </w:r>
    </w:p>
    <w:p>
      <w:pPr>
        <w:pStyle w:val="Heading5"/>
        <w:rPr>
          <w:snapToGrid w:val="0"/>
        </w:rPr>
      </w:pPr>
      <w:bookmarkStart w:id="14" w:name="_Toc378945256"/>
      <w:bookmarkStart w:id="15" w:name="_Toc425838777"/>
      <w:r>
        <w:rPr>
          <w:rStyle w:val="CharSectno"/>
        </w:rPr>
        <w:t>7</w:t>
      </w:r>
      <w:r>
        <w:rPr>
          <w:snapToGrid w:val="0"/>
        </w:rPr>
        <w:t>.</w:t>
      </w:r>
      <w:r>
        <w:rPr>
          <w:snapToGrid w:val="0"/>
        </w:rPr>
        <w:tab/>
        <w:t>Land tax rate from 1 July 1993</w:t>
      </w:r>
      <w:bookmarkEnd w:id="14"/>
      <w:bookmarkEnd w:id="15"/>
      <w:r>
        <w:rPr>
          <w:snapToGrid w:val="0"/>
        </w:rPr>
        <w:t xml:space="preserve"> </w:t>
      </w:r>
    </w:p>
    <w:p>
      <w:pPr>
        <w:pStyle w:val="Subsection"/>
        <w:rPr>
          <w:snapToGrid w:val="0"/>
        </w:rPr>
      </w:pPr>
      <w:r>
        <w:rPr>
          <w:snapToGrid w:val="0"/>
        </w:rPr>
        <w:tab/>
      </w:r>
      <w:r>
        <w:rPr>
          <w:snapToGrid w:val="0"/>
        </w:rPr>
        <w:tab/>
        <w:t xml:space="preserve">For the year of assessment commencing on 1 July 1993, and for each year of assessment thereafter to and including the year of assessment commencing on 1 July 1994, land tax is imposed, and shall be payable pursuant to the </w:t>
      </w:r>
      <w:r>
        <w:rPr>
          <w:i/>
          <w:snapToGrid w:val="0"/>
        </w:rPr>
        <w:t>Land Tax Assessment Act 1976</w:t>
      </w:r>
      <w:r>
        <w:rPr>
          <w:snapToGrid w:val="0"/>
        </w:rPr>
        <w:t xml:space="preserve"> at the rate shown in Schedule 3.</w:t>
      </w:r>
    </w:p>
    <w:p>
      <w:pPr>
        <w:pStyle w:val="Footnotesection"/>
      </w:pPr>
      <w:r>
        <w:tab/>
        <w:t xml:space="preserve">[Section 7 inserted by No. 16 of 1993 s. 5; amended by No. 38 of 1995 s. 4.] </w:t>
      </w:r>
    </w:p>
    <w:p>
      <w:pPr>
        <w:pStyle w:val="Heading5"/>
        <w:rPr>
          <w:snapToGrid w:val="0"/>
        </w:rPr>
      </w:pPr>
      <w:bookmarkStart w:id="16" w:name="_Toc378945257"/>
      <w:bookmarkStart w:id="17" w:name="_Toc425838778"/>
      <w:r>
        <w:rPr>
          <w:rStyle w:val="CharSectno"/>
        </w:rPr>
        <w:t>8</w:t>
      </w:r>
      <w:r>
        <w:rPr>
          <w:snapToGrid w:val="0"/>
        </w:rPr>
        <w:t>.</w:t>
      </w:r>
      <w:r>
        <w:rPr>
          <w:snapToGrid w:val="0"/>
        </w:rPr>
        <w:tab/>
        <w:t>Land tax rate from 1 July 1995</w:t>
      </w:r>
      <w:bookmarkEnd w:id="16"/>
      <w:bookmarkEnd w:id="17"/>
      <w:r>
        <w:rPr>
          <w:snapToGrid w:val="0"/>
        </w:rPr>
        <w:t xml:space="preserve"> </w:t>
      </w:r>
    </w:p>
    <w:p>
      <w:pPr>
        <w:pStyle w:val="Subsection"/>
        <w:rPr>
          <w:snapToGrid w:val="0"/>
        </w:rPr>
      </w:pPr>
      <w:r>
        <w:rPr>
          <w:snapToGrid w:val="0"/>
        </w:rPr>
        <w:tab/>
      </w:r>
      <w:r>
        <w:rPr>
          <w:snapToGrid w:val="0"/>
        </w:rPr>
        <w:tab/>
        <w:t xml:space="preserve">For the year of assessment commencing on 1 July 1995 land tax is imposed, and shall be payable pursuant to the </w:t>
      </w:r>
      <w:r>
        <w:rPr>
          <w:i/>
          <w:snapToGrid w:val="0"/>
        </w:rPr>
        <w:t>Land Tax Assessment Act 1976</w:t>
      </w:r>
      <w:r>
        <w:rPr>
          <w:snapToGrid w:val="0"/>
        </w:rPr>
        <w:t xml:space="preserve"> at the rate shown in Schedule 4.</w:t>
      </w:r>
    </w:p>
    <w:p>
      <w:pPr>
        <w:pStyle w:val="Footnotesection"/>
      </w:pPr>
      <w:r>
        <w:tab/>
        <w:t xml:space="preserve">[Section 8 inserted by No. 38 of 1995 s. 5; amended by No. 21 of 1996 s. 4.] </w:t>
      </w:r>
    </w:p>
    <w:p>
      <w:pPr>
        <w:pStyle w:val="Heading5"/>
        <w:rPr>
          <w:snapToGrid w:val="0"/>
        </w:rPr>
      </w:pPr>
      <w:bookmarkStart w:id="18" w:name="_Toc378945258"/>
      <w:bookmarkStart w:id="19" w:name="_Toc425838779"/>
      <w:r>
        <w:rPr>
          <w:rStyle w:val="CharSectno"/>
        </w:rPr>
        <w:t>9</w:t>
      </w:r>
      <w:r>
        <w:rPr>
          <w:snapToGrid w:val="0"/>
        </w:rPr>
        <w:t>.</w:t>
      </w:r>
      <w:r>
        <w:rPr>
          <w:snapToGrid w:val="0"/>
        </w:rPr>
        <w:tab/>
        <w:t>Land tax rate from 1 July 1996</w:t>
      </w:r>
      <w:bookmarkEnd w:id="18"/>
      <w:bookmarkEnd w:id="19"/>
      <w:r>
        <w:rPr>
          <w:snapToGrid w:val="0"/>
        </w:rPr>
        <w:t xml:space="preserve"> </w:t>
      </w:r>
    </w:p>
    <w:p>
      <w:pPr>
        <w:pStyle w:val="Subsection"/>
        <w:rPr>
          <w:snapToGrid w:val="0"/>
        </w:rPr>
      </w:pPr>
      <w:r>
        <w:rPr>
          <w:snapToGrid w:val="0"/>
        </w:rPr>
        <w:tab/>
      </w:r>
      <w:r>
        <w:rPr>
          <w:snapToGrid w:val="0"/>
        </w:rPr>
        <w:tab/>
        <w:t xml:space="preserve">For the year of assessment commencing on 1 July 1996 land tax is imposed, and shall be payable pursuant to the </w:t>
      </w:r>
      <w:r>
        <w:rPr>
          <w:i/>
          <w:snapToGrid w:val="0"/>
        </w:rPr>
        <w:t>Land Tax Assessment Act 1976</w:t>
      </w:r>
      <w:r>
        <w:rPr>
          <w:snapToGrid w:val="0"/>
        </w:rPr>
        <w:t>, at the rate shown in Schedule 5.</w:t>
      </w:r>
    </w:p>
    <w:p>
      <w:pPr>
        <w:pStyle w:val="Footnotesection"/>
      </w:pPr>
      <w:r>
        <w:tab/>
        <w:t xml:space="preserve">[Section 9 inserted by No. 21 of 1996 s. 5; amended by No. 12 of 1997 s. 7.] </w:t>
      </w:r>
    </w:p>
    <w:p>
      <w:pPr>
        <w:pStyle w:val="Heading5"/>
        <w:rPr>
          <w:snapToGrid w:val="0"/>
        </w:rPr>
      </w:pPr>
      <w:bookmarkStart w:id="20" w:name="_Toc378945259"/>
      <w:bookmarkStart w:id="21" w:name="_Toc425838780"/>
      <w:r>
        <w:rPr>
          <w:rStyle w:val="CharSectno"/>
        </w:rPr>
        <w:t>10</w:t>
      </w:r>
      <w:r>
        <w:rPr>
          <w:snapToGrid w:val="0"/>
        </w:rPr>
        <w:t>.</w:t>
      </w:r>
      <w:r>
        <w:rPr>
          <w:snapToGrid w:val="0"/>
        </w:rPr>
        <w:tab/>
        <w:t>Land tax rate from 1 July 1997</w:t>
      </w:r>
      <w:bookmarkEnd w:id="20"/>
      <w:bookmarkEnd w:id="21"/>
      <w:r>
        <w:rPr>
          <w:snapToGrid w:val="0"/>
        </w:rPr>
        <w:t xml:space="preserve"> </w:t>
      </w:r>
    </w:p>
    <w:p>
      <w:pPr>
        <w:pStyle w:val="Subsection"/>
        <w:rPr>
          <w:snapToGrid w:val="0"/>
        </w:rPr>
      </w:pPr>
      <w:r>
        <w:rPr>
          <w:snapToGrid w:val="0"/>
        </w:rPr>
        <w:tab/>
      </w:r>
      <w:r>
        <w:rPr>
          <w:snapToGrid w:val="0"/>
        </w:rPr>
        <w:tab/>
        <w:t xml:space="preserve">For the year of assessment commencing on 1 July 1997 land tax is imposed, and shall be payable pursuant to the </w:t>
      </w:r>
      <w:r>
        <w:rPr>
          <w:i/>
          <w:snapToGrid w:val="0"/>
        </w:rPr>
        <w:t>Land Tax Assessment Act 1976</w:t>
      </w:r>
      <w:r>
        <w:rPr>
          <w:snapToGrid w:val="0"/>
        </w:rPr>
        <w:t>, at the rate shown in Schedule 6.</w:t>
      </w:r>
    </w:p>
    <w:p>
      <w:pPr>
        <w:pStyle w:val="Footnotesection"/>
      </w:pPr>
      <w:r>
        <w:tab/>
        <w:t>[Section 10 inserted by No. 12 of 1997 s. 8; amended by No. 18 of 1998 s. 4.]</w:t>
      </w:r>
    </w:p>
    <w:p>
      <w:pPr>
        <w:pStyle w:val="Heading5"/>
      </w:pPr>
      <w:bookmarkStart w:id="22" w:name="_Toc378945260"/>
      <w:bookmarkStart w:id="23" w:name="_Toc425838781"/>
      <w:r>
        <w:rPr>
          <w:rStyle w:val="CharSectno"/>
        </w:rPr>
        <w:t>11</w:t>
      </w:r>
      <w:r>
        <w:t>.</w:t>
      </w:r>
      <w:r>
        <w:tab/>
        <w:t>Land tax rate from 1 July 1998</w:t>
      </w:r>
      <w:bookmarkEnd w:id="22"/>
      <w:bookmarkEnd w:id="23"/>
    </w:p>
    <w:p>
      <w:pPr>
        <w:pStyle w:val="Subsection"/>
      </w:pPr>
      <w:r>
        <w:tab/>
      </w:r>
      <w:r>
        <w:tab/>
        <w:t xml:space="preserve">For the year of assessment commencing on 1 July 1998 land tax is imposed, and shall be payable pursuant to the </w:t>
      </w:r>
      <w:r>
        <w:rPr>
          <w:i/>
        </w:rPr>
        <w:t>Land Tax Assessment Act 1976</w:t>
      </w:r>
      <w:r>
        <w:t>, at the rate shown in Schedule 7.</w:t>
      </w:r>
    </w:p>
    <w:p>
      <w:pPr>
        <w:pStyle w:val="Footnotesection"/>
      </w:pPr>
      <w:r>
        <w:tab/>
        <w:t>[Section 11 inserted by No. 18 of 1998 s. 5; amended by No. 25 of 1999 s. 4.]</w:t>
      </w:r>
    </w:p>
    <w:p>
      <w:pPr>
        <w:pStyle w:val="Heading5"/>
      </w:pPr>
      <w:bookmarkStart w:id="24" w:name="_Toc378945261"/>
      <w:bookmarkStart w:id="25" w:name="_Toc425838782"/>
      <w:r>
        <w:t>12.</w:t>
      </w:r>
      <w:r>
        <w:tab/>
        <w:t>Land tax rate from 1 July 1999</w:t>
      </w:r>
      <w:bookmarkEnd w:id="24"/>
      <w:bookmarkEnd w:id="25"/>
    </w:p>
    <w:p>
      <w:pPr>
        <w:pStyle w:val="Subsection"/>
      </w:pPr>
      <w:r>
        <w:tab/>
      </w:r>
      <w:r>
        <w:tab/>
        <w:t xml:space="preserve">For the year of assessment commencing on 1 July 1999, and for each year of assessment thereafter to and including the year of assessment commencing on 1 July 2001, land tax is imposed, and shall be payable pursuant to the </w:t>
      </w:r>
      <w:r>
        <w:rPr>
          <w:i/>
        </w:rPr>
        <w:t>Land Tax Assessment Act 1976</w:t>
      </w:r>
      <w:r>
        <w:t>, at the rate shown in Schedule 8.</w:t>
      </w:r>
    </w:p>
    <w:p>
      <w:pPr>
        <w:pStyle w:val="Footnotesection"/>
      </w:pPr>
      <w:r>
        <w:tab/>
        <w:t>[Section 12 inserted by No. 25 of 1999 s. 5; amended by No. 37 of 2001 s. 4.]</w:t>
      </w:r>
    </w:p>
    <w:p>
      <w:pPr>
        <w:pStyle w:val="Heading5"/>
      </w:pPr>
      <w:bookmarkStart w:id="26" w:name="_Toc378945262"/>
      <w:bookmarkStart w:id="27" w:name="_Toc425838783"/>
      <w:r>
        <w:rPr>
          <w:rStyle w:val="CharSectno"/>
        </w:rPr>
        <w:t>13</w:t>
      </w:r>
      <w:r>
        <w:t>.</w:t>
      </w:r>
      <w:r>
        <w:tab/>
        <w:t>Land tax rate from 1 July 2002</w:t>
      </w:r>
      <w:bookmarkEnd w:id="26"/>
      <w:bookmarkEnd w:id="27"/>
    </w:p>
    <w:p>
      <w:pPr>
        <w:pStyle w:val="Subsection"/>
      </w:pPr>
      <w:r>
        <w:tab/>
      </w:r>
      <w:r>
        <w:tab/>
        <w:t xml:space="preserve">For the year of assessment commencing on 1 July 2002, and for each subsequent year of assessment, land tax is imposed, and shall be payable pursuant to the </w:t>
      </w:r>
      <w:r>
        <w:rPr>
          <w:i/>
        </w:rPr>
        <w:t>Land Tax Assessment Act 1976</w:t>
      </w:r>
      <w:r>
        <w:t>, at the rate shown in Schedule 9.</w:t>
      </w:r>
    </w:p>
    <w:p>
      <w:pPr>
        <w:pStyle w:val="Footnotesection"/>
      </w:pPr>
      <w:r>
        <w:tab/>
        <w:t>[Section 13 inserted by No. 37 of 2001 s. 5.]</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8" w:name="_Toc378945263"/>
      <w:bookmarkStart w:id="29" w:name="_Toc425838784"/>
      <w:r>
        <w:rPr>
          <w:rStyle w:val="CharSchNo"/>
        </w:rPr>
        <w:t>Schedule 1</w:t>
      </w:r>
      <w:bookmarkEnd w:id="28"/>
      <w:bookmarkEnd w:id="29"/>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r>
              <w:rPr>
                <w:b/>
                <w:snapToGrid w:val="0"/>
                <w:sz w:val="20"/>
              </w:rPr>
              <w:t xml:space="preserve"> </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c>
          <w:tcPr>
            <w:tcW w:w="1134" w:type="dxa"/>
            <w:tcBorders>
              <w:top w:val="single" w:sz="4" w:space="0" w:color="auto"/>
            </w:tcBorders>
          </w:tcPr>
          <w:p>
            <w:pPr>
              <w:pStyle w:val="yTable"/>
              <w:jc w:val="center"/>
              <w:rPr>
                <w:b/>
                <w:sz w:val="20"/>
              </w:rPr>
            </w:pPr>
            <w:r>
              <w:rPr>
                <w:b/>
                <w:sz w:val="20"/>
              </w:rPr>
              <w:b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tabs>
                <w:tab w:val="left" w:pos="709"/>
              </w:tabs>
              <w:rPr>
                <w:sz w:val="20"/>
              </w:rPr>
            </w:pPr>
          </w:p>
        </w:tc>
      </w:tr>
      <w:tr>
        <w:tc>
          <w:tcPr>
            <w:tcW w:w="1134" w:type="dxa"/>
          </w:tcPr>
          <w:p>
            <w:pPr>
              <w:pStyle w:val="yTable"/>
              <w:ind w:right="142"/>
              <w:jc w:val="right"/>
              <w:rPr>
                <w:sz w:val="20"/>
              </w:rPr>
            </w:pPr>
            <w:r>
              <w:rPr>
                <w:sz w:val="20"/>
              </w:rPr>
              <w:t>0</w:t>
            </w:r>
          </w:p>
        </w:tc>
        <w:tc>
          <w:tcPr>
            <w:tcW w:w="1191" w:type="dxa"/>
          </w:tcPr>
          <w:p>
            <w:pPr>
              <w:pStyle w:val="yTable"/>
              <w:ind w:right="283"/>
              <w:jc w:val="right"/>
              <w:rPr>
                <w:sz w:val="20"/>
              </w:rPr>
            </w:pPr>
            <w:r>
              <w:rPr>
                <w:sz w:val="20"/>
              </w:rPr>
              <w:t>5 000</w:t>
            </w:r>
          </w:p>
        </w:tc>
        <w:tc>
          <w:tcPr>
            <w:tcW w:w="4763" w:type="dxa"/>
          </w:tcPr>
          <w:p>
            <w:pPr>
              <w:pStyle w:val="yTable"/>
              <w:tabs>
                <w:tab w:val="left" w:pos="1134"/>
                <w:tab w:val="left" w:pos="1418"/>
              </w:tabs>
              <w:rPr>
                <w:sz w:val="20"/>
              </w:rPr>
            </w:pPr>
            <w:r>
              <w:rPr>
                <w:sz w:val="20"/>
              </w:rPr>
              <w:tab/>
              <w:t>0.3 cents for each $1</w:t>
            </w:r>
          </w:p>
        </w:tc>
      </w:tr>
      <w:tr>
        <w:tc>
          <w:tcPr>
            <w:tcW w:w="1134" w:type="dxa"/>
          </w:tcPr>
          <w:p>
            <w:pPr>
              <w:pStyle w:val="yTable"/>
              <w:ind w:right="142"/>
              <w:jc w:val="right"/>
              <w:rPr>
                <w:sz w:val="20"/>
              </w:rPr>
            </w:pPr>
            <w:r>
              <w:rPr>
                <w:sz w:val="20"/>
              </w:rPr>
              <w:t xml:space="preserve"> 5 000</w:t>
            </w:r>
          </w:p>
        </w:tc>
        <w:tc>
          <w:tcPr>
            <w:tcW w:w="1191" w:type="dxa"/>
          </w:tcPr>
          <w:p>
            <w:pPr>
              <w:pStyle w:val="yTable"/>
              <w:ind w:right="283"/>
              <w:jc w:val="right"/>
              <w:rPr>
                <w:sz w:val="20"/>
              </w:rPr>
            </w:pPr>
            <w:r>
              <w:rPr>
                <w:sz w:val="20"/>
              </w:rPr>
              <w:t>10 000</w:t>
            </w:r>
          </w:p>
        </w:tc>
        <w:tc>
          <w:tcPr>
            <w:tcW w:w="4763" w:type="dxa"/>
          </w:tcPr>
          <w:p>
            <w:pPr>
              <w:pStyle w:val="yTable"/>
              <w:tabs>
                <w:tab w:val="left" w:pos="1134"/>
              </w:tabs>
              <w:rPr>
                <w:sz w:val="20"/>
              </w:rPr>
            </w:pPr>
            <w:r>
              <w:rPr>
                <w:sz w:val="20"/>
              </w:rPr>
              <w:t xml:space="preserve">$15 plus </w:t>
            </w:r>
            <w:r>
              <w:rPr>
                <w:sz w:val="20"/>
              </w:rPr>
              <w:tab/>
              <w:t>0.4 cents for each $1 in excess of $5 000</w:t>
            </w:r>
          </w:p>
        </w:tc>
      </w:tr>
      <w:tr>
        <w:tc>
          <w:tcPr>
            <w:tcW w:w="1134" w:type="dxa"/>
          </w:tcPr>
          <w:p>
            <w:pPr>
              <w:pStyle w:val="yTable"/>
              <w:ind w:right="142"/>
              <w:jc w:val="right"/>
              <w:rPr>
                <w:sz w:val="20"/>
              </w:rPr>
            </w:pPr>
            <w:r>
              <w:rPr>
                <w:sz w:val="20"/>
              </w:rPr>
              <w:t xml:space="preserve"> 10 000</w:t>
            </w:r>
          </w:p>
        </w:tc>
        <w:tc>
          <w:tcPr>
            <w:tcW w:w="1191" w:type="dxa"/>
          </w:tcPr>
          <w:p>
            <w:pPr>
              <w:pStyle w:val="yTable"/>
              <w:ind w:right="283"/>
              <w:jc w:val="right"/>
              <w:rPr>
                <w:sz w:val="20"/>
              </w:rPr>
            </w:pPr>
            <w:r>
              <w:rPr>
                <w:sz w:val="20"/>
              </w:rPr>
              <w:t>15 000</w:t>
            </w:r>
          </w:p>
        </w:tc>
        <w:tc>
          <w:tcPr>
            <w:tcW w:w="4763" w:type="dxa"/>
          </w:tcPr>
          <w:p>
            <w:pPr>
              <w:pStyle w:val="yTable"/>
              <w:tabs>
                <w:tab w:val="left" w:pos="1134"/>
              </w:tabs>
              <w:rPr>
                <w:sz w:val="20"/>
              </w:rPr>
            </w:pPr>
            <w:r>
              <w:rPr>
                <w:sz w:val="20"/>
              </w:rPr>
              <w:t xml:space="preserve">$35 plus </w:t>
            </w:r>
            <w:r>
              <w:rPr>
                <w:sz w:val="20"/>
              </w:rPr>
              <w:tab/>
              <w:t>0.5 cents for each $1 in excess of $10 000</w:t>
            </w:r>
          </w:p>
        </w:tc>
      </w:tr>
      <w:tr>
        <w:tc>
          <w:tcPr>
            <w:tcW w:w="1134" w:type="dxa"/>
          </w:tcPr>
          <w:p>
            <w:pPr>
              <w:pStyle w:val="yTable"/>
              <w:ind w:right="142"/>
              <w:jc w:val="right"/>
              <w:rPr>
                <w:sz w:val="20"/>
              </w:rPr>
            </w:pPr>
            <w:r>
              <w:rPr>
                <w:sz w:val="20"/>
              </w:rPr>
              <w:t xml:space="preserve"> 15 000</w:t>
            </w:r>
          </w:p>
        </w:tc>
        <w:tc>
          <w:tcPr>
            <w:tcW w:w="1191" w:type="dxa"/>
          </w:tcPr>
          <w:p>
            <w:pPr>
              <w:pStyle w:val="yTable"/>
              <w:ind w:right="283"/>
              <w:jc w:val="right"/>
              <w:rPr>
                <w:sz w:val="20"/>
              </w:rPr>
            </w:pPr>
            <w:r>
              <w:rPr>
                <w:sz w:val="20"/>
              </w:rPr>
              <w:t xml:space="preserve"> 20 000</w:t>
            </w:r>
          </w:p>
        </w:tc>
        <w:tc>
          <w:tcPr>
            <w:tcW w:w="4763" w:type="dxa"/>
          </w:tcPr>
          <w:p>
            <w:pPr>
              <w:pStyle w:val="yTable"/>
              <w:tabs>
                <w:tab w:val="left" w:pos="1134"/>
              </w:tabs>
              <w:rPr>
                <w:sz w:val="20"/>
              </w:rPr>
            </w:pPr>
            <w:r>
              <w:rPr>
                <w:sz w:val="20"/>
              </w:rPr>
              <w:t xml:space="preserve">$60 plus </w:t>
            </w:r>
            <w:r>
              <w:rPr>
                <w:sz w:val="20"/>
              </w:rPr>
              <w:tab/>
              <w:t>0.6 cents for each $1 in excess of $15 000</w:t>
            </w:r>
          </w:p>
        </w:tc>
      </w:tr>
      <w:tr>
        <w:tc>
          <w:tcPr>
            <w:tcW w:w="1134" w:type="dxa"/>
          </w:tcPr>
          <w:p>
            <w:pPr>
              <w:pStyle w:val="yTable"/>
              <w:ind w:right="142"/>
              <w:jc w:val="right"/>
              <w:rPr>
                <w:sz w:val="20"/>
              </w:rPr>
            </w:pPr>
            <w:r>
              <w:rPr>
                <w:sz w:val="20"/>
              </w:rPr>
              <w:t xml:space="preserve"> 20 000</w:t>
            </w:r>
          </w:p>
        </w:tc>
        <w:tc>
          <w:tcPr>
            <w:tcW w:w="1191" w:type="dxa"/>
          </w:tcPr>
          <w:p>
            <w:pPr>
              <w:pStyle w:val="yTable"/>
              <w:ind w:right="283"/>
              <w:jc w:val="right"/>
              <w:rPr>
                <w:sz w:val="20"/>
              </w:rPr>
            </w:pPr>
            <w:r>
              <w:rPr>
                <w:sz w:val="20"/>
              </w:rPr>
              <w:t xml:space="preserve"> 25 000</w:t>
            </w:r>
          </w:p>
        </w:tc>
        <w:tc>
          <w:tcPr>
            <w:tcW w:w="4763" w:type="dxa"/>
          </w:tcPr>
          <w:p>
            <w:pPr>
              <w:pStyle w:val="yTable"/>
              <w:tabs>
                <w:tab w:val="left" w:pos="1134"/>
              </w:tabs>
              <w:rPr>
                <w:sz w:val="20"/>
              </w:rPr>
            </w:pPr>
            <w:r>
              <w:rPr>
                <w:sz w:val="20"/>
              </w:rPr>
              <w:t xml:space="preserve">$90 plus </w:t>
            </w:r>
            <w:r>
              <w:rPr>
                <w:sz w:val="20"/>
              </w:rPr>
              <w:tab/>
              <w:t>0.7 cents for each $1 in excess of $20 000</w:t>
            </w:r>
          </w:p>
        </w:tc>
      </w:tr>
      <w:tr>
        <w:tc>
          <w:tcPr>
            <w:tcW w:w="1134" w:type="dxa"/>
          </w:tcPr>
          <w:p>
            <w:pPr>
              <w:pStyle w:val="yTable"/>
              <w:ind w:right="142"/>
              <w:jc w:val="right"/>
              <w:rPr>
                <w:sz w:val="20"/>
              </w:rPr>
            </w:pPr>
            <w:r>
              <w:rPr>
                <w:sz w:val="20"/>
              </w:rPr>
              <w:t xml:space="preserve"> 25 000</w:t>
            </w:r>
          </w:p>
        </w:tc>
        <w:tc>
          <w:tcPr>
            <w:tcW w:w="1191" w:type="dxa"/>
          </w:tcPr>
          <w:p>
            <w:pPr>
              <w:pStyle w:val="yTable"/>
              <w:ind w:right="283"/>
              <w:jc w:val="right"/>
              <w:rPr>
                <w:sz w:val="20"/>
              </w:rPr>
            </w:pPr>
            <w:r>
              <w:rPr>
                <w:sz w:val="20"/>
              </w:rPr>
              <w:t xml:space="preserve"> 30 000</w:t>
            </w:r>
          </w:p>
        </w:tc>
        <w:tc>
          <w:tcPr>
            <w:tcW w:w="4763" w:type="dxa"/>
          </w:tcPr>
          <w:p>
            <w:pPr>
              <w:pStyle w:val="yTable"/>
              <w:tabs>
                <w:tab w:val="left" w:pos="1134"/>
              </w:tabs>
              <w:rPr>
                <w:sz w:val="20"/>
              </w:rPr>
            </w:pPr>
            <w:r>
              <w:rPr>
                <w:sz w:val="20"/>
              </w:rPr>
              <w:t xml:space="preserve">$125 plus </w:t>
            </w:r>
            <w:r>
              <w:rPr>
                <w:sz w:val="20"/>
              </w:rPr>
              <w:tab/>
              <w:t>0.8 cents for each $1 in excess of $25 000</w:t>
            </w:r>
          </w:p>
        </w:tc>
      </w:tr>
      <w:tr>
        <w:tc>
          <w:tcPr>
            <w:tcW w:w="1134" w:type="dxa"/>
          </w:tcPr>
          <w:p>
            <w:pPr>
              <w:pStyle w:val="yTable"/>
              <w:ind w:right="142"/>
              <w:jc w:val="right"/>
              <w:rPr>
                <w:sz w:val="20"/>
              </w:rPr>
            </w:pPr>
            <w:r>
              <w:rPr>
                <w:sz w:val="20"/>
              </w:rPr>
              <w:t xml:space="preserve"> 30 000</w:t>
            </w:r>
          </w:p>
        </w:tc>
        <w:tc>
          <w:tcPr>
            <w:tcW w:w="1191" w:type="dxa"/>
          </w:tcPr>
          <w:p>
            <w:pPr>
              <w:pStyle w:val="yTable"/>
              <w:ind w:right="283"/>
              <w:jc w:val="right"/>
              <w:rPr>
                <w:sz w:val="20"/>
              </w:rPr>
            </w:pPr>
            <w:r>
              <w:rPr>
                <w:sz w:val="20"/>
              </w:rPr>
              <w:t xml:space="preserve"> 35 000</w:t>
            </w:r>
          </w:p>
        </w:tc>
        <w:tc>
          <w:tcPr>
            <w:tcW w:w="4763" w:type="dxa"/>
          </w:tcPr>
          <w:p>
            <w:pPr>
              <w:pStyle w:val="yTable"/>
              <w:tabs>
                <w:tab w:val="left" w:pos="1134"/>
              </w:tabs>
              <w:rPr>
                <w:sz w:val="20"/>
              </w:rPr>
            </w:pPr>
            <w:r>
              <w:rPr>
                <w:sz w:val="20"/>
              </w:rPr>
              <w:t xml:space="preserve">$165 plus </w:t>
            </w:r>
            <w:r>
              <w:rPr>
                <w:sz w:val="20"/>
              </w:rPr>
              <w:tab/>
              <w:t>0.9 cents for each $1 in excess of $30 000</w:t>
            </w:r>
          </w:p>
        </w:tc>
      </w:tr>
      <w:tr>
        <w:tc>
          <w:tcPr>
            <w:tcW w:w="1134" w:type="dxa"/>
          </w:tcPr>
          <w:p>
            <w:pPr>
              <w:pStyle w:val="yTable"/>
              <w:ind w:right="142"/>
              <w:jc w:val="right"/>
              <w:rPr>
                <w:sz w:val="20"/>
              </w:rPr>
            </w:pPr>
            <w:r>
              <w:rPr>
                <w:sz w:val="20"/>
              </w:rPr>
              <w:t xml:space="preserve"> 35 000</w:t>
            </w:r>
          </w:p>
        </w:tc>
        <w:tc>
          <w:tcPr>
            <w:tcW w:w="1191" w:type="dxa"/>
          </w:tcPr>
          <w:p>
            <w:pPr>
              <w:pStyle w:val="yTable"/>
              <w:ind w:right="283"/>
              <w:jc w:val="right"/>
              <w:rPr>
                <w:sz w:val="20"/>
              </w:rPr>
            </w:pPr>
            <w:r>
              <w:rPr>
                <w:sz w:val="20"/>
              </w:rPr>
              <w:t xml:space="preserve"> 40 000</w:t>
            </w:r>
          </w:p>
        </w:tc>
        <w:tc>
          <w:tcPr>
            <w:tcW w:w="4763" w:type="dxa"/>
          </w:tcPr>
          <w:p>
            <w:pPr>
              <w:pStyle w:val="yTable"/>
              <w:tabs>
                <w:tab w:val="left" w:pos="1134"/>
              </w:tabs>
              <w:rPr>
                <w:sz w:val="20"/>
              </w:rPr>
            </w:pPr>
            <w:r>
              <w:rPr>
                <w:sz w:val="20"/>
              </w:rPr>
              <w:t xml:space="preserve">$210 plus </w:t>
            </w:r>
            <w:r>
              <w:rPr>
                <w:sz w:val="20"/>
              </w:rPr>
              <w:tab/>
              <w:t>1.0 cent  for each $1 in excess of $35 000</w:t>
            </w:r>
          </w:p>
        </w:tc>
      </w:tr>
      <w:tr>
        <w:tc>
          <w:tcPr>
            <w:tcW w:w="1134" w:type="dxa"/>
          </w:tcPr>
          <w:p>
            <w:pPr>
              <w:pStyle w:val="yTable"/>
              <w:ind w:right="142"/>
              <w:jc w:val="right"/>
              <w:rPr>
                <w:sz w:val="20"/>
              </w:rPr>
            </w:pPr>
            <w:r>
              <w:rPr>
                <w:sz w:val="20"/>
              </w:rPr>
              <w:t xml:space="preserve"> 40 000</w:t>
            </w:r>
          </w:p>
        </w:tc>
        <w:tc>
          <w:tcPr>
            <w:tcW w:w="1191" w:type="dxa"/>
          </w:tcPr>
          <w:p>
            <w:pPr>
              <w:pStyle w:val="yTable"/>
              <w:ind w:right="283"/>
              <w:jc w:val="right"/>
              <w:rPr>
                <w:sz w:val="20"/>
              </w:rPr>
            </w:pPr>
            <w:r>
              <w:rPr>
                <w:sz w:val="20"/>
              </w:rPr>
              <w:t xml:space="preserve"> 45 000</w:t>
            </w:r>
          </w:p>
        </w:tc>
        <w:tc>
          <w:tcPr>
            <w:tcW w:w="4763" w:type="dxa"/>
          </w:tcPr>
          <w:p>
            <w:pPr>
              <w:pStyle w:val="yTable"/>
              <w:tabs>
                <w:tab w:val="left" w:pos="1134"/>
              </w:tabs>
              <w:rPr>
                <w:sz w:val="20"/>
              </w:rPr>
            </w:pPr>
            <w:r>
              <w:rPr>
                <w:sz w:val="20"/>
              </w:rPr>
              <w:t xml:space="preserve">$260 plus </w:t>
            </w:r>
            <w:r>
              <w:rPr>
                <w:sz w:val="20"/>
              </w:rPr>
              <w:tab/>
              <w:t>1.1 cents for each $1 in excess of $40 000</w:t>
            </w:r>
          </w:p>
        </w:tc>
      </w:tr>
      <w:tr>
        <w:tc>
          <w:tcPr>
            <w:tcW w:w="1134" w:type="dxa"/>
          </w:tcPr>
          <w:p>
            <w:pPr>
              <w:pStyle w:val="yTable"/>
              <w:ind w:right="142"/>
              <w:jc w:val="right"/>
              <w:rPr>
                <w:sz w:val="20"/>
              </w:rPr>
            </w:pPr>
            <w:r>
              <w:rPr>
                <w:sz w:val="20"/>
              </w:rPr>
              <w:t xml:space="preserve"> 45 000</w:t>
            </w:r>
          </w:p>
        </w:tc>
        <w:tc>
          <w:tcPr>
            <w:tcW w:w="1191" w:type="dxa"/>
          </w:tcPr>
          <w:p>
            <w:pPr>
              <w:pStyle w:val="yTable"/>
              <w:ind w:right="283"/>
              <w:jc w:val="right"/>
              <w:rPr>
                <w:sz w:val="20"/>
              </w:rPr>
            </w:pPr>
            <w:r>
              <w:rPr>
                <w:sz w:val="20"/>
              </w:rPr>
              <w:t xml:space="preserve"> 50 000</w:t>
            </w:r>
          </w:p>
        </w:tc>
        <w:tc>
          <w:tcPr>
            <w:tcW w:w="4763" w:type="dxa"/>
          </w:tcPr>
          <w:p>
            <w:pPr>
              <w:pStyle w:val="yTable"/>
              <w:tabs>
                <w:tab w:val="left" w:pos="1134"/>
              </w:tabs>
              <w:rPr>
                <w:sz w:val="20"/>
              </w:rPr>
            </w:pPr>
            <w:r>
              <w:rPr>
                <w:sz w:val="20"/>
              </w:rPr>
              <w:t xml:space="preserve">$315 plus </w:t>
            </w:r>
            <w:r>
              <w:rPr>
                <w:sz w:val="20"/>
              </w:rPr>
              <w:tab/>
              <w:t>1.2 cents for each $1 in excess of $45 000</w:t>
            </w:r>
          </w:p>
        </w:tc>
      </w:tr>
      <w:tr>
        <w:tc>
          <w:tcPr>
            <w:tcW w:w="1134" w:type="dxa"/>
          </w:tcPr>
          <w:p>
            <w:pPr>
              <w:pStyle w:val="yTable"/>
              <w:ind w:right="142"/>
              <w:jc w:val="right"/>
              <w:rPr>
                <w:sz w:val="20"/>
              </w:rPr>
            </w:pPr>
            <w:r>
              <w:rPr>
                <w:sz w:val="20"/>
              </w:rPr>
              <w:t xml:space="preserve"> 50 000</w:t>
            </w:r>
          </w:p>
        </w:tc>
        <w:tc>
          <w:tcPr>
            <w:tcW w:w="1191" w:type="dxa"/>
          </w:tcPr>
          <w:p>
            <w:pPr>
              <w:pStyle w:val="yTable"/>
              <w:ind w:right="283"/>
              <w:jc w:val="right"/>
              <w:rPr>
                <w:sz w:val="20"/>
              </w:rPr>
            </w:pPr>
            <w:r>
              <w:rPr>
                <w:sz w:val="20"/>
              </w:rPr>
              <w:t xml:space="preserve"> 60 000</w:t>
            </w:r>
          </w:p>
        </w:tc>
        <w:tc>
          <w:tcPr>
            <w:tcW w:w="4763" w:type="dxa"/>
          </w:tcPr>
          <w:p>
            <w:pPr>
              <w:pStyle w:val="yTable"/>
              <w:tabs>
                <w:tab w:val="left" w:pos="1134"/>
              </w:tabs>
              <w:rPr>
                <w:sz w:val="20"/>
              </w:rPr>
            </w:pPr>
            <w:r>
              <w:rPr>
                <w:sz w:val="20"/>
              </w:rPr>
              <w:t xml:space="preserve">$375 plus </w:t>
            </w:r>
            <w:r>
              <w:rPr>
                <w:sz w:val="20"/>
              </w:rPr>
              <w:tab/>
              <w:t>1.3 cents for each $1 in excess of $50 000</w:t>
            </w:r>
          </w:p>
        </w:tc>
      </w:tr>
      <w:tr>
        <w:tc>
          <w:tcPr>
            <w:tcW w:w="1134" w:type="dxa"/>
          </w:tcPr>
          <w:p>
            <w:pPr>
              <w:pStyle w:val="yTable"/>
              <w:ind w:right="142"/>
              <w:jc w:val="right"/>
              <w:rPr>
                <w:sz w:val="20"/>
              </w:rPr>
            </w:pPr>
            <w:r>
              <w:rPr>
                <w:sz w:val="20"/>
              </w:rPr>
              <w:t xml:space="preserve"> 60 000</w:t>
            </w:r>
          </w:p>
        </w:tc>
        <w:tc>
          <w:tcPr>
            <w:tcW w:w="1191" w:type="dxa"/>
          </w:tcPr>
          <w:p>
            <w:pPr>
              <w:pStyle w:val="yTable"/>
              <w:ind w:right="283"/>
              <w:jc w:val="right"/>
              <w:rPr>
                <w:sz w:val="20"/>
              </w:rPr>
            </w:pPr>
            <w:r>
              <w:rPr>
                <w:sz w:val="20"/>
              </w:rPr>
              <w:t xml:space="preserve"> 70 000</w:t>
            </w:r>
          </w:p>
        </w:tc>
        <w:tc>
          <w:tcPr>
            <w:tcW w:w="4763" w:type="dxa"/>
          </w:tcPr>
          <w:p>
            <w:pPr>
              <w:pStyle w:val="yTable"/>
              <w:tabs>
                <w:tab w:val="left" w:pos="1134"/>
              </w:tabs>
              <w:rPr>
                <w:sz w:val="20"/>
              </w:rPr>
            </w:pPr>
            <w:r>
              <w:rPr>
                <w:sz w:val="20"/>
              </w:rPr>
              <w:t xml:space="preserve">$505 plus </w:t>
            </w:r>
            <w:r>
              <w:rPr>
                <w:sz w:val="20"/>
              </w:rPr>
              <w:tab/>
              <w:t>1.4 cents for each $1 in excess of $60 000</w:t>
            </w:r>
          </w:p>
        </w:tc>
      </w:tr>
      <w:tr>
        <w:tc>
          <w:tcPr>
            <w:tcW w:w="1134" w:type="dxa"/>
          </w:tcPr>
          <w:p>
            <w:pPr>
              <w:pStyle w:val="yTable"/>
              <w:ind w:right="142"/>
              <w:jc w:val="right"/>
              <w:rPr>
                <w:sz w:val="20"/>
              </w:rPr>
            </w:pPr>
            <w:r>
              <w:rPr>
                <w:sz w:val="20"/>
              </w:rPr>
              <w:t xml:space="preserve"> 70 000</w:t>
            </w:r>
          </w:p>
        </w:tc>
        <w:tc>
          <w:tcPr>
            <w:tcW w:w="1191" w:type="dxa"/>
          </w:tcPr>
          <w:p>
            <w:pPr>
              <w:pStyle w:val="yTable"/>
              <w:ind w:right="283"/>
              <w:jc w:val="right"/>
              <w:rPr>
                <w:sz w:val="20"/>
              </w:rPr>
            </w:pPr>
            <w:r>
              <w:rPr>
                <w:sz w:val="20"/>
              </w:rPr>
              <w:t xml:space="preserve"> 80 000</w:t>
            </w:r>
          </w:p>
        </w:tc>
        <w:tc>
          <w:tcPr>
            <w:tcW w:w="4763" w:type="dxa"/>
          </w:tcPr>
          <w:p>
            <w:pPr>
              <w:pStyle w:val="yTable"/>
              <w:tabs>
                <w:tab w:val="left" w:pos="1134"/>
              </w:tabs>
              <w:rPr>
                <w:sz w:val="20"/>
              </w:rPr>
            </w:pPr>
            <w:r>
              <w:rPr>
                <w:sz w:val="20"/>
              </w:rPr>
              <w:t xml:space="preserve">$645 plus </w:t>
            </w:r>
            <w:r>
              <w:rPr>
                <w:sz w:val="20"/>
              </w:rPr>
              <w:tab/>
              <w:t>1.5 cents for each $1 in excess of $70 000</w:t>
            </w:r>
          </w:p>
        </w:tc>
      </w:tr>
      <w:tr>
        <w:tc>
          <w:tcPr>
            <w:tcW w:w="1134" w:type="dxa"/>
          </w:tcPr>
          <w:p>
            <w:pPr>
              <w:pStyle w:val="yTable"/>
              <w:ind w:right="142"/>
              <w:jc w:val="right"/>
              <w:rPr>
                <w:sz w:val="20"/>
              </w:rPr>
            </w:pPr>
            <w:r>
              <w:rPr>
                <w:sz w:val="20"/>
              </w:rPr>
              <w:t xml:space="preserve"> 80 000</w:t>
            </w:r>
          </w:p>
        </w:tc>
        <w:tc>
          <w:tcPr>
            <w:tcW w:w="1191" w:type="dxa"/>
          </w:tcPr>
          <w:p>
            <w:pPr>
              <w:pStyle w:val="yTable"/>
              <w:ind w:right="283"/>
              <w:jc w:val="right"/>
              <w:rPr>
                <w:sz w:val="20"/>
              </w:rPr>
            </w:pPr>
            <w:r>
              <w:rPr>
                <w:sz w:val="20"/>
              </w:rPr>
              <w:t xml:space="preserve"> 90 000</w:t>
            </w:r>
          </w:p>
        </w:tc>
        <w:tc>
          <w:tcPr>
            <w:tcW w:w="4763" w:type="dxa"/>
          </w:tcPr>
          <w:p>
            <w:pPr>
              <w:pStyle w:val="yTable"/>
              <w:tabs>
                <w:tab w:val="left" w:pos="1134"/>
              </w:tabs>
              <w:rPr>
                <w:sz w:val="20"/>
              </w:rPr>
            </w:pPr>
            <w:r>
              <w:rPr>
                <w:sz w:val="20"/>
              </w:rPr>
              <w:t xml:space="preserve">$795 plus </w:t>
            </w:r>
            <w:r>
              <w:rPr>
                <w:sz w:val="20"/>
              </w:rPr>
              <w:tab/>
              <w:t>1.6 cents for each $1 in excess of $80 000</w:t>
            </w:r>
          </w:p>
        </w:tc>
      </w:tr>
      <w:tr>
        <w:tc>
          <w:tcPr>
            <w:tcW w:w="1134" w:type="dxa"/>
          </w:tcPr>
          <w:p>
            <w:pPr>
              <w:pStyle w:val="yTable"/>
              <w:ind w:right="142"/>
              <w:jc w:val="right"/>
              <w:rPr>
                <w:sz w:val="20"/>
              </w:rPr>
            </w:pPr>
            <w:r>
              <w:rPr>
                <w:sz w:val="20"/>
              </w:rPr>
              <w:t xml:space="preserve"> 90 000</w:t>
            </w:r>
          </w:p>
        </w:tc>
        <w:tc>
          <w:tcPr>
            <w:tcW w:w="1191" w:type="dxa"/>
          </w:tcPr>
          <w:p>
            <w:pPr>
              <w:pStyle w:val="yTable"/>
              <w:ind w:right="283"/>
              <w:jc w:val="right"/>
              <w:rPr>
                <w:sz w:val="20"/>
              </w:rPr>
            </w:pPr>
            <w:r>
              <w:rPr>
                <w:sz w:val="20"/>
              </w:rPr>
              <w:t xml:space="preserve"> 100 000</w:t>
            </w:r>
          </w:p>
        </w:tc>
        <w:tc>
          <w:tcPr>
            <w:tcW w:w="4763" w:type="dxa"/>
          </w:tcPr>
          <w:p>
            <w:pPr>
              <w:pStyle w:val="yTable"/>
              <w:tabs>
                <w:tab w:val="left" w:pos="1134"/>
              </w:tabs>
              <w:rPr>
                <w:sz w:val="20"/>
              </w:rPr>
            </w:pPr>
            <w:r>
              <w:rPr>
                <w:sz w:val="20"/>
              </w:rPr>
              <w:t xml:space="preserve">$955 plus </w:t>
            </w:r>
            <w:r>
              <w:rPr>
                <w:sz w:val="20"/>
              </w:rPr>
              <w:tab/>
              <w:t>1.8 cents for each $1 in excess of $90 000</w:t>
            </w:r>
          </w:p>
        </w:tc>
      </w:tr>
      <w:tr>
        <w:tc>
          <w:tcPr>
            <w:tcW w:w="1134" w:type="dxa"/>
          </w:tcPr>
          <w:p>
            <w:pPr>
              <w:pStyle w:val="yTable"/>
              <w:ind w:right="142"/>
              <w:jc w:val="right"/>
              <w:rPr>
                <w:sz w:val="20"/>
              </w:rPr>
            </w:pPr>
            <w:r>
              <w:rPr>
                <w:sz w:val="20"/>
              </w:rPr>
              <w:t>100 000</w:t>
            </w:r>
          </w:p>
        </w:tc>
        <w:tc>
          <w:tcPr>
            <w:tcW w:w="1191" w:type="dxa"/>
          </w:tcPr>
          <w:p>
            <w:pPr>
              <w:pStyle w:val="yTable"/>
              <w:ind w:right="283"/>
              <w:jc w:val="right"/>
              <w:rPr>
                <w:sz w:val="20"/>
              </w:rPr>
            </w:pPr>
            <w:r>
              <w:rPr>
                <w:sz w:val="20"/>
              </w:rPr>
              <w:t>110 000</w:t>
            </w:r>
          </w:p>
        </w:tc>
        <w:tc>
          <w:tcPr>
            <w:tcW w:w="4763" w:type="dxa"/>
          </w:tcPr>
          <w:p>
            <w:pPr>
              <w:pStyle w:val="yTable"/>
              <w:tabs>
                <w:tab w:val="left" w:pos="1134"/>
              </w:tabs>
              <w:ind w:right="-198"/>
              <w:rPr>
                <w:sz w:val="20"/>
              </w:rPr>
            </w:pPr>
            <w:r>
              <w:rPr>
                <w:sz w:val="20"/>
              </w:rPr>
              <w:t xml:space="preserve">$1 135 plus </w:t>
            </w:r>
            <w:r>
              <w:rPr>
                <w:sz w:val="20"/>
              </w:rPr>
              <w:tab/>
              <w:t>2.0 cents for each $1 in excess of $100 000</w:t>
            </w:r>
          </w:p>
        </w:tc>
      </w:tr>
      <w:tr>
        <w:tc>
          <w:tcPr>
            <w:tcW w:w="1134" w:type="dxa"/>
          </w:tcPr>
          <w:p>
            <w:pPr>
              <w:pStyle w:val="yTable"/>
              <w:ind w:right="142"/>
              <w:jc w:val="right"/>
              <w:rPr>
                <w:sz w:val="20"/>
              </w:rPr>
            </w:pPr>
            <w:r>
              <w:rPr>
                <w:sz w:val="20"/>
              </w:rPr>
              <w:t>110 000</w:t>
            </w:r>
          </w:p>
        </w:tc>
        <w:tc>
          <w:tcPr>
            <w:tcW w:w="1191" w:type="dxa"/>
          </w:tcPr>
          <w:p>
            <w:pPr>
              <w:pStyle w:val="yTable"/>
              <w:ind w:right="283"/>
              <w:jc w:val="right"/>
              <w:rPr>
                <w:sz w:val="20"/>
              </w:rPr>
            </w:pPr>
            <w:r>
              <w:rPr>
                <w:sz w:val="20"/>
              </w:rPr>
              <w:t>120 000</w:t>
            </w:r>
          </w:p>
        </w:tc>
        <w:tc>
          <w:tcPr>
            <w:tcW w:w="4763" w:type="dxa"/>
          </w:tcPr>
          <w:p>
            <w:pPr>
              <w:pStyle w:val="yTable"/>
              <w:tabs>
                <w:tab w:val="left" w:pos="1162"/>
              </w:tabs>
              <w:rPr>
                <w:sz w:val="20"/>
              </w:rPr>
            </w:pPr>
            <w:r>
              <w:rPr>
                <w:sz w:val="20"/>
              </w:rPr>
              <w:t xml:space="preserve">$1 335 plus </w:t>
            </w:r>
            <w:r>
              <w:rPr>
                <w:sz w:val="20"/>
              </w:rPr>
              <w:tab/>
              <w:t>2.2 cents for each $1 in excess of $110 000</w:t>
            </w:r>
          </w:p>
        </w:tc>
      </w:tr>
      <w:tr>
        <w:tc>
          <w:tcPr>
            <w:tcW w:w="1134" w:type="dxa"/>
          </w:tcPr>
          <w:p>
            <w:pPr>
              <w:pStyle w:val="yTable"/>
              <w:ind w:right="142"/>
              <w:jc w:val="right"/>
              <w:rPr>
                <w:sz w:val="20"/>
              </w:rPr>
            </w:pPr>
            <w:r>
              <w:rPr>
                <w:sz w:val="20"/>
              </w:rPr>
              <w:t>120 000</w:t>
            </w:r>
          </w:p>
        </w:tc>
        <w:tc>
          <w:tcPr>
            <w:tcW w:w="1191" w:type="dxa"/>
          </w:tcPr>
          <w:p>
            <w:pPr>
              <w:pStyle w:val="yTable"/>
              <w:ind w:right="283"/>
              <w:jc w:val="right"/>
              <w:rPr>
                <w:sz w:val="20"/>
              </w:rPr>
            </w:pPr>
          </w:p>
        </w:tc>
        <w:tc>
          <w:tcPr>
            <w:tcW w:w="4763" w:type="dxa"/>
          </w:tcPr>
          <w:p>
            <w:pPr>
              <w:pStyle w:val="yTable"/>
              <w:tabs>
                <w:tab w:val="left" w:pos="1162"/>
              </w:tabs>
              <w:rPr>
                <w:sz w:val="20"/>
              </w:rPr>
            </w:pPr>
            <w:r>
              <w:rPr>
                <w:sz w:val="20"/>
              </w:rPr>
              <w:t xml:space="preserve">$1 555 plus </w:t>
            </w:r>
            <w:r>
              <w:rPr>
                <w:sz w:val="20"/>
              </w:rPr>
              <w:tab/>
              <w:t>2.4 cents for each $1 in excess of $120 000</w:t>
            </w:r>
          </w:p>
        </w:tc>
      </w:tr>
    </w:tbl>
    <w:p>
      <w:pPr>
        <w:pStyle w:val="yFootnotesection"/>
      </w:pPr>
      <w:r>
        <w:tab/>
        <w:t xml:space="preserve">[Schedule 1 amended by No. 68 of 1986 s. 6; No. 17 of 1993 s. 13.] </w:t>
      </w:r>
    </w:p>
    <w:p>
      <w:pPr>
        <w:pStyle w:val="yScheduleHeading"/>
      </w:pPr>
      <w:bookmarkStart w:id="30" w:name="_Toc378945264"/>
      <w:bookmarkStart w:id="31" w:name="_Toc425838785"/>
      <w:r>
        <w:rPr>
          <w:rStyle w:val="CharSchNo"/>
        </w:rPr>
        <w:t>Schedule 2</w:t>
      </w:r>
      <w:bookmarkEnd w:id="30"/>
      <w:bookmarkEnd w:id="31"/>
    </w:p>
    <w:p>
      <w:pPr>
        <w:pStyle w:val="yShoulderClause"/>
        <w:spacing w:after="80"/>
        <w:rPr>
          <w:snapToGrid w:val="0"/>
        </w:rPr>
      </w:pPr>
      <w:r>
        <w:rPr>
          <w:snapToGrid w:val="0"/>
        </w:rPr>
        <w:t>[s. 6]</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blPrEx>
          <w:tblBorders>
            <w:top w:val="none" w:sz="0" w:space="0" w:color="auto"/>
          </w:tblBorders>
        </w:tblPrEx>
        <w:tc>
          <w:tcPr>
            <w:tcW w:w="1134" w:type="dxa"/>
            <w:tcBorders>
              <w:top w:val="single" w:sz="4" w:space="0" w:color="auto"/>
            </w:tcBorders>
          </w:tcPr>
          <w:p>
            <w:pPr>
              <w:pStyle w:val="yTable"/>
              <w:jc w:val="center"/>
              <w:rPr>
                <w:b/>
                <w:sz w:val="20"/>
              </w:rPr>
            </w:pPr>
            <w:r>
              <w:rPr>
                <w:b/>
                <w:sz w:val="20"/>
              </w:rPr>
              <w:b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rPr>
                <w:b/>
                <w:sz w:val="20"/>
              </w:rPr>
            </w:pPr>
          </w:p>
        </w:tc>
      </w:tr>
      <w:tr>
        <w:tc>
          <w:tcPr>
            <w:tcW w:w="1134" w:type="dxa"/>
          </w:tcPr>
          <w:p>
            <w:pPr>
              <w:pStyle w:val="yTable"/>
              <w:ind w:right="227"/>
              <w:jc w:val="right"/>
              <w:rPr>
                <w:sz w:val="20"/>
              </w:rPr>
            </w:pPr>
            <w:r>
              <w:rPr>
                <w:sz w:val="20"/>
              </w:rPr>
              <w:t>5 000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$12.50 plus 0.35 cent for each $1 in excess of $5 000</w:t>
            </w:r>
          </w:p>
        </w:tc>
      </w:tr>
      <w:tr>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20 000</w:t>
            </w:r>
          </w:p>
        </w:tc>
        <w:tc>
          <w:tcPr>
            <w:tcW w:w="4763" w:type="dxa"/>
          </w:tcPr>
          <w:p>
            <w:pPr>
              <w:pStyle w:val="yTable"/>
              <w:rPr>
                <w:sz w:val="20"/>
              </w:rPr>
            </w:pPr>
            <w:r>
              <w:rPr>
                <w:sz w:val="20"/>
              </w:rPr>
              <w:t>$30.00 plus 0.45 cent for each $1 in excess of $10 000</w:t>
            </w:r>
          </w:p>
        </w:tc>
      </w:tr>
      <w:tr>
        <w:tc>
          <w:tcPr>
            <w:tcW w:w="1134" w:type="dxa"/>
          </w:tcPr>
          <w:p>
            <w:pPr>
              <w:pStyle w:val="yTable"/>
              <w:ind w:right="227"/>
              <w:jc w:val="right"/>
              <w:rPr>
                <w:sz w:val="20"/>
              </w:rPr>
            </w:pPr>
            <w:r>
              <w:rPr>
                <w:sz w:val="20"/>
              </w:rPr>
              <w:t>20 000</w:t>
            </w:r>
          </w:p>
        </w:tc>
        <w:tc>
          <w:tcPr>
            <w:tcW w:w="1191" w:type="dxa"/>
          </w:tcPr>
          <w:p>
            <w:pPr>
              <w:pStyle w:val="yTable"/>
              <w:ind w:right="227"/>
              <w:jc w:val="right"/>
              <w:rPr>
                <w:sz w:val="20"/>
              </w:rPr>
            </w:pPr>
            <w:r>
              <w:rPr>
                <w:sz w:val="20"/>
              </w:rPr>
              <w:t>30 000</w:t>
            </w:r>
          </w:p>
        </w:tc>
        <w:tc>
          <w:tcPr>
            <w:tcW w:w="4763" w:type="dxa"/>
          </w:tcPr>
          <w:p>
            <w:pPr>
              <w:pStyle w:val="yTable"/>
              <w:rPr>
                <w:sz w:val="20"/>
              </w:rPr>
            </w:pPr>
            <w:r>
              <w:rPr>
                <w:sz w:val="20"/>
              </w:rPr>
              <w:t>$75.00 plus 0.60 cent for each $1 in excess of $20 000</w:t>
            </w:r>
          </w:p>
        </w:tc>
      </w:tr>
      <w:tr>
        <w:tc>
          <w:tcPr>
            <w:tcW w:w="1134" w:type="dxa"/>
          </w:tcPr>
          <w:p>
            <w:pPr>
              <w:pStyle w:val="yTable"/>
              <w:ind w:right="227"/>
              <w:jc w:val="right"/>
              <w:rPr>
                <w:sz w:val="20"/>
              </w:rPr>
            </w:pPr>
            <w:r>
              <w:rPr>
                <w:sz w:val="20"/>
              </w:rPr>
              <w:t>30 000</w:t>
            </w:r>
          </w:p>
        </w:tc>
        <w:tc>
          <w:tcPr>
            <w:tcW w:w="1191" w:type="dxa"/>
          </w:tcPr>
          <w:p>
            <w:pPr>
              <w:pStyle w:val="yTable"/>
              <w:ind w:right="227"/>
              <w:jc w:val="right"/>
              <w:rPr>
                <w:sz w:val="20"/>
              </w:rPr>
            </w:pPr>
            <w:r>
              <w:rPr>
                <w:sz w:val="20"/>
              </w:rPr>
              <w:t>40 000</w:t>
            </w:r>
          </w:p>
        </w:tc>
        <w:tc>
          <w:tcPr>
            <w:tcW w:w="4763" w:type="dxa"/>
          </w:tcPr>
          <w:p>
            <w:pPr>
              <w:pStyle w:val="yTable"/>
              <w:rPr>
                <w:sz w:val="20"/>
              </w:rPr>
            </w:pPr>
            <w:r>
              <w:rPr>
                <w:sz w:val="20"/>
              </w:rPr>
              <w:t>$135.00 plus 0.75 cent for each $1 in excess of $30 000</w:t>
            </w:r>
          </w:p>
        </w:tc>
      </w:tr>
      <w:tr>
        <w:tc>
          <w:tcPr>
            <w:tcW w:w="1134" w:type="dxa"/>
          </w:tcPr>
          <w:p>
            <w:pPr>
              <w:pStyle w:val="yTable"/>
              <w:ind w:right="227"/>
              <w:jc w:val="right"/>
              <w:rPr>
                <w:sz w:val="20"/>
              </w:rPr>
            </w:pPr>
            <w:r>
              <w:rPr>
                <w:sz w:val="20"/>
              </w:rPr>
              <w:t>40 000</w:t>
            </w:r>
          </w:p>
        </w:tc>
        <w:tc>
          <w:tcPr>
            <w:tcW w:w="1191" w:type="dxa"/>
          </w:tcPr>
          <w:p>
            <w:pPr>
              <w:pStyle w:val="yTable"/>
              <w:ind w:right="227"/>
              <w:jc w:val="right"/>
              <w:rPr>
                <w:sz w:val="20"/>
              </w:rPr>
            </w:pPr>
            <w:r>
              <w:rPr>
                <w:sz w:val="20"/>
              </w:rPr>
              <w:t>50 000</w:t>
            </w:r>
          </w:p>
        </w:tc>
        <w:tc>
          <w:tcPr>
            <w:tcW w:w="4763" w:type="dxa"/>
          </w:tcPr>
          <w:p>
            <w:pPr>
              <w:pStyle w:val="yTable"/>
              <w:rPr>
                <w:sz w:val="20"/>
              </w:rPr>
            </w:pPr>
            <w:r>
              <w:rPr>
                <w:sz w:val="20"/>
              </w:rPr>
              <w:t>$210.00 plus 1.00 cent for each $1 in excess of $40 000</w:t>
            </w:r>
          </w:p>
        </w:tc>
      </w:tr>
      <w:tr>
        <w:tc>
          <w:tcPr>
            <w:tcW w:w="1134" w:type="dxa"/>
          </w:tcPr>
          <w:p>
            <w:pPr>
              <w:pStyle w:val="yTable"/>
              <w:ind w:right="227"/>
              <w:jc w:val="right"/>
              <w:rPr>
                <w:sz w:val="20"/>
              </w:rPr>
            </w:pPr>
            <w:r>
              <w:rPr>
                <w:sz w:val="20"/>
              </w:rPr>
              <w:t>50 000</w:t>
            </w:r>
          </w:p>
        </w:tc>
        <w:tc>
          <w:tcPr>
            <w:tcW w:w="1191" w:type="dxa"/>
          </w:tcPr>
          <w:p>
            <w:pPr>
              <w:pStyle w:val="yTable"/>
              <w:ind w:right="227"/>
              <w:jc w:val="right"/>
              <w:rPr>
                <w:sz w:val="20"/>
              </w:rPr>
            </w:pPr>
            <w:r>
              <w:rPr>
                <w:sz w:val="20"/>
              </w:rPr>
              <w:t>80 000</w:t>
            </w:r>
          </w:p>
        </w:tc>
        <w:tc>
          <w:tcPr>
            <w:tcW w:w="4763" w:type="dxa"/>
          </w:tcPr>
          <w:p>
            <w:pPr>
              <w:pStyle w:val="yTable"/>
              <w:rPr>
                <w:sz w:val="20"/>
              </w:rPr>
            </w:pPr>
            <w:r>
              <w:rPr>
                <w:sz w:val="20"/>
              </w:rPr>
              <w:t>$310.00 plus 1.30 cents for each $1 in excess of $50 000</w:t>
            </w:r>
          </w:p>
        </w:tc>
      </w:tr>
      <w:tr>
        <w:tc>
          <w:tcPr>
            <w:tcW w:w="1134" w:type="dxa"/>
          </w:tcPr>
          <w:p>
            <w:pPr>
              <w:pStyle w:val="yTable"/>
              <w:ind w:right="227"/>
              <w:jc w:val="right"/>
              <w:rPr>
                <w:sz w:val="20"/>
              </w:rPr>
            </w:pPr>
            <w:r>
              <w:rPr>
                <w:sz w:val="20"/>
              </w:rPr>
              <w:t>80 000</w:t>
            </w:r>
          </w:p>
        </w:tc>
        <w:tc>
          <w:tcPr>
            <w:tcW w:w="1191" w:type="dxa"/>
          </w:tcPr>
          <w:p>
            <w:pPr>
              <w:pStyle w:val="yTable"/>
              <w:ind w:right="227"/>
              <w:jc w:val="right"/>
              <w:rPr>
                <w:sz w:val="20"/>
              </w:rPr>
            </w:pPr>
            <w:r>
              <w:rPr>
                <w:sz w:val="20"/>
              </w:rPr>
              <w:t>110 000</w:t>
            </w:r>
          </w:p>
        </w:tc>
        <w:tc>
          <w:tcPr>
            <w:tcW w:w="4763" w:type="dxa"/>
          </w:tcPr>
          <w:p>
            <w:pPr>
              <w:pStyle w:val="yTable"/>
              <w:rPr>
                <w:sz w:val="20"/>
              </w:rPr>
            </w:pPr>
            <w:r>
              <w:rPr>
                <w:sz w:val="20"/>
              </w:rPr>
              <w:t>$700.00 plus 1.60 cents for each $1 in excess of $80 000</w:t>
            </w:r>
          </w:p>
        </w:tc>
      </w:tr>
      <w:tr>
        <w:tc>
          <w:tcPr>
            <w:tcW w:w="1134" w:type="dxa"/>
          </w:tcPr>
          <w:p>
            <w:pPr>
              <w:pStyle w:val="yTable"/>
              <w:ind w:right="227"/>
              <w:jc w:val="right"/>
              <w:rPr>
                <w:sz w:val="20"/>
              </w:rPr>
            </w:pPr>
            <w:r>
              <w:rPr>
                <w:sz w:val="20"/>
              </w:rPr>
              <w:t>110 000</w:t>
            </w:r>
          </w:p>
        </w:tc>
        <w:tc>
          <w:tcPr>
            <w:tcW w:w="1191" w:type="dxa"/>
          </w:tcPr>
          <w:p>
            <w:pPr>
              <w:pStyle w:val="yTable"/>
              <w:ind w:right="227"/>
              <w:jc w:val="right"/>
              <w:rPr>
                <w:sz w:val="20"/>
              </w:rPr>
            </w:pPr>
            <w:r>
              <w:rPr>
                <w:sz w:val="20"/>
              </w:rPr>
              <w:t>150 000</w:t>
            </w:r>
          </w:p>
        </w:tc>
        <w:tc>
          <w:tcPr>
            <w:tcW w:w="4763" w:type="dxa"/>
          </w:tcPr>
          <w:p>
            <w:pPr>
              <w:pStyle w:val="yTable"/>
              <w:rPr>
                <w:sz w:val="20"/>
              </w:rPr>
            </w:pPr>
            <w:r>
              <w:rPr>
                <w:sz w:val="20"/>
              </w:rPr>
              <w:t>$1 180.00 plus 1.90 cents for each $1 in excess of $110 000</w:t>
            </w:r>
          </w:p>
        </w:tc>
      </w:tr>
      <w:tr>
        <w:tc>
          <w:tcPr>
            <w:tcW w:w="1134" w:type="dxa"/>
          </w:tcPr>
          <w:p>
            <w:pPr>
              <w:pStyle w:val="yTable"/>
              <w:ind w:right="227"/>
              <w:jc w:val="right"/>
              <w:rPr>
                <w:sz w:val="20"/>
              </w:rPr>
            </w:pPr>
            <w:r>
              <w:rPr>
                <w:sz w:val="20"/>
              </w:rPr>
              <w:t>150 000</w:t>
            </w:r>
          </w:p>
        </w:tc>
        <w:tc>
          <w:tcPr>
            <w:tcW w:w="1191" w:type="dxa"/>
          </w:tcPr>
          <w:p>
            <w:pPr>
              <w:pStyle w:val="yTable"/>
              <w:ind w:right="227"/>
              <w:jc w:val="right"/>
              <w:rPr>
                <w:sz w:val="20"/>
              </w:rPr>
            </w:pPr>
          </w:p>
        </w:tc>
        <w:tc>
          <w:tcPr>
            <w:tcW w:w="4763" w:type="dxa"/>
          </w:tcPr>
          <w:p>
            <w:pPr>
              <w:pStyle w:val="yTable"/>
              <w:rPr>
                <w:sz w:val="20"/>
              </w:rPr>
            </w:pPr>
            <w:r>
              <w:rPr>
                <w:sz w:val="20"/>
              </w:rPr>
              <w:t>$1 940.00 plus 2.00 cents for each $1 in excess of $150 000</w:t>
            </w:r>
          </w:p>
        </w:tc>
      </w:tr>
    </w:tbl>
    <w:p>
      <w:pPr>
        <w:pStyle w:val="yFootnotesection"/>
      </w:pPr>
      <w:r>
        <w:tab/>
        <w:t xml:space="preserve">[Schedule 2 inserted by No. 68 of 1986 s. 7; amended by No. 17 of 1993 s. 13.] </w:t>
      </w:r>
    </w:p>
    <w:p>
      <w:pPr>
        <w:pStyle w:val="yScheduleHeading"/>
      </w:pPr>
      <w:bookmarkStart w:id="32" w:name="_Toc378945265"/>
      <w:bookmarkStart w:id="33" w:name="_Toc425838786"/>
      <w:r>
        <w:rPr>
          <w:rStyle w:val="CharSchNo"/>
        </w:rPr>
        <w:t>Schedule 3</w:t>
      </w:r>
      <w:bookmarkEnd w:id="32"/>
      <w:bookmarkEnd w:id="33"/>
      <w:r>
        <w:t xml:space="preserve"> </w:t>
      </w:r>
    </w:p>
    <w:p>
      <w:pPr>
        <w:pStyle w:val="yShoulderClause"/>
        <w:spacing w:after="80"/>
        <w:rPr>
          <w:snapToGrid w:val="0"/>
        </w:rPr>
      </w:pPr>
      <w:r>
        <w:rPr>
          <w:snapToGrid w:val="0"/>
        </w:rPr>
        <w:t>[s. 7]</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blPrEx>
          <w:tblBorders>
            <w:top w:val="none" w:sz="0" w:space="0" w:color="auto"/>
          </w:tblBorders>
        </w:tblPrEx>
        <w:tc>
          <w:tcPr>
            <w:tcW w:w="1134" w:type="dxa"/>
            <w:tcBorders>
              <w:top w:val="single" w:sz="4" w:space="0" w:color="auto"/>
            </w:tcBorders>
          </w:tcPr>
          <w:p>
            <w:pPr>
              <w:pStyle w:val="yTable"/>
              <w:jc w:val="center"/>
              <w:rPr>
                <w:b/>
                <w:sz w:val="20"/>
              </w:rPr>
            </w:pPr>
            <w:r>
              <w:rPr>
                <w:b/>
                <w:sz w:val="20"/>
              </w:rPr>
              <w:br/>
              <w:t>Exceeding</w:t>
            </w:r>
            <w:r>
              <w:rPr>
                <w:b/>
                <w:sz w:val="20"/>
              </w:rPr>
              <w:br/>
              <w:t>$</w:t>
            </w:r>
          </w:p>
        </w:tc>
        <w:tc>
          <w:tcPr>
            <w:tcW w:w="1191" w:type="dxa"/>
            <w:tcBorders>
              <w:top w:val="single" w:sz="4" w:space="0" w:color="auto"/>
            </w:tcBorders>
          </w:tcPr>
          <w:p>
            <w:pPr>
              <w:pStyle w:val="yTable"/>
              <w:jc w:val="center"/>
              <w:rPr>
                <w:b/>
                <w:sz w:val="20"/>
              </w:rPr>
            </w:pPr>
            <w:r>
              <w:rPr>
                <w:b/>
                <w:sz w:val="20"/>
              </w:rPr>
              <w:t>Not</w:t>
            </w:r>
            <w:r>
              <w:rPr>
                <w:b/>
                <w:sz w:val="20"/>
              </w:rPr>
              <w:br/>
              <w:t>Exceeding</w:t>
            </w:r>
            <w:r>
              <w:rPr>
                <w:b/>
                <w:sz w:val="20"/>
              </w:rPr>
              <w:br/>
              <w:t>$</w:t>
            </w:r>
          </w:p>
        </w:tc>
        <w:tc>
          <w:tcPr>
            <w:tcW w:w="4763" w:type="dxa"/>
            <w:tcBorders>
              <w:top w:val="single" w:sz="4" w:space="0" w:color="auto"/>
            </w:tcBorders>
          </w:tcPr>
          <w:p>
            <w:pPr>
              <w:pStyle w:val="yTable"/>
              <w:rPr>
                <w:b/>
                <w:sz w:val="20"/>
              </w:rPr>
            </w:pP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50 000</w:t>
            </w:r>
          </w:p>
        </w:tc>
        <w:tc>
          <w:tcPr>
            <w:tcW w:w="4763" w:type="dxa"/>
          </w:tcPr>
          <w:p>
            <w:pPr>
              <w:pStyle w:val="yTable"/>
              <w:rPr>
                <w:sz w:val="20"/>
              </w:rPr>
            </w:pPr>
            <w:r>
              <w:rPr>
                <w:sz w:val="20"/>
              </w:rPr>
              <w:t>$15.00 plus 0.15 cent for each $1 in excess of $10 000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50 000</w:t>
            </w:r>
          </w:p>
        </w:tc>
        <w:tc>
          <w:tcPr>
            <w:tcW w:w="1191" w:type="dxa"/>
          </w:tcPr>
          <w:p>
            <w:pPr>
              <w:pStyle w:val="yTable"/>
              <w:ind w:right="227"/>
              <w:jc w:val="right"/>
              <w:rPr>
                <w:sz w:val="20"/>
              </w:rPr>
            </w:pPr>
            <w:r>
              <w:rPr>
                <w:sz w:val="20"/>
              </w:rPr>
              <w:t>100 000</w:t>
            </w:r>
          </w:p>
        </w:tc>
        <w:tc>
          <w:tcPr>
            <w:tcW w:w="4763" w:type="dxa"/>
          </w:tcPr>
          <w:p>
            <w:pPr>
              <w:pStyle w:val="yTable"/>
              <w:rPr>
                <w:sz w:val="20"/>
              </w:rPr>
            </w:pPr>
            <w:r>
              <w:rPr>
                <w:sz w:val="20"/>
              </w:rPr>
              <w:t>$75.00 plus 0.35 cent for each $1 in excess of $50 000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100 000</w:t>
            </w:r>
          </w:p>
        </w:tc>
        <w:tc>
          <w:tcPr>
            <w:tcW w:w="1191" w:type="dxa"/>
          </w:tcPr>
          <w:p>
            <w:pPr>
              <w:pStyle w:val="yTable"/>
              <w:ind w:right="227"/>
              <w:jc w:val="right"/>
              <w:rPr>
                <w:sz w:val="20"/>
              </w:rPr>
            </w:pPr>
            <w:r>
              <w:rPr>
                <w:sz w:val="20"/>
              </w:rPr>
              <w:t>150 000</w:t>
            </w:r>
          </w:p>
        </w:tc>
        <w:tc>
          <w:tcPr>
            <w:tcW w:w="4763" w:type="dxa"/>
          </w:tcPr>
          <w:p>
            <w:pPr>
              <w:pStyle w:val="yTable"/>
              <w:rPr>
                <w:sz w:val="20"/>
              </w:rPr>
            </w:pPr>
            <w:r>
              <w:rPr>
                <w:sz w:val="20"/>
              </w:rPr>
              <w:t>$250.00 plus 0.60 cent for each $1 in excess of $100 000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150 000</w:t>
            </w:r>
          </w:p>
        </w:tc>
        <w:tc>
          <w:tcPr>
            <w:tcW w:w="1191" w:type="dxa"/>
          </w:tcPr>
          <w:p>
            <w:pPr>
              <w:pStyle w:val="yTable"/>
              <w:ind w:right="227"/>
              <w:jc w:val="right"/>
              <w:rPr>
                <w:sz w:val="20"/>
              </w:rPr>
            </w:pPr>
            <w:r>
              <w:rPr>
                <w:sz w:val="20"/>
              </w:rPr>
              <w:t>200 000</w:t>
            </w:r>
          </w:p>
        </w:tc>
        <w:tc>
          <w:tcPr>
            <w:tcW w:w="4763" w:type="dxa"/>
          </w:tcPr>
          <w:p>
            <w:pPr>
              <w:pStyle w:val="yTable"/>
              <w:rPr>
                <w:sz w:val="20"/>
              </w:rPr>
            </w:pPr>
            <w:r>
              <w:rPr>
                <w:sz w:val="20"/>
              </w:rPr>
              <w:t>$550.00 plus 0.85 cent for each $1 in excess of $150 000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200 000</w:t>
            </w:r>
          </w:p>
        </w:tc>
        <w:tc>
          <w:tcPr>
            <w:tcW w:w="1191" w:type="dxa"/>
          </w:tcPr>
          <w:p>
            <w:pPr>
              <w:pStyle w:val="yTable"/>
              <w:ind w:right="227"/>
              <w:jc w:val="right"/>
              <w:rPr>
                <w:sz w:val="20"/>
              </w:rPr>
            </w:pPr>
            <w:r>
              <w:rPr>
                <w:sz w:val="20"/>
              </w:rPr>
              <w:t>500 000</w:t>
            </w:r>
          </w:p>
        </w:tc>
        <w:tc>
          <w:tcPr>
            <w:tcW w:w="4763" w:type="dxa"/>
          </w:tcPr>
          <w:p>
            <w:pPr>
              <w:pStyle w:val="yTable"/>
              <w:rPr>
                <w:sz w:val="20"/>
              </w:rPr>
            </w:pPr>
            <w:r>
              <w:rPr>
                <w:sz w:val="20"/>
              </w:rPr>
              <w:t>$975.00 plus 1.20 cents for each $1 in excess of $200 000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500 000</w:t>
            </w:r>
          </w:p>
        </w:tc>
        <w:tc>
          <w:tcPr>
            <w:tcW w:w="1191" w:type="dxa"/>
          </w:tcPr>
          <w:p>
            <w:pPr>
              <w:pStyle w:val="yTable"/>
              <w:ind w:right="227"/>
              <w:jc w:val="right"/>
              <w:rPr>
                <w:sz w:val="20"/>
              </w:rPr>
            </w:pPr>
            <w:r>
              <w:rPr>
                <w:sz w:val="20"/>
              </w:rPr>
              <w:t>1 000 000</w:t>
            </w:r>
          </w:p>
        </w:tc>
        <w:tc>
          <w:tcPr>
            <w:tcW w:w="4763" w:type="dxa"/>
          </w:tcPr>
          <w:p>
            <w:pPr>
              <w:pStyle w:val="yTable"/>
              <w:rPr>
                <w:sz w:val="20"/>
              </w:rPr>
            </w:pPr>
            <w:r>
              <w:rPr>
                <w:sz w:val="20"/>
              </w:rPr>
              <w:t>$4 575.00 plus 1.60 cents for each $1 in excess of $500 000</w:t>
            </w:r>
          </w:p>
        </w:tc>
      </w:tr>
      <w:tr>
        <w:tblPrEx>
          <w:tblBorders>
            <w:top w:val="none" w:sz="0" w:space="0" w:color="auto"/>
            <w:bottom w:val="none" w:sz="0" w:space="0" w:color="auto"/>
          </w:tblBorders>
        </w:tblPrEx>
        <w:tc>
          <w:tcPr>
            <w:tcW w:w="1134" w:type="dxa"/>
            <w:tcBorders>
              <w:bottom w:val="single" w:sz="4" w:space="0" w:color="auto"/>
            </w:tcBorders>
          </w:tcPr>
          <w:p>
            <w:pPr>
              <w:pStyle w:val="yTable"/>
              <w:ind w:right="227"/>
              <w:jc w:val="right"/>
              <w:rPr>
                <w:sz w:val="20"/>
              </w:rPr>
            </w:pPr>
            <w:r>
              <w:rPr>
                <w:sz w:val="20"/>
              </w:rPr>
              <w:t>1 000 000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$12 575.00 plus 2.00 cents for each $1 in excess of $1 000 000</w:t>
            </w:r>
          </w:p>
        </w:tc>
      </w:tr>
    </w:tbl>
    <w:p>
      <w:pPr>
        <w:pStyle w:val="yFootnotesection"/>
      </w:pPr>
      <w:r>
        <w:tab/>
        <w:t xml:space="preserve">[Schedule 3 inserted by No. 16 of 1993 s. 6.] </w:t>
      </w:r>
    </w:p>
    <w:p>
      <w:pPr>
        <w:pStyle w:val="yScheduleHeading"/>
      </w:pPr>
      <w:bookmarkStart w:id="34" w:name="_Toc378945266"/>
      <w:bookmarkStart w:id="35" w:name="_Toc425838787"/>
      <w:r>
        <w:rPr>
          <w:rStyle w:val="CharSchNo"/>
        </w:rPr>
        <w:t>Schedule 4</w:t>
      </w:r>
      <w:bookmarkEnd w:id="34"/>
      <w:bookmarkEnd w:id="35"/>
      <w:r>
        <w:t xml:space="preserve"> </w:t>
      </w:r>
    </w:p>
    <w:p>
      <w:pPr>
        <w:pStyle w:val="yShoulderClause"/>
        <w:spacing w:after="80"/>
        <w:rPr>
          <w:snapToGrid w:val="0"/>
        </w:rPr>
      </w:pPr>
      <w:r>
        <w:rPr>
          <w:snapToGrid w:val="0"/>
        </w:rPr>
        <w:t>[s. 8]</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blPrEx>
          <w:tblBorders>
            <w:top w:val="none" w:sz="0" w:space="0" w:color="auto"/>
            <w:bottom w:val="none" w:sz="0" w:space="0" w:color="auto"/>
          </w:tblBorders>
        </w:tblPrEx>
        <w:tc>
          <w:tcPr>
            <w:tcW w:w="1134" w:type="dxa"/>
          </w:tcPr>
          <w:p>
            <w:pPr>
              <w:pStyle w:val="yTable"/>
              <w:jc w:val="center"/>
              <w:rPr>
                <w:b/>
                <w:sz w:val="20"/>
              </w:rPr>
            </w:pPr>
            <w:r>
              <w:rPr>
                <w:b/>
                <w:sz w:val="20"/>
              </w:rPr>
              <w:br/>
              <w:t>Exceeding</w:t>
            </w:r>
            <w:r>
              <w:rPr>
                <w:b/>
                <w:sz w:val="20"/>
              </w:rPr>
              <w:br/>
              <w:t>$</w:t>
            </w:r>
          </w:p>
        </w:tc>
        <w:tc>
          <w:tcPr>
            <w:tcW w:w="1191" w:type="dxa"/>
          </w:tcPr>
          <w:p>
            <w:pPr>
              <w:pStyle w:val="yTable"/>
              <w:jc w:val="center"/>
              <w:rPr>
                <w:b/>
                <w:sz w:val="20"/>
              </w:rPr>
            </w:pPr>
            <w:r>
              <w:rPr>
                <w:b/>
                <w:sz w:val="20"/>
              </w:rPr>
              <w:t>Not</w:t>
            </w:r>
            <w:r>
              <w:rPr>
                <w:b/>
                <w:sz w:val="20"/>
              </w:rPr>
              <w:br/>
              <w:t>Exceeding</w:t>
            </w:r>
            <w:r>
              <w:rPr>
                <w:b/>
                <w:sz w:val="20"/>
              </w:rPr>
              <w:br/>
              <w:t>$</w:t>
            </w:r>
          </w:p>
        </w:tc>
        <w:tc>
          <w:tcPr>
            <w:tcW w:w="4763" w:type="dxa"/>
          </w:tcPr>
          <w:p>
            <w:pPr>
              <w:pStyle w:val="yTable"/>
              <w:rPr>
                <w:b/>
                <w:sz w:val="20"/>
              </w:rPr>
            </w:pP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0</w:t>
            </w:r>
          </w:p>
        </w:tc>
        <w:tc>
          <w:tcPr>
            <w:tcW w:w="1191" w:type="dxa"/>
          </w:tcPr>
          <w:p>
            <w:pPr>
              <w:pStyle w:val="yTable"/>
              <w:ind w:right="227"/>
              <w:jc w:val="right"/>
              <w:rPr>
                <w:sz w:val="20"/>
              </w:rPr>
            </w:pPr>
            <w:r>
              <w:rPr>
                <w:sz w:val="20"/>
              </w:rPr>
              <w:t xml:space="preserve">   10 000</w:t>
            </w:r>
          </w:p>
        </w:tc>
        <w:tc>
          <w:tcPr>
            <w:tcW w:w="4763" w:type="dxa"/>
          </w:tcPr>
          <w:p>
            <w:pPr>
              <w:pStyle w:val="yTable"/>
              <w:rPr>
                <w:sz w:val="20"/>
              </w:rPr>
            </w:pPr>
            <w:r>
              <w:rPr>
                <w:sz w:val="20"/>
              </w:rPr>
              <w:t>Nil</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10 000</w:t>
            </w:r>
          </w:p>
        </w:tc>
        <w:tc>
          <w:tcPr>
            <w:tcW w:w="1191" w:type="dxa"/>
          </w:tcPr>
          <w:p>
            <w:pPr>
              <w:pStyle w:val="yTable"/>
              <w:ind w:right="227"/>
              <w:jc w:val="right"/>
              <w:rPr>
                <w:sz w:val="20"/>
              </w:rPr>
            </w:pPr>
            <w:r>
              <w:rPr>
                <w:sz w:val="20"/>
              </w:rPr>
              <w:t xml:space="preserve">   60 000</w:t>
            </w:r>
          </w:p>
        </w:tc>
        <w:tc>
          <w:tcPr>
            <w:tcW w:w="4763" w:type="dxa"/>
          </w:tcPr>
          <w:p>
            <w:pPr>
              <w:pStyle w:val="yTable"/>
              <w:rPr>
                <w:sz w:val="20"/>
              </w:rPr>
            </w:pPr>
            <w:r>
              <w:rPr>
                <w:sz w:val="20"/>
              </w:rPr>
              <w:t>$15.00 plus 0.15 cent for each $1 in excess of $10 000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60 000</w:t>
            </w:r>
          </w:p>
        </w:tc>
        <w:tc>
          <w:tcPr>
            <w:tcW w:w="1191" w:type="dxa"/>
          </w:tcPr>
          <w:p>
            <w:pPr>
              <w:pStyle w:val="yTable"/>
              <w:ind w:right="227"/>
              <w:jc w:val="right"/>
              <w:rPr>
                <w:sz w:val="20"/>
              </w:rPr>
            </w:pPr>
            <w:r>
              <w:rPr>
                <w:sz w:val="20"/>
              </w:rPr>
              <w:t xml:space="preserve">  120 000</w:t>
            </w:r>
          </w:p>
        </w:tc>
        <w:tc>
          <w:tcPr>
            <w:tcW w:w="4763" w:type="dxa"/>
          </w:tcPr>
          <w:p>
            <w:pPr>
              <w:pStyle w:val="yTable"/>
              <w:rPr>
                <w:sz w:val="20"/>
              </w:rPr>
            </w:pPr>
            <w:r>
              <w:rPr>
                <w:sz w:val="20"/>
              </w:rPr>
              <w:t>$90.00 plus 0.35 cent for each $1 in excess of $60 000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120 000</w:t>
            </w:r>
          </w:p>
        </w:tc>
        <w:tc>
          <w:tcPr>
            <w:tcW w:w="1191" w:type="dxa"/>
          </w:tcPr>
          <w:p>
            <w:pPr>
              <w:pStyle w:val="yTable"/>
              <w:ind w:right="227"/>
              <w:jc w:val="right"/>
              <w:rPr>
                <w:sz w:val="20"/>
              </w:rPr>
            </w:pPr>
            <w:r>
              <w:rPr>
                <w:sz w:val="20"/>
              </w:rPr>
              <w:t xml:space="preserve">  175 000</w:t>
            </w:r>
          </w:p>
        </w:tc>
        <w:tc>
          <w:tcPr>
            <w:tcW w:w="4763" w:type="dxa"/>
          </w:tcPr>
          <w:p>
            <w:pPr>
              <w:pStyle w:val="yTable"/>
              <w:rPr>
                <w:sz w:val="20"/>
              </w:rPr>
            </w:pPr>
            <w:r>
              <w:rPr>
                <w:sz w:val="20"/>
              </w:rPr>
              <w:t>$300.00 plus 0.60 cent for each $1 in excess of $120 000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175 000</w:t>
            </w:r>
          </w:p>
        </w:tc>
        <w:tc>
          <w:tcPr>
            <w:tcW w:w="1191" w:type="dxa"/>
          </w:tcPr>
          <w:p>
            <w:pPr>
              <w:pStyle w:val="yTable"/>
              <w:ind w:right="227"/>
              <w:jc w:val="right"/>
              <w:rPr>
                <w:sz w:val="20"/>
              </w:rPr>
            </w:pPr>
            <w:r>
              <w:rPr>
                <w:sz w:val="20"/>
              </w:rPr>
              <w:t xml:space="preserve">  240 000</w:t>
            </w:r>
          </w:p>
        </w:tc>
        <w:tc>
          <w:tcPr>
            <w:tcW w:w="4763" w:type="dxa"/>
          </w:tcPr>
          <w:p>
            <w:pPr>
              <w:pStyle w:val="yTable"/>
              <w:rPr>
                <w:sz w:val="20"/>
              </w:rPr>
            </w:pPr>
            <w:r>
              <w:rPr>
                <w:sz w:val="20"/>
              </w:rPr>
              <w:t>$630.00 plus 0.85 cent for each $1 in excess of $175 000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240 000</w:t>
            </w:r>
          </w:p>
        </w:tc>
        <w:tc>
          <w:tcPr>
            <w:tcW w:w="1191" w:type="dxa"/>
          </w:tcPr>
          <w:p>
            <w:pPr>
              <w:pStyle w:val="yTable"/>
              <w:ind w:right="227"/>
              <w:jc w:val="right"/>
              <w:rPr>
                <w:sz w:val="20"/>
              </w:rPr>
            </w:pPr>
            <w:r>
              <w:rPr>
                <w:sz w:val="20"/>
              </w:rPr>
              <w:t xml:space="preserve">  550 000</w:t>
            </w:r>
          </w:p>
        </w:tc>
        <w:tc>
          <w:tcPr>
            <w:tcW w:w="4763" w:type="dxa"/>
          </w:tcPr>
          <w:p>
            <w:pPr>
              <w:pStyle w:val="yTable"/>
              <w:rPr>
                <w:sz w:val="20"/>
              </w:rPr>
            </w:pPr>
            <w:r>
              <w:rPr>
                <w:sz w:val="20"/>
              </w:rPr>
              <w:t>$1 182.50 plus 1.20 cents for each $1 in excess of $240 000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 xml:space="preserve">  550 000</w:t>
            </w:r>
          </w:p>
        </w:tc>
        <w:tc>
          <w:tcPr>
            <w:tcW w:w="1191" w:type="dxa"/>
          </w:tcPr>
          <w:p>
            <w:pPr>
              <w:pStyle w:val="yTable"/>
              <w:ind w:right="227"/>
              <w:jc w:val="right"/>
              <w:rPr>
                <w:sz w:val="20"/>
              </w:rPr>
            </w:pPr>
            <w:r>
              <w:rPr>
                <w:sz w:val="20"/>
              </w:rPr>
              <w:t>1 000 000</w:t>
            </w:r>
          </w:p>
        </w:tc>
        <w:tc>
          <w:tcPr>
            <w:tcW w:w="4763" w:type="dxa"/>
          </w:tcPr>
          <w:p>
            <w:pPr>
              <w:pStyle w:val="yTable"/>
              <w:rPr>
                <w:sz w:val="20"/>
              </w:rPr>
            </w:pPr>
            <w:r>
              <w:rPr>
                <w:sz w:val="20"/>
              </w:rPr>
              <w:t>$4 902.50 plus 1.60 cents for each $1 in excess of $550 000</w:t>
            </w:r>
          </w:p>
        </w:tc>
      </w:tr>
      <w:tr>
        <w:tblPrEx>
          <w:tblBorders>
            <w:top w:val="none" w:sz="0" w:space="0" w:color="auto"/>
            <w:bottom w:val="none" w:sz="0" w:space="0" w:color="auto"/>
          </w:tblBorders>
        </w:tblPrEx>
        <w:tc>
          <w:tcPr>
            <w:tcW w:w="1134" w:type="dxa"/>
            <w:tcBorders>
              <w:bottom w:val="single" w:sz="4" w:space="0" w:color="auto"/>
            </w:tcBorders>
          </w:tcPr>
          <w:p>
            <w:pPr>
              <w:pStyle w:val="yTable"/>
              <w:ind w:right="227"/>
              <w:jc w:val="right"/>
              <w:rPr>
                <w:sz w:val="20"/>
              </w:rPr>
            </w:pPr>
            <w:r>
              <w:rPr>
                <w:sz w:val="20"/>
              </w:rPr>
              <w:t>1 000 000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$12 102.50 plus 2.00 cents for each $1 in excess of $1 000 000</w:t>
            </w:r>
          </w:p>
        </w:tc>
      </w:tr>
    </w:tbl>
    <w:p>
      <w:pPr>
        <w:pStyle w:val="yFootnotesection"/>
      </w:pPr>
      <w:r>
        <w:tab/>
        <w:t>[Schedule 4 inserted by No. 38 of 1995 s. 6.]</w:t>
      </w:r>
    </w:p>
    <w:p>
      <w:pPr>
        <w:pStyle w:val="yScheduleHeading"/>
      </w:pPr>
      <w:bookmarkStart w:id="36" w:name="_Toc378945267"/>
      <w:bookmarkStart w:id="37" w:name="_Toc425838788"/>
      <w:r>
        <w:rPr>
          <w:rStyle w:val="CharSchNo"/>
        </w:rPr>
        <w:t>Schedule 5</w:t>
      </w:r>
      <w:bookmarkEnd w:id="36"/>
      <w:bookmarkEnd w:id="37"/>
    </w:p>
    <w:p>
      <w:pPr>
        <w:pStyle w:val="yShoulderClause"/>
        <w:spacing w:after="80"/>
      </w:pPr>
      <w:r>
        <w:t>[s. 9]</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ind w:left="851" w:right="851"/>
        <w:jc w:val="both"/>
        <w:rPr>
          <w:spacing w:val="-2"/>
        </w:rPr>
      </w:pPr>
    </w:p>
    <w:tbl>
      <w:tblPr>
        <w:tblW w:w="7088" w:type="dxa"/>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blPrEx>
          <w:tblBorders>
            <w:top w:val="none" w:sz="0" w:space="0" w:color="auto"/>
            <w:bottom w:val="none" w:sz="0" w:space="0" w:color="auto"/>
          </w:tblBorders>
        </w:tblPrEx>
        <w:tc>
          <w:tcPr>
            <w:tcW w:w="1134" w:type="dxa"/>
          </w:tcPr>
          <w:p>
            <w:pPr>
              <w:pStyle w:val="yTable"/>
              <w:jc w:val="center"/>
              <w:rPr>
                <w:b/>
                <w:sz w:val="20"/>
              </w:rPr>
            </w:pPr>
            <w:r>
              <w:rPr>
                <w:b/>
                <w:sz w:val="20"/>
              </w:rPr>
              <w:br/>
              <w:t>Exceeding</w:t>
            </w:r>
            <w:r>
              <w:rPr>
                <w:b/>
                <w:sz w:val="20"/>
              </w:rPr>
              <w:br/>
              <w:t>$</w:t>
            </w:r>
          </w:p>
        </w:tc>
        <w:tc>
          <w:tcPr>
            <w:tcW w:w="1191" w:type="dxa"/>
          </w:tcPr>
          <w:p>
            <w:pPr>
              <w:pStyle w:val="yTable"/>
              <w:jc w:val="center"/>
              <w:rPr>
                <w:b/>
                <w:sz w:val="20"/>
              </w:rPr>
            </w:pPr>
            <w:r>
              <w:rPr>
                <w:b/>
                <w:sz w:val="20"/>
              </w:rPr>
              <w:t>Not</w:t>
            </w:r>
            <w:r>
              <w:rPr>
                <w:b/>
                <w:sz w:val="20"/>
              </w:rPr>
              <w:br/>
              <w:t>Exceeding</w:t>
            </w:r>
            <w:r>
              <w:rPr>
                <w:b/>
                <w:sz w:val="20"/>
              </w:rPr>
              <w:br/>
              <w:t>$</w:t>
            </w:r>
          </w:p>
        </w:tc>
        <w:tc>
          <w:tcPr>
            <w:tcW w:w="4763" w:type="dxa"/>
          </w:tcPr>
          <w:p>
            <w:pPr>
              <w:pStyle w:val="yTable"/>
              <w:rPr>
                <w:sz w:val="20"/>
              </w:rPr>
            </w:pP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70 000</w:t>
            </w:r>
          </w:p>
        </w:tc>
        <w:tc>
          <w:tcPr>
            <w:tcW w:w="4763" w:type="dxa"/>
          </w:tcPr>
          <w:p>
            <w:pPr>
              <w:pStyle w:val="yTable"/>
              <w:rPr>
                <w:sz w:val="20"/>
              </w:rPr>
            </w:pPr>
            <w:r>
              <w:rPr>
                <w:sz w:val="20"/>
              </w:rPr>
              <w:t>$15.00 plus 0.15 cent for each $1 in excess of $10 000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70 000</w:t>
            </w:r>
          </w:p>
        </w:tc>
        <w:tc>
          <w:tcPr>
            <w:tcW w:w="1191" w:type="dxa"/>
          </w:tcPr>
          <w:p>
            <w:pPr>
              <w:pStyle w:val="yTable"/>
              <w:ind w:right="227"/>
              <w:jc w:val="right"/>
              <w:rPr>
                <w:sz w:val="20"/>
              </w:rPr>
            </w:pPr>
            <w:r>
              <w:rPr>
                <w:sz w:val="20"/>
              </w:rPr>
              <w:t>130 000</w:t>
            </w:r>
          </w:p>
        </w:tc>
        <w:tc>
          <w:tcPr>
            <w:tcW w:w="4763" w:type="dxa"/>
          </w:tcPr>
          <w:p>
            <w:pPr>
              <w:pStyle w:val="yTable"/>
              <w:rPr>
                <w:sz w:val="20"/>
              </w:rPr>
            </w:pPr>
            <w:r>
              <w:rPr>
                <w:sz w:val="20"/>
              </w:rPr>
              <w:t>$105.00 plus 0.25 cent for each $1 in excess of $70 000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130 000</w:t>
            </w:r>
          </w:p>
        </w:tc>
        <w:tc>
          <w:tcPr>
            <w:tcW w:w="1191" w:type="dxa"/>
          </w:tcPr>
          <w:p>
            <w:pPr>
              <w:pStyle w:val="yTable"/>
              <w:ind w:right="227"/>
              <w:jc w:val="right"/>
              <w:rPr>
                <w:sz w:val="20"/>
              </w:rPr>
            </w:pPr>
            <w:r>
              <w:rPr>
                <w:sz w:val="20"/>
              </w:rPr>
              <w:t>190 000</w:t>
            </w:r>
          </w:p>
        </w:tc>
        <w:tc>
          <w:tcPr>
            <w:tcW w:w="4763" w:type="dxa"/>
          </w:tcPr>
          <w:p>
            <w:pPr>
              <w:pStyle w:val="yTable"/>
              <w:rPr>
                <w:sz w:val="20"/>
              </w:rPr>
            </w:pPr>
            <w:r>
              <w:rPr>
                <w:sz w:val="20"/>
              </w:rPr>
              <w:t>$255.00 plus 0.45 cent for each $1 in excess of $130 000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190 000</w:t>
            </w:r>
          </w:p>
        </w:tc>
        <w:tc>
          <w:tcPr>
            <w:tcW w:w="1191" w:type="dxa"/>
          </w:tcPr>
          <w:p>
            <w:pPr>
              <w:pStyle w:val="yTable"/>
              <w:ind w:right="227"/>
              <w:jc w:val="right"/>
              <w:rPr>
                <w:sz w:val="20"/>
              </w:rPr>
            </w:pPr>
            <w:r>
              <w:rPr>
                <w:sz w:val="20"/>
              </w:rPr>
              <w:t>260 000</w:t>
            </w:r>
          </w:p>
        </w:tc>
        <w:tc>
          <w:tcPr>
            <w:tcW w:w="4763" w:type="dxa"/>
          </w:tcPr>
          <w:p>
            <w:pPr>
              <w:pStyle w:val="yTable"/>
              <w:rPr>
                <w:sz w:val="20"/>
              </w:rPr>
            </w:pPr>
            <w:r>
              <w:rPr>
                <w:sz w:val="20"/>
              </w:rPr>
              <w:t>$525.00 plus 0.80 cent for each $1 in excess of $190 000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260 000</w:t>
            </w:r>
          </w:p>
        </w:tc>
        <w:tc>
          <w:tcPr>
            <w:tcW w:w="1191" w:type="dxa"/>
          </w:tcPr>
          <w:p>
            <w:pPr>
              <w:pStyle w:val="yTable"/>
              <w:ind w:right="227"/>
              <w:jc w:val="right"/>
              <w:rPr>
                <w:sz w:val="20"/>
              </w:rPr>
            </w:pPr>
            <w:r>
              <w:rPr>
                <w:sz w:val="20"/>
              </w:rPr>
              <w:t>600 000</w:t>
            </w:r>
          </w:p>
        </w:tc>
        <w:tc>
          <w:tcPr>
            <w:tcW w:w="4763" w:type="dxa"/>
          </w:tcPr>
          <w:p>
            <w:pPr>
              <w:pStyle w:val="yTable"/>
              <w:rPr>
                <w:sz w:val="20"/>
              </w:rPr>
            </w:pPr>
            <w:r>
              <w:rPr>
                <w:sz w:val="20"/>
              </w:rPr>
              <w:t>$1 085.00 plus 1.20 cents for each $1 in excess of $260 000</w:t>
            </w:r>
          </w:p>
        </w:tc>
      </w:tr>
      <w:tr>
        <w:tblPrEx>
          <w:tblBorders>
            <w:top w:val="none" w:sz="0" w:space="0" w:color="auto"/>
            <w:bottom w:val="none" w:sz="0" w:space="0" w:color="auto"/>
          </w:tblBorders>
        </w:tblPrEx>
        <w:tc>
          <w:tcPr>
            <w:tcW w:w="1134" w:type="dxa"/>
          </w:tcPr>
          <w:p>
            <w:pPr>
              <w:pStyle w:val="yTable"/>
              <w:ind w:right="227"/>
              <w:jc w:val="right"/>
              <w:rPr>
                <w:sz w:val="20"/>
              </w:rPr>
            </w:pPr>
            <w:r>
              <w:rPr>
                <w:sz w:val="20"/>
              </w:rPr>
              <w:t>600 000</w:t>
            </w:r>
          </w:p>
        </w:tc>
        <w:tc>
          <w:tcPr>
            <w:tcW w:w="1191" w:type="dxa"/>
          </w:tcPr>
          <w:p>
            <w:pPr>
              <w:pStyle w:val="yTable"/>
              <w:ind w:right="227"/>
              <w:jc w:val="right"/>
              <w:rPr>
                <w:sz w:val="20"/>
              </w:rPr>
            </w:pPr>
            <w:r>
              <w:rPr>
                <w:sz w:val="20"/>
              </w:rPr>
              <w:t>1 100 000</w:t>
            </w:r>
          </w:p>
        </w:tc>
        <w:tc>
          <w:tcPr>
            <w:tcW w:w="4763" w:type="dxa"/>
          </w:tcPr>
          <w:p>
            <w:pPr>
              <w:pStyle w:val="yTable"/>
              <w:rPr>
                <w:sz w:val="20"/>
              </w:rPr>
            </w:pPr>
            <w:r>
              <w:rPr>
                <w:sz w:val="20"/>
              </w:rPr>
              <w:t>$5 165.00 plus 1.60 cents for each $1 in excess of $600 000</w:t>
            </w:r>
          </w:p>
        </w:tc>
      </w:tr>
      <w:tr>
        <w:tblPrEx>
          <w:tblBorders>
            <w:top w:val="none" w:sz="0" w:space="0" w:color="auto"/>
            <w:bottom w:val="none" w:sz="0" w:space="0" w:color="auto"/>
          </w:tblBorders>
        </w:tblPrEx>
        <w:tc>
          <w:tcPr>
            <w:tcW w:w="1134" w:type="dxa"/>
            <w:tcBorders>
              <w:bottom w:val="single" w:sz="4" w:space="0" w:color="auto"/>
            </w:tcBorders>
          </w:tcPr>
          <w:p>
            <w:pPr>
              <w:pStyle w:val="yTable"/>
              <w:ind w:right="227"/>
              <w:jc w:val="right"/>
              <w:rPr>
                <w:sz w:val="20"/>
              </w:rPr>
            </w:pPr>
            <w:r>
              <w:rPr>
                <w:sz w:val="20"/>
              </w:rPr>
              <w:t>1 100 000</w:t>
            </w:r>
          </w:p>
        </w:tc>
        <w:tc>
          <w:tcPr>
            <w:tcW w:w="1191" w:type="dxa"/>
            <w:tcBorders>
              <w:bottom w:val="single" w:sz="4" w:space="0" w:color="auto"/>
            </w:tcBorders>
          </w:tcPr>
          <w:p>
            <w:pPr>
              <w:pStyle w:val="yTable"/>
              <w:ind w:right="227"/>
              <w:jc w:val="right"/>
              <w:rPr>
                <w:sz w:val="20"/>
              </w:rPr>
            </w:pPr>
          </w:p>
        </w:tc>
        <w:tc>
          <w:tcPr>
            <w:tcW w:w="4763" w:type="dxa"/>
            <w:tcBorders>
              <w:bottom w:val="single" w:sz="4" w:space="0" w:color="auto"/>
            </w:tcBorders>
          </w:tcPr>
          <w:p>
            <w:pPr>
              <w:pStyle w:val="yTable"/>
              <w:rPr>
                <w:sz w:val="20"/>
              </w:rPr>
            </w:pPr>
            <w:r>
              <w:rPr>
                <w:sz w:val="20"/>
              </w:rPr>
              <w:t>$13 165.00 plus 2.00 cents for each $1 in excess of $1 100 000</w:t>
            </w:r>
          </w:p>
        </w:tc>
      </w:tr>
    </w:tbl>
    <w:p>
      <w:pPr>
        <w:pStyle w:val="yFootnotesection"/>
      </w:pPr>
      <w:r>
        <w:tab/>
        <w:t>[Schedule 5 inserted by No. 21 of 1996 s. 6.]</w:t>
      </w:r>
    </w:p>
    <w:p>
      <w:pPr>
        <w:pStyle w:val="yScheduleHeading"/>
      </w:pPr>
      <w:bookmarkStart w:id="38" w:name="_Toc378945268"/>
      <w:bookmarkStart w:id="39" w:name="_Toc425838789"/>
      <w:r>
        <w:rPr>
          <w:rStyle w:val="CharSchNo"/>
        </w:rPr>
        <w:t>Schedule 6</w:t>
      </w:r>
      <w:bookmarkEnd w:id="38"/>
      <w:bookmarkEnd w:id="39"/>
    </w:p>
    <w:p>
      <w:pPr>
        <w:pStyle w:val="yShoulderClause"/>
        <w:spacing w:after="80"/>
      </w:pPr>
      <w:r>
        <w:t>[s. 10]</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c>
          <w:tcPr>
            <w:tcW w:w="1134" w:type="dxa"/>
            <w:tcBorders>
              <w:top w:val="nil"/>
            </w:tcBorders>
          </w:tcPr>
          <w:p>
            <w:pPr>
              <w:pStyle w:val="yTable"/>
              <w:jc w:val="center"/>
              <w:rPr>
                <w:b/>
                <w:sz w:val="20"/>
              </w:rPr>
            </w:pPr>
            <w:r>
              <w:rPr>
                <w:b/>
                <w:sz w:val="20"/>
              </w:rPr>
              <w:t>Exceeding</w:t>
            </w:r>
            <w:r>
              <w:rPr>
                <w:b/>
                <w:sz w:val="20"/>
              </w:rPr>
              <w:br/>
            </w:r>
            <w:r>
              <w:rPr>
                <w:b/>
                <w:sz w:val="20"/>
              </w:rPr>
              <w:br/>
              <w:t>$</w:t>
            </w:r>
          </w:p>
        </w:tc>
        <w:tc>
          <w:tcPr>
            <w:tcW w:w="1191" w:type="dxa"/>
            <w:tcBorders>
              <w:top w:val="nil"/>
            </w:tcBorders>
          </w:tcPr>
          <w:p>
            <w:pPr>
              <w:pStyle w:val="yTable"/>
              <w:jc w:val="center"/>
              <w:rPr>
                <w:b/>
                <w:sz w:val="20"/>
              </w:rPr>
            </w:pPr>
            <w:r>
              <w:rPr>
                <w:b/>
                <w:sz w:val="20"/>
              </w:rPr>
              <w:t>Not</w:t>
            </w:r>
            <w:r>
              <w:rPr>
                <w:b/>
                <w:sz w:val="20"/>
              </w:rPr>
              <w:br/>
              <w:t>exceeding</w:t>
            </w:r>
            <w:r>
              <w:rPr>
                <w:b/>
                <w:sz w:val="20"/>
              </w:rPr>
              <w:br/>
              <w:t>$</w:t>
            </w:r>
          </w:p>
        </w:tc>
        <w:tc>
          <w:tcPr>
            <w:tcW w:w="4763" w:type="dxa"/>
            <w:tcBorders>
              <w:top w:val="nil"/>
            </w:tcBorders>
          </w:tcPr>
          <w:p>
            <w:pPr>
              <w:pStyle w:val="yTable"/>
              <w:rPr>
                <w:b/>
                <w:sz w:val="20"/>
              </w:rPr>
            </w:pPr>
          </w:p>
        </w:tc>
      </w:tr>
      <w:tr>
        <w:tc>
          <w:tcPr>
            <w:tcW w:w="1134" w:type="dxa"/>
          </w:tcPr>
          <w:p>
            <w:pPr>
              <w:pStyle w:val="yTable"/>
              <w:ind w:right="227"/>
              <w:jc w:val="right"/>
              <w:rPr>
                <w:sz w:val="20"/>
              </w:rPr>
            </w:pPr>
            <w:r>
              <w:rPr>
                <w:sz w:val="20"/>
              </w:rPr>
              <w:t>0</w:t>
            </w:r>
          </w:p>
        </w:tc>
        <w:tc>
          <w:tcPr>
            <w:tcW w:w="1191" w:type="dxa"/>
          </w:tcPr>
          <w:p>
            <w:pPr>
              <w:pStyle w:val="yTable"/>
              <w:ind w:right="227"/>
              <w:jc w:val="right"/>
              <w:rPr>
                <w:sz w:val="20"/>
              </w:rPr>
            </w:pPr>
            <w:r>
              <w:rPr>
                <w:sz w:val="20"/>
              </w:rPr>
              <w:t>10 000</w:t>
            </w:r>
          </w:p>
        </w:tc>
        <w:tc>
          <w:tcPr>
            <w:tcW w:w="4763" w:type="dxa"/>
          </w:tcPr>
          <w:p>
            <w:pPr>
              <w:pStyle w:val="yTable"/>
              <w:rPr>
                <w:sz w:val="20"/>
              </w:rPr>
            </w:pPr>
            <w:r>
              <w:rPr>
                <w:sz w:val="20"/>
              </w:rPr>
              <w:t>Nil</w:t>
            </w:r>
          </w:p>
        </w:tc>
      </w:tr>
      <w:tr>
        <w:tc>
          <w:tcPr>
            <w:tcW w:w="1134" w:type="dxa"/>
          </w:tcPr>
          <w:p>
            <w:pPr>
              <w:pStyle w:val="yTable"/>
              <w:ind w:right="227"/>
              <w:jc w:val="right"/>
              <w:rPr>
                <w:sz w:val="20"/>
              </w:rPr>
            </w:pPr>
            <w:r>
              <w:rPr>
                <w:sz w:val="20"/>
              </w:rPr>
              <w:t>10 000</w:t>
            </w:r>
          </w:p>
        </w:tc>
        <w:tc>
          <w:tcPr>
            <w:tcW w:w="1191" w:type="dxa"/>
          </w:tcPr>
          <w:p>
            <w:pPr>
              <w:pStyle w:val="yTable"/>
              <w:ind w:right="227"/>
              <w:jc w:val="right"/>
              <w:rPr>
                <w:sz w:val="20"/>
              </w:rPr>
            </w:pPr>
            <w:r>
              <w:rPr>
                <w:sz w:val="20"/>
              </w:rPr>
              <w:t>75 000</w:t>
            </w:r>
          </w:p>
        </w:tc>
        <w:tc>
          <w:tcPr>
            <w:tcW w:w="4763" w:type="dxa"/>
          </w:tcPr>
          <w:p>
            <w:pPr>
              <w:pStyle w:val="yTable"/>
              <w:rPr>
                <w:sz w:val="20"/>
              </w:rPr>
            </w:pPr>
            <w:r>
              <w:rPr>
                <w:sz w:val="20"/>
              </w:rPr>
              <w:t>$15.00 plus 0.15 cent for each $1 in excess of $10 000</w:t>
            </w:r>
          </w:p>
        </w:tc>
      </w:tr>
      <w:tr>
        <w:tc>
          <w:tcPr>
            <w:tcW w:w="1134" w:type="dxa"/>
          </w:tcPr>
          <w:p>
            <w:pPr>
              <w:pStyle w:val="yTable"/>
              <w:ind w:right="227"/>
              <w:jc w:val="right"/>
              <w:rPr>
                <w:sz w:val="20"/>
              </w:rPr>
            </w:pPr>
            <w:r>
              <w:rPr>
                <w:sz w:val="20"/>
              </w:rPr>
              <w:t>75 000</w:t>
            </w:r>
          </w:p>
        </w:tc>
        <w:tc>
          <w:tcPr>
            <w:tcW w:w="1191" w:type="dxa"/>
          </w:tcPr>
          <w:p>
            <w:pPr>
              <w:pStyle w:val="yTable"/>
              <w:ind w:right="227"/>
              <w:jc w:val="right"/>
              <w:rPr>
                <w:sz w:val="20"/>
              </w:rPr>
            </w:pPr>
            <w:r>
              <w:rPr>
                <w:sz w:val="20"/>
              </w:rPr>
              <w:t>140 000</w:t>
            </w:r>
          </w:p>
        </w:tc>
        <w:tc>
          <w:tcPr>
            <w:tcW w:w="4763" w:type="dxa"/>
          </w:tcPr>
          <w:p>
            <w:pPr>
              <w:pStyle w:val="yTable"/>
              <w:rPr>
                <w:sz w:val="20"/>
              </w:rPr>
            </w:pPr>
            <w:r>
              <w:rPr>
                <w:sz w:val="20"/>
              </w:rPr>
              <w:t>$112.50 plus 0.25 cent for each $1 in excess of $75 000</w:t>
            </w:r>
          </w:p>
        </w:tc>
      </w:tr>
      <w:tr>
        <w:tc>
          <w:tcPr>
            <w:tcW w:w="1134" w:type="dxa"/>
          </w:tcPr>
          <w:p>
            <w:pPr>
              <w:pStyle w:val="yTable"/>
              <w:ind w:right="227"/>
              <w:jc w:val="right"/>
              <w:rPr>
                <w:sz w:val="20"/>
              </w:rPr>
            </w:pPr>
            <w:r>
              <w:rPr>
                <w:sz w:val="20"/>
              </w:rPr>
              <w:t>140 000</w:t>
            </w:r>
          </w:p>
        </w:tc>
        <w:tc>
          <w:tcPr>
            <w:tcW w:w="1191" w:type="dxa"/>
          </w:tcPr>
          <w:p>
            <w:pPr>
              <w:pStyle w:val="yTable"/>
              <w:ind w:right="227"/>
              <w:jc w:val="right"/>
              <w:rPr>
                <w:sz w:val="20"/>
              </w:rPr>
            </w:pPr>
            <w:r>
              <w:rPr>
                <w:sz w:val="20"/>
              </w:rPr>
              <w:t>210 000</w:t>
            </w:r>
          </w:p>
        </w:tc>
        <w:tc>
          <w:tcPr>
            <w:tcW w:w="4763" w:type="dxa"/>
          </w:tcPr>
          <w:p>
            <w:pPr>
              <w:pStyle w:val="yTable"/>
              <w:rPr>
                <w:sz w:val="20"/>
              </w:rPr>
            </w:pPr>
            <w:r>
              <w:rPr>
                <w:sz w:val="20"/>
              </w:rPr>
              <w:t>$275.00 plus 0.45 cent for each $1 in excess of $140 000</w:t>
            </w:r>
          </w:p>
        </w:tc>
      </w:tr>
      <w:tr>
        <w:tc>
          <w:tcPr>
            <w:tcW w:w="1134" w:type="dxa"/>
          </w:tcPr>
          <w:p>
            <w:pPr>
              <w:pStyle w:val="yTable"/>
              <w:ind w:right="227"/>
              <w:jc w:val="right"/>
              <w:rPr>
                <w:sz w:val="20"/>
              </w:rPr>
            </w:pPr>
            <w:r>
              <w:rPr>
                <w:sz w:val="20"/>
              </w:rPr>
              <w:t>210 000</w:t>
            </w:r>
          </w:p>
        </w:tc>
        <w:tc>
          <w:tcPr>
            <w:tcW w:w="1191" w:type="dxa"/>
          </w:tcPr>
          <w:p>
            <w:pPr>
              <w:pStyle w:val="yTable"/>
              <w:ind w:right="227"/>
              <w:jc w:val="right"/>
              <w:rPr>
                <w:sz w:val="20"/>
              </w:rPr>
            </w:pPr>
            <w:r>
              <w:rPr>
                <w:sz w:val="20"/>
              </w:rPr>
              <w:t>325 000</w:t>
            </w:r>
          </w:p>
        </w:tc>
        <w:tc>
          <w:tcPr>
            <w:tcW w:w="4763" w:type="dxa"/>
          </w:tcPr>
          <w:p>
            <w:pPr>
              <w:pStyle w:val="yTable"/>
              <w:rPr>
                <w:sz w:val="20"/>
              </w:rPr>
            </w:pPr>
            <w:r>
              <w:rPr>
                <w:sz w:val="20"/>
              </w:rPr>
              <w:t>$590.00 plus 0.80 cent for each $1 in excess of $210 000</w:t>
            </w:r>
          </w:p>
        </w:tc>
      </w:tr>
      <w:tr>
        <w:tc>
          <w:tcPr>
            <w:tcW w:w="1134" w:type="dxa"/>
          </w:tcPr>
          <w:p>
            <w:pPr>
              <w:pStyle w:val="yTable"/>
              <w:ind w:right="227"/>
              <w:jc w:val="right"/>
              <w:rPr>
                <w:sz w:val="20"/>
              </w:rPr>
            </w:pPr>
            <w:r>
              <w:rPr>
                <w:sz w:val="20"/>
              </w:rPr>
              <w:t>325 000</w:t>
            </w:r>
          </w:p>
        </w:tc>
        <w:tc>
          <w:tcPr>
            <w:tcW w:w="1191" w:type="dxa"/>
          </w:tcPr>
          <w:p>
            <w:pPr>
              <w:pStyle w:val="yTable"/>
              <w:ind w:right="227"/>
              <w:jc w:val="right"/>
              <w:rPr>
                <w:sz w:val="20"/>
              </w:rPr>
            </w:pPr>
            <w:r>
              <w:rPr>
                <w:sz w:val="20"/>
              </w:rPr>
              <w:t>700 000</w:t>
            </w:r>
          </w:p>
        </w:tc>
        <w:tc>
          <w:tcPr>
            <w:tcW w:w="4763" w:type="dxa"/>
          </w:tcPr>
          <w:p>
            <w:pPr>
              <w:pStyle w:val="yTable"/>
              <w:rPr>
                <w:sz w:val="20"/>
              </w:rPr>
            </w:pPr>
            <w:r>
              <w:rPr>
                <w:sz w:val="20"/>
              </w:rPr>
              <w:t>$1 510.00 plus 1.20 cents for each $1 in excess of $325 000</w:t>
            </w:r>
          </w:p>
        </w:tc>
      </w:tr>
      <w:tr>
        <w:tc>
          <w:tcPr>
            <w:tcW w:w="1134" w:type="dxa"/>
          </w:tcPr>
          <w:p>
            <w:pPr>
              <w:pStyle w:val="yTable"/>
              <w:ind w:right="227"/>
              <w:jc w:val="right"/>
              <w:rPr>
                <w:sz w:val="20"/>
              </w:rPr>
            </w:pPr>
            <w:r>
              <w:rPr>
                <w:sz w:val="20"/>
              </w:rPr>
              <w:t>700 000</w:t>
            </w:r>
          </w:p>
        </w:tc>
        <w:tc>
          <w:tcPr>
            <w:tcW w:w="1191" w:type="dxa"/>
          </w:tcPr>
          <w:p>
            <w:pPr>
              <w:pStyle w:val="yTable"/>
              <w:ind w:right="227"/>
              <w:jc w:val="right"/>
              <w:rPr>
                <w:sz w:val="20"/>
              </w:rPr>
            </w:pPr>
            <w:r>
              <w:rPr>
                <w:sz w:val="20"/>
              </w:rPr>
              <w:t>1 100 000</w:t>
            </w:r>
          </w:p>
        </w:tc>
        <w:tc>
          <w:tcPr>
            <w:tcW w:w="4763" w:type="dxa"/>
          </w:tcPr>
          <w:p>
            <w:pPr>
              <w:pStyle w:val="yTable"/>
              <w:rPr>
                <w:sz w:val="20"/>
              </w:rPr>
            </w:pPr>
            <w:r>
              <w:rPr>
                <w:sz w:val="20"/>
              </w:rPr>
              <w:t>$6 010.00 plus 1.60 cents for each $1 in excess of $700 000</w:t>
            </w:r>
          </w:p>
        </w:tc>
      </w:tr>
      <w:tr>
        <w:tc>
          <w:tcPr>
            <w:tcW w:w="1134" w:type="dxa"/>
          </w:tcPr>
          <w:p>
            <w:pPr>
              <w:pStyle w:val="yTable"/>
              <w:ind w:right="227"/>
              <w:jc w:val="right"/>
              <w:rPr>
                <w:sz w:val="20"/>
              </w:rPr>
            </w:pPr>
            <w:r>
              <w:rPr>
                <w:sz w:val="20"/>
              </w:rPr>
              <w:t>1 100 000</w:t>
            </w:r>
          </w:p>
        </w:tc>
        <w:tc>
          <w:tcPr>
            <w:tcW w:w="1191" w:type="dxa"/>
          </w:tcPr>
          <w:p>
            <w:pPr>
              <w:pStyle w:val="yTable"/>
              <w:ind w:right="227"/>
              <w:jc w:val="right"/>
              <w:rPr>
                <w:sz w:val="20"/>
              </w:rPr>
            </w:pPr>
          </w:p>
        </w:tc>
        <w:tc>
          <w:tcPr>
            <w:tcW w:w="4763" w:type="dxa"/>
          </w:tcPr>
          <w:p>
            <w:pPr>
              <w:pStyle w:val="yTable"/>
              <w:rPr>
                <w:sz w:val="20"/>
              </w:rPr>
            </w:pPr>
            <w:r>
              <w:rPr>
                <w:sz w:val="20"/>
              </w:rPr>
              <w:t>$12 410.00 plus 2 cents for each $1 in excess of $1 100 000</w:t>
            </w:r>
          </w:p>
        </w:tc>
      </w:tr>
    </w:tbl>
    <w:p>
      <w:pPr>
        <w:pStyle w:val="yFootnotesection"/>
      </w:pPr>
      <w:r>
        <w:tab/>
        <w:t>[Schedule 6 inserted by No. 12 of 1997 s. 9.]</w:t>
      </w:r>
    </w:p>
    <w:p>
      <w:pPr>
        <w:pStyle w:val="yScheduleHeading"/>
      </w:pPr>
      <w:bookmarkStart w:id="40" w:name="_Toc378945269"/>
      <w:bookmarkStart w:id="41" w:name="_Toc425838790"/>
      <w:r>
        <w:rPr>
          <w:rStyle w:val="CharSchNo"/>
        </w:rPr>
        <w:t>Schedule 7</w:t>
      </w:r>
      <w:bookmarkEnd w:id="40"/>
      <w:bookmarkEnd w:id="41"/>
    </w:p>
    <w:p>
      <w:pPr>
        <w:pStyle w:val="yShoulderClause"/>
        <w:spacing w:after="80"/>
      </w:pPr>
      <w:r>
        <w:t>[s. 11]</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191"/>
        <w:gridCol w:w="4763"/>
      </w:tblGrid>
      <w:tr>
        <w:trPr>
          <w:cantSplit/>
        </w:trPr>
        <w:tc>
          <w:tcPr>
            <w:tcW w:w="2325" w:type="dxa"/>
            <w:gridSpan w:val="2"/>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63" w:type="dxa"/>
            <w:tcBorders>
              <w:top w:val="single" w:sz="4" w:space="0" w:color="auto"/>
              <w:bottom w:val="single" w:sz="4" w:space="0" w:color="auto"/>
            </w:tcBorders>
          </w:tcPr>
          <w:p>
            <w:pPr>
              <w:pStyle w:val="yTable"/>
              <w:jc w:val="center"/>
              <w:rPr>
                <w:b/>
                <w:snapToGrid w:val="0"/>
                <w:sz w:val="20"/>
              </w:rPr>
            </w:pPr>
            <w:r>
              <w:rPr>
                <w:b/>
                <w:snapToGrid w:val="0"/>
                <w:sz w:val="20"/>
              </w:rPr>
              <w:br/>
              <w:t>Rate</w:t>
            </w:r>
          </w:p>
        </w:tc>
      </w:tr>
      <w:tr>
        <w:tc>
          <w:tcPr>
            <w:tcW w:w="1134" w:type="dxa"/>
            <w:tcBorders>
              <w:top w:val="nil"/>
            </w:tcBorders>
          </w:tcPr>
          <w:p>
            <w:pPr>
              <w:pStyle w:val="yTable"/>
              <w:jc w:val="center"/>
              <w:rPr>
                <w:b/>
                <w:sz w:val="20"/>
              </w:rPr>
            </w:pPr>
            <w:r>
              <w:rPr>
                <w:b/>
                <w:sz w:val="20"/>
              </w:rPr>
              <w:t>Exceeding</w:t>
            </w:r>
            <w:r>
              <w:rPr>
                <w:b/>
                <w:sz w:val="20"/>
              </w:rPr>
              <w:br/>
            </w:r>
            <w:r>
              <w:rPr>
                <w:b/>
                <w:sz w:val="20"/>
              </w:rPr>
              <w:br/>
              <w:t>$</w:t>
            </w:r>
          </w:p>
        </w:tc>
        <w:tc>
          <w:tcPr>
            <w:tcW w:w="1191" w:type="dxa"/>
            <w:tcBorders>
              <w:top w:val="nil"/>
            </w:tcBorders>
          </w:tcPr>
          <w:p>
            <w:pPr>
              <w:pStyle w:val="yTable"/>
              <w:jc w:val="center"/>
              <w:rPr>
                <w:b/>
                <w:sz w:val="20"/>
              </w:rPr>
            </w:pPr>
            <w:r>
              <w:rPr>
                <w:b/>
                <w:sz w:val="20"/>
              </w:rPr>
              <w:t>Not</w:t>
            </w:r>
            <w:r>
              <w:rPr>
                <w:b/>
                <w:sz w:val="20"/>
              </w:rPr>
              <w:br/>
              <w:t>exceeding</w:t>
            </w:r>
            <w:r>
              <w:rPr>
                <w:b/>
                <w:sz w:val="20"/>
              </w:rPr>
              <w:br/>
              <w:t>$</w:t>
            </w:r>
          </w:p>
        </w:tc>
        <w:tc>
          <w:tcPr>
            <w:tcW w:w="4763" w:type="dxa"/>
            <w:tcBorders>
              <w:top w:val="nil"/>
            </w:tcBorders>
          </w:tcPr>
          <w:p>
            <w:pPr>
              <w:pStyle w:val="yTable"/>
              <w:rPr>
                <w:b/>
                <w:sz w:val="20"/>
              </w:rPr>
            </w:pP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0</w:t>
            </w:r>
          </w:p>
        </w:tc>
        <w:tc>
          <w:tcPr>
            <w:tcW w:w="1191" w:type="dxa"/>
            <w:tcBorders>
              <w:top w:val="nil"/>
              <w:left w:val="nil"/>
              <w:bottom w:val="nil"/>
              <w:right w:val="nil"/>
            </w:tcBorders>
          </w:tcPr>
          <w:p>
            <w:pPr>
              <w:pStyle w:val="yTable"/>
              <w:ind w:right="280"/>
              <w:jc w:val="right"/>
              <w:rPr>
                <w:sz w:val="20"/>
              </w:rPr>
            </w:pPr>
            <w:r>
              <w:rPr>
                <w:sz w:val="20"/>
              </w:rPr>
              <w:t>10 000</w:t>
            </w:r>
          </w:p>
        </w:tc>
        <w:tc>
          <w:tcPr>
            <w:tcW w:w="4763" w:type="dxa"/>
            <w:tcBorders>
              <w:top w:val="nil"/>
              <w:left w:val="nil"/>
              <w:bottom w:val="nil"/>
              <w:right w:val="nil"/>
            </w:tcBorders>
          </w:tcPr>
          <w:p>
            <w:pPr>
              <w:pStyle w:val="yTable"/>
              <w:tabs>
                <w:tab w:val="left" w:pos="318"/>
              </w:tabs>
              <w:rPr>
                <w:sz w:val="20"/>
              </w:rPr>
            </w:pPr>
            <w:r>
              <w:rPr>
                <w:sz w:val="20"/>
              </w:rPr>
              <w:t>Nil</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10 000</w:t>
            </w:r>
          </w:p>
        </w:tc>
        <w:tc>
          <w:tcPr>
            <w:tcW w:w="1191" w:type="dxa"/>
            <w:tcBorders>
              <w:top w:val="nil"/>
              <w:left w:val="nil"/>
              <w:bottom w:val="nil"/>
              <w:right w:val="nil"/>
            </w:tcBorders>
          </w:tcPr>
          <w:p>
            <w:pPr>
              <w:pStyle w:val="yTable"/>
              <w:ind w:right="280"/>
              <w:jc w:val="right"/>
              <w:rPr>
                <w:sz w:val="20"/>
              </w:rPr>
            </w:pPr>
            <w:r>
              <w:rPr>
                <w:sz w:val="20"/>
              </w:rPr>
              <w:t>85 000</w:t>
            </w:r>
          </w:p>
        </w:tc>
        <w:tc>
          <w:tcPr>
            <w:tcW w:w="4763" w:type="dxa"/>
            <w:tcBorders>
              <w:top w:val="nil"/>
              <w:left w:val="nil"/>
              <w:bottom w:val="nil"/>
              <w:right w:val="nil"/>
            </w:tcBorders>
          </w:tcPr>
          <w:p>
            <w:pPr>
              <w:pStyle w:val="yTable"/>
              <w:tabs>
                <w:tab w:val="left" w:pos="318"/>
              </w:tabs>
              <w:rPr>
                <w:sz w:val="20"/>
              </w:rPr>
            </w:pPr>
            <w:r>
              <w:rPr>
                <w:sz w:val="20"/>
              </w:rPr>
              <w:t>$15.00 + 0.15 cent for each $1 in excess of $10 000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85 000</w:t>
            </w:r>
          </w:p>
        </w:tc>
        <w:tc>
          <w:tcPr>
            <w:tcW w:w="1191" w:type="dxa"/>
            <w:tcBorders>
              <w:top w:val="nil"/>
              <w:left w:val="nil"/>
              <w:bottom w:val="nil"/>
              <w:right w:val="nil"/>
            </w:tcBorders>
          </w:tcPr>
          <w:p>
            <w:pPr>
              <w:pStyle w:val="yTable"/>
              <w:ind w:right="280"/>
              <w:jc w:val="right"/>
              <w:rPr>
                <w:sz w:val="20"/>
              </w:rPr>
            </w:pPr>
            <w:r>
              <w:rPr>
                <w:sz w:val="20"/>
              </w:rPr>
              <w:t>170 000</w:t>
            </w:r>
          </w:p>
        </w:tc>
        <w:tc>
          <w:tcPr>
            <w:tcW w:w="4763" w:type="dxa"/>
            <w:tcBorders>
              <w:top w:val="nil"/>
              <w:left w:val="nil"/>
              <w:bottom w:val="nil"/>
              <w:right w:val="nil"/>
            </w:tcBorders>
          </w:tcPr>
          <w:p>
            <w:pPr>
              <w:pStyle w:val="yTable"/>
              <w:tabs>
                <w:tab w:val="left" w:pos="318"/>
              </w:tabs>
              <w:rPr>
                <w:sz w:val="20"/>
              </w:rPr>
            </w:pPr>
            <w:r>
              <w:rPr>
                <w:sz w:val="20"/>
              </w:rPr>
              <w:t>$127.50 + 0.25 cent for each $1 in excess of $85 000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170 000</w:t>
            </w:r>
          </w:p>
        </w:tc>
        <w:tc>
          <w:tcPr>
            <w:tcW w:w="1191" w:type="dxa"/>
            <w:tcBorders>
              <w:top w:val="nil"/>
              <w:left w:val="nil"/>
              <w:bottom w:val="nil"/>
              <w:right w:val="nil"/>
            </w:tcBorders>
          </w:tcPr>
          <w:p>
            <w:pPr>
              <w:pStyle w:val="yTable"/>
              <w:ind w:right="280"/>
              <w:jc w:val="right"/>
              <w:rPr>
                <w:sz w:val="20"/>
              </w:rPr>
            </w:pPr>
            <w:r>
              <w:rPr>
                <w:sz w:val="20"/>
              </w:rPr>
              <w:t>270 000</w:t>
            </w:r>
          </w:p>
        </w:tc>
        <w:tc>
          <w:tcPr>
            <w:tcW w:w="4763" w:type="dxa"/>
            <w:tcBorders>
              <w:top w:val="nil"/>
              <w:left w:val="nil"/>
              <w:bottom w:val="nil"/>
              <w:right w:val="nil"/>
            </w:tcBorders>
          </w:tcPr>
          <w:p>
            <w:pPr>
              <w:pStyle w:val="yTable"/>
              <w:tabs>
                <w:tab w:val="left" w:pos="318"/>
              </w:tabs>
              <w:rPr>
                <w:sz w:val="20"/>
              </w:rPr>
            </w:pPr>
            <w:r>
              <w:rPr>
                <w:sz w:val="20"/>
              </w:rPr>
              <w:t>$340.00 + 0.45 cent for each $1 in excess of $170 000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270 000</w:t>
            </w:r>
          </w:p>
        </w:tc>
        <w:tc>
          <w:tcPr>
            <w:tcW w:w="1191" w:type="dxa"/>
            <w:tcBorders>
              <w:top w:val="nil"/>
              <w:left w:val="nil"/>
              <w:bottom w:val="nil"/>
              <w:right w:val="nil"/>
            </w:tcBorders>
          </w:tcPr>
          <w:p>
            <w:pPr>
              <w:pStyle w:val="yTable"/>
              <w:ind w:right="280"/>
              <w:jc w:val="right"/>
              <w:rPr>
                <w:sz w:val="20"/>
              </w:rPr>
            </w:pPr>
            <w:r>
              <w:rPr>
                <w:sz w:val="20"/>
              </w:rPr>
              <w:t>500 000</w:t>
            </w:r>
          </w:p>
        </w:tc>
        <w:tc>
          <w:tcPr>
            <w:tcW w:w="4763" w:type="dxa"/>
            <w:tcBorders>
              <w:top w:val="nil"/>
              <w:left w:val="nil"/>
              <w:bottom w:val="nil"/>
              <w:right w:val="nil"/>
            </w:tcBorders>
          </w:tcPr>
          <w:p>
            <w:pPr>
              <w:pStyle w:val="yTable"/>
              <w:tabs>
                <w:tab w:val="left" w:pos="318"/>
              </w:tabs>
              <w:rPr>
                <w:sz w:val="20"/>
              </w:rPr>
            </w:pPr>
            <w:r>
              <w:rPr>
                <w:sz w:val="20"/>
              </w:rPr>
              <w:t>$790.00 + 0.80 cent for each $1 in excess of $270 000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500 000</w:t>
            </w:r>
          </w:p>
        </w:tc>
        <w:tc>
          <w:tcPr>
            <w:tcW w:w="1191" w:type="dxa"/>
            <w:tcBorders>
              <w:top w:val="nil"/>
              <w:left w:val="nil"/>
              <w:bottom w:val="nil"/>
              <w:right w:val="nil"/>
            </w:tcBorders>
          </w:tcPr>
          <w:p>
            <w:pPr>
              <w:pStyle w:val="yTable"/>
              <w:ind w:right="280"/>
              <w:jc w:val="right"/>
              <w:rPr>
                <w:sz w:val="20"/>
              </w:rPr>
            </w:pPr>
            <w:r>
              <w:rPr>
                <w:sz w:val="20"/>
              </w:rPr>
              <w:t>800 000</w:t>
            </w:r>
          </w:p>
        </w:tc>
        <w:tc>
          <w:tcPr>
            <w:tcW w:w="4763" w:type="dxa"/>
            <w:tcBorders>
              <w:top w:val="nil"/>
              <w:left w:val="nil"/>
              <w:bottom w:val="nil"/>
              <w:right w:val="nil"/>
            </w:tcBorders>
          </w:tcPr>
          <w:p>
            <w:pPr>
              <w:pStyle w:val="yTable"/>
              <w:tabs>
                <w:tab w:val="left" w:pos="318"/>
              </w:tabs>
              <w:rPr>
                <w:sz w:val="20"/>
              </w:rPr>
            </w:pPr>
            <w:r>
              <w:rPr>
                <w:sz w:val="20"/>
              </w:rPr>
              <w:t>$2 630.00 + 1.20 cents for each $1 in excess of $500 000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bottom w:val="nil"/>
              <w:right w:val="nil"/>
            </w:tcBorders>
          </w:tcPr>
          <w:p>
            <w:pPr>
              <w:pStyle w:val="yTable"/>
              <w:ind w:right="138"/>
              <w:jc w:val="right"/>
              <w:rPr>
                <w:sz w:val="20"/>
              </w:rPr>
            </w:pPr>
            <w:r>
              <w:rPr>
                <w:sz w:val="20"/>
              </w:rPr>
              <w:t>800 000</w:t>
            </w:r>
          </w:p>
        </w:tc>
        <w:tc>
          <w:tcPr>
            <w:tcW w:w="1191" w:type="dxa"/>
            <w:tcBorders>
              <w:top w:val="nil"/>
              <w:left w:val="nil"/>
              <w:bottom w:val="nil"/>
              <w:right w:val="nil"/>
            </w:tcBorders>
          </w:tcPr>
          <w:p>
            <w:pPr>
              <w:pStyle w:val="yTable"/>
              <w:ind w:right="280"/>
              <w:jc w:val="right"/>
              <w:rPr>
                <w:sz w:val="20"/>
              </w:rPr>
            </w:pPr>
            <w:r>
              <w:rPr>
                <w:sz w:val="20"/>
              </w:rPr>
              <w:t>1 200 000</w:t>
            </w:r>
          </w:p>
        </w:tc>
        <w:tc>
          <w:tcPr>
            <w:tcW w:w="4763" w:type="dxa"/>
            <w:tcBorders>
              <w:top w:val="nil"/>
              <w:left w:val="nil"/>
              <w:bottom w:val="nil"/>
              <w:right w:val="nil"/>
            </w:tcBorders>
          </w:tcPr>
          <w:p>
            <w:pPr>
              <w:pStyle w:val="yTable"/>
              <w:tabs>
                <w:tab w:val="left" w:pos="318"/>
              </w:tabs>
              <w:rPr>
                <w:sz w:val="20"/>
              </w:rPr>
            </w:pPr>
            <w:r>
              <w:rPr>
                <w:sz w:val="20"/>
              </w:rPr>
              <w:t>$6 230.00 + 1.60 cents for each $1 in excess of $800 000</w:t>
            </w:r>
          </w:p>
        </w:tc>
      </w:tr>
      <w:tr>
        <w:tblPrEx>
          <w:tblBorders>
            <w:left w:val="single" w:sz="4" w:space="0" w:color="auto"/>
            <w:right w:val="single" w:sz="4" w:space="0" w:color="auto"/>
            <w:insideH w:val="single" w:sz="4" w:space="0" w:color="auto"/>
            <w:insideV w:val="single" w:sz="4" w:space="0" w:color="auto"/>
          </w:tblBorders>
        </w:tblPrEx>
        <w:trPr>
          <w:trHeight w:val="240"/>
        </w:trPr>
        <w:tc>
          <w:tcPr>
            <w:tcW w:w="1134" w:type="dxa"/>
            <w:tcBorders>
              <w:top w:val="nil"/>
              <w:left w:val="nil"/>
              <w:right w:val="nil"/>
            </w:tcBorders>
          </w:tcPr>
          <w:p>
            <w:pPr>
              <w:pStyle w:val="yTable"/>
              <w:ind w:right="138"/>
              <w:jc w:val="right"/>
              <w:rPr>
                <w:sz w:val="20"/>
              </w:rPr>
            </w:pPr>
            <w:r>
              <w:rPr>
                <w:sz w:val="20"/>
              </w:rPr>
              <w:t>1 200 000</w:t>
            </w:r>
          </w:p>
        </w:tc>
        <w:tc>
          <w:tcPr>
            <w:tcW w:w="1191" w:type="dxa"/>
            <w:tcBorders>
              <w:top w:val="nil"/>
              <w:left w:val="nil"/>
              <w:right w:val="nil"/>
            </w:tcBorders>
          </w:tcPr>
          <w:p>
            <w:pPr>
              <w:pStyle w:val="yTable"/>
              <w:jc w:val="right"/>
              <w:rPr>
                <w:sz w:val="20"/>
              </w:rPr>
            </w:pPr>
          </w:p>
        </w:tc>
        <w:tc>
          <w:tcPr>
            <w:tcW w:w="4763" w:type="dxa"/>
            <w:tcBorders>
              <w:top w:val="nil"/>
              <w:left w:val="nil"/>
              <w:right w:val="nil"/>
            </w:tcBorders>
          </w:tcPr>
          <w:p>
            <w:pPr>
              <w:pStyle w:val="yTable"/>
              <w:tabs>
                <w:tab w:val="left" w:pos="318"/>
              </w:tabs>
              <w:rPr>
                <w:sz w:val="20"/>
              </w:rPr>
            </w:pPr>
            <w:r>
              <w:rPr>
                <w:sz w:val="20"/>
              </w:rPr>
              <w:t>$12 630.00 + 2.00 cents for each $1 in excess of $1 200 000</w:t>
            </w:r>
          </w:p>
        </w:tc>
      </w:tr>
    </w:tbl>
    <w:p>
      <w:pPr>
        <w:pStyle w:val="yFootnotesection"/>
      </w:pPr>
      <w:r>
        <w:tab/>
        <w:t>[Schedule 7 inserted by No. 18 of 1998 s. 6.]</w:t>
      </w:r>
    </w:p>
    <w:p>
      <w:pPr>
        <w:pStyle w:val="yScheduleHeading"/>
      </w:pPr>
      <w:bookmarkStart w:id="42" w:name="_Toc378945270"/>
      <w:bookmarkStart w:id="43" w:name="_Toc425838791"/>
      <w:r>
        <w:rPr>
          <w:rStyle w:val="CharSchNo"/>
        </w:rPr>
        <w:t>Schedule 8</w:t>
      </w:r>
      <w:bookmarkEnd w:id="42"/>
      <w:bookmarkEnd w:id="43"/>
    </w:p>
    <w:p>
      <w:pPr>
        <w:pStyle w:val="yShoulderClause"/>
        <w:spacing w:after="80"/>
      </w:pPr>
      <w:r>
        <w:t>[s. 12]</w:t>
      </w:r>
    </w:p>
    <w:tbl>
      <w:tblPr>
        <w:tblW w:w="7097" w:type="dxa"/>
        <w:tblInd w:w="84"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134"/>
        <w:gridCol w:w="13"/>
        <w:gridCol w:w="1178"/>
        <w:gridCol w:w="4764"/>
        <w:gridCol w:w="8"/>
      </w:tblGrid>
      <w:tr>
        <w:trPr>
          <w:cantSplit/>
        </w:trPr>
        <w:tc>
          <w:tcPr>
            <w:tcW w:w="2325" w:type="dxa"/>
            <w:gridSpan w:val="3"/>
            <w:tcBorders>
              <w:top w:val="single" w:sz="4" w:space="0" w:color="auto"/>
              <w:bottom w:val="single" w:sz="4" w:space="0" w:color="auto"/>
            </w:tcBorders>
          </w:tcPr>
          <w:p>
            <w:pPr>
              <w:pStyle w:val="yTable"/>
              <w:rPr>
                <w:b/>
                <w:snapToGrid w:val="0"/>
                <w:sz w:val="20"/>
              </w:rPr>
            </w:pPr>
            <w:r>
              <w:rPr>
                <w:b/>
                <w:snapToGrid w:val="0"/>
                <w:sz w:val="20"/>
              </w:rPr>
              <w:t xml:space="preserve">Unimproved value of the land under the </w:t>
            </w:r>
            <w:r>
              <w:rPr>
                <w:b/>
                <w:i/>
                <w:snapToGrid w:val="0"/>
                <w:sz w:val="20"/>
              </w:rPr>
              <w:t>Land Tax Assessment Act 1976</w:t>
            </w:r>
          </w:p>
        </w:tc>
        <w:tc>
          <w:tcPr>
            <w:tcW w:w="4772" w:type="dxa"/>
            <w:gridSpan w:val="2"/>
            <w:tcBorders>
              <w:top w:val="single" w:sz="4" w:space="0" w:color="auto"/>
              <w:bottom w:val="single" w:sz="4" w:space="0" w:color="auto"/>
            </w:tcBorders>
          </w:tcPr>
          <w:p>
            <w:pPr>
              <w:pStyle w:val="yTable"/>
              <w:jc w:val="center"/>
              <w:rPr>
                <w:b/>
                <w:snapToGrid w:val="0"/>
                <w:sz w:val="20"/>
              </w:rPr>
            </w:pPr>
            <w:r>
              <w:rPr>
                <w:b/>
                <w:snapToGrid w:val="0"/>
                <w:sz w:val="20"/>
              </w:rPr>
              <w:br/>
              <w:t>Rate</w:t>
            </w:r>
          </w:p>
        </w:tc>
      </w:tr>
      <w:tr>
        <w:tc>
          <w:tcPr>
            <w:tcW w:w="1147" w:type="dxa"/>
            <w:gridSpan w:val="2"/>
            <w:tcBorders>
              <w:top w:val="nil"/>
            </w:tcBorders>
          </w:tcPr>
          <w:p>
            <w:pPr>
              <w:pStyle w:val="yTable"/>
              <w:jc w:val="center"/>
              <w:rPr>
                <w:b/>
                <w:sz w:val="20"/>
              </w:rPr>
            </w:pPr>
            <w:r>
              <w:rPr>
                <w:b/>
                <w:sz w:val="20"/>
              </w:rPr>
              <w:t>Exceeding</w:t>
            </w:r>
            <w:r>
              <w:rPr>
                <w:b/>
                <w:sz w:val="20"/>
              </w:rPr>
              <w:br/>
            </w:r>
            <w:r>
              <w:rPr>
                <w:b/>
                <w:sz w:val="20"/>
              </w:rPr>
              <w:br/>
              <w:t>$</w:t>
            </w:r>
          </w:p>
        </w:tc>
        <w:tc>
          <w:tcPr>
            <w:tcW w:w="1178" w:type="dxa"/>
            <w:tcBorders>
              <w:top w:val="nil"/>
            </w:tcBorders>
          </w:tcPr>
          <w:p>
            <w:pPr>
              <w:pStyle w:val="yTable"/>
              <w:jc w:val="center"/>
              <w:rPr>
                <w:b/>
                <w:sz w:val="20"/>
              </w:rPr>
            </w:pPr>
            <w:r>
              <w:rPr>
                <w:b/>
                <w:sz w:val="20"/>
              </w:rPr>
              <w:t>Not</w:t>
            </w:r>
            <w:r>
              <w:rPr>
                <w:b/>
                <w:sz w:val="20"/>
              </w:rPr>
              <w:br/>
              <w:t>exceeding</w:t>
            </w:r>
            <w:r>
              <w:rPr>
                <w:b/>
                <w:sz w:val="20"/>
              </w:rPr>
              <w:br/>
              <w:t>$</w:t>
            </w:r>
          </w:p>
        </w:tc>
        <w:tc>
          <w:tcPr>
            <w:tcW w:w="4772" w:type="dxa"/>
            <w:gridSpan w:val="2"/>
            <w:tcBorders>
              <w:top w:val="nil"/>
            </w:tcBorders>
          </w:tcPr>
          <w:p>
            <w:pPr>
              <w:pStyle w:val="yTable"/>
              <w:rPr>
                <w:b/>
                <w:sz w:val="20"/>
              </w:rPr>
            </w:pP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0</w:t>
            </w:r>
          </w:p>
        </w:tc>
        <w:tc>
          <w:tcPr>
            <w:tcW w:w="1191" w:type="dxa"/>
            <w:gridSpan w:val="2"/>
            <w:tcBorders>
              <w:top w:val="nil"/>
              <w:left w:val="nil"/>
              <w:bottom w:val="nil"/>
              <w:right w:val="nil"/>
            </w:tcBorders>
          </w:tcPr>
          <w:p>
            <w:pPr>
              <w:pStyle w:val="yTable"/>
              <w:ind w:right="231"/>
              <w:jc w:val="right"/>
              <w:rPr>
                <w:sz w:val="20"/>
              </w:rPr>
            </w:pPr>
            <w:r>
              <w:rPr>
                <w:sz w:val="20"/>
              </w:rPr>
              <w:t>10 000</w:t>
            </w:r>
          </w:p>
        </w:tc>
        <w:tc>
          <w:tcPr>
            <w:tcW w:w="4764" w:type="dxa"/>
            <w:tcBorders>
              <w:top w:val="nil"/>
              <w:left w:val="nil"/>
              <w:bottom w:val="nil"/>
              <w:right w:val="nil"/>
            </w:tcBorders>
          </w:tcPr>
          <w:p>
            <w:pPr>
              <w:pStyle w:val="yTable"/>
              <w:tabs>
                <w:tab w:val="left" w:pos="318"/>
              </w:tabs>
              <w:rPr>
                <w:sz w:val="20"/>
              </w:rPr>
            </w:pPr>
            <w:r>
              <w:rPr>
                <w:sz w:val="20"/>
              </w:rPr>
              <w:t>Nil</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10 000</w:t>
            </w:r>
          </w:p>
        </w:tc>
        <w:tc>
          <w:tcPr>
            <w:tcW w:w="1191" w:type="dxa"/>
            <w:gridSpan w:val="2"/>
            <w:tcBorders>
              <w:top w:val="nil"/>
              <w:left w:val="nil"/>
              <w:bottom w:val="nil"/>
              <w:right w:val="nil"/>
            </w:tcBorders>
          </w:tcPr>
          <w:p>
            <w:pPr>
              <w:pStyle w:val="yTable"/>
              <w:ind w:right="231"/>
              <w:jc w:val="right"/>
              <w:rPr>
                <w:sz w:val="20"/>
              </w:rPr>
            </w:pPr>
            <w:r>
              <w:rPr>
                <w:sz w:val="20"/>
              </w:rPr>
              <w:t>100 000</w:t>
            </w:r>
          </w:p>
        </w:tc>
        <w:tc>
          <w:tcPr>
            <w:tcW w:w="4764" w:type="dxa"/>
            <w:tcBorders>
              <w:top w:val="nil"/>
              <w:left w:val="nil"/>
              <w:bottom w:val="nil"/>
              <w:right w:val="nil"/>
            </w:tcBorders>
          </w:tcPr>
          <w:p>
            <w:pPr>
              <w:pStyle w:val="yTable"/>
              <w:tabs>
                <w:tab w:val="left" w:pos="318"/>
              </w:tabs>
              <w:rPr>
                <w:sz w:val="20"/>
              </w:rPr>
            </w:pPr>
            <w:r>
              <w:rPr>
                <w:sz w:val="20"/>
              </w:rPr>
              <w:t>$15.00 + 0.15 cent for each $1 in excess of $10 000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100 000</w:t>
            </w:r>
          </w:p>
        </w:tc>
        <w:tc>
          <w:tcPr>
            <w:tcW w:w="1191" w:type="dxa"/>
            <w:gridSpan w:val="2"/>
            <w:tcBorders>
              <w:top w:val="nil"/>
              <w:left w:val="nil"/>
              <w:bottom w:val="nil"/>
              <w:right w:val="nil"/>
            </w:tcBorders>
          </w:tcPr>
          <w:p>
            <w:pPr>
              <w:pStyle w:val="yTable"/>
              <w:ind w:right="231"/>
              <w:jc w:val="right"/>
              <w:rPr>
                <w:sz w:val="20"/>
              </w:rPr>
            </w:pPr>
            <w:r>
              <w:rPr>
                <w:sz w:val="20"/>
              </w:rPr>
              <w:t>190 000</w:t>
            </w:r>
          </w:p>
        </w:tc>
        <w:tc>
          <w:tcPr>
            <w:tcW w:w="4764" w:type="dxa"/>
            <w:tcBorders>
              <w:top w:val="nil"/>
              <w:left w:val="nil"/>
              <w:bottom w:val="nil"/>
              <w:right w:val="nil"/>
            </w:tcBorders>
          </w:tcPr>
          <w:p>
            <w:pPr>
              <w:pStyle w:val="yTable"/>
              <w:tabs>
                <w:tab w:val="left" w:pos="318"/>
              </w:tabs>
              <w:rPr>
                <w:sz w:val="20"/>
              </w:rPr>
            </w:pPr>
            <w:r>
              <w:rPr>
                <w:sz w:val="20"/>
              </w:rPr>
              <w:t>$150.00 + 0.25 cent for each $1 in excess of $100 000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190 000</w:t>
            </w:r>
          </w:p>
        </w:tc>
        <w:tc>
          <w:tcPr>
            <w:tcW w:w="1191" w:type="dxa"/>
            <w:gridSpan w:val="2"/>
            <w:tcBorders>
              <w:top w:val="nil"/>
              <w:left w:val="nil"/>
              <w:bottom w:val="nil"/>
              <w:right w:val="nil"/>
            </w:tcBorders>
          </w:tcPr>
          <w:p>
            <w:pPr>
              <w:pStyle w:val="yTable"/>
              <w:ind w:right="231"/>
              <w:jc w:val="right"/>
              <w:rPr>
                <w:sz w:val="20"/>
              </w:rPr>
            </w:pPr>
            <w:r>
              <w:rPr>
                <w:sz w:val="20"/>
              </w:rPr>
              <w:t>325 000</w:t>
            </w:r>
          </w:p>
        </w:tc>
        <w:tc>
          <w:tcPr>
            <w:tcW w:w="4764" w:type="dxa"/>
            <w:tcBorders>
              <w:top w:val="nil"/>
              <w:left w:val="nil"/>
              <w:bottom w:val="nil"/>
              <w:right w:val="nil"/>
            </w:tcBorders>
          </w:tcPr>
          <w:p>
            <w:pPr>
              <w:pStyle w:val="yTable"/>
              <w:tabs>
                <w:tab w:val="left" w:pos="318"/>
              </w:tabs>
              <w:rPr>
                <w:sz w:val="20"/>
              </w:rPr>
            </w:pPr>
            <w:r>
              <w:rPr>
                <w:sz w:val="20"/>
              </w:rPr>
              <w:t>$375.00 + 0.45 cent for each $1 in excess of $190 000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325 000</w:t>
            </w:r>
          </w:p>
        </w:tc>
        <w:tc>
          <w:tcPr>
            <w:tcW w:w="1191" w:type="dxa"/>
            <w:gridSpan w:val="2"/>
            <w:tcBorders>
              <w:top w:val="nil"/>
              <w:left w:val="nil"/>
              <w:bottom w:val="nil"/>
              <w:right w:val="nil"/>
            </w:tcBorders>
          </w:tcPr>
          <w:p>
            <w:pPr>
              <w:pStyle w:val="yTable"/>
              <w:ind w:right="231"/>
              <w:jc w:val="right"/>
              <w:rPr>
                <w:sz w:val="20"/>
              </w:rPr>
            </w:pPr>
            <w:r>
              <w:rPr>
                <w:sz w:val="20"/>
              </w:rPr>
              <w:t>550 000</w:t>
            </w:r>
          </w:p>
        </w:tc>
        <w:tc>
          <w:tcPr>
            <w:tcW w:w="4764" w:type="dxa"/>
            <w:tcBorders>
              <w:top w:val="nil"/>
              <w:left w:val="nil"/>
              <w:bottom w:val="nil"/>
              <w:right w:val="nil"/>
            </w:tcBorders>
          </w:tcPr>
          <w:p>
            <w:pPr>
              <w:pStyle w:val="yTable"/>
              <w:tabs>
                <w:tab w:val="left" w:pos="318"/>
              </w:tabs>
              <w:rPr>
                <w:sz w:val="20"/>
              </w:rPr>
            </w:pPr>
            <w:r>
              <w:rPr>
                <w:sz w:val="20"/>
              </w:rPr>
              <w:t>$982.50 + 0.80 cent for each $1 in excess of $325 000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550 000</w:t>
            </w:r>
          </w:p>
        </w:tc>
        <w:tc>
          <w:tcPr>
            <w:tcW w:w="1191" w:type="dxa"/>
            <w:gridSpan w:val="2"/>
            <w:tcBorders>
              <w:top w:val="nil"/>
              <w:left w:val="nil"/>
              <w:bottom w:val="nil"/>
              <w:right w:val="nil"/>
            </w:tcBorders>
          </w:tcPr>
          <w:p>
            <w:pPr>
              <w:pStyle w:val="yTable"/>
              <w:ind w:right="231"/>
              <w:jc w:val="right"/>
              <w:rPr>
                <w:sz w:val="20"/>
              </w:rPr>
            </w:pPr>
            <w:r>
              <w:rPr>
                <w:sz w:val="20"/>
              </w:rPr>
              <w:t>850 000</w:t>
            </w:r>
          </w:p>
        </w:tc>
        <w:tc>
          <w:tcPr>
            <w:tcW w:w="4764" w:type="dxa"/>
            <w:tcBorders>
              <w:top w:val="nil"/>
              <w:left w:val="nil"/>
              <w:bottom w:val="nil"/>
              <w:right w:val="nil"/>
            </w:tcBorders>
          </w:tcPr>
          <w:p>
            <w:pPr>
              <w:pStyle w:val="yTable"/>
              <w:tabs>
                <w:tab w:val="left" w:pos="318"/>
              </w:tabs>
              <w:rPr>
                <w:sz w:val="20"/>
              </w:rPr>
            </w:pPr>
            <w:r>
              <w:rPr>
                <w:sz w:val="20"/>
              </w:rPr>
              <w:t>$2 782.50 + 1.20 cents for each $1 in excess of $550 000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bottom w:val="nil"/>
              <w:right w:val="nil"/>
            </w:tcBorders>
          </w:tcPr>
          <w:p>
            <w:pPr>
              <w:pStyle w:val="yTable"/>
              <w:ind w:right="85"/>
              <w:jc w:val="right"/>
              <w:rPr>
                <w:sz w:val="20"/>
              </w:rPr>
            </w:pPr>
            <w:r>
              <w:rPr>
                <w:sz w:val="20"/>
              </w:rPr>
              <w:t>850 000</w:t>
            </w:r>
          </w:p>
        </w:tc>
        <w:tc>
          <w:tcPr>
            <w:tcW w:w="1191" w:type="dxa"/>
            <w:gridSpan w:val="2"/>
            <w:tcBorders>
              <w:top w:val="nil"/>
              <w:left w:val="nil"/>
              <w:bottom w:val="nil"/>
              <w:right w:val="nil"/>
            </w:tcBorders>
          </w:tcPr>
          <w:p>
            <w:pPr>
              <w:pStyle w:val="yTable"/>
              <w:ind w:right="231"/>
              <w:jc w:val="right"/>
              <w:rPr>
                <w:sz w:val="20"/>
              </w:rPr>
            </w:pPr>
            <w:r>
              <w:rPr>
                <w:sz w:val="20"/>
              </w:rPr>
              <w:t>1 250 000</w:t>
            </w:r>
          </w:p>
        </w:tc>
        <w:tc>
          <w:tcPr>
            <w:tcW w:w="4764" w:type="dxa"/>
            <w:tcBorders>
              <w:top w:val="nil"/>
              <w:left w:val="nil"/>
              <w:bottom w:val="nil"/>
              <w:right w:val="nil"/>
            </w:tcBorders>
          </w:tcPr>
          <w:p>
            <w:pPr>
              <w:pStyle w:val="yTable"/>
              <w:tabs>
                <w:tab w:val="left" w:pos="318"/>
              </w:tabs>
              <w:rPr>
                <w:sz w:val="20"/>
              </w:rPr>
            </w:pPr>
            <w:r>
              <w:rPr>
                <w:sz w:val="20"/>
              </w:rPr>
              <w:t>$6 382.50 + 1.60 cents for each $1 in excess of $850 000</w:t>
            </w:r>
          </w:p>
        </w:tc>
      </w:tr>
      <w:tr>
        <w:tblPrEx>
          <w:tblBorders>
            <w:left w:val="single" w:sz="4" w:space="0" w:color="auto"/>
            <w:right w:val="single" w:sz="4" w:space="0" w:color="auto"/>
            <w:insideH w:val="single" w:sz="4" w:space="0" w:color="auto"/>
            <w:insideV w:val="single" w:sz="4" w:space="0" w:color="auto"/>
          </w:tblBorders>
        </w:tblPrEx>
        <w:trPr>
          <w:gridAfter w:val="1"/>
          <w:wAfter w:w="8" w:type="dxa"/>
          <w:trHeight w:val="240"/>
        </w:trPr>
        <w:tc>
          <w:tcPr>
            <w:tcW w:w="1134" w:type="dxa"/>
            <w:tcBorders>
              <w:top w:val="nil"/>
              <w:left w:val="nil"/>
              <w:right w:val="nil"/>
            </w:tcBorders>
          </w:tcPr>
          <w:p>
            <w:pPr>
              <w:pStyle w:val="yTable"/>
              <w:ind w:right="85"/>
              <w:jc w:val="right"/>
              <w:rPr>
                <w:sz w:val="20"/>
              </w:rPr>
            </w:pPr>
            <w:r>
              <w:rPr>
                <w:sz w:val="20"/>
              </w:rPr>
              <w:t>1 250 000</w:t>
            </w:r>
          </w:p>
        </w:tc>
        <w:tc>
          <w:tcPr>
            <w:tcW w:w="1191" w:type="dxa"/>
            <w:gridSpan w:val="2"/>
            <w:tcBorders>
              <w:top w:val="nil"/>
              <w:left w:val="nil"/>
              <w:right w:val="nil"/>
            </w:tcBorders>
          </w:tcPr>
          <w:p>
            <w:pPr>
              <w:pStyle w:val="yTable"/>
              <w:ind w:right="231"/>
              <w:jc w:val="right"/>
              <w:rPr>
                <w:sz w:val="20"/>
              </w:rPr>
            </w:pPr>
          </w:p>
        </w:tc>
        <w:tc>
          <w:tcPr>
            <w:tcW w:w="4764" w:type="dxa"/>
            <w:tcBorders>
              <w:top w:val="nil"/>
              <w:left w:val="nil"/>
              <w:right w:val="nil"/>
            </w:tcBorders>
          </w:tcPr>
          <w:p>
            <w:pPr>
              <w:pStyle w:val="yTable"/>
              <w:tabs>
                <w:tab w:val="left" w:pos="318"/>
              </w:tabs>
              <w:rPr>
                <w:sz w:val="20"/>
              </w:rPr>
            </w:pPr>
            <w:r>
              <w:rPr>
                <w:sz w:val="20"/>
              </w:rPr>
              <w:t>$12 782.50 + 2.00 cents for each $1 in excess of $1 250 000</w:t>
            </w:r>
          </w:p>
        </w:tc>
      </w:tr>
    </w:tbl>
    <w:p>
      <w:pPr>
        <w:pStyle w:val="yFootnotesection"/>
      </w:pPr>
      <w:r>
        <w:tab/>
        <w:t>[Schedule 8 inserted by No. 25 of 1999 s. 6.]</w:t>
      </w:r>
    </w:p>
    <w:p>
      <w:pPr>
        <w:pStyle w:val="yScheduleHeading"/>
      </w:pPr>
      <w:bookmarkStart w:id="44" w:name="_Toc378945271"/>
      <w:bookmarkStart w:id="45" w:name="_Toc425838792"/>
      <w:r>
        <w:rPr>
          <w:rStyle w:val="CharSchNo"/>
        </w:rPr>
        <w:t>Schedule 9</w:t>
      </w:r>
      <w:bookmarkEnd w:id="44"/>
      <w:bookmarkEnd w:id="45"/>
    </w:p>
    <w:p>
      <w:pPr>
        <w:pStyle w:val="yShoulderClause"/>
        <w:spacing w:after="80"/>
      </w:pPr>
      <w:r>
        <w:t>[s. 13]</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91"/>
        <w:gridCol w:w="29"/>
        <w:gridCol w:w="4734"/>
      </w:tblGrid>
      <w:tr>
        <w:trPr>
          <w:cantSplit/>
          <w:trHeight w:val="240"/>
        </w:trPr>
        <w:tc>
          <w:tcPr>
            <w:tcW w:w="2354" w:type="dxa"/>
            <w:gridSpan w:val="3"/>
            <w:tcBorders>
              <w:top w:val="single" w:sz="4" w:space="0" w:color="auto"/>
              <w:left w:val="nil"/>
              <w:bottom w:val="single" w:sz="4" w:space="0" w:color="auto"/>
              <w:right w:val="nil"/>
            </w:tcBorders>
          </w:tcPr>
          <w:p>
            <w:pPr>
              <w:pStyle w:val="yTable"/>
              <w:spacing w:before="0"/>
              <w:rPr>
                <w:b/>
                <w:i/>
                <w:sz w:val="20"/>
              </w:rPr>
            </w:pPr>
            <w:r>
              <w:rPr>
                <w:b/>
                <w:sz w:val="20"/>
              </w:rPr>
              <w:t xml:space="preserve">Unimproved value of the land under the </w:t>
            </w:r>
            <w:r>
              <w:rPr>
                <w:b/>
                <w:i/>
                <w:sz w:val="20"/>
              </w:rPr>
              <w:t>Land Tax Assessment Act 1976</w:t>
            </w:r>
          </w:p>
        </w:tc>
        <w:tc>
          <w:tcPr>
            <w:tcW w:w="4734" w:type="dxa"/>
            <w:tcBorders>
              <w:top w:val="single" w:sz="4" w:space="0" w:color="auto"/>
              <w:left w:val="nil"/>
              <w:bottom w:val="single" w:sz="4" w:space="0" w:color="auto"/>
              <w:right w:val="nil"/>
            </w:tcBorders>
          </w:tcPr>
          <w:p>
            <w:pPr>
              <w:pStyle w:val="yTable"/>
              <w:spacing w:before="0" w:line="288" w:lineRule="auto"/>
              <w:jc w:val="center"/>
              <w:rPr>
                <w:b/>
                <w:sz w:val="20"/>
              </w:rPr>
            </w:pPr>
          </w:p>
          <w:p>
            <w:pPr>
              <w:pStyle w:val="yTable"/>
              <w:spacing w:before="0" w:line="288" w:lineRule="auto"/>
              <w:jc w:val="center"/>
              <w:rPr>
                <w:b/>
                <w:sz w:val="20"/>
              </w:rPr>
            </w:pPr>
            <w:r>
              <w:rPr>
                <w:b/>
                <w:sz w:val="20"/>
              </w:rPr>
              <w:t>Rate</w:t>
            </w:r>
          </w:p>
        </w:tc>
      </w:tr>
      <w:tr>
        <w:tblPrEx>
          <w:tblCellMar>
            <w:left w:w="28" w:type="dxa"/>
            <w:right w:w="28" w:type="dxa"/>
          </w:tblCellMar>
        </w:tblPrEx>
        <w:trPr>
          <w:trHeight w:val="240"/>
        </w:trPr>
        <w:tc>
          <w:tcPr>
            <w:tcW w:w="1134" w:type="dxa"/>
            <w:tcBorders>
              <w:top w:val="nil"/>
              <w:left w:val="nil"/>
              <w:bottom w:val="nil"/>
              <w:right w:val="nil"/>
            </w:tcBorders>
          </w:tcPr>
          <w:p>
            <w:pPr>
              <w:pStyle w:val="yTable"/>
              <w:jc w:val="center"/>
              <w:rPr>
                <w:b/>
                <w:spacing w:val="-8"/>
                <w:sz w:val="20"/>
              </w:rPr>
            </w:pPr>
            <w:r>
              <w:rPr>
                <w:b/>
                <w:spacing w:val="-8"/>
                <w:sz w:val="20"/>
              </w:rPr>
              <w:br/>
              <w:t>Exceeding</w:t>
            </w:r>
          </w:p>
        </w:tc>
        <w:tc>
          <w:tcPr>
            <w:tcW w:w="1191" w:type="dxa"/>
            <w:tcBorders>
              <w:top w:val="nil"/>
              <w:left w:val="nil"/>
              <w:bottom w:val="nil"/>
              <w:right w:val="nil"/>
            </w:tcBorders>
          </w:tcPr>
          <w:p>
            <w:pPr>
              <w:pStyle w:val="yTable"/>
              <w:jc w:val="center"/>
              <w:rPr>
                <w:b/>
                <w:spacing w:val="-4"/>
                <w:sz w:val="20"/>
              </w:rPr>
            </w:pPr>
            <w:r>
              <w:rPr>
                <w:b/>
                <w:spacing w:val="-4"/>
                <w:sz w:val="20"/>
              </w:rPr>
              <w:t>Not exceeding</w:t>
            </w:r>
          </w:p>
        </w:tc>
        <w:tc>
          <w:tcPr>
            <w:tcW w:w="4763" w:type="dxa"/>
            <w:gridSpan w:val="2"/>
            <w:tcBorders>
              <w:top w:val="nil"/>
              <w:left w:val="nil"/>
              <w:bottom w:val="nil"/>
              <w:right w:val="nil"/>
            </w:tcBorders>
          </w:tcPr>
          <w:p>
            <w:pPr>
              <w:pStyle w:val="yTable"/>
              <w:rPr>
                <w:sz w:val="20"/>
              </w:rPr>
            </w:pPr>
          </w:p>
        </w:tc>
      </w:tr>
      <w:tr>
        <w:tblPrEx>
          <w:tblCellMar>
            <w:left w:w="28" w:type="dxa"/>
            <w:right w:w="28" w:type="dxa"/>
          </w:tblCellMar>
        </w:tblPrEx>
        <w:trPr>
          <w:trHeight w:val="240"/>
        </w:trPr>
        <w:tc>
          <w:tcPr>
            <w:tcW w:w="1134" w:type="dxa"/>
            <w:tcBorders>
              <w:top w:val="nil"/>
              <w:left w:val="nil"/>
              <w:bottom w:val="nil"/>
              <w:right w:val="nil"/>
            </w:tcBorders>
          </w:tcPr>
          <w:p>
            <w:pPr>
              <w:pStyle w:val="yTable"/>
              <w:spacing w:before="0"/>
              <w:jc w:val="center"/>
              <w:rPr>
                <w:b/>
                <w:sz w:val="20"/>
              </w:rPr>
            </w:pPr>
            <w:r>
              <w:rPr>
                <w:b/>
                <w:sz w:val="20"/>
              </w:rPr>
              <w:t>$</w:t>
            </w:r>
          </w:p>
        </w:tc>
        <w:tc>
          <w:tcPr>
            <w:tcW w:w="1191" w:type="dxa"/>
            <w:tcBorders>
              <w:top w:val="nil"/>
              <w:left w:val="nil"/>
              <w:bottom w:val="nil"/>
              <w:right w:val="nil"/>
            </w:tcBorders>
          </w:tcPr>
          <w:p>
            <w:pPr>
              <w:pStyle w:val="yTable"/>
              <w:spacing w:before="0"/>
              <w:jc w:val="center"/>
              <w:rPr>
                <w:b/>
                <w:sz w:val="20"/>
              </w:rPr>
            </w:pPr>
            <w:r>
              <w:rPr>
                <w:b/>
                <w:sz w:val="20"/>
              </w:rPr>
              <w:t>$</w:t>
            </w:r>
          </w:p>
        </w:tc>
        <w:tc>
          <w:tcPr>
            <w:tcW w:w="4763" w:type="dxa"/>
            <w:gridSpan w:val="2"/>
            <w:tcBorders>
              <w:top w:val="nil"/>
              <w:left w:val="nil"/>
              <w:bottom w:val="nil"/>
              <w:right w:val="nil"/>
            </w:tcBorders>
          </w:tcPr>
          <w:p>
            <w:pPr>
              <w:pStyle w:val="yTable"/>
              <w:spacing w:before="0"/>
              <w:rPr>
                <w:sz w:val="20"/>
              </w:rPr>
            </w:pP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0</w:t>
            </w:r>
          </w:p>
        </w:tc>
        <w:tc>
          <w:tcPr>
            <w:tcW w:w="1191" w:type="dxa"/>
            <w:tcBorders>
              <w:top w:val="nil"/>
              <w:left w:val="nil"/>
              <w:bottom w:val="nil"/>
              <w:right w:val="nil"/>
            </w:tcBorders>
          </w:tcPr>
          <w:p>
            <w:pPr>
              <w:pStyle w:val="yTable"/>
              <w:ind w:right="170"/>
              <w:jc w:val="right"/>
              <w:rPr>
                <w:sz w:val="20"/>
              </w:rPr>
            </w:pPr>
            <w:r>
              <w:rPr>
                <w:sz w:val="20"/>
              </w:rPr>
              <w:t>50 000</w:t>
            </w:r>
          </w:p>
        </w:tc>
        <w:tc>
          <w:tcPr>
            <w:tcW w:w="4763" w:type="dxa"/>
            <w:gridSpan w:val="2"/>
            <w:tcBorders>
              <w:top w:val="nil"/>
              <w:left w:val="nil"/>
              <w:bottom w:val="nil"/>
              <w:right w:val="nil"/>
            </w:tcBorders>
          </w:tcPr>
          <w:p>
            <w:pPr>
              <w:pStyle w:val="yTable"/>
              <w:ind w:left="113"/>
              <w:rPr>
                <w:sz w:val="20"/>
              </w:rPr>
            </w:pPr>
            <w:r>
              <w:rPr>
                <w:sz w:val="20"/>
              </w:rPr>
              <w:t>Nil</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50 000</w:t>
            </w:r>
          </w:p>
        </w:tc>
        <w:tc>
          <w:tcPr>
            <w:tcW w:w="1191" w:type="dxa"/>
            <w:tcBorders>
              <w:top w:val="nil"/>
              <w:left w:val="nil"/>
              <w:bottom w:val="nil"/>
              <w:right w:val="nil"/>
            </w:tcBorders>
          </w:tcPr>
          <w:p>
            <w:pPr>
              <w:pStyle w:val="yTable"/>
              <w:ind w:right="170"/>
              <w:jc w:val="right"/>
              <w:rPr>
                <w:sz w:val="20"/>
              </w:rPr>
            </w:pPr>
            <w:r>
              <w:rPr>
                <w:sz w:val="20"/>
              </w:rPr>
              <w:t>100 000</w:t>
            </w:r>
          </w:p>
        </w:tc>
        <w:tc>
          <w:tcPr>
            <w:tcW w:w="4763" w:type="dxa"/>
            <w:gridSpan w:val="2"/>
            <w:tcBorders>
              <w:top w:val="nil"/>
              <w:left w:val="nil"/>
              <w:bottom w:val="nil"/>
              <w:right w:val="nil"/>
            </w:tcBorders>
          </w:tcPr>
          <w:p>
            <w:pPr>
              <w:pStyle w:val="yTable"/>
              <w:ind w:left="113"/>
              <w:rPr>
                <w:sz w:val="20"/>
              </w:rPr>
            </w:pPr>
            <w:r>
              <w:rPr>
                <w:sz w:val="20"/>
              </w:rPr>
              <w:t>$75.00 + 0.15 cent for each $1 in excess of $50 000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100 000</w:t>
            </w:r>
          </w:p>
        </w:tc>
        <w:tc>
          <w:tcPr>
            <w:tcW w:w="1191" w:type="dxa"/>
            <w:tcBorders>
              <w:top w:val="nil"/>
              <w:left w:val="nil"/>
              <w:bottom w:val="nil"/>
              <w:right w:val="nil"/>
            </w:tcBorders>
          </w:tcPr>
          <w:p>
            <w:pPr>
              <w:pStyle w:val="yTable"/>
              <w:ind w:right="170"/>
              <w:jc w:val="right"/>
              <w:rPr>
                <w:sz w:val="20"/>
              </w:rPr>
            </w:pPr>
            <w:r>
              <w:rPr>
                <w:sz w:val="20"/>
              </w:rPr>
              <w:t>190 000</w:t>
            </w:r>
          </w:p>
        </w:tc>
        <w:tc>
          <w:tcPr>
            <w:tcW w:w="4763" w:type="dxa"/>
            <w:gridSpan w:val="2"/>
            <w:tcBorders>
              <w:top w:val="nil"/>
              <w:left w:val="nil"/>
              <w:bottom w:val="nil"/>
              <w:right w:val="nil"/>
            </w:tcBorders>
          </w:tcPr>
          <w:p>
            <w:pPr>
              <w:pStyle w:val="yTable"/>
              <w:ind w:left="113"/>
              <w:rPr>
                <w:sz w:val="20"/>
              </w:rPr>
            </w:pPr>
            <w:r>
              <w:rPr>
                <w:sz w:val="20"/>
              </w:rPr>
              <w:t>$150.00 + 0.25 cent for each $1 in excess of $100 000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190 000</w:t>
            </w:r>
          </w:p>
        </w:tc>
        <w:tc>
          <w:tcPr>
            <w:tcW w:w="1191" w:type="dxa"/>
            <w:tcBorders>
              <w:top w:val="nil"/>
              <w:left w:val="nil"/>
              <w:bottom w:val="nil"/>
              <w:right w:val="nil"/>
            </w:tcBorders>
          </w:tcPr>
          <w:p>
            <w:pPr>
              <w:pStyle w:val="yTable"/>
              <w:ind w:right="170"/>
              <w:jc w:val="right"/>
              <w:rPr>
                <w:sz w:val="20"/>
              </w:rPr>
            </w:pPr>
            <w:r>
              <w:rPr>
                <w:sz w:val="20"/>
              </w:rPr>
              <w:t>325 000</w:t>
            </w:r>
          </w:p>
        </w:tc>
        <w:tc>
          <w:tcPr>
            <w:tcW w:w="4763" w:type="dxa"/>
            <w:gridSpan w:val="2"/>
            <w:tcBorders>
              <w:top w:val="nil"/>
              <w:left w:val="nil"/>
              <w:bottom w:val="nil"/>
              <w:right w:val="nil"/>
            </w:tcBorders>
          </w:tcPr>
          <w:p>
            <w:pPr>
              <w:pStyle w:val="yTable"/>
              <w:ind w:left="113"/>
              <w:rPr>
                <w:sz w:val="20"/>
              </w:rPr>
            </w:pPr>
            <w:r>
              <w:rPr>
                <w:sz w:val="20"/>
              </w:rPr>
              <w:t>$375.00 + 0.45 cent for each $1 in excess of $190 000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325 000</w:t>
            </w:r>
          </w:p>
        </w:tc>
        <w:tc>
          <w:tcPr>
            <w:tcW w:w="1191" w:type="dxa"/>
            <w:tcBorders>
              <w:top w:val="nil"/>
              <w:left w:val="nil"/>
              <w:bottom w:val="nil"/>
              <w:right w:val="nil"/>
            </w:tcBorders>
          </w:tcPr>
          <w:p>
            <w:pPr>
              <w:pStyle w:val="yTable"/>
              <w:ind w:right="170"/>
              <w:jc w:val="right"/>
              <w:rPr>
                <w:sz w:val="20"/>
              </w:rPr>
            </w:pPr>
            <w:r>
              <w:rPr>
                <w:sz w:val="20"/>
              </w:rPr>
              <w:t>550 000</w:t>
            </w:r>
          </w:p>
        </w:tc>
        <w:tc>
          <w:tcPr>
            <w:tcW w:w="4763" w:type="dxa"/>
            <w:gridSpan w:val="2"/>
            <w:tcBorders>
              <w:top w:val="nil"/>
              <w:left w:val="nil"/>
              <w:bottom w:val="nil"/>
              <w:right w:val="nil"/>
            </w:tcBorders>
          </w:tcPr>
          <w:p>
            <w:pPr>
              <w:pStyle w:val="yTable"/>
              <w:ind w:left="113"/>
              <w:rPr>
                <w:sz w:val="20"/>
              </w:rPr>
            </w:pPr>
            <w:r>
              <w:rPr>
                <w:sz w:val="20"/>
              </w:rPr>
              <w:t>$982.50 + 0.80 cent for each $1 in excess of $325 000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550 000</w:t>
            </w:r>
          </w:p>
        </w:tc>
        <w:tc>
          <w:tcPr>
            <w:tcW w:w="1191" w:type="dxa"/>
            <w:tcBorders>
              <w:top w:val="nil"/>
              <w:left w:val="nil"/>
              <w:bottom w:val="nil"/>
              <w:right w:val="nil"/>
            </w:tcBorders>
          </w:tcPr>
          <w:p>
            <w:pPr>
              <w:pStyle w:val="yTable"/>
              <w:ind w:right="170"/>
              <w:jc w:val="right"/>
              <w:rPr>
                <w:sz w:val="20"/>
              </w:rPr>
            </w:pPr>
            <w:r>
              <w:rPr>
                <w:sz w:val="20"/>
              </w:rPr>
              <w:t>850 000</w:t>
            </w:r>
          </w:p>
        </w:tc>
        <w:tc>
          <w:tcPr>
            <w:tcW w:w="4763" w:type="dxa"/>
            <w:gridSpan w:val="2"/>
            <w:tcBorders>
              <w:top w:val="nil"/>
              <w:left w:val="nil"/>
              <w:bottom w:val="nil"/>
              <w:right w:val="nil"/>
            </w:tcBorders>
          </w:tcPr>
          <w:p>
            <w:pPr>
              <w:pStyle w:val="yTable"/>
              <w:ind w:left="113"/>
              <w:rPr>
                <w:sz w:val="20"/>
              </w:rPr>
            </w:pPr>
            <w:r>
              <w:rPr>
                <w:sz w:val="20"/>
              </w:rPr>
              <w:t>$2 782.50 + 1.20 cents for each $1 in excess of $550 000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850 000</w:t>
            </w:r>
          </w:p>
        </w:tc>
        <w:tc>
          <w:tcPr>
            <w:tcW w:w="1191" w:type="dxa"/>
            <w:tcBorders>
              <w:top w:val="nil"/>
              <w:left w:val="nil"/>
              <w:bottom w:val="nil"/>
              <w:right w:val="nil"/>
            </w:tcBorders>
          </w:tcPr>
          <w:p>
            <w:pPr>
              <w:pStyle w:val="yTable"/>
              <w:ind w:right="170"/>
              <w:jc w:val="right"/>
              <w:rPr>
                <w:sz w:val="20"/>
              </w:rPr>
            </w:pPr>
            <w:r>
              <w:rPr>
                <w:sz w:val="20"/>
              </w:rPr>
              <w:t>1 250 000</w:t>
            </w:r>
          </w:p>
        </w:tc>
        <w:tc>
          <w:tcPr>
            <w:tcW w:w="4763" w:type="dxa"/>
            <w:gridSpan w:val="2"/>
            <w:tcBorders>
              <w:top w:val="nil"/>
              <w:left w:val="nil"/>
              <w:bottom w:val="nil"/>
              <w:right w:val="nil"/>
            </w:tcBorders>
          </w:tcPr>
          <w:p>
            <w:pPr>
              <w:pStyle w:val="yTable"/>
              <w:ind w:left="113"/>
              <w:rPr>
                <w:sz w:val="20"/>
              </w:rPr>
            </w:pPr>
            <w:r>
              <w:rPr>
                <w:sz w:val="20"/>
              </w:rPr>
              <w:t>$6 382.50 + 1.60 cents for each $1 in excess of $850 000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1 250 000</w:t>
            </w:r>
          </w:p>
        </w:tc>
        <w:tc>
          <w:tcPr>
            <w:tcW w:w="1191" w:type="dxa"/>
            <w:tcBorders>
              <w:top w:val="nil"/>
              <w:left w:val="nil"/>
              <w:bottom w:val="nil"/>
              <w:right w:val="nil"/>
            </w:tcBorders>
          </w:tcPr>
          <w:p>
            <w:pPr>
              <w:pStyle w:val="yTable"/>
              <w:ind w:right="170"/>
              <w:jc w:val="right"/>
              <w:rPr>
                <w:sz w:val="20"/>
              </w:rPr>
            </w:pPr>
            <w:r>
              <w:rPr>
                <w:sz w:val="20"/>
              </w:rPr>
              <w:t>2 000 000</w:t>
            </w:r>
          </w:p>
        </w:tc>
        <w:tc>
          <w:tcPr>
            <w:tcW w:w="4763" w:type="dxa"/>
            <w:gridSpan w:val="2"/>
            <w:tcBorders>
              <w:top w:val="nil"/>
              <w:left w:val="nil"/>
              <w:bottom w:val="nil"/>
              <w:right w:val="nil"/>
            </w:tcBorders>
          </w:tcPr>
          <w:p>
            <w:pPr>
              <w:pStyle w:val="yTable"/>
              <w:ind w:left="113"/>
              <w:rPr>
                <w:sz w:val="20"/>
              </w:rPr>
            </w:pPr>
            <w:r>
              <w:rPr>
                <w:sz w:val="20"/>
              </w:rPr>
              <w:t>$12 782.50 + 2.00 cents for each $1 in excess of $1 250 000</w:t>
            </w:r>
          </w:p>
        </w:tc>
      </w:tr>
      <w:tr>
        <w:tblPrEx>
          <w:tblCellMar>
            <w:left w:w="28" w:type="dxa"/>
            <w:right w:w="28" w:type="dxa"/>
          </w:tblCellMar>
        </w:tblPrEx>
        <w:trPr>
          <w:trHeight w:val="240"/>
        </w:trPr>
        <w:tc>
          <w:tcPr>
            <w:tcW w:w="1134" w:type="dxa"/>
            <w:tcBorders>
              <w:top w:val="nil"/>
              <w:left w:val="nil"/>
              <w:bottom w:val="nil"/>
              <w:right w:val="nil"/>
            </w:tcBorders>
          </w:tcPr>
          <w:p>
            <w:pPr>
              <w:pStyle w:val="yTable"/>
              <w:ind w:right="170"/>
              <w:jc w:val="right"/>
              <w:rPr>
                <w:sz w:val="20"/>
              </w:rPr>
            </w:pPr>
            <w:r>
              <w:rPr>
                <w:sz w:val="20"/>
              </w:rPr>
              <w:t>2 000 000</w:t>
            </w:r>
          </w:p>
        </w:tc>
        <w:tc>
          <w:tcPr>
            <w:tcW w:w="1191" w:type="dxa"/>
            <w:tcBorders>
              <w:top w:val="nil"/>
              <w:left w:val="nil"/>
              <w:bottom w:val="nil"/>
              <w:right w:val="nil"/>
            </w:tcBorders>
          </w:tcPr>
          <w:p>
            <w:pPr>
              <w:pStyle w:val="yTable"/>
              <w:ind w:right="170"/>
              <w:jc w:val="right"/>
              <w:rPr>
                <w:sz w:val="20"/>
              </w:rPr>
            </w:pPr>
            <w:r>
              <w:rPr>
                <w:sz w:val="20"/>
              </w:rPr>
              <w:t>5 000 000</w:t>
            </w:r>
          </w:p>
        </w:tc>
        <w:tc>
          <w:tcPr>
            <w:tcW w:w="4763" w:type="dxa"/>
            <w:gridSpan w:val="2"/>
            <w:tcBorders>
              <w:top w:val="nil"/>
              <w:left w:val="nil"/>
              <w:bottom w:val="nil"/>
              <w:right w:val="nil"/>
            </w:tcBorders>
          </w:tcPr>
          <w:p>
            <w:pPr>
              <w:pStyle w:val="yTable"/>
              <w:ind w:left="113"/>
              <w:rPr>
                <w:sz w:val="20"/>
              </w:rPr>
            </w:pPr>
            <w:r>
              <w:rPr>
                <w:sz w:val="20"/>
              </w:rPr>
              <w:t>$27 782.50 + 2.30 cents for each $1 in excess of $2 000 000</w:t>
            </w:r>
          </w:p>
        </w:tc>
      </w:tr>
      <w:tr>
        <w:tblPrEx>
          <w:tblCellMar>
            <w:left w:w="28" w:type="dxa"/>
            <w:right w:w="28" w:type="dxa"/>
          </w:tblCellMar>
        </w:tblPrEx>
        <w:trPr>
          <w:trHeight w:val="240"/>
        </w:trPr>
        <w:tc>
          <w:tcPr>
            <w:tcW w:w="1134" w:type="dxa"/>
            <w:tcBorders>
              <w:top w:val="nil"/>
              <w:left w:val="nil"/>
              <w:right w:val="nil"/>
            </w:tcBorders>
          </w:tcPr>
          <w:p>
            <w:pPr>
              <w:pStyle w:val="yTable"/>
              <w:ind w:right="170"/>
              <w:jc w:val="right"/>
              <w:rPr>
                <w:sz w:val="20"/>
              </w:rPr>
            </w:pPr>
            <w:r>
              <w:rPr>
                <w:sz w:val="20"/>
              </w:rPr>
              <w:t>5 000 000</w:t>
            </w:r>
          </w:p>
        </w:tc>
        <w:tc>
          <w:tcPr>
            <w:tcW w:w="1191" w:type="dxa"/>
            <w:tcBorders>
              <w:top w:val="nil"/>
              <w:left w:val="nil"/>
              <w:right w:val="nil"/>
            </w:tcBorders>
          </w:tcPr>
          <w:p>
            <w:pPr>
              <w:pStyle w:val="yTable"/>
              <w:ind w:right="170"/>
              <w:jc w:val="right"/>
              <w:rPr>
                <w:sz w:val="20"/>
              </w:rPr>
            </w:pPr>
          </w:p>
        </w:tc>
        <w:tc>
          <w:tcPr>
            <w:tcW w:w="4763" w:type="dxa"/>
            <w:gridSpan w:val="2"/>
            <w:tcBorders>
              <w:top w:val="nil"/>
              <w:left w:val="nil"/>
              <w:right w:val="nil"/>
            </w:tcBorders>
          </w:tcPr>
          <w:p>
            <w:pPr>
              <w:pStyle w:val="yTable"/>
              <w:ind w:left="113"/>
              <w:rPr>
                <w:sz w:val="20"/>
              </w:rPr>
            </w:pPr>
            <w:r>
              <w:rPr>
                <w:sz w:val="20"/>
              </w:rPr>
              <w:t>$96 782.50 + 2.50 cents for each $1 in excess of $5 000 000</w:t>
            </w:r>
          </w:p>
        </w:tc>
      </w:tr>
    </w:tbl>
    <w:p>
      <w:pPr>
        <w:pStyle w:val="yFootnotesection"/>
      </w:pPr>
      <w:r>
        <w:tab/>
        <w:t>[Schedule 9 inserted by No. 37 of 2001 s. 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7" w:name="_Toc378945272"/>
      <w:bookmarkStart w:id="48" w:name="_Toc425838793"/>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Act 1976</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 2, 3</w:t>
      </w:r>
      <w:r>
        <w:rPr>
          <w:snapToGrid w:val="0"/>
        </w:rPr>
        <w:t>.</w:t>
      </w:r>
    </w:p>
    <w:p>
      <w:pPr>
        <w:pStyle w:val="nHeading3"/>
      </w:pPr>
      <w:bookmarkStart w:id="49" w:name="_Toc378945273"/>
      <w:bookmarkStart w:id="50" w:name="_Toc425838794"/>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1"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100"/>
            </w:pPr>
            <w:r>
              <w:rPr>
                <w:i/>
              </w:rPr>
              <w:t>Land Tax Act 1976</w:t>
            </w:r>
          </w:p>
        </w:tc>
        <w:tc>
          <w:tcPr>
            <w:tcW w:w="1134" w:type="dxa"/>
          </w:tcPr>
          <w:p>
            <w:pPr>
              <w:pStyle w:val="nTable"/>
              <w:spacing w:before="100"/>
            </w:pPr>
            <w:r>
              <w:t>13 of 1976</w:t>
            </w:r>
          </w:p>
        </w:tc>
        <w:tc>
          <w:tcPr>
            <w:tcW w:w="1134" w:type="dxa"/>
          </w:tcPr>
          <w:p>
            <w:pPr>
              <w:pStyle w:val="nTable"/>
              <w:spacing w:before="100"/>
            </w:pPr>
            <w:r>
              <w:t>3 Jun 1976</w:t>
            </w:r>
          </w:p>
        </w:tc>
        <w:tc>
          <w:tcPr>
            <w:tcW w:w="2551" w:type="dxa"/>
          </w:tcPr>
          <w:p>
            <w:pPr>
              <w:pStyle w:val="nTable"/>
              <w:spacing w:before="100"/>
            </w:pPr>
            <w:r>
              <w:t>1 Jul 1976 (see s. 2)</w:t>
            </w:r>
          </w:p>
        </w:tc>
      </w:tr>
      <w:tr>
        <w:tc>
          <w:tcPr>
            <w:tcW w:w="2268" w:type="dxa"/>
          </w:tcPr>
          <w:p>
            <w:pPr>
              <w:pStyle w:val="nTable"/>
              <w:spacing w:before="100"/>
            </w:pPr>
            <w:r>
              <w:rPr>
                <w:i/>
              </w:rPr>
              <w:t>Land Tax Amendment Act 1986</w:t>
            </w:r>
          </w:p>
        </w:tc>
        <w:tc>
          <w:tcPr>
            <w:tcW w:w="1134" w:type="dxa"/>
          </w:tcPr>
          <w:p>
            <w:pPr>
              <w:pStyle w:val="nTable"/>
              <w:spacing w:before="100"/>
            </w:pPr>
            <w:r>
              <w:t>68 of 1986</w:t>
            </w:r>
          </w:p>
        </w:tc>
        <w:tc>
          <w:tcPr>
            <w:tcW w:w="1134" w:type="dxa"/>
          </w:tcPr>
          <w:p>
            <w:pPr>
              <w:pStyle w:val="nTable"/>
              <w:spacing w:before="100"/>
            </w:pPr>
            <w:r>
              <w:t>4 Dec 1986</w:t>
            </w:r>
          </w:p>
        </w:tc>
        <w:tc>
          <w:tcPr>
            <w:tcW w:w="2551" w:type="dxa"/>
          </w:tcPr>
          <w:p>
            <w:pPr>
              <w:pStyle w:val="nTable"/>
              <w:spacing w:before="100"/>
            </w:pPr>
            <w:r>
              <w:t>1 Jul 1987 (see s. 2)</w:t>
            </w:r>
          </w:p>
        </w:tc>
      </w:tr>
      <w:tr>
        <w:tc>
          <w:tcPr>
            <w:tcW w:w="2268" w:type="dxa"/>
          </w:tcPr>
          <w:p>
            <w:pPr>
              <w:pStyle w:val="nTable"/>
              <w:spacing w:before="100"/>
            </w:pPr>
            <w:r>
              <w:rPr>
                <w:i/>
              </w:rPr>
              <w:t xml:space="preserve">Taxation Legislation Amendment Act 1993 </w:t>
            </w:r>
            <w:r>
              <w:t>Pt. 2</w:t>
            </w:r>
          </w:p>
        </w:tc>
        <w:tc>
          <w:tcPr>
            <w:tcW w:w="1134" w:type="dxa"/>
          </w:tcPr>
          <w:p>
            <w:pPr>
              <w:pStyle w:val="nTable"/>
              <w:spacing w:before="100"/>
            </w:pPr>
            <w:r>
              <w:t>16 of 1993</w:t>
            </w:r>
          </w:p>
        </w:tc>
        <w:tc>
          <w:tcPr>
            <w:tcW w:w="1134" w:type="dxa"/>
          </w:tcPr>
          <w:p>
            <w:pPr>
              <w:pStyle w:val="nTable"/>
              <w:spacing w:before="100"/>
            </w:pPr>
            <w:r>
              <w:t>29 Nov 1993</w:t>
            </w:r>
          </w:p>
        </w:tc>
        <w:tc>
          <w:tcPr>
            <w:tcW w:w="2551" w:type="dxa"/>
          </w:tcPr>
          <w:p>
            <w:pPr>
              <w:pStyle w:val="nTable"/>
              <w:spacing w:before="100"/>
            </w:pPr>
            <w:r>
              <w:t>1 Jul 1993 (see s. 2)</w:t>
            </w:r>
          </w:p>
        </w:tc>
      </w:tr>
      <w:tr>
        <w:tc>
          <w:tcPr>
            <w:tcW w:w="2268" w:type="dxa"/>
          </w:tcPr>
          <w:p>
            <w:pPr>
              <w:pStyle w:val="nTable"/>
              <w:spacing w:before="100"/>
              <w:rPr>
                <w:vertAlign w:val="superscript"/>
              </w:rPr>
            </w:pPr>
            <w:r>
              <w:rPr>
                <w:i/>
              </w:rPr>
              <w:t xml:space="preserve">Acts Amendment (Annual Valuations and Land Tax) Act 1993 </w:t>
            </w:r>
            <w:r>
              <w:t>s. 13</w:t>
            </w:r>
          </w:p>
        </w:tc>
        <w:tc>
          <w:tcPr>
            <w:tcW w:w="1134" w:type="dxa"/>
          </w:tcPr>
          <w:p>
            <w:pPr>
              <w:pStyle w:val="nTable"/>
              <w:spacing w:before="100"/>
            </w:pPr>
            <w:r>
              <w:t>17 of 1993</w:t>
            </w:r>
          </w:p>
        </w:tc>
        <w:tc>
          <w:tcPr>
            <w:tcW w:w="1134" w:type="dxa"/>
          </w:tcPr>
          <w:p>
            <w:pPr>
              <w:pStyle w:val="nTable"/>
              <w:spacing w:before="100"/>
            </w:pPr>
            <w:r>
              <w:t>29 Nov 1993</w:t>
            </w:r>
          </w:p>
        </w:tc>
        <w:tc>
          <w:tcPr>
            <w:tcW w:w="2551" w:type="dxa"/>
          </w:tcPr>
          <w:p>
            <w:pPr>
              <w:pStyle w:val="nTable"/>
              <w:spacing w:before="100"/>
            </w:pPr>
            <w:r>
              <w:t>29 Nov 1993 (see s. 2)</w:t>
            </w:r>
          </w:p>
        </w:tc>
      </w:tr>
      <w:tr>
        <w:tc>
          <w:tcPr>
            <w:tcW w:w="2268" w:type="dxa"/>
          </w:tcPr>
          <w:p>
            <w:pPr>
              <w:pStyle w:val="nTable"/>
              <w:spacing w:before="100"/>
            </w:pPr>
            <w:r>
              <w:rPr>
                <w:i/>
              </w:rPr>
              <w:t>Land Tax Amendment Act 1995</w:t>
            </w:r>
          </w:p>
        </w:tc>
        <w:tc>
          <w:tcPr>
            <w:tcW w:w="1134" w:type="dxa"/>
          </w:tcPr>
          <w:p>
            <w:pPr>
              <w:pStyle w:val="nTable"/>
              <w:spacing w:before="100"/>
            </w:pPr>
            <w:r>
              <w:t>38 of 1995</w:t>
            </w:r>
          </w:p>
        </w:tc>
        <w:tc>
          <w:tcPr>
            <w:tcW w:w="1134" w:type="dxa"/>
          </w:tcPr>
          <w:p>
            <w:pPr>
              <w:pStyle w:val="nTable"/>
              <w:spacing w:before="100"/>
            </w:pPr>
            <w:r>
              <w:t>18 Oct 1995</w:t>
            </w:r>
          </w:p>
        </w:tc>
        <w:tc>
          <w:tcPr>
            <w:tcW w:w="2551" w:type="dxa"/>
          </w:tcPr>
          <w:p>
            <w:pPr>
              <w:pStyle w:val="nTable"/>
              <w:spacing w:before="100"/>
            </w:pPr>
            <w:r>
              <w:t>1 Jul 1995 (see s. 2)</w:t>
            </w:r>
          </w:p>
        </w:tc>
      </w:tr>
      <w:tr>
        <w:tc>
          <w:tcPr>
            <w:tcW w:w="2268" w:type="dxa"/>
          </w:tcPr>
          <w:p>
            <w:pPr>
              <w:pStyle w:val="nTable"/>
              <w:spacing w:before="100"/>
            </w:pPr>
            <w:r>
              <w:rPr>
                <w:i/>
              </w:rPr>
              <w:t xml:space="preserve">Revenue Laws Amendment (Taxation) Act 1996 </w:t>
            </w:r>
            <w:r>
              <w:t>Pt. 2</w:t>
            </w:r>
          </w:p>
        </w:tc>
        <w:tc>
          <w:tcPr>
            <w:tcW w:w="1134" w:type="dxa"/>
          </w:tcPr>
          <w:p>
            <w:pPr>
              <w:pStyle w:val="nTable"/>
              <w:spacing w:before="100"/>
            </w:pPr>
            <w:r>
              <w:t>21 of 1996</w:t>
            </w:r>
          </w:p>
        </w:tc>
        <w:tc>
          <w:tcPr>
            <w:tcW w:w="1134" w:type="dxa"/>
          </w:tcPr>
          <w:p>
            <w:pPr>
              <w:pStyle w:val="nTable"/>
              <w:spacing w:before="100"/>
            </w:pPr>
            <w:r>
              <w:t>28 Jun 1996</w:t>
            </w:r>
          </w:p>
        </w:tc>
        <w:tc>
          <w:tcPr>
            <w:tcW w:w="2551" w:type="dxa"/>
          </w:tcPr>
          <w:p>
            <w:pPr>
              <w:pStyle w:val="nTable"/>
              <w:spacing w:before="100"/>
            </w:pPr>
            <w:r>
              <w:t>1 Jul 1996 (see s. 2)</w:t>
            </w:r>
          </w:p>
        </w:tc>
      </w:tr>
      <w:tr>
        <w:tc>
          <w:tcPr>
            <w:tcW w:w="2268" w:type="dxa"/>
          </w:tcPr>
          <w:p>
            <w:pPr>
              <w:pStyle w:val="nTable"/>
              <w:spacing w:before="100"/>
            </w:pPr>
            <w:r>
              <w:rPr>
                <w:i/>
              </w:rPr>
              <w:t xml:space="preserve">Revenue Laws Amendment (Taxation) Act 1997 </w:t>
            </w:r>
            <w:r>
              <w:t>Pt. 3</w:t>
            </w:r>
          </w:p>
        </w:tc>
        <w:tc>
          <w:tcPr>
            <w:tcW w:w="1134" w:type="dxa"/>
          </w:tcPr>
          <w:p>
            <w:pPr>
              <w:pStyle w:val="nTable"/>
              <w:spacing w:before="100"/>
            </w:pPr>
            <w:r>
              <w:t>12 of 1997</w:t>
            </w:r>
          </w:p>
        </w:tc>
        <w:tc>
          <w:tcPr>
            <w:tcW w:w="1134" w:type="dxa"/>
          </w:tcPr>
          <w:p>
            <w:pPr>
              <w:pStyle w:val="nTable"/>
              <w:spacing w:before="100"/>
            </w:pPr>
            <w:r>
              <w:t>25 Jun 1997</w:t>
            </w:r>
          </w:p>
        </w:tc>
        <w:tc>
          <w:tcPr>
            <w:tcW w:w="2551" w:type="dxa"/>
          </w:tcPr>
          <w:p>
            <w:pPr>
              <w:pStyle w:val="nTable"/>
              <w:spacing w:before="100"/>
            </w:pPr>
            <w:r>
              <w:t>1 Jul 1997 (see s. 2)</w:t>
            </w:r>
          </w:p>
        </w:tc>
      </w:tr>
      <w:tr>
        <w:tc>
          <w:tcPr>
            <w:tcW w:w="2268" w:type="dxa"/>
          </w:tcPr>
          <w:p>
            <w:pPr>
              <w:pStyle w:val="nTable"/>
              <w:spacing w:before="100"/>
            </w:pPr>
            <w:r>
              <w:rPr>
                <w:i/>
              </w:rPr>
              <w:t xml:space="preserve">Revenue Laws Amendment (Taxation) Act 1998 </w:t>
            </w:r>
            <w:r>
              <w:t>Pt. 2</w:t>
            </w:r>
          </w:p>
        </w:tc>
        <w:tc>
          <w:tcPr>
            <w:tcW w:w="1134" w:type="dxa"/>
          </w:tcPr>
          <w:p>
            <w:pPr>
              <w:pStyle w:val="nTable"/>
              <w:spacing w:before="100"/>
            </w:pPr>
            <w:r>
              <w:t>18 of 1998</w:t>
            </w:r>
          </w:p>
        </w:tc>
        <w:tc>
          <w:tcPr>
            <w:tcW w:w="1134" w:type="dxa"/>
          </w:tcPr>
          <w:p>
            <w:pPr>
              <w:pStyle w:val="nTable"/>
              <w:spacing w:before="100"/>
            </w:pPr>
            <w:r>
              <w:t>30 Jun 1998</w:t>
            </w:r>
          </w:p>
        </w:tc>
        <w:tc>
          <w:tcPr>
            <w:tcW w:w="2551" w:type="dxa"/>
          </w:tcPr>
          <w:p>
            <w:pPr>
              <w:pStyle w:val="nTable"/>
              <w:spacing w:before="100"/>
            </w:pPr>
            <w:r>
              <w:t>1 Jul 1998 (see s. 2(2))</w:t>
            </w:r>
          </w:p>
        </w:tc>
      </w:tr>
      <w:tr>
        <w:tc>
          <w:tcPr>
            <w:tcW w:w="2268" w:type="dxa"/>
          </w:tcPr>
          <w:p>
            <w:pPr>
              <w:pStyle w:val="nTable"/>
              <w:spacing w:before="100"/>
            </w:pPr>
            <w:r>
              <w:rPr>
                <w:i/>
              </w:rPr>
              <w:t xml:space="preserve">Revenue Laws Amendment (Taxation) Act 1999 </w:t>
            </w:r>
            <w:r>
              <w:t>Pt. 2</w:t>
            </w:r>
          </w:p>
        </w:tc>
        <w:tc>
          <w:tcPr>
            <w:tcW w:w="1134" w:type="dxa"/>
          </w:tcPr>
          <w:p>
            <w:pPr>
              <w:pStyle w:val="nTable"/>
              <w:spacing w:before="100"/>
            </w:pPr>
            <w:r>
              <w:t>25 of 1999</w:t>
            </w:r>
          </w:p>
        </w:tc>
        <w:tc>
          <w:tcPr>
            <w:tcW w:w="1134" w:type="dxa"/>
          </w:tcPr>
          <w:p>
            <w:pPr>
              <w:pStyle w:val="nTable"/>
              <w:spacing w:before="100"/>
            </w:pPr>
            <w:r>
              <w:t>29 Jun 1999</w:t>
            </w:r>
          </w:p>
        </w:tc>
        <w:tc>
          <w:tcPr>
            <w:tcW w:w="2551" w:type="dxa"/>
          </w:tcPr>
          <w:p>
            <w:pPr>
              <w:pStyle w:val="nTable"/>
              <w:spacing w:before="100"/>
            </w:pPr>
            <w:r>
              <w:t>1 Jul 1999 (see s. 2(2))</w:t>
            </w:r>
          </w:p>
        </w:tc>
      </w:tr>
      <w:tr>
        <w:tc>
          <w:tcPr>
            <w:tcW w:w="2268" w:type="dxa"/>
          </w:tcPr>
          <w:p>
            <w:pPr>
              <w:pStyle w:val="nTable"/>
              <w:spacing w:before="100"/>
            </w:pPr>
            <w:r>
              <w:rPr>
                <w:i/>
              </w:rPr>
              <w:t xml:space="preserve">Revenue Laws Amendment (Taxation) Act (No. 2) 2001 </w:t>
            </w:r>
            <w:r>
              <w:t>Pt. 2</w:t>
            </w:r>
          </w:p>
        </w:tc>
        <w:tc>
          <w:tcPr>
            <w:tcW w:w="1134" w:type="dxa"/>
          </w:tcPr>
          <w:p>
            <w:pPr>
              <w:pStyle w:val="nTable"/>
              <w:spacing w:before="100"/>
            </w:pPr>
            <w:r>
              <w:t>37 of 2001</w:t>
            </w:r>
          </w:p>
        </w:tc>
        <w:tc>
          <w:tcPr>
            <w:tcW w:w="1134" w:type="dxa"/>
          </w:tcPr>
          <w:p>
            <w:pPr>
              <w:pStyle w:val="nTable"/>
              <w:spacing w:before="100"/>
            </w:pPr>
            <w:r>
              <w:t>7 Jan 2002</w:t>
            </w:r>
          </w:p>
        </w:tc>
        <w:tc>
          <w:tcPr>
            <w:tcW w:w="2551" w:type="dxa"/>
          </w:tcPr>
          <w:p>
            <w:pPr>
              <w:pStyle w:val="nTable"/>
              <w:spacing w:before="100"/>
            </w:pPr>
            <w:r>
              <w:t>7 Jan 2002 (see s. 2(1))</w:t>
            </w:r>
          </w:p>
        </w:tc>
      </w:tr>
      <w:tr>
        <w:trPr>
          <w:cantSplit/>
        </w:trPr>
        <w:tc>
          <w:tcPr>
            <w:tcW w:w="7087" w:type="dxa"/>
            <w:gridSpan w:val="4"/>
          </w:tcPr>
          <w:p>
            <w:pPr>
              <w:pStyle w:val="nTable"/>
              <w:spacing w:before="100"/>
            </w:pPr>
            <w:r>
              <w:rPr>
                <w:b/>
              </w:rPr>
              <w:t xml:space="preserve">Reprint of the </w:t>
            </w:r>
            <w:r>
              <w:rPr>
                <w:b/>
                <w:i/>
              </w:rPr>
              <w:t xml:space="preserve">Land Tax Act 1976 </w:t>
            </w:r>
            <w:r>
              <w:rPr>
                <w:b/>
              </w:rPr>
              <w:t xml:space="preserve">as at 9 Aug 2002 </w:t>
            </w:r>
            <w:r>
              <w:t>(includes amendments listed above)</w:t>
            </w:r>
          </w:p>
        </w:tc>
      </w:tr>
      <w:tr>
        <w:trPr>
          <w:cantSplit/>
        </w:trPr>
        <w:tc>
          <w:tcPr>
            <w:tcW w:w="7087" w:type="dxa"/>
            <w:gridSpan w:val="4"/>
            <w:tcBorders>
              <w:bottom w:val="single" w:sz="4" w:space="0" w:color="auto"/>
            </w:tcBorders>
          </w:tcPr>
          <w:p>
            <w:pPr>
              <w:pStyle w:val="nTable"/>
              <w:spacing w:before="100"/>
              <w:rPr>
                <w:b/>
                <w:color w:val="FF0000"/>
              </w:rPr>
            </w:pPr>
            <w:r>
              <w:rPr>
                <w:b/>
                <w:color w:val="FF0000"/>
              </w:rPr>
              <w:t xml:space="preserve">This Act was repealed by the </w:t>
            </w:r>
            <w:r>
              <w:rPr>
                <w:b/>
                <w:i/>
                <w:iCs/>
                <w:color w:val="FF0000"/>
              </w:rPr>
              <w:t>Taxation Administration (Consequential Provisions) Act 2002</w:t>
            </w:r>
            <w:r>
              <w:rPr>
                <w:b/>
                <w:color w:val="FF0000"/>
              </w:rPr>
              <w:t xml:space="preserve"> s. 5(c) (No. 45 of 2002) as at 1 Jul 2003 (see s. 2(1) and (2) and Gazette 27 Jun 2003 p. 2383)</w:t>
            </w:r>
          </w:p>
        </w:tc>
      </w:tr>
    </w:tbl>
    <w:p>
      <w:pPr>
        <w:pStyle w:val="nSubsection"/>
        <w:keepNext/>
        <w:tabs>
          <w:tab w:val="clear" w:pos="454"/>
          <w:tab w:val="left" w:pos="567"/>
        </w:tabs>
        <w:spacing w:before="120"/>
        <w:ind w:left="567" w:hanging="567"/>
        <w:rPr>
          <w:snapToGrid w:val="0"/>
          <w:vertAlign w:val="superscript"/>
        </w:rPr>
      </w:pPr>
    </w:p>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378945274"/>
      <w:bookmarkStart w:id="52" w:name="_Toc425838795"/>
      <w:r>
        <w:t>Provisions that have not come into operation</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5(c) and Pt. 4 Div 1, 2 </w:t>
            </w:r>
            <w:r>
              <w:rPr>
                <w:vertAlign w:val="superscript"/>
              </w:rPr>
              <w:t>4</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vertAlign w:val="superscript"/>
        </w:rPr>
      </w:pPr>
    </w:p>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4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pPr>
      <w:r>
        <w:rPr>
          <w:rStyle w:val="CharPartNo"/>
        </w:rPr>
        <w:t>Part 4</w:t>
      </w:r>
      <w:r>
        <w:t xml:space="preserve"> — </w:t>
      </w:r>
      <w:r>
        <w:rPr>
          <w:rStyle w:val="CharPartText"/>
        </w:rPr>
        <w:t>Land tax</w:t>
      </w:r>
    </w:p>
    <w:p>
      <w:pPr>
        <w:pStyle w:val="nzHeading3"/>
      </w:pPr>
      <w:r>
        <w:rPr>
          <w:rStyle w:val="CharDivNo"/>
        </w:rPr>
        <w:t>Division 1</w:t>
      </w:r>
      <w:r>
        <w:t xml:space="preserve"> — </w:t>
      </w:r>
      <w:r>
        <w:rPr>
          <w:rStyle w:val="CharDivText"/>
        </w:rPr>
        <w:t xml:space="preserve">The </w:t>
      </w:r>
      <w:r>
        <w:rPr>
          <w:rStyle w:val="CharDivText"/>
          <w:i/>
        </w:rPr>
        <w:t>Land Tax Act 1976</w:t>
      </w:r>
    </w:p>
    <w:p>
      <w:pPr>
        <w:pStyle w:val="nzHeading5"/>
      </w:pPr>
      <w:r>
        <w:rPr>
          <w:rStyle w:val="CharSectno"/>
        </w:rPr>
        <w:t>34</w:t>
      </w:r>
      <w:r>
        <w:t>.</w:t>
      </w:r>
      <w:r>
        <w:tab/>
        <w:t xml:space="preserve">Modification of the </w:t>
      </w:r>
      <w:r>
        <w:rPr>
          <w:i/>
        </w:rPr>
        <w:t>Land Tax Act 1976</w:t>
      </w:r>
    </w:p>
    <w:p>
      <w:pPr>
        <w:pStyle w:val="nzSubsection"/>
      </w:pPr>
      <w:r>
        <w:tab/>
      </w:r>
      <w:r>
        <w:tab/>
        <w:t xml:space="preserve">This Division sets out modifications of the </w:t>
      </w:r>
      <w:r>
        <w:rPr>
          <w:i/>
        </w:rPr>
        <w:t>Land Tax Act 1976</w:t>
      </w:r>
      <w:r>
        <w:t>* in its application as a law of Western Australia.</w:t>
      </w:r>
    </w:p>
    <w:p>
      <w:pPr>
        <w:pStyle w:val="nzMiscellaneousBody"/>
        <w:tabs>
          <w:tab w:val="left" w:pos="1418"/>
          <w:tab w:val="left" w:pos="1701"/>
        </w:tabs>
        <w:ind w:left="1701" w:hanging="1134"/>
        <w:rPr>
          <w:i/>
        </w:rPr>
      </w:pPr>
      <w:r>
        <w:rPr>
          <w:i/>
        </w:rPr>
        <w:tab/>
        <w:t>[*</w:t>
      </w:r>
      <w:r>
        <w:rPr>
          <w:i/>
        </w:rPr>
        <w:tab/>
        <w:t>Reprinted as at 9 August 2002.]</w:t>
      </w:r>
    </w:p>
    <w:p>
      <w:pPr>
        <w:pStyle w:val="nzHeading5"/>
      </w:pPr>
      <w:r>
        <w:rPr>
          <w:rStyle w:val="CharSectno"/>
        </w:rPr>
        <w:t>35</w:t>
      </w:r>
      <w:r>
        <w:t>.</w:t>
      </w:r>
      <w:r>
        <w:tab/>
        <w:t>Section 3A inserted</w:t>
      </w:r>
    </w:p>
    <w:p>
      <w:pPr>
        <w:pStyle w:val="nzSubsection"/>
      </w:pPr>
      <w:r>
        <w:tab/>
      </w:r>
      <w:r>
        <w:tab/>
        <w:t xml:space="preserve">After section 3 the following section is inserted — </w:t>
      </w:r>
    </w:p>
    <w:p>
      <w:pPr>
        <w:pStyle w:val="nzSubsection"/>
      </w:pPr>
      <w:r>
        <w:t xml:space="preserve">“    </w:t>
      </w:r>
    </w:p>
    <w:p>
      <w:pPr>
        <w:pStyle w:val="nzMiscellaneousHeading"/>
        <w:tabs>
          <w:tab w:val="left" w:pos="851"/>
          <w:tab w:val="left" w:pos="1701"/>
        </w:tabs>
        <w:ind w:left="1701" w:hanging="1134"/>
        <w:jc w:val="left"/>
        <w:rPr>
          <w:b/>
        </w:rPr>
      </w:pPr>
      <w:r>
        <w:rPr>
          <w:b/>
        </w:rPr>
        <w:tab/>
        <w:t>3A.</w:t>
      </w:r>
      <w:r>
        <w:rPr>
          <w:b/>
        </w:rPr>
        <w:tab/>
        <w:t>Application of Act in non</w:t>
      </w:r>
      <w:r>
        <w:rPr>
          <w:b/>
        </w:rPr>
        <w:noBreakHyphen/>
        <w:t>Commonwealth places</w:t>
      </w:r>
    </w:p>
    <w:p>
      <w:pPr>
        <w:pStyle w:val="nzMiscellaneousBody"/>
        <w:tabs>
          <w:tab w:val="left" w:pos="1134"/>
          <w:tab w:val="left" w:pos="1701"/>
        </w:tabs>
        <w:ind w:left="1701" w:hanging="1134"/>
      </w:pPr>
      <w:r>
        <w:tab/>
        <w:t>(1)</w:t>
      </w:r>
      <w:r>
        <w:tab/>
        <w:t xml:space="preserve">In this Act, unless the contrary intention appears — </w:t>
      </w:r>
    </w:p>
    <w:p>
      <w:pPr>
        <w:pStyle w:val="nzMiscellaneousBody"/>
        <w:tabs>
          <w:tab w:val="left" w:pos="1701"/>
          <w:tab w:val="left" w:pos="2268"/>
        </w:tabs>
        <w:ind w:left="2268" w:hanging="1701"/>
      </w:pPr>
      <w:r>
        <w:tab/>
        <w:t>(a)</w:t>
      </w:r>
      <w:r>
        <w:tab/>
        <w:t>a reference to this Act is to be read as a reference to this Act in its application as a law of Western Australia;</w:t>
      </w:r>
    </w:p>
    <w:p>
      <w:pPr>
        <w:pStyle w:val="nzMiscellaneousBody"/>
        <w:tabs>
          <w:tab w:val="left" w:pos="1701"/>
          <w:tab w:val="left" w:pos="2268"/>
        </w:tabs>
        <w:ind w:left="2268" w:hanging="1701"/>
      </w:pPr>
      <w:r>
        <w:tab/>
        <w:t>(b)</w:t>
      </w:r>
      <w:r>
        <w:tab/>
        <w:t xml:space="preserve">a reference to the </w:t>
      </w:r>
      <w:r>
        <w:rPr>
          <w:i/>
        </w:rPr>
        <w:t xml:space="preserve">Land Tax Assessment Act 1976 </w:t>
      </w:r>
      <w:r>
        <w:t>is to be read as a reference to that Act in its application as a law of Western Australia.</w:t>
      </w:r>
    </w:p>
    <w:p>
      <w:pPr>
        <w:pStyle w:val="nzMiscellaneousBody"/>
        <w:tabs>
          <w:tab w:val="left" w:pos="1134"/>
          <w:tab w:val="left" w:pos="1701"/>
        </w:tabs>
        <w:ind w:left="1701" w:hanging="1134"/>
      </w:pPr>
      <w:r>
        <w:tab/>
        <w:t>(2)</w:t>
      </w:r>
      <w:r>
        <w:tab/>
        <w:t>This Act is to be read with the applied Land Tax Act as a single body of law.</w:t>
      </w:r>
    </w:p>
    <w:p>
      <w:pPr>
        <w:pStyle w:val="MiscClose"/>
        <w:ind w:right="575"/>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4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4 — Land tax</w:t>
      </w:r>
    </w:p>
    <w:p>
      <w:pPr>
        <w:pStyle w:val="nzHeading3"/>
      </w:pPr>
      <w:r>
        <w:t xml:space="preserve">Division 1 — The applied </w:t>
      </w:r>
      <w:r>
        <w:rPr>
          <w:i/>
        </w:rPr>
        <w:t>Land Tax Act 1976</w:t>
      </w:r>
    </w:p>
    <w:p>
      <w:pPr>
        <w:pStyle w:val="nzHeading5"/>
      </w:pPr>
      <w:r>
        <w:rPr>
          <w:rStyle w:val="CharSectno"/>
        </w:rPr>
        <w:t>47</w:t>
      </w:r>
      <w:r>
        <w:t>.</w:t>
      </w:r>
      <w:r>
        <w:tab/>
        <w:t>Modification of the applied Act</w:t>
      </w:r>
    </w:p>
    <w:p>
      <w:pPr>
        <w:pStyle w:val="nzSubsection"/>
      </w:pPr>
      <w:r>
        <w:tab/>
      </w:r>
      <w:r>
        <w:tab/>
        <w:t xml:space="preserve">This Division sets out modifications of the </w:t>
      </w:r>
      <w:r>
        <w:rPr>
          <w:i/>
        </w:rPr>
        <w:t>Land Tax Act 1976</w:t>
      </w:r>
      <w:r>
        <w:t>* of Western Australia.</w:t>
      </w:r>
    </w:p>
    <w:p>
      <w:pPr>
        <w:pStyle w:val="nzMiscellaneousBody"/>
        <w:tabs>
          <w:tab w:val="left" w:pos="1418"/>
          <w:tab w:val="left" w:pos="1701"/>
        </w:tabs>
        <w:ind w:left="1701" w:hanging="1134"/>
        <w:rPr>
          <w:i/>
        </w:rPr>
      </w:pPr>
      <w:r>
        <w:rPr>
          <w:i/>
        </w:rPr>
        <w:tab/>
        <w:t>[*</w:t>
      </w:r>
      <w:r>
        <w:rPr>
          <w:i/>
        </w:rPr>
        <w:tab/>
        <w:t>Reprinted as at 9 August 2002.]</w:t>
      </w:r>
    </w:p>
    <w:p>
      <w:pPr>
        <w:pStyle w:val="nzHeading5"/>
        <w:rPr>
          <w:rStyle w:val="CharSectno"/>
        </w:rPr>
      </w:pPr>
      <w:r>
        <w:rPr>
          <w:rStyle w:val="CharSectno"/>
        </w:rPr>
        <w:t>48.</w:t>
      </w:r>
      <w:r>
        <w:rPr>
          <w:rStyle w:val="CharSectno"/>
        </w:rPr>
        <w:tab/>
        <w:t>Section 3A inserted</w:t>
      </w:r>
    </w:p>
    <w:p>
      <w:pPr>
        <w:pStyle w:val="nzSubsection"/>
      </w:pPr>
      <w:r>
        <w:tab/>
      </w:r>
      <w:r>
        <w:tab/>
        <w:t xml:space="preserve">After section 3 the following section is inserted — </w:t>
      </w:r>
    </w:p>
    <w:p>
      <w:pPr>
        <w:pStyle w:val="MiscOpen"/>
        <w:spacing w:before="80"/>
        <w:ind w:left="567"/>
      </w:pPr>
      <w:r>
        <w:t xml:space="preserve">“    </w:t>
      </w:r>
    </w:p>
    <w:p>
      <w:pPr>
        <w:pStyle w:val="nzMiscellaneousHeading"/>
        <w:tabs>
          <w:tab w:val="left" w:pos="1134"/>
          <w:tab w:val="left" w:pos="1985"/>
        </w:tabs>
        <w:ind w:left="1985" w:hanging="1418"/>
        <w:jc w:val="left"/>
        <w:rPr>
          <w:b/>
        </w:rPr>
      </w:pPr>
      <w:r>
        <w:rPr>
          <w:b/>
        </w:rPr>
        <w:tab/>
        <w:t>3A.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 xml:space="preserve">a reference to the </w:t>
      </w:r>
      <w:r>
        <w:rPr>
          <w:i/>
        </w:rPr>
        <w:t>Land Tax Assessment Act 1976</w:t>
      </w:r>
      <w:r>
        <w:t xml:space="preserve"> is to be read as a reference to the applied Land Tax Assessment Act</w:t>
      </w:r>
      <w:r>
        <w:rPr>
          <w:i/>
        </w:rPr>
        <w:t>.</w:t>
      </w:r>
    </w:p>
    <w:p>
      <w:pPr>
        <w:pStyle w:val="nzMiscellaneousBody"/>
        <w:tabs>
          <w:tab w:val="left" w:pos="1418"/>
          <w:tab w:val="left" w:pos="1985"/>
        </w:tabs>
        <w:ind w:left="1985" w:hanging="1418"/>
      </w:pPr>
      <w:r>
        <w:tab/>
        <w:t>(2)</w:t>
      </w:r>
      <w:r>
        <w:tab/>
        <w:t>This Act is to be read with the corresponding Land Tax Act as a single body of law.</w:t>
      </w:r>
    </w:p>
    <w:p>
      <w:pPr>
        <w:pStyle w:val="nzMiscellaneousBody"/>
        <w:tabs>
          <w:tab w:val="left" w:pos="1418"/>
          <w:tab w:val="left" w:pos="1985"/>
        </w:tabs>
        <w:ind w:left="1985" w:hanging="1418"/>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2002</w:t>
      </w:r>
      <w:r>
        <w:rPr>
          <w:spacing w:val="-4"/>
        </w:rP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ind w:right="575"/>
      </w:pPr>
      <w:r>
        <w:t>”.</w:t>
      </w:r>
    </w:p>
    <w:p>
      <w:pPr>
        <w:pStyle w:val="MiscClose"/>
        <w:ind w:right="8"/>
      </w:pPr>
      <w:r>
        <w:t>”.</w:t>
      </w:r>
    </w:p>
    <w:p>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5(c) and Pt. 4  Div 1 and 2 had not come into operation.  They read as follows:</w:t>
      </w:r>
    </w:p>
    <w:p>
      <w:pPr>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(c)</w:t>
      </w:r>
      <w:r>
        <w:tab/>
      </w:r>
      <w:r>
        <w:rPr>
          <w:i/>
        </w:rPr>
        <w:t>Land Tax Act 1976</w:t>
      </w:r>
      <w:r>
        <w:t>;</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Act 1976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8EE7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8C44B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40EE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687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FAA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A201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9AC3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28C8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7AD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01A70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E85E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50"/>
    <w:docVar w:name="WAFER_20140131151920" w:val="RemoveTocBookmarks,RemoveUnusedBookmarks,RemoveLanguageTags,UsedStyles,ResetPageSize,UpdateArrangement"/>
    <w:docVar w:name="WAFER_20140131151920_GUID" w:val="f5e6e48c-3461-41d5-9de8-af558dd8f5b4"/>
    <w:docVar w:name="WAFER_20140131151926" w:val="RemoveTocBookmarks,RunningHeaders"/>
    <w:docVar w:name="WAFER_20140131151926_GUID" w:val="6db43851-8eca-43f0-b3dc-612098fbe13e"/>
    <w:docVar w:name="WAFER_20150728091821" w:val="ResetPageSize,UpdateArrangement,UpdateNTable"/>
    <w:docVar w:name="WAFER_20150728091821_GUID" w:val="a168d776-3ace-42cd-8cdd-a46e7816cab8"/>
    <w:docVar w:name="WAFER_20151116113350" w:val="UpdateStyles,UsedStyles"/>
    <w:docVar w:name="WAFER_20151116113350_GUID" w:val="a45cd48d-481b-41d6-8cce-c4d2b6c70c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zyShoulderClause">
    <w:name w:val="zyShoulderClause"/>
    <w:basedOn w:val="yShoulderClause"/>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zyShoulderClause">
    <w:name w:val="zyShoulderClause"/>
    <w:basedOn w:val="yShoulderClause"/>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8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5314</Words>
  <Characters>22110</Characters>
  <Application>Microsoft Office Word</Application>
  <DocSecurity>0</DocSecurity>
  <Lines>961</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1976 - 01-c0-05</dc:title>
  <dc:subject/>
  <dc:creator/>
  <cp:keywords/>
  <dc:description/>
  <cp:lastModifiedBy>svcMRProcess</cp:lastModifiedBy>
  <cp:revision>4</cp:revision>
  <cp:lastPrinted>2006-04-18T02:57:00Z</cp:lastPrinted>
  <dcterms:created xsi:type="dcterms:W3CDTF">2015-11-16T04:01:00Z</dcterms:created>
  <dcterms:modified xsi:type="dcterms:W3CDTF">2015-11-16T04:01:00Z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1976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01-c0-05</vt:lpwstr>
  </property>
  <property fmtid="{D5CDD505-2E9C-101B-9397-08002B2CF9AE}" pid="7" name="Status">
    <vt:lpwstr>NIF</vt:lpwstr>
  </property>
</Properties>
</file>