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(Statute of Frauds) Act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Law Reform (Statute of Frauds) Act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_Toc419817866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Statute of Frauds 1677 s. 4 applies in amended form</w:t>
      </w:r>
      <w:r>
        <w:tab/>
      </w:r>
      <w:r>
        <w:fldChar w:fldCharType="begin"/>
      </w:r>
      <w:r>
        <w:instrText xml:space="preserve"> PAGEREF _Toc419817867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_Toc419817869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Law Reform (Statute of Frauds) Act 1962</w:t>
      </w:r>
    </w:p>
    <w:p>
      <w:pPr>
        <w:pStyle w:val="LongTitle"/>
        <w:spacing w:after="480"/>
        <w:rPr>
          <w:snapToGrid w:val="0"/>
        </w:rPr>
      </w:pPr>
      <w:r>
        <w:rPr>
          <w:snapToGrid w:val="0"/>
        </w:rPr>
        <w:t xml:space="preserve">An Act relating to the Statute of Frauds 1677. </w:t>
      </w:r>
    </w:p>
    <w:p>
      <w:pPr>
        <w:pStyle w:val="Heading5"/>
        <w:rPr>
          <w:snapToGrid w:val="0"/>
        </w:rPr>
      </w:pPr>
      <w:bookmarkStart w:id="3" w:name="_Toc379186278"/>
      <w:bookmarkStart w:id="4" w:name="_Toc41981786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(Statute of Frauds) Act 1962</w:t>
      </w:r>
      <w:r>
        <w:rPr>
          <w:snapToGrid w:val="0"/>
          <w:vertAlign w:val="superscript"/>
        </w:rPr>
        <w:t> 1</w:t>
      </w:r>
      <w:r>
        <w:rPr>
          <w:snapToGrid w:val="0"/>
        </w:rPr>
        <w:t>.</w:t>
      </w:r>
    </w:p>
    <w:p>
      <w:pPr>
        <w:pStyle w:val="Heading5"/>
        <w:rPr>
          <w:snapToGrid w:val="0"/>
        </w:rPr>
      </w:pPr>
      <w:bookmarkStart w:id="5" w:name="_Toc379186279"/>
      <w:bookmarkStart w:id="6" w:name="_Toc419817867"/>
      <w:r>
        <w:rPr>
          <w:rStyle w:val="CharSectno"/>
        </w:rPr>
        <w:t>2</w:t>
      </w:r>
      <w:r>
        <w:rPr>
          <w:snapToGrid w:val="0"/>
        </w:rPr>
        <w:t>.</w:t>
      </w:r>
      <w:r>
        <w:rPr>
          <w:snapToGrid w:val="0"/>
        </w:rPr>
        <w:tab/>
        <w:t>Statute of Frauds 1677 s. 4 applies in amended form</w:t>
      </w:r>
      <w:bookmarkEnd w:id="5"/>
      <w:bookmarkEnd w:id="6"/>
      <w:r>
        <w:rPr>
          <w:snapToGrid w:val="0"/>
        </w:rPr>
        <w:t xml:space="preserve"> </w:t>
      </w:r>
    </w:p>
    <w:p>
      <w:pPr>
        <w:pStyle w:val="Subsection"/>
        <w:rPr>
          <w:snapToGrid w:val="0"/>
        </w:rPr>
      </w:pPr>
      <w:r>
        <w:rPr>
          <w:snapToGrid w:val="0"/>
        </w:rPr>
        <w:tab/>
      </w:r>
      <w:r>
        <w:rPr>
          <w:snapToGrid w:val="0"/>
        </w:rPr>
        <w:tab/>
        <w:t xml:space="preserve">The provisions of section 4 of the Statute of Frauds 1677 </w:t>
      </w:r>
      <w:r>
        <w:rPr>
          <w:snapToGrid w:val="0"/>
          <w:vertAlign w:val="superscript"/>
        </w:rPr>
        <w:t>2</w:t>
      </w:r>
      <w:r>
        <w:rPr>
          <w:snapToGrid w:val="0"/>
        </w:rPr>
        <w:t>, continue in force in this State in relation to any promise or agreement, whether made before or after the coming into operation of this Act, as if the following passages were deleted from that section, namely — </w:t>
      </w:r>
    </w:p>
    <w:p>
      <w:pPr>
        <w:pStyle w:val="Indenta"/>
        <w:rPr>
          <w:snapToGrid w:val="0"/>
        </w:rPr>
      </w:pPr>
      <w:r>
        <w:rPr>
          <w:snapToGrid w:val="0"/>
        </w:rPr>
        <w:tab/>
        <w:t xml:space="preserve">(a) </w:t>
      </w:r>
      <w:r>
        <w:rPr>
          <w:snapToGrid w:val="0"/>
        </w:rPr>
        <w:tab/>
        <w:t xml:space="preserve">“whereby to charge any executor or administrator upon any special promise to answer damages out of his own estate; or”; </w:t>
      </w:r>
    </w:p>
    <w:p>
      <w:pPr>
        <w:pStyle w:val="Indenta"/>
        <w:rPr>
          <w:snapToGrid w:val="0"/>
        </w:rPr>
      </w:pPr>
      <w:r>
        <w:rPr>
          <w:snapToGrid w:val="0"/>
        </w:rPr>
        <w:tab/>
        <w:t xml:space="preserve">(b) </w:t>
      </w:r>
      <w:r>
        <w:rPr>
          <w:snapToGrid w:val="0"/>
        </w:rPr>
        <w:tab/>
        <w:t>“or to charge any person upon any agreement made upon consideration of marriage”; and</w:t>
      </w:r>
    </w:p>
    <w:p>
      <w:pPr>
        <w:pStyle w:val="Indenta"/>
      </w:pPr>
      <w:r>
        <w:rPr>
          <w:snapToGrid w:val="0"/>
        </w:rPr>
        <w:tab/>
        <w:t xml:space="preserve">(c) </w:t>
      </w:r>
      <w:r>
        <w:rPr>
          <w:snapToGrid w:val="0"/>
        </w:rPr>
        <w:tab/>
        <w:t>“or upon any agreement that is not to be performed within the space of one year from the making thereof”.</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7" w:name="_Toc379186280"/>
      <w:bookmarkStart w:id="8" w:name="_Toc419817820"/>
      <w:bookmarkStart w:id="9" w:name="_Toc419817868"/>
      <w:r>
        <w:t>Notes</w:t>
      </w:r>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Law Reform (Statute of Frauds) Act 1962</w:t>
      </w:r>
      <w:r>
        <w:rPr>
          <w:snapToGrid w:val="0"/>
        </w:rPr>
        <w:t xml:space="preserve">.  The following table contains information about that Act. </w:t>
      </w:r>
    </w:p>
    <w:p>
      <w:pPr>
        <w:pStyle w:val="nHeading3"/>
        <w:outlineLvl w:val="2"/>
        <w:rPr>
          <w:snapToGrid w:val="0"/>
        </w:rPr>
      </w:pPr>
      <w:bookmarkStart w:id="10" w:name="_Toc379186281"/>
      <w:bookmarkStart w:id="11" w:name="_Toc419817869"/>
      <w:r>
        <w:rPr>
          <w:snapToGrid w:val="0"/>
        </w:rPr>
        <w:t>Compilation table</w:t>
      </w:r>
      <w:bookmarkEnd w:id="10"/>
      <w:bookmarkEnd w:id="11"/>
    </w:p>
    <w:tbl>
      <w:tblPr>
        <w:tblW w:w="0" w:type="auto"/>
        <w:tblLayout w:type="fixed"/>
        <w:tblCellMar>
          <w:left w:w="28" w:type="dxa"/>
          <w:right w:w="28" w:type="dxa"/>
        </w:tblCellMar>
        <w:tblLook w:val="0000" w:firstRow="0" w:lastRow="0" w:firstColumn="0" w:lastColumn="0" w:noHBand="0" w:noVBand="0"/>
      </w:tblPr>
      <w:tblGrid>
        <w:gridCol w:w="28"/>
        <w:gridCol w:w="2268"/>
        <w:gridCol w:w="1134"/>
        <w:gridCol w:w="1134"/>
        <w:gridCol w:w="2524"/>
        <w:gridCol w:w="28"/>
      </w:tblGrid>
      <w:tr>
        <w:trPr>
          <w:gridBefore w:val="1"/>
          <w:wBefore w:w="28" w:type="dxa"/>
          <w:cantSplit/>
          <w:tblHeader/>
        </w:trPr>
        <w:tc>
          <w:tcPr>
            <w:tcW w:w="2268" w:type="dxa"/>
            <w:tcBorders>
              <w:top w:val="single" w:sz="12" w:space="0" w:color="auto"/>
            </w:tcBorders>
          </w:tcPr>
          <w:p>
            <w:pPr>
              <w:pStyle w:val="nTable"/>
              <w:spacing w:before="60" w:after="60"/>
              <w:ind w:right="113"/>
              <w:rPr>
                <w:b/>
              </w:rPr>
            </w:pPr>
            <w:r>
              <w:rPr>
                <w:b/>
              </w:rPr>
              <w:t>Short title</w:t>
            </w:r>
          </w:p>
        </w:tc>
        <w:tc>
          <w:tcPr>
            <w:tcW w:w="1134" w:type="dxa"/>
            <w:tcBorders>
              <w:top w:val="single" w:sz="12" w:space="0" w:color="auto"/>
            </w:tcBorders>
          </w:tcPr>
          <w:p>
            <w:pPr>
              <w:pStyle w:val="nTable"/>
              <w:spacing w:before="60" w:after="60"/>
              <w:rPr>
                <w:b/>
              </w:rPr>
            </w:pPr>
            <w:r>
              <w:rPr>
                <w:b/>
              </w:rPr>
              <w:t>Number and year</w:t>
            </w:r>
          </w:p>
        </w:tc>
        <w:tc>
          <w:tcPr>
            <w:tcW w:w="1134" w:type="dxa"/>
            <w:tcBorders>
              <w:top w:val="single" w:sz="12" w:space="0" w:color="auto"/>
            </w:tcBorders>
          </w:tcPr>
          <w:p>
            <w:pPr>
              <w:pStyle w:val="nTable"/>
              <w:spacing w:before="60" w:after="60"/>
              <w:rPr>
                <w:b/>
              </w:rPr>
            </w:pPr>
            <w:r>
              <w:rPr>
                <w:b/>
              </w:rPr>
              <w:t>Assent</w:t>
            </w:r>
          </w:p>
        </w:tc>
        <w:tc>
          <w:tcPr>
            <w:tcW w:w="2552" w:type="dxa"/>
            <w:gridSpan w:val="2"/>
            <w:tcBorders>
              <w:top w:val="single" w:sz="12" w:space="0" w:color="auto"/>
            </w:tcBorders>
          </w:tcPr>
          <w:p>
            <w:pPr>
              <w:pStyle w:val="nTable"/>
              <w:spacing w:before="60" w:after="60"/>
              <w:rPr>
                <w:b/>
              </w:rPr>
            </w:pPr>
            <w:r>
              <w:rPr>
                <w:b/>
              </w:rPr>
              <w:t>Commencement</w:t>
            </w:r>
          </w:p>
        </w:tc>
      </w:tr>
      <w:tr>
        <w:trPr>
          <w:gridBefore w:val="1"/>
          <w:wBefore w:w="28" w:type="dxa"/>
          <w:cantSplit/>
        </w:trPr>
        <w:tc>
          <w:tcPr>
            <w:tcW w:w="2268" w:type="dxa"/>
            <w:tcBorders>
              <w:top w:val="single" w:sz="12" w:space="0" w:color="auto"/>
            </w:tcBorders>
          </w:tcPr>
          <w:p>
            <w:pPr>
              <w:pStyle w:val="nTable"/>
              <w:spacing w:before="120"/>
              <w:ind w:right="113"/>
            </w:pPr>
            <w:r>
              <w:rPr>
                <w:i/>
              </w:rPr>
              <w:t>Law Reform (Statute of Frauds) Act 1962</w:t>
            </w:r>
          </w:p>
        </w:tc>
        <w:tc>
          <w:tcPr>
            <w:tcW w:w="1134" w:type="dxa"/>
            <w:tcBorders>
              <w:top w:val="single" w:sz="12" w:space="0" w:color="auto"/>
            </w:tcBorders>
          </w:tcPr>
          <w:p>
            <w:pPr>
              <w:pStyle w:val="nTable"/>
              <w:spacing w:before="120"/>
            </w:pPr>
            <w:r>
              <w:t>16 of 1962</w:t>
            </w:r>
          </w:p>
        </w:tc>
        <w:tc>
          <w:tcPr>
            <w:tcW w:w="1134" w:type="dxa"/>
            <w:tcBorders>
              <w:top w:val="single" w:sz="12" w:space="0" w:color="auto"/>
            </w:tcBorders>
          </w:tcPr>
          <w:p>
            <w:pPr>
              <w:pStyle w:val="nTable"/>
              <w:spacing w:before="120"/>
            </w:pPr>
            <w:r>
              <w:t>1 Oct 1962</w:t>
            </w:r>
          </w:p>
        </w:tc>
        <w:tc>
          <w:tcPr>
            <w:tcW w:w="2552" w:type="dxa"/>
            <w:gridSpan w:val="2"/>
            <w:tcBorders>
              <w:top w:val="single" w:sz="12" w:space="0" w:color="auto"/>
            </w:tcBorders>
          </w:tcPr>
          <w:p>
            <w:pPr>
              <w:pStyle w:val="nTable"/>
              <w:spacing w:before="120"/>
            </w:pPr>
            <w:r>
              <w:t>1 Oct 1962</w:t>
            </w:r>
          </w:p>
        </w:tc>
      </w:tr>
      <w:tr>
        <w:tblPrEx>
          <w:tblCellMar>
            <w:left w:w="56" w:type="dxa"/>
            <w:right w:w="56" w:type="dxa"/>
          </w:tblCellMar>
        </w:tblPrEx>
        <w:trPr>
          <w:gridAfter w:val="1"/>
          <w:wAfter w:w="28" w:type="dxa"/>
          <w:cantSplit/>
        </w:trPr>
        <w:tc>
          <w:tcPr>
            <w:tcW w:w="7088" w:type="dxa"/>
            <w:gridSpan w:val="5"/>
            <w:tcBorders>
              <w:bottom w:val="single" w:sz="4" w:space="0" w:color="auto"/>
            </w:tcBorders>
          </w:tcPr>
          <w:p>
            <w:pPr>
              <w:pStyle w:val="nTable"/>
              <w:spacing w:before="120"/>
              <w:rPr>
                <w:b/>
              </w:rPr>
            </w:pPr>
            <w:r>
              <w:rPr>
                <w:b/>
              </w:rPr>
              <w:t xml:space="preserve">Reprint of the </w:t>
            </w:r>
            <w:r>
              <w:rPr>
                <w:b/>
                <w:i/>
              </w:rPr>
              <w:t>Law Reform (Statute of Frauds) Act 1962</w:t>
            </w:r>
            <w:r>
              <w:rPr>
                <w:b/>
              </w:rPr>
              <w:t xml:space="preserve"> as at 12 Jul 2002</w:t>
            </w:r>
            <w:r>
              <w:rPr>
                <w:b/>
              </w:rPr>
              <w:br/>
            </w:r>
            <w:r>
              <w:t>(includes amendments listed above)</w:t>
            </w:r>
          </w:p>
        </w:tc>
      </w:tr>
    </w:tbl>
    <w:p>
      <w:pPr>
        <w:pStyle w:val="nSubsection"/>
      </w:pPr>
      <w:r>
        <w:rPr>
          <w:vertAlign w:val="superscript"/>
        </w:rPr>
        <w:t>2</w:t>
      </w:r>
      <w:r>
        <w:tab/>
        <w:t xml:space="preserve">Statute of Frauds 1677 (UK) (29 Charles II, chapter 3).  The short title “The Statute of Frauds” was given to the UK Act by the </w:t>
      </w:r>
      <w:r>
        <w:rPr>
          <w:i/>
        </w:rPr>
        <w:t>Short Titles Act 1892</w:t>
      </w:r>
      <w:r>
        <w:t xml:space="preserve"> (UK).</w:t>
      </w:r>
    </w:p>
    <w:p/>
    <w:p>
      <w:pPr>
        <w:pStyle w:val="nSubsection"/>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(Statute of Frauds)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(Statute of Frauds)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5036"/>
    <w:docVar w:name="WAFER_20140203095608" w:val="RemoveTocBookmarks,RemoveUnusedBookmarks,RemoveLanguageTags,UsedStyles,ResetPageSize,UpdateArrangement"/>
    <w:docVar w:name="WAFER_20140203095608_GUID" w:val="248cf277-f931-4ef1-ac0b-95d8c4987a85"/>
    <w:docVar w:name="WAFER_20140203100151" w:val="RemoveTocBookmarks,RunningHeaders"/>
    <w:docVar w:name="WAFER_20140203100151_GUID" w:val="49dab4a8-e59c-4f33-8240-0fef239175bc"/>
    <w:docVar w:name="WAFER_20150519164612" w:val="ResetPageSize,UpdateArrangement,UpdateNTable"/>
    <w:docVar w:name="WAFER_20150519164612_GUID" w:val="173ce1ff-8657-4eaa-9461-427bba04a410"/>
    <w:docVar w:name="WAFER_20151103155026" w:val="UpdateStyles"/>
    <w:docVar w:name="WAFER_20151103155026_GUID" w:val="623e5d82-546b-4b08-ba29-ca84917aa3ab"/>
    <w:docVar w:name="WAFER_20151103155036" w:val="UpdateStyles,UsedStyles"/>
    <w:docVar w:name="WAFER_20151103155036_GUID" w:val="428e5c6d-cdaf-480e-aa00-34ef85ea78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Words>
  <Characters>1734</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(Statute of Frauds) Act 1962 - 01-a0-14</dc:title>
  <dc:subject/>
  <dc:creator/>
  <cp:keywords/>
  <dc:description/>
  <cp:lastModifiedBy>svcMRProcess</cp:lastModifiedBy>
  <cp:revision>4</cp:revision>
  <cp:lastPrinted>2002-08-01T00:26:00Z</cp:lastPrinted>
  <dcterms:created xsi:type="dcterms:W3CDTF">2015-11-03T07:51:00Z</dcterms:created>
  <dcterms:modified xsi:type="dcterms:W3CDTF">2015-11-03T07:51:00Z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1962</vt:lpwstr>
  </property>
  <property fmtid="{D5CDD505-2E9C-101B-9397-08002B2CF9AE}" pid="3" name="CommencementDate">
    <vt:lpwstr>20020712</vt:lpwstr>
  </property>
  <property fmtid="{D5CDD505-2E9C-101B-9397-08002B2CF9AE}" pid="4" name="DocumentType">
    <vt:lpwstr>Act</vt:lpwstr>
  </property>
  <property fmtid="{D5CDD505-2E9C-101B-9397-08002B2CF9AE}" pid="5" name="AsAtDate">
    <vt:lpwstr>12 Jul 2002</vt:lpwstr>
  </property>
  <property fmtid="{D5CDD505-2E9C-101B-9397-08002B2CF9AE}" pid="6" name="Suffix">
    <vt:lpwstr>01-a0-14</vt:lpwstr>
  </property>
</Properties>
</file>