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Oaths, Affidavits and Statutory Declarations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Oaths, Affidavits and Statutory Declarations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_Toc215544989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_Toc215544990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_Toc215544991 \h </w:instrText>
      </w:r>
      <w:r>
        <w:fldChar w:fldCharType="separate"/>
      </w:r>
      <w:r>
        <w:t>2</w:t>
      </w:r>
      <w:r>
        <w:fldChar w:fldCharType="end"/>
      </w:r>
    </w:p>
    <w:p>
      <w:pPr>
        <w:pStyle w:val="TOC2"/>
        <w:tabs>
          <w:tab w:val="right" w:leader="dot" w:pos="7086"/>
        </w:tabs>
        <w:rPr>
          <w:b w:val="0"/>
          <w:sz w:val="24"/>
          <w:szCs w:val="24"/>
        </w:rPr>
      </w:pPr>
      <w:r>
        <w:rPr>
          <w:szCs w:val="30"/>
        </w:rPr>
        <w:t>Part 2 — Oaths and related matters</w:t>
      </w:r>
    </w:p>
    <w:p>
      <w:pPr>
        <w:pStyle w:val="TOC8"/>
        <w:rPr>
          <w:sz w:val="24"/>
          <w:szCs w:val="24"/>
        </w:rPr>
      </w:pPr>
      <w:r>
        <w:rPr>
          <w:szCs w:val="24"/>
        </w:rPr>
        <w:t>4.</w:t>
      </w:r>
      <w:r>
        <w:rPr>
          <w:szCs w:val="24"/>
        </w:rPr>
        <w:tab/>
        <w:t>Oaths, general form of</w:t>
      </w:r>
      <w:r>
        <w:tab/>
      </w:r>
      <w:r>
        <w:fldChar w:fldCharType="begin"/>
      </w:r>
      <w:r>
        <w:instrText xml:space="preserve"> PAGEREF _Toc215544993 \h </w:instrText>
      </w:r>
      <w:r>
        <w:fldChar w:fldCharType="separate"/>
      </w:r>
      <w:r>
        <w:t>3</w:t>
      </w:r>
      <w:r>
        <w:fldChar w:fldCharType="end"/>
      </w:r>
    </w:p>
    <w:p>
      <w:pPr>
        <w:pStyle w:val="TOC8"/>
        <w:rPr>
          <w:sz w:val="24"/>
          <w:szCs w:val="24"/>
        </w:rPr>
      </w:pPr>
      <w:r>
        <w:rPr>
          <w:szCs w:val="24"/>
        </w:rPr>
        <w:t>5.</w:t>
      </w:r>
      <w:r>
        <w:rPr>
          <w:szCs w:val="24"/>
        </w:rPr>
        <w:tab/>
        <w:t>Affirmation may be made instead of oath</w:t>
      </w:r>
      <w:r>
        <w:tab/>
      </w:r>
      <w:r>
        <w:fldChar w:fldCharType="begin"/>
      </w:r>
      <w:r>
        <w:instrText xml:space="preserve"> PAGEREF _Toc215544994 \h </w:instrText>
      </w:r>
      <w:r>
        <w:fldChar w:fldCharType="separate"/>
      </w:r>
      <w:r>
        <w:t>3</w:t>
      </w:r>
      <w:r>
        <w:fldChar w:fldCharType="end"/>
      </w:r>
    </w:p>
    <w:p>
      <w:pPr>
        <w:pStyle w:val="TOC8"/>
        <w:rPr>
          <w:sz w:val="24"/>
          <w:szCs w:val="24"/>
        </w:rPr>
      </w:pPr>
      <w:r>
        <w:rPr>
          <w:szCs w:val="24"/>
        </w:rPr>
        <w:t>6.</w:t>
      </w:r>
      <w:r>
        <w:rPr>
          <w:szCs w:val="24"/>
        </w:rPr>
        <w:tab/>
        <w:t>Oaths and affirmations, who may administer</w:t>
      </w:r>
      <w:r>
        <w:tab/>
      </w:r>
      <w:r>
        <w:fldChar w:fldCharType="begin"/>
      </w:r>
      <w:r>
        <w:instrText xml:space="preserve"> PAGEREF _Toc215544995 \h </w:instrText>
      </w:r>
      <w:r>
        <w:fldChar w:fldCharType="separate"/>
      </w:r>
      <w:r>
        <w:t>4</w:t>
      </w:r>
      <w:r>
        <w:fldChar w:fldCharType="end"/>
      </w:r>
    </w:p>
    <w:p>
      <w:pPr>
        <w:pStyle w:val="TOC8"/>
        <w:rPr>
          <w:sz w:val="24"/>
          <w:szCs w:val="24"/>
        </w:rPr>
      </w:pPr>
      <w:r>
        <w:rPr>
          <w:szCs w:val="24"/>
        </w:rPr>
        <w:t>7.</w:t>
      </w:r>
      <w:r>
        <w:rPr>
          <w:szCs w:val="24"/>
        </w:rPr>
        <w:tab/>
        <w:t>Oaths and affirmations, how administered</w:t>
      </w:r>
      <w:r>
        <w:tab/>
      </w:r>
      <w:r>
        <w:fldChar w:fldCharType="begin"/>
      </w:r>
      <w:r>
        <w:instrText xml:space="preserve"> PAGEREF _Toc215544996 \h </w:instrText>
      </w:r>
      <w:r>
        <w:fldChar w:fldCharType="separate"/>
      </w:r>
      <w:r>
        <w:t>5</w:t>
      </w:r>
      <w:r>
        <w:fldChar w:fldCharType="end"/>
      </w:r>
    </w:p>
    <w:p>
      <w:pPr>
        <w:pStyle w:val="TOC2"/>
        <w:tabs>
          <w:tab w:val="right" w:leader="dot" w:pos="7086"/>
        </w:tabs>
        <w:rPr>
          <w:b w:val="0"/>
          <w:sz w:val="24"/>
          <w:szCs w:val="24"/>
        </w:rPr>
      </w:pPr>
      <w:r>
        <w:rPr>
          <w:szCs w:val="30"/>
        </w:rPr>
        <w:t>Part 3 — Affidavits</w:t>
      </w:r>
    </w:p>
    <w:p>
      <w:pPr>
        <w:pStyle w:val="TOC8"/>
        <w:rPr>
          <w:sz w:val="24"/>
          <w:szCs w:val="24"/>
        </w:rPr>
      </w:pPr>
      <w:r>
        <w:rPr>
          <w:szCs w:val="24"/>
        </w:rPr>
        <w:t>8.</w:t>
      </w:r>
      <w:r>
        <w:rPr>
          <w:szCs w:val="24"/>
        </w:rPr>
        <w:tab/>
        <w:t>Definitions</w:t>
      </w:r>
      <w:r>
        <w:tab/>
      </w:r>
      <w:r>
        <w:fldChar w:fldCharType="begin"/>
      </w:r>
      <w:r>
        <w:instrText xml:space="preserve"> PAGEREF _Toc215544998 \h </w:instrText>
      </w:r>
      <w:r>
        <w:fldChar w:fldCharType="separate"/>
      </w:r>
      <w:r>
        <w:t>6</w:t>
      </w:r>
      <w:r>
        <w:fldChar w:fldCharType="end"/>
      </w:r>
    </w:p>
    <w:p>
      <w:pPr>
        <w:pStyle w:val="TOC8"/>
        <w:rPr>
          <w:sz w:val="24"/>
          <w:szCs w:val="24"/>
        </w:rPr>
      </w:pPr>
      <w:r>
        <w:rPr>
          <w:szCs w:val="24"/>
        </w:rPr>
        <w:t>9.</w:t>
      </w:r>
      <w:r>
        <w:rPr>
          <w:szCs w:val="24"/>
        </w:rPr>
        <w:tab/>
        <w:t>Affidavits, how made</w:t>
      </w:r>
      <w:r>
        <w:tab/>
      </w:r>
      <w:r>
        <w:fldChar w:fldCharType="begin"/>
      </w:r>
      <w:r>
        <w:instrText xml:space="preserve"> PAGEREF _Toc215544999 \h </w:instrText>
      </w:r>
      <w:r>
        <w:fldChar w:fldCharType="separate"/>
      </w:r>
      <w:r>
        <w:t>6</w:t>
      </w:r>
      <w:r>
        <w:fldChar w:fldCharType="end"/>
      </w:r>
    </w:p>
    <w:p>
      <w:pPr>
        <w:pStyle w:val="TOC8"/>
        <w:rPr>
          <w:sz w:val="24"/>
          <w:szCs w:val="24"/>
        </w:rPr>
      </w:pPr>
      <w:r>
        <w:rPr>
          <w:szCs w:val="24"/>
        </w:rPr>
        <w:t>10.</w:t>
      </w:r>
      <w:r>
        <w:rPr>
          <w:szCs w:val="24"/>
        </w:rPr>
        <w:tab/>
        <w:t>Court authorised witness may witness affidavit for use in court</w:t>
      </w:r>
      <w:r>
        <w:tab/>
      </w:r>
      <w:r>
        <w:fldChar w:fldCharType="begin"/>
      </w:r>
      <w:r>
        <w:instrText xml:space="preserve"> PAGEREF _Toc215545000 \h </w:instrText>
      </w:r>
      <w:r>
        <w:fldChar w:fldCharType="separate"/>
      </w:r>
      <w:r>
        <w:t>8</w:t>
      </w:r>
      <w:r>
        <w:fldChar w:fldCharType="end"/>
      </w:r>
    </w:p>
    <w:p>
      <w:pPr>
        <w:pStyle w:val="TOC2"/>
        <w:tabs>
          <w:tab w:val="right" w:leader="dot" w:pos="7086"/>
        </w:tabs>
        <w:rPr>
          <w:b w:val="0"/>
          <w:sz w:val="24"/>
          <w:szCs w:val="24"/>
        </w:rPr>
      </w:pPr>
      <w:r>
        <w:rPr>
          <w:szCs w:val="30"/>
        </w:rPr>
        <w:t>Part 4 — Statutory declarations</w:t>
      </w:r>
    </w:p>
    <w:p>
      <w:pPr>
        <w:pStyle w:val="TOC8"/>
        <w:rPr>
          <w:sz w:val="24"/>
          <w:szCs w:val="24"/>
        </w:rPr>
      </w:pPr>
      <w:r>
        <w:rPr>
          <w:szCs w:val="24"/>
        </w:rPr>
        <w:t>11.</w:t>
      </w:r>
      <w:r>
        <w:rPr>
          <w:szCs w:val="24"/>
        </w:rPr>
        <w:tab/>
        <w:t>When a statutory declaration may be made</w:t>
      </w:r>
      <w:r>
        <w:tab/>
      </w:r>
      <w:r>
        <w:fldChar w:fldCharType="begin"/>
      </w:r>
      <w:r>
        <w:instrText xml:space="preserve"> PAGEREF _Toc215545002 \h </w:instrText>
      </w:r>
      <w:r>
        <w:fldChar w:fldCharType="separate"/>
      </w:r>
      <w:r>
        <w:t>10</w:t>
      </w:r>
      <w:r>
        <w:fldChar w:fldCharType="end"/>
      </w:r>
    </w:p>
    <w:p>
      <w:pPr>
        <w:pStyle w:val="TOC8"/>
        <w:rPr>
          <w:sz w:val="24"/>
          <w:szCs w:val="24"/>
        </w:rPr>
      </w:pPr>
      <w:r>
        <w:rPr>
          <w:szCs w:val="24"/>
        </w:rPr>
        <w:t>12.</w:t>
      </w:r>
      <w:r>
        <w:rPr>
          <w:szCs w:val="24"/>
        </w:rPr>
        <w:tab/>
        <w:t>Statutory declarations, how made</w:t>
      </w:r>
      <w:r>
        <w:tab/>
      </w:r>
      <w:r>
        <w:fldChar w:fldCharType="begin"/>
      </w:r>
      <w:r>
        <w:instrText xml:space="preserve"> PAGEREF _Toc215545003 \h </w:instrText>
      </w:r>
      <w:r>
        <w:fldChar w:fldCharType="separate"/>
      </w:r>
      <w:r>
        <w:t>10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13.</w:t>
      </w:r>
      <w:r>
        <w:rPr>
          <w:szCs w:val="24"/>
        </w:rPr>
        <w:tab/>
        <w:t>Affidavits and declarations by blind or illiterate people</w:t>
      </w:r>
      <w:r>
        <w:tab/>
      </w:r>
      <w:r>
        <w:fldChar w:fldCharType="begin"/>
      </w:r>
      <w:r>
        <w:instrText xml:space="preserve"> PAGEREF _Toc215545005 \h </w:instrText>
      </w:r>
      <w:r>
        <w:fldChar w:fldCharType="separate"/>
      </w:r>
      <w:r>
        <w:t>13</w:t>
      </w:r>
      <w:r>
        <w:fldChar w:fldCharType="end"/>
      </w:r>
    </w:p>
    <w:p>
      <w:pPr>
        <w:pStyle w:val="TOC8"/>
        <w:rPr>
          <w:sz w:val="24"/>
          <w:szCs w:val="24"/>
        </w:rPr>
      </w:pPr>
      <w:r>
        <w:rPr>
          <w:szCs w:val="24"/>
        </w:rPr>
        <w:t>14.</w:t>
      </w:r>
      <w:r>
        <w:rPr>
          <w:szCs w:val="24"/>
        </w:rPr>
        <w:tab/>
        <w:t>Affidavits and declarations by people not conversant with English</w:t>
      </w:r>
      <w:r>
        <w:tab/>
      </w:r>
      <w:r>
        <w:fldChar w:fldCharType="begin"/>
      </w:r>
      <w:r>
        <w:instrText xml:space="preserve"> PAGEREF _Toc215545006 \h </w:instrText>
      </w:r>
      <w:r>
        <w:fldChar w:fldCharType="separate"/>
      </w:r>
      <w:r>
        <w:t>13</w:t>
      </w:r>
      <w:r>
        <w:fldChar w:fldCharType="end"/>
      </w:r>
    </w:p>
    <w:p>
      <w:pPr>
        <w:pStyle w:val="TOC8"/>
        <w:rPr>
          <w:sz w:val="24"/>
          <w:szCs w:val="24"/>
        </w:rPr>
      </w:pPr>
      <w:r>
        <w:rPr>
          <w:szCs w:val="24"/>
        </w:rPr>
        <w:lastRenderedPageBreak/>
        <w:t>15.</w:t>
      </w:r>
      <w:r>
        <w:rPr>
          <w:szCs w:val="24"/>
        </w:rPr>
        <w:tab/>
        <w:t>Rubber stamp signatures not to be used</w:t>
      </w:r>
      <w:r>
        <w:tab/>
      </w:r>
      <w:r>
        <w:fldChar w:fldCharType="begin"/>
      </w:r>
      <w:r>
        <w:instrText xml:space="preserve"> PAGEREF _Toc215545007 \h </w:instrText>
      </w:r>
      <w:r>
        <w:fldChar w:fldCharType="separate"/>
      </w:r>
      <w:r>
        <w:t>14</w:t>
      </w:r>
      <w:r>
        <w:fldChar w:fldCharType="end"/>
      </w:r>
    </w:p>
    <w:p>
      <w:pPr>
        <w:pStyle w:val="TOC8"/>
        <w:rPr>
          <w:sz w:val="24"/>
          <w:szCs w:val="24"/>
        </w:rPr>
      </w:pPr>
      <w:r>
        <w:rPr>
          <w:szCs w:val="24"/>
        </w:rPr>
        <w:t>16.</w:t>
      </w:r>
      <w:r>
        <w:rPr>
          <w:szCs w:val="24"/>
        </w:rPr>
        <w:tab/>
        <w:t>Non</w:t>
      </w:r>
      <w:r>
        <w:rPr>
          <w:szCs w:val="24"/>
        </w:rPr>
        <w:noBreakHyphen/>
        <w:t>compliance with form or procedure, effect of</w:t>
      </w:r>
      <w:r>
        <w:tab/>
      </w:r>
      <w:r>
        <w:fldChar w:fldCharType="begin"/>
      </w:r>
      <w:r>
        <w:instrText xml:space="preserve"> PAGEREF _Toc215545008 \h </w:instrText>
      </w:r>
      <w:r>
        <w:fldChar w:fldCharType="separate"/>
      </w:r>
      <w:r>
        <w:t>14</w:t>
      </w:r>
      <w:r>
        <w:fldChar w:fldCharType="end"/>
      </w:r>
    </w:p>
    <w:p>
      <w:pPr>
        <w:pStyle w:val="TOC8"/>
        <w:rPr>
          <w:sz w:val="24"/>
          <w:szCs w:val="24"/>
        </w:rPr>
      </w:pPr>
      <w:r>
        <w:rPr>
          <w:szCs w:val="24"/>
        </w:rPr>
        <w:t>17.</w:t>
      </w:r>
      <w:r>
        <w:rPr>
          <w:szCs w:val="24"/>
        </w:rPr>
        <w:tab/>
        <w:t>Pretending to be an authorised witness, offence of</w:t>
      </w:r>
      <w:r>
        <w:tab/>
      </w:r>
      <w:r>
        <w:fldChar w:fldCharType="begin"/>
      </w:r>
      <w:r>
        <w:instrText xml:space="preserve"> PAGEREF _Toc215545009 \h </w:instrText>
      </w:r>
      <w:r>
        <w:fldChar w:fldCharType="separate"/>
      </w:r>
      <w:r>
        <w:t>15</w:t>
      </w:r>
      <w:r>
        <w:fldChar w:fldCharType="end"/>
      </w:r>
    </w:p>
    <w:p>
      <w:pPr>
        <w:pStyle w:val="TOC8"/>
        <w:rPr>
          <w:sz w:val="24"/>
          <w:szCs w:val="24"/>
        </w:rPr>
      </w:pPr>
      <w:r>
        <w:rPr>
          <w:szCs w:val="24"/>
        </w:rPr>
        <w:t>18.</w:t>
      </w:r>
      <w:r>
        <w:rPr>
          <w:szCs w:val="24"/>
        </w:rPr>
        <w:tab/>
        <w:t>Regulations</w:t>
      </w:r>
      <w:r>
        <w:tab/>
      </w:r>
      <w:r>
        <w:fldChar w:fldCharType="begin"/>
      </w:r>
      <w:r>
        <w:instrText xml:space="preserve"> PAGEREF _Toc215545010 \h </w:instrText>
      </w:r>
      <w:r>
        <w:fldChar w:fldCharType="separate"/>
      </w:r>
      <w:r>
        <w:t>15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 of statutory declaration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Authorised witnesses for statutory declarations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_Toc215545014 \h </w:instrText>
      </w:r>
      <w:r>
        <w:fldChar w:fldCharType="separate"/>
      </w:r>
      <w:r>
        <w:t>22</w:t>
      </w:r>
      <w:r>
        <w:fldChar w:fldCharType="end"/>
      </w:r>
    </w:p>
    <w:p>
      <w:pPr>
        <w:pStyle w:val="TOC8"/>
        <w:rPr>
          <w:sz w:val="24"/>
        </w:rPr>
      </w:pPr>
      <w:r>
        <w:rPr>
          <w:snapToGrid w:val="0"/>
        </w:rPr>
        <w:tab/>
        <w:t>Provisions that have not come into operation</w:t>
      </w:r>
      <w:r>
        <w:tab/>
      </w:r>
      <w:r>
        <w:fldChar w:fldCharType="begin"/>
      </w:r>
      <w:r>
        <w:instrText xml:space="preserve"> PAGEREF _Toc215545015 \h </w:instrText>
      </w:r>
      <w:r>
        <w:fldChar w:fldCharType="separate"/>
      </w:r>
      <w:r>
        <w:t>22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An Act about oaths, affidavits and statutory declarations and for related purposes.</w:t>
      </w:r>
    </w:p>
    <w:p>
      <w:pPr>
        <w:pStyle w:val="Enactment"/>
        <w:rPr>
          <w:snapToGrid w:val="0"/>
        </w:rPr>
      </w:pPr>
      <w:r>
        <w:rPr>
          <w:snapToGrid w:val="0"/>
        </w:rPr>
        <w:t>The Parliament of Western Australia enacts as follows:</w:t>
      </w:r>
    </w:p>
    <w:p>
      <w:pPr>
        <w:pStyle w:val="Heading2"/>
      </w:pPr>
      <w:bookmarkStart w:id="2" w:name="_Toc98901706"/>
      <w:bookmarkStart w:id="3" w:name="_Toc98901829"/>
      <w:bookmarkStart w:id="4" w:name="_Toc98901879"/>
      <w:bookmarkStart w:id="5" w:name="_Toc98901944"/>
      <w:bookmarkStart w:id="6" w:name="_Toc98902228"/>
      <w:bookmarkStart w:id="7" w:name="_Toc98902291"/>
      <w:bookmarkStart w:id="8" w:name="_Toc99172413"/>
      <w:bookmarkStart w:id="9" w:name="_Toc99857179"/>
      <w:bookmarkStart w:id="10" w:name="_Toc99858560"/>
      <w:bookmarkStart w:id="11" w:name="_Toc99871564"/>
      <w:bookmarkStart w:id="12" w:name="_Toc99876110"/>
      <w:bookmarkStart w:id="13" w:name="_Toc99877043"/>
      <w:bookmarkStart w:id="14" w:name="_Toc117042796"/>
      <w:bookmarkStart w:id="15" w:name="_Toc120945219"/>
      <w:bookmarkStart w:id="16" w:name="_Toc121294858"/>
      <w:bookmarkStart w:id="17" w:name="_Toc121294923"/>
      <w:bookmarkStart w:id="18" w:name="_Toc121296708"/>
      <w:bookmarkStart w:id="19" w:name="_Toc121548865"/>
      <w:bookmarkStart w:id="20" w:name="_Toc123018367"/>
      <w:bookmarkStart w:id="21" w:name="_Toc123023377"/>
      <w:bookmarkStart w:id="22" w:name="_Toc123024500"/>
      <w:bookmarkStart w:id="23" w:name="_Toc123026784"/>
      <w:bookmarkStart w:id="24" w:name="_Toc137531446"/>
      <w:bookmarkStart w:id="25" w:name="_Toc185844236"/>
      <w:bookmarkStart w:id="26" w:name="_Toc185926591"/>
      <w:bookmarkStart w:id="27" w:name="_Toc194915594"/>
      <w:bookmarkStart w:id="28" w:name="_Toc199820724"/>
      <w:bookmarkStart w:id="29" w:name="_Toc210115935"/>
      <w:bookmarkStart w:id="30" w:name="_Toc21554498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71793481"/>
      <w:bookmarkStart w:id="32" w:name="_Toc512746194"/>
      <w:bookmarkStart w:id="33" w:name="_Toc515958175"/>
      <w:bookmarkStart w:id="34" w:name="_Toc120945220"/>
      <w:bookmarkStart w:id="35" w:name="_Toc121294859"/>
      <w:bookmarkStart w:id="36" w:name="_Toc215544989"/>
      <w:r>
        <w:rPr>
          <w:rStyle w:val="CharSectno"/>
        </w:rPr>
        <w:t>1</w:t>
      </w:r>
      <w:r>
        <w:rPr>
          <w:snapToGrid w:val="0"/>
        </w:rPr>
        <w:t>.</w:t>
      </w:r>
      <w:r>
        <w:rPr>
          <w:snapToGrid w:val="0"/>
        </w:rPr>
        <w:tab/>
        <w:t>Short title</w:t>
      </w:r>
      <w:bookmarkEnd w:id="31"/>
      <w:bookmarkEnd w:id="32"/>
      <w:bookmarkEnd w:id="33"/>
      <w:bookmarkEnd w:id="34"/>
      <w:bookmarkEnd w:id="35"/>
      <w:bookmarkEnd w:id="36"/>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snapToGrid w:val="0"/>
        </w:rPr>
        <w:t>.</w:t>
      </w:r>
    </w:p>
    <w:p>
      <w:pPr>
        <w:pStyle w:val="Heading5"/>
      </w:pPr>
      <w:bookmarkStart w:id="37" w:name="_Toc120945221"/>
      <w:bookmarkStart w:id="38" w:name="_Toc121294860"/>
      <w:bookmarkStart w:id="39" w:name="_Toc215544990"/>
      <w:r>
        <w:rPr>
          <w:rStyle w:val="CharSectno"/>
        </w:rPr>
        <w:t>2</w:t>
      </w:r>
      <w:r>
        <w:t>.</w:t>
      </w:r>
      <w:r>
        <w:tab/>
        <w:t>Commencement</w:t>
      </w:r>
      <w:bookmarkEnd w:id="37"/>
      <w:bookmarkEnd w:id="38"/>
      <w:bookmarkEnd w:id="39"/>
    </w:p>
    <w:p>
      <w:pPr>
        <w:pStyle w:val="Subsection"/>
      </w:pPr>
      <w:r>
        <w:tab/>
      </w:r>
      <w:r>
        <w:tab/>
        <w:t xml:space="preserve">This Act </w:t>
      </w:r>
      <w:r>
        <w:rPr>
          <w:spacing w:val="-2"/>
        </w:rPr>
        <w:t xml:space="preserve">comes into operation on </w:t>
      </w:r>
      <w:r>
        <w:t>a day fixed by proclamation.</w:t>
      </w:r>
    </w:p>
    <w:p>
      <w:pPr>
        <w:pStyle w:val="Heading5"/>
      </w:pPr>
      <w:bookmarkStart w:id="40" w:name="_Toc71480035"/>
      <w:bookmarkStart w:id="41" w:name="_Toc120945222"/>
      <w:bookmarkStart w:id="42" w:name="_Toc123017917"/>
      <w:bookmarkStart w:id="43" w:name="_Toc215544991"/>
      <w:r>
        <w:rPr>
          <w:rStyle w:val="CharSectno"/>
        </w:rPr>
        <w:t>3</w:t>
      </w:r>
      <w:r>
        <w:t>.</w:t>
      </w:r>
      <w:r>
        <w:tab/>
        <w:t>Interpretation</w:t>
      </w:r>
      <w:bookmarkEnd w:id="40"/>
      <w:bookmarkEnd w:id="41"/>
      <w:bookmarkEnd w:id="42"/>
      <w:bookmarkEnd w:id="43"/>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44" w:name="_Toc98901710"/>
      <w:bookmarkStart w:id="45" w:name="_Toc98901833"/>
      <w:bookmarkStart w:id="46" w:name="_Toc98901883"/>
      <w:bookmarkStart w:id="47" w:name="_Toc98901948"/>
      <w:bookmarkStart w:id="48" w:name="_Toc98902232"/>
      <w:bookmarkStart w:id="49" w:name="_Toc98902295"/>
      <w:bookmarkStart w:id="50" w:name="_Toc99172417"/>
      <w:bookmarkStart w:id="51" w:name="_Toc99857183"/>
      <w:bookmarkStart w:id="52" w:name="_Toc99858564"/>
      <w:bookmarkStart w:id="53" w:name="_Toc99871568"/>
      <w:bookmarkStart w:id="54" w:name="_Toc99876114"/>
      <w:bookmarkStart w:id="55" w:name="_Toc99877047"/>
      <w:bookmarkStart w:id="56" w:name="_Toc117042800"/>
      <w:bookmarkStart w:id="57" w:name="_Toc120945223"/>
      <w:bookmarkStart w:id="58" w:name="_Toc123017918"/>
      <w:bookmarkStart w:id="59" w:name="_Toc123018371"/>
      <w:bookmarkStart w:id="60" w:name="_Toc123023381"/>
      <w:bookmarkStart w:id="61" w:name="_Toc123024504"/>
      <w:bookmarkStart w:id="62" w:name="_Toc123026788"/>
      <w:bookmarkStart w:id="63" w:name="_Toc137531450"/>
      <w:bookmarkStart w:id="64" w:name="_Toc185844240"/>
      <w:bookmarkStart w:id="65" w:name="_Toc185926595"/>
      <w:bookmarkStart w:id="66" w:name="_Toc194915598"/>
      <w:bookmarkStart w:id="67" w:name="_Toc199820728"/>
      <w:bookmarkStart w:id="68" w:name="_Toc210115939"/>
      <w:bookmarkStart w:id="69" w:name="_Toc215544992"/>
      <w:r>
        <w:rPr>
          <w:rStyle w:val="CharPartNo"/>
        </w:rPr>
        <w:t>Part 2</w:t>
      </w:r>
      <w:r>
        <w:rPr>
          <w:rStyle w:val="CharDivNo"/>
        </w:rPr>
        <w:t> </w:t>
      </w:r>
      <w:r>
        <w:t>—</w:t>
      </w:r>
      <w:r>
        <w:rPr>
          <w:rStyle w:val="CharDivText"/>
        </w:rPr>
        <w:t> </w:t>
      </w:r>
      <w:r>
        <w:rPr>
          <w:rStyle w:val="CharPartText"/>
        </w:rPr>
        <w:t>Oaths and related matters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71480036"/>
      <w:bookmarkStart w:id="71" w:name="_Toc120945224"/>
      <w:bookmarkStart w:id="72" w:name="_Toc123017919"/>
      <w:bookmarkStart w:id="73" w:name="_Toc215544993"/>
      <w:r>
        <w:rPr>
          <w:rStyle w:val="CharSectno"/>
        </w:rPr>
        <w:t>4</w:t>
      </w:r>
      <w:r>
        <w:t>.</w:t>
      </w:r>
      <w:r>
        <w:tab/>
        <w:t>Oaths, general form of</w:t>
      </w:r>
      <w:bookmarkEnd w:id="70"/>
      <w:bookmarkEnd w:id="71"/>
      <w:bookmarkEnd w:id="72"/>
      <w:bookmarkEnd w:id="73"/>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74" w:name="_Toc71480037"/>
      <w:bookmarkStart w:id="75" w:name="_Toc120945225"/>
      <w:bookmarkStart w:id="76" w:name="_Toc123017920"/>
      <w:bookmarkStart w:id="77" w:name="_Toc215544994"/>
      <w:r>
        <w:rPr>
          <w:rStyle w:val="CharSectno"/>
        </w:rPr>
        <w:t>5</w:t>
      </w:r>
      <w:r>
        <w:t>.</w:t>
      </w:r>
      <w:r>
        <w:tab/>
        <w:t>Affirmation may be made instead of oath</w:t>
      </w:r>
      <w:bookmarkEnd w:id="74"/>
      <w:bookmarkEnd w:id="75"/>
      <w:bookmarkEnd w:id="76"/>
      <w:bookmarkEnd w:id="77"/>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78" w:name="_Toc71480038"/>
      <w:bookmarkStart w:id="79" w:name="_Toc120945226"/>
      <w:bookmarkStart w:id="80" w:name="_Toc123017921"/>
      <w:bookmarkStart w:id="81" w:name="_Toc215544995"/>
      <w:r>
        <w:rPr>
          <w:rStyle w:val="CharSectno"/>
        </w:rPr>
        <w:t>6</w:t>
      </w:r>
      <w:r>
        <w:t>.</w:t>
      </w:r>
      <w:r>
        <w:tab/>
        <w:t>Oaths and affirmations</w:t>
      </w:r>
      <w:bookmarkEnd w:id="78"/>
      <w:r>
        <w:t>, who may administer</w:t>
      </w:r>
      <w:bookmarkEnd w:id="79"/>
      <w:bookmarkEnd w:id="80"/>
      <w:bookmarkEnd w:id="81"/>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82" w:name="_Toc71480039"/>
      <w:bookmarkStart w:id="83" w:name="_Toc120945227"/>
      <w:bookmarkStart w:id="84" w:name="_Toc123017922"/>
      <w:bookmarkStart w:id="85" w:name="_Toc215544996"/>
      <w:r>
        <w:rPr>
          <w:rStyle w:val="CharSectno"/>
        </w:rPr>
        <w:t>7</w:t>
      </w:r>
      <w:r>
        <w:t>.</w:t>
      </w:r>
      <w:r>
        <w:tab/>
        <w:t>Oaths and affirmations, how administered</w:t>
      </w:r>
      <w:bookmarkEnd w:id="82"/>
      <w:bookmarkEnd w:id="83"/>
      <w:bookmarkEnd w:id="84"/>
      <w:bookmarkEnd w:id="85"/>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bookmarkStart w:id="86" w:name="_Toc98901715"/>
      <w:bookmarkStart w:id="87" w:name="_Toc98901838"/>
      <w:bookmarkStart w:id="88" w:name="_Toc98901888"/>
      <w:bookmarkStart w:id="89" w:name="_Toc98901953"/>
      <w:bookmarkStart w:id="90" w:name="_Toc98902237"/>
      <w:bookmarkStart w:id="91" w:name="_Toc98902300"/>
      <w:bookmarkStart w:id="92" w:name="_Toc99172422"/>
      <w:bookmarkStart w:id="93" w:name="_Toc99857188"/>
      <w:bookmarkStart w:id="94" w:name="_Toc99858569"/>
      <w:bookmarkStart w:id="95" w:name="_Toc99871573"/>
      <w:bookmarkStart w:id="96" w:name="_Toc99876119"/>
      <w:bookmarkStart w:id="97" w:name="_Toc99877052"/>
      <w:bookmarkStart w:id="98" w:name="_Toc117042805"/>
      <w:bookmarkStart w:id="99" w:name="_Toc120945228"/>
      <w:bookmarkStart w:id="100" w:name="_Toc123017923"/>
      <w:bookmarkStart w:id="101" w:name="_Toc123018376"/>
      <w:bookmarkStart w:id="102" w:name="_Toc123023386"/>
      <w:bookmarkStart w:id="103" w:name="_Toc123024509"/>
      <w:bookmarkStart w:id="104" w:name="_Toc123026793"/>
      <w:bookmarkStart w:id="105" w:name="_Toc137531455"/>
      <w:bookmarkStart w:id="106" w:name="_Toc185844245"/>
      <w:bookmarkStart w:id="107" w:name="_Toc185926600"/>
      <w:bookmarkStart w:id="108" w:name="_Toc194915603"/>
      <w:bookmarkStart w:id="109" w:name="_Toc199820733"/>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110" w:name="_Toc210115944"/>
      <w:bookmarkStart w:id="111" w:name="_Toc215544997"/>
      <w:r>
        <w:rPr>
          <w:rStyle w:val="CharPartNo"/>
        </w:rPr>
        <w:t>Part 3</w:t>
      </w:r>
      <w:r>
        <w:rPr>
          <w:rStyle w:val="CharDivNo"/>
        </w:rPr>
        <w:t> </w:t>
      </w:r>
      <w:r>
        <w:t>—</w:t>
      </w:r>
      <w:r>
        <w:rPr>
          <w:rStyle w:val="CharDivText"/>
        </w:rPr>
        <w:t> </w:t>
      </w:r>
      <w:r>
        <w:rPr>
          <w:rStyle w:val="CharPartText"/>
        </w:rPr>
        <w:t>Affidavits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71480040"/>
      <w:bookmarkStart w:id="113" w:name="_Toc120945229"/>
      <w:bookmarkStart w:id="114" w:name="_Toc123017924"/>
      <w:bookmarkStart w:id="115" w:name="_Toc215544998"/>
      <w:r>
        <w:rPr>
          <w:rStyle w:val="CharSectno"/>
        </w:rPr>
        <w:t>8</w:t>
      </w:r>
      <w:r>
        <w:t>.</w:t>
      </w:r>
      <w:r>
        <w:tab/>
        <w:t>Definitions</w:t>
      </w:r>
      <w:bookmarkEnd w:id="112"/>
      <w:bookmarkEnd w:id="113"/>
      <w:bookmarkEnd w:id="114"/>
      <w:bookmarkEnd w:id="115"/>
    </w:p>
    <w:p>
      <w:pPr>
        <w:pStyle w:val="Subsection"/>
      </w:pPr>
      <w:r>
        <w:tab/>
      </w:r>
      <w:r>
        <w:tab/>
        <w:t xml:space="preserve">In this Part — </w:t>
      </w:r>
    </w:p>
    <w:p>
      <w:pPr>
        <w:pStyle w:val="Defstart"/>
      </w:pPr>
      <w:r>
        <w:rPr>
          <w:b/>
        </w:rPr>
        <w:tab/>
      </w:r>
      <w:r>
        <w:rPr>
          <w:rStyle w:val="CharDefText"/>
        </w:rPr>
        <w:t>experienced lawyer</w:t>
      </w:r>
      <w:r>
        <w:t xml:space="preserve"> means a legal practitioner who has held a practice certificate for at least 2 years and who holds a current practice certificate;</w:t>
      </w:r>
    </w:p>
    <w:p>
      <w:pPr>
        <w:pStyle w:val="Defstart"/>
      </w:pPr>
      <w:r>
        <w:tab/>
      </w:r>
      <w:r>
        <w:rPr>
          <w:rStyle w:val="CharDefText"/>
        </w:rPr>
        <w:t>practice certificate</w:t>
      </w:r>
      <w:r>
        <w:t xml:space="preserve"> has the meaning given by the </w:t>
      </w:r>
      <w:r>
        <w:rPr>
          <w:i/>
        </w:rPr>
        <w:t>Legal Practice Act 2003</w:t>
      </w:r>
      <w:r>
        <w:t>.</w:t>
      </w:r>
    </w:p>
    <w:p>
      <w:pPr>
        <w:pStyle w:val="Heading5"/>
      </w:pPr>
      <w:bookmarkStart w:id="116" w:name="_Toc71480041"/>
      <w:bookmarkStart w:id="117" w:name="_Toc120945230"/>
      <w:bookmarkStart w:id="118" w:name="_Toc123017925"/>
      <w:bookmarkStart w:id="119" w:name="_Toc215544999"/>
      <w:r>
        <w:rPr>
          <w:rStyle w:val="CharSectno"/>
        </w:rPr>
        <w:t>9</w:t>
      </w:r>
      <w:r>
        <w:t>.</w:t>
      </w:r>
      <w:r>
        <w:tab/>
        <w:t>Affidavits, how made</w:t>
      </w:r>
      <w:bookmarkEnd w:id="116"/>
      <w:bookmarkEnd w:id="117"/>
      <w:bookmarkEnd w:id="118"/>
      <w:bookmarkEnd w:id="119"/>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w:t>
      </w:r>
    </w:p>
    <w:p>
      <w:pPr>
        <w:pStyle w:val="Indenta"/>
      </w:pPr>
      <w:r>
        <w:tab/>
        <w:t>(b)</w:t>
      </w:r>
      <w:r>
        <w:tab/>
        <w:t>an experienced lawyer,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lawyer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Heading5"/>
      </w:pPr>
      <w:bookmarkStart w:id="120" w:name="_Toc120945231"/>
      <w:bookmarkStart w:id="121" w:name="_Toc123017926"/>
      <w:bookmarkStart w:id="122" w:name="_Toc215545000"/>
      <w:r>
        <w:rPr>
          <w:rStyle w:val="CharSectno"/>
        </w:rPr>
        <w:t>10</w:t>
      </w:r>
      <w:r>
        <w:t>.</w:t>
      </w:r>
      <w:r>
        <w:tab/>
        <w:t>Court authorised witness may witness affidavit for use in court</w:t>
      </w:r>
      <w:bookmarkEnd w:id="120"/>
      <w:bookmarkEnd w:id="121"/>
      <w:bookmarkEnd w:id="122"/>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23" w:name="_Toc98901719"/>
      <w:bookmarkStart w:id="124" w:name="_Toc98901842"/>
      <w:bookmarkStart w:id="125" w:name="_Toc98901892"/>
      <w:bookmarkStart w:id="126" w:name="_Toc98901957"/>
      <w:bookmarkStart w:id="127" w:name="_Toc98902241"/>
      <w:bookmarkStart w:id="128" w:name="_Toc98902304"/>
      <w:bookmarkStart w:id="129" w:name="_Toc99172426"/>
      <w:bookmarkStart w:id="130" w:name="_Toc99857192"/>
      <w:bookmarkStart w:id="131" w:name="_Toc99858573"/>
      <w:bookmarkStart w:id="132" w:name="_Toc99871577"/>
      <w:bookmarkStart w:id="133" w:name="_Toc99876123"/>
      <w:bookmarkStart w:id="134" w:name="_Toc99877056"/>
      <w:bookmarkStart w:id="135" w:name="_Toc117042809"/>
      <w:bookmarkStart w:id="136" w:name="_Toc120945232"/>
      <w:bookmarkStart w:id="137" w:name="_Toc123017927"/>
      <w:bookmarkStart w:id="138" w:name="_Toc123018380"/>
      <w:bookmarkStart w:id="139" w:name="_Toc123023390"/>
      <w:bookmarkStart w:id="140" w:name="_Toc123024513"/>
      <w:bookmarkStart w:id="141" w:name="_Toc123026797"/>
      <w:bookmarkStart w:id="142" w:name="_Toc137531459"/>
      <w:bookmarkStart w:id="143" w:name="_Toc185844249"/>
      <w:bookmarkStart w:id="144" w:name="_Toc185926604"/>
      <w:bookmarkStart w:id="145" w:name="_Toc194915607"/>
      <w:bookmarkStart w:id="146" w:name="_Toc199820737"/>
      <w:bookmarkStart w:id="147" w:name="_Toc210115948"/>
      <w:bookmarkStart w:id="148" w:name="_Toc215545001"/>
      <w:r>
        <w:rPr>
          <w:rStyle w:val="CharPartNo"/>
        </w:rPr>
        <w:t>Part 4</w:t>
      </w:r>
      <w:r>
        <w:rPr>
          <w:rStyle w:val="CharDivNo"/>
        </w:rPr>
        <w:t> </w:t>
      </w:r>
      <w:r>
        <w:t>—</w:t>
      </w:r>
      <w:r>
        <w:rPr>
          <w:rStyle w:val="CharDivText"/>
        </w:rPr>
        <w:t> </w:t>
      </w:r>
      <w:r>
        <w:rPr>
          <w:rStyle w:val="CharPartText"/>
        </w:rPr>
        <w:t>Statutory declarations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71480042"/>
      <w:bookmarkStart w:id="150" w:name="_Toc120945233"/>
      <w:bookmarkStart w:id="151" w:name="_Toc123017928"/>
      <w:bookmarkStart w:id="152" w:name="_Toc215545002"/>
      <w:r>
        <w:rPr>
          <w:rStyle w:val="CharSectno"/>
        </w:rPr>
        <w:t>11</w:t>
      </w:r>
      <w:r>
        <w:t>.</w:t>
      </w:r>
      <w:r>
        <w:tab/>
        <w:t>When a statutory declaration may be made</w:t>
      </w:r>
      <w:bookmarkEnd w:id="149"/>
      <w:bookmarkEnd w:id="150"/>
      <w:bookmarkEnd w:id="151"/>
      <w:bookmarkEnd w:id="152"/>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153" w:name="_Toc71480043"/>
      <w:bookmarkStart w:id="154" w:name="_Toc120945234"/>
      <w:bookmarkStart w:id="155" w:name="_Toc123017929"/>
      <w:bookmarkStart w:id="156" w:name="_Toc215545003"/>
      <w:r>
        <w:rPr>
          <w:rStyle w:val="CharSectno"/>
        </w:rPr>
        <w:t>12</w:t>
      </w:r>
      <w:r>
        <w:t>.</w:t>
      </w:r>
      <w:r>
        <w:tab/>
        <w:t>Statutory declarations, how made</w:t>
      </w:r>
      <w:bookmarkEnd w:id="153"/>
      <w:bookmarkEnd w:id="154"/>
      <w:bookmarkEnd w:id="155"/>
      <w:bookmarkEnd w:id="156"/>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157" w:name="_Hlt53916012"/>
      <w:r>
        <w:t> </w:t>
      </w:r>
      <w:bookmarkEnd w:id="157"/>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158" w:name="_Hlt53916077"/>
      <w:bookmarkEnd w:id="158"/>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w:t>
      </w:r>
      <w:bookmarkStart w:id="159" w:name="_Hlt49155044"/>
      <w:r>
        <w:t> </w:t>
      </w:r>
      <w:bookmarkEnd w:id="159"/>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160" w:name="_Toc98901722"/>
      <w:bookmarkStart w:id="161" w:name="_Toc98901845"/>
      <w:bookmarkStart w:id="162" w:name="_Toc98901895"/>
      <w:bookmarkStart w:id="163" w:name="_Toc98901960"/>
      <w:bookmarkStart w:id="164" w:name="_Toc98902244"/>
      <w:bookmarkStart w:id="165" w:name="_Toc98902307"/>
      <w:bookmarkStart w:id="166" w:name="_Toc99172429"/>
      <w:bookmarkStart w:id="167" w:name="_Toc99857195"/>
      <w:bookmarkStart w:id="168" w:name="_Toc99858576"/>
      <w:bookmarkStart w:id="169" w:name="_Toc99871580"/>
      <w:bookmarkStart w:id="170" w:name="_Toc99876126"/>
      <w:bookmarkStart w:id="171" w:name="_Toc99877059"/>
      <w:bookmarkStart w:id="172" w:name="_Toc117042812"/>
      <w:bookmarkStart w:id="173" w:name="_Toc120945235"/>
      <w:bookmarkStart w:id="174" w:name="_Toc123017930"/>
      <w:bookmarkStart w:id="175" w:name="_Toc123018383"/>
      <w:bookmarkStart w:id="176" w:name="_Toc123023393"/>
      <w:bookmarkStart w:id="177" w:name="_Toc123024516"/>
      <w:bookmarkStart w:id="178" w:name="_Toc123026800"/>
      <w:bookmarkStart w:id="179" w:name="_Toc137531462"/>
      <w:bookmarkStart w:id="180" w:name="_Toc185844252"/>
      <w:bookmarkStart w:id="181" w:name="_Toc185926607"/>
      <w:bookmarkStart w:id="182" w:name="_Toc194915610"/>
      <w:bookmarkStart w:id="183" w:name="_Toc199820740"/>
      <w:bookmarkStart w:id="184" w:name="_Toc210115951"/>
      <w:bookmarkStart w:id="185" w:name="_Toc215545004"/>
      <w:r>
        <w:rPr>
          <w:rStyle w:val="CharPartNo"/>
        </w:rPr>
        <w:t>Part 5</w:t>
      </w:r>
      <w:r>
        <w:rPr>
          <w:rStyle w:val="CharDivNo"/>
        </w:rPr>
        <w:t> </w:t>
      </w:r>
      <w:r>
        <w:t>—</w:t>
      </w:r>
      <w:r>
        <w:rPr>
          <w:rStyle w:val="CharDivText"/>
        </w:rPr>
        <w:t> </w:t>
      </w:r>
      <w:r>
        <w:rPr>
          <w:rStyle w:val="CharPartText"/>
        </w:rPr>
        <w:t>Miscellaneous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71480044"/>
      <w:bookmarkStart w:id="187" w:name="_Toc120945236"/>
      <w:bookmarkStart w:id="188" w:name="_Toc123017931"/>
      <w:bookmarkStart w:id="189" w:name="_Toc215545005"/>
      <w:r>
        <w:rPr>
          <w:rStyle w:val="CharSectno"/>
        </w:rPr>
        <w:t>13</w:t>
      </w:r>
      <w:r>
        <w:t>.</w:t>
      </w:r>
      <w:r>
        <w:tab/>
        <w:t>Affidavits and declarations by blind or illiterate people</w:t>
      </w:r>
      <w:bookmarkEnd w:id="186"/>
      <w:bookmarkEnd w:id="187"/>
      <w:bookmarkEnd w:id="188"/>
      <w:bookmarkEnd w:id="189"/>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190" w:name="_Toc71480045"/>
      <w:bookmarkStart w:id="191" w:name="_Toc120945237"/>
      <w:bookmarkStart w:id="192" w:name="_Toc123017932"/>
      <w:bookmarkStart w:id="193" w:name="_Toc215545006"/>
      <w:r>
        <w:rPr>
          <w:rStyle w:val="CharSectno"/>
        </w:rPr>
        <w:t>14</w:t>
      </w:r>
      <w:r>
        <w:t>.</w:t>
      </w:r>
      <w:r>
        <w:tab/>
        <w:t>Affidavits and declarations by people not conversant with English</w:t>
      </w:r>
      <w:bookmarkEnd w:id="190"/>
      <w:bookmarkEnd w:id="191"/>
      <w:bookmarkEnd w:id="192"/>
      <w:bookmarkEnd w:id="193"/>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pPr>
      <w:r>
        <w:tab/>
        <w:t>(2)</w:t>
      </w:r>
      <w:r>
        <w:tab/>
        <w:t>Subsection (1), with any necessary changes, applies to and in respect of a statutory declaration as if each reference in the subsection to “affidavit” were a reference to “statutory declaration”.</w:t>
      </w:r>
    </w:p>
    <w:p>
      <w:pPr>
        <w:pStyle w:val="Heading5"/>
      </w:pPr>
      <w:bookmarkStart w:id="194" w:name="_Toc71480046"/>
      <w:bookmarkStart w:id="195" w:name="_Toc120945238"/>
      <w:bookmarkStart w:id="196" w:name="_Toc123017933"/>
      <w:bookmarkStart w:id="197" w:name="_Toc215545007"/>
      <w:r>
        <w:rPr>
          <w:rStyle w:val="CharSectno"/>
        </w:rPr>
        <w:t>15</w:t>
      </w:r>
      <w:r>
        <w:t>.</w:t>
      </w:r>
      <w:r>
        <w:tab/>
        <w:t>Rubber stamp signatures not to be used</w:t>
      </w:r>
      <w:bookmarkEnd w:id="194"/>
      <w:bookmarkEnd w:id="195"/>
      <w:bookmarkEnd w:id="196"/>
      <w:bookmarkEnd w:id="197"/>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pPr>
      <w:bookmarkStart w:id="198" w:name="_Toc71480047"/>
      <w:bookmarkStart w:id="199" w:name="_Toc120945239"/>
      <w:bookmarkStart w:id="200" w:name="_Toc123017934"/>
      <w:bookmarkStart w:id="201" w:name="_Toc215545008"/>
      <w:r>
        <w:rPr>
          <w:rStyle w:val="CharSectno"/>
        </w:rPr>
        <w:t>16</w:t>
      </w:r>
      <w:r>
        <w:t>.</w:t>
      </w:r>
      <w:r>
        <w:tab/>
        <w:t>Non</w:t>
      </w:r>
      <w:r>
        <w:noBreakHyphen/>
        <w:t>compliance with form or procedure, effect of</w:t>
      </w:r>
      <w:bookmarkEnd w:id="198"/>
      <w:bookmarkEnd w:id="199"/>
      <w:bookmarkEnd w:id="200"/>
      <w:bookmarkEnd w:id="201"/>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pPr>
      <w:bookmarkStart w:id="202" w:name="_Toc71480048"/>
      <w:bookmarkStart w:id="203" w:name="_Toc120945240"/>
      <w:bookmarkStart w:id="204" w:name="_Toc123017935"/>
      <w:bookmarkStart w:id="205" w:name="_Toc215545009"/>
      <w:r>
        <w:rPr>
          <w:rStyle w:val="CharSectno"/>
        </w:rPr>
        <w:t>17</w:t>
      </w:r>
      <w:r>
        <w:t>.</w:t>
      </w:r>
      <w:r>
        <w:tab/>
        <w:t>Pretending to be an authorised witness, offence of</w:t>
      </w:r>
      <w:bookmarkEnd w:id="202"/>
      <w:bookmarkEnd w:id="203"/>
      <w:bookmarkEnd w:id="204"/>
      <w:bookmarkEnd w:id="205"/>
    </w:p>
    <w:p>
      <w:pPr>
        <w:pStyle w:val="Subsection"/>
        <w:keepNext/>
        <w:keepLines/>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06" w:name="_Toc71480049"/>
      <w:bookmarkStart w:id="207" w:name="_Toc120945241"/>
      <w:bookmarkStart w:id="208" w:name="_Toc123017936"/>
      <w:bookmarkStart w:id="209" w:name="_Toc215545010"/>
      <w:r>
        <w:rPr>
          <w:rStyle w:val="CharSectno"/>
        </w:rPr>
        <w:t>18</w:t>
      </w:r>
      <w:r>
        <w:t>.</w:t>
      </w:r>
      <w:r>
        <w:tab/>
        <w:t>Regulations</w:t>
      </w:r>
      <w:bookmarkEnd w:id="206"/>
      <w:bookmarkEnd w:id="207"/>
      <w:bookmarkEnd w:id="208"/>
      <w:bookmarkEnd w:id="20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10" w:name="_Toc123017937"/>
      <w:bookmarkStart w:id="211" w:name="_Toc123018390"/>
    </w:p>
    <w:p>
      <w:pPr>
        <w:pStyle w:val="yScheduleHeading"/>
      </w:pPr>
      <w:bookmarkStart w:id="212" w:name="_Toc123023400"/>
      <w:bookmarkStart w:id="213" w:name="_Toc123024523"/>
      <w:bookmarkStart w:id="214" w:name="_Toc123026807"/>
      <w:bookmarkStart w:id="215" w:name="_Toc137531469"/>
      <w:bookmarkStart w:id="216" w:name="_Toc185844259"/>
      <w:bookmarkStart w:id="217" w:name="_Toc185926614"/>
      <w:bookmarkStart w:id="218" w:name="_Toc194915617"/>
      <w:bookmarkStart w:id="219" w:name="_Toc199820747"/>
      <w:bookmarkStart w:id="220" w:name="_Toc210115958"/>
      <w:bookmarkStart w:id="221" w:name="_Toc215545011"/>
      <w:r>
        <w:rPr>
          <w:rStyle w:val="CharSchNo"/>
        </w:rPr>
        <w:t>Schedule 1</w:t>
      </w:r>
      <w:r>
        <w:rPr>
          <w:rStyle w:val="CharSDivNo"/>
        </w:rPr>
        <w:t> </w:t>
      </w:r>
      <w:r>
        <w:t>—</w:t>
      </w:r>
      <w:r>
        <w:rPr>
          <w:rStyle w:val="CharSDivText"/>
        </w:rPr>
        <w:t> </w:t>
      </w:r>
      <w:r>
        <w:rPr>
          <w:rStyle w:val="CharSchText"/>
        </w:rPr>
        <w:t>Form of statutory declaration</w:t>
      </w:r>
      <w:bookmarkEnd w:id="210"/>
      <w:bookmarkEnd w:id="211"/>
      <w:bookmarkEnd w:id="212"/>
      <w:bookmarkEnd w:id="213"/>
      <w:bookmarkEnd w:id="214"/>
      <w:bookmarkEnd w:id="215"/>
      <w:bookmarkEnd w:id="216"/>
      <w:bookmarkEnd w:id="217"/>
      <w:bookmarkEnd w:id="218"/>
      <w:bookmarkEnd w:id="219"/>
      <w:bookmarkEnd w:id="220"/>
      <w:bookmarkEnd w:id="221"/>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22" w:name="_Toc123017938"/>
      <w:bookmarkStart w:id="223" w:name="_Toc123018391"/>
      <w:bookmarkStart w:id="224" w:name="_Toc123023401"/>
      <w:bookmarkStart w:id="225" w:name="_Toc123024524"/>
      <w:bookmarkStart w:id="226" w:name="_Toc123026808"/>
      <w:bookmarkStart w:id="227" w:name="_Toc137531470"/>
      <w:bookmarkStart w:id="228" w:name="_Toc185844260"/>
      <w:bookmarkStart w:id="229" w:name="_Toc185926615"/>
      <w:bookmarkStart w:id="230" w:name="_Toc194915618"/>
      <w:bookmarkStart w:id="231" w:name="_Toc199820748"/>
      <w:bookmarkStart w:id="232" w:name="_Toc210115959"/>
      <w:bookmarkStart w:id="233" w:name="_Toc215545012"/>
      <w:r>
        <w:rPr>
          <w:rStyle w:val="CharSchNo"/>
        </w:rPr>
        <w:t>Schedule 2</w:t>
      </w:r>
      <w:r>
        <w:rPr>
          <w:rStyle w:val="CharSDivNo"/>
        </w:rPr>
        <w:t> </w:t>
      </w:r>
      <w:r>
        <w:t>—</w:t>
      </w:r>
      <w:r>
        <w:rPr>
          <w:rStyle w:val="CharSDivText"/>
        </w:rPr>
        <w:t> </w:t>
      </w:r>
      <w:r>
        <w:rPr>
          <w:rStyle w:val="CharSchText"/>
        </w:rPr>
        <w:t>Authorised witnesses for statutory declarations</w:t>
      </w:r>
      <w:bookmarkEnd w:id="222"/>
      <w:bookmarkEnd w:id="223"/>
      <w:bookmarkEnd w:id="224"/>
      <w:bookmarkEnd w:id="225"/>
      <w:bookmarkEnd w:id="226"/>
      <w:bookmarkEnd w:id="227"/>
      <w:bookmarkEnd w:id="228"/>
      <w:bookmarkEnd w:id="229"/>
      <w:bookmarkEnd w:id="230"/>
      <w:bookmarkEnd w:id="231"/>
      <w:bookmarkEnd w:id="232"/>
      <w:bookmarkEnd w:id="233"/>
    </w:p>
    <w:p>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trPr>
          <w:cantSplit/>
          <w:tblHeader/>
        </w:trPr>
        <w:tc>
          <w:tcPr>
            <w:tcW w:w="567" w:type="dxa"/>
            <w:tcBorders>
              <w:top w:val="single" w:sz="4" w:space="0" w:color="auto"/>
              <w:bottom w:val="single" w:sz="4" w:space="0" w:color="auto"/>
            </w:tcBorders>
          </w:tcPr>
          <w:p>
            <w:pPr>
              <w:pStyle w:val="yTable"/>
              <w:rPr>
                <w:b/>
                <w:bCs/>
              </w:rPr>
            </w:pPr>
            <w:r>
              <w:rPr>
                <w:b/>
                <w:bCs/>
              </w:rPr>
              <w:t>Item</w:t>
            </w:r>
          </w:p>
        </w:tc>
        <w:tc>
          <w:tcPr>
            <w:tcW w:w="4536" w:type="dxa"/>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tcPr>
          <w:p>
            <w:pPr>
              <w:pStyle w:val="yTable"/>
            </w:pPr>
            <w:r>
              <w:t>1.</w:t>
            </w:r>
          </w:p>
        </w:tc>
        <w:tc>
          <w:tcPr>
            <w:tcW w:w="4536" w:type="dxa"/>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t>Murdoch University Act 1973;</w:t>
            </w:r>
          </w:p>
          <w:p>
            <w:pPr>
              <w:pStyle w:val="yTable"/>
              <w:tabs>
                <w:tab w:val="left" w:pos="337"/>
              </w:tabs>
              <w:ind w:left="337" w:hanging="337"/>
              <w:rPr>
                <w:i/>
                <w:iCs/>
              </w:rPr>
            </w:pPr>
            <w:r>
              <w:rPr>
                <w:i/>
                <w:iCs/>
              </w:rPr>
              <w:t>•</w:t>
            </w:r>
            <w:r>
              <w:rPr>
                <w:i/>
                <w:iCs/>
              </w:rPr>
              <w:tab/>
              <w:t>University of Notre Dame Australia Act 1989;</w:t>
            </w:r>
          </w:p>
          <w:p>
            <w:pPr>
              <w:pStyle w:val="yTable"/>
              <w:tabs>
                <w:tab w:val="left" w:pos="337"/>
              </w:tabs>
              <w:ind w:left="337" w:hanging="337"/>
              <w:rPr>
                <w:i/>
                <w:iCs/>
              </w:rPr>
            </w:pPr>
            <w:r>
              <w:rPr>
                <w:i/>
                <w:iCs/>
              </w:rPr>
              <w:t>•</w:t>
            </w:r>
            <w:r>
              <w:rPr>
                <w:i/>
                <w:iCs/>
              </w:rPr>
              <w:tab/>
              <w:t>University of Western Australia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tcPr>
          <w:p>
            <w:pPr>
              <w:pStyle w:val="yTable"/>
            </w:pPr>
            <w:r>
              <w:t>2.</w:t>
            </w:r>
          </w:p>
        </w:tc>
        <w:tc>
          <w:tcPr>
            <w:tcW w:w="4536" w:type="dxa"/>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National Institute of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tcPr>
          <w:p>
            <w:pPr>
              <w:pStyle w:val="yTable"/>
            </w:pPr>
            <w:r>
              <w:t>3.</w:t>
            </w:r>
          </w:p>
        </w:tc>
        <w:tc>
          <w:tcPr>
            <w:tcW w:w="4536" w:type="dxa"/>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tcPr>
          <w:p>
            <w:pPr>
              <w:pStyle w:val="yTable"/>
            </w:pPr>
            <w:r>
              <w:t>4.</w:t>
            </w:r>
          </w:p>
        </w:tc>
        <w:tc>
          <w:tcPr>
            <w:tcW w:w="4536" w:type="dxa"/>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tcPr>
          <w:p>
            <w:pPr>
              <w:pStyle w:val="yTable"/>
            </w:pPr>
            <w:r>
              <w:t>5.</w:t>
            </w:r>
          </w:p>
        </w:tc>
        <w:tc>
          <w:tcPr>
            <w:tcW w:w="4536" w:type="dxa"/>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tcPr>
          <w:p>
            <w:pPr>
              <w:pStyle w:val="yTable"/>
            </w:pPr>
            <w:r>
              <w:t>6.</w:t>
            </w:r>
          </w:p>
        </w:tc>
        <w:tc>
          <w:tcPr>
            <w:tcW w:w="4536" w:type="dxa"/>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tcPr>
          <w:p>
            <w:pPr>
              <w:pStyle w:val="yTable"/>
            </w:pPr>
            <w:r>
              <w:t>7.</w:t>
            </w:r>
          </w:p>
        </w:tc>
        <w:tc>
          <w:tcPr>
            <w:tcW w:w="4536" w:type="dxa"/>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tcPr>
          <w:p>
            <w:pPr>
              <w:pStyle w:val="yTable"/>
            </w:pPr>
            <w:r>
              <w:t>8.</w:t>
            </w:r>
          </w:p>
        </w:tc>
        <w:tc>
          <w:tcPr>
            <w:tcW w:w="4536" w:type="dxa"/>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tcPr>
          <w:p>
            <w:pPr>
              <w:pStyle w:val="yTable"/>
            </w:pPr>
            <w:r>
              <w:t>9.</w:t>
            </w:r>
          </w:p>
        </w:tc>
        <w:tc>
          <w:tcPr>
            <w:tcW w:w="4536" w:type="dxa"/>
          </w:tcPr>
          <w:p>
            <w:pPr>
              <w:pStyle w:val="yTable"/>
            </w:pPr>
            <w:r>
              <w:t xml:space="preserve">A pharmaceutical chemist within the meaning of the </w:t>
            </w:r>
            <w:r>
              <w:rPr>
                <w:i/>
              </w:rPr>
              <w:t>Pharmacy Act 1964.</w:t>
            </w:r>
          </w:p>
        </w:tc>
        <w:tc>
          <w:tcPr>
            <w:tcW w:w="1985" w:type="dxa"/>
          </w:tcPr>
          <w:p>
            <w:pPr>
              <w:pStyle w:val="yTable"/>
            </w:pPr>
            <w:r>
              <w:t>Chemist</w:t>
            </w:r>
          </w:p>
        </w:tc>
      </w:tr>
      <w:tr>
        <w:trPr>
          <w:cantSplit/>
        </w:trPr>
        <w:tc>
          <w:tcPr>
            <w:tcW w:w="567" w:type="dxa"/>
          </w:tcPr>
          <w:p>
            <w:pPr>
              <w:pStyle w:val="yTable"/>
            </w:pPr>
            <w:r>
              <w:t>10.</w:t>
            </w:r>
          </w:p>
        </w:tc>
        <w:tc>
          <w:tcPr>
            <w:tcW w:w="4536" w:type="dxa"/>
          </w:tcPr>
          <w:p>
            <w:pPr>
              <w:pStyle w:val="yTable"/>
            </w:pPr>
            <w:r>
              <w:t xml:space="preserve">A chiropractor within the meaning of the </w:t>
            </w:r>
            <w:r>
              <w:rPr>
                <w:i/>
              </w:rPr>
              <w:t>Chiropractors Act 1964.</w:t>
            </w:r>
          </w:p>
        </w:tc>
        <w:tc>
          <w:tcPr>
            <w:tcW w:w="1985" w:type="dxa"/>
          </w:tcPr>
          <w:p>
            <w:pPr>
              <w:pStyle w:val="yTable"/>
            </w:pPr>
            <w:r>
              <w:t>Chiropractor</w:t>
            </w:r>
          </w:p>
        </w:tc>
      </w:tr>
      <w:tr>
        <w:trPr>
          <w:cantSplit/>
        </w:trPr>
        <w:tc>
          <w:tcPr>
            <w:tcW w:w="567" w:type="dxa"/>
          </w:tcPr>
          <w:p>
            <w:pPr>
              <w:pStyle w:val="yTable"/>
            </w:pPr>
            <w:r>
              <w:t>11.</w:t>
            </w:r>
          </w:p>
        </w:tc>
        <w:tc>
          <w:tcPr>
            <w:tcW w:w="4536" w:type="dxa"/>
          </w:tcPr>
          <w:p>
            <w:pPr>
              <w:pStyle w:val="yTable"/>
            </w:pPr>
            <w:r>
              <w:t xml:space="preserve">A person registered as an auditor or a liquidator under the </w:t>
            </w:r>
            <w:r>
              <w:rPr>
                <w:i/>
              </w:rPr>
              <w:t xml:space="preserve">Corporations Act 2001 </w:t>
            </w:r>
            <w:r>
              <w:t>of the Commonwealth.</w:t>
            </w:r>
          </w:p>
        </w:tc>
        <w:tc>
          <w:tcPr>
            <w:tcW w:w="1985" w:type="dxa"/>
          </w:tcPr>
          <w:p>
            <w:pPr>
              <w:pStyle w:val="yTable"/>
            </w:pPr>
            <w:r>
              <w:t>Company auditor or liquidator</w:t>
            </w:r>
          </w:p>
        </w:tc>
      </w:tr>
      <w:tr>
        <w:trPr>
          <w:cantSplit/>
        </w:trPr>
        <w:tc>
          <w:tcPr>
            <w:tcW w:w="567" w:type="dxa"/>
          </w:tcPr>
          <w:p>
            <w:pPr>
              <w:pStyle w:val="yTable"/>
            </w:pPr>
            <w:r>
              <w:t>12.</w:t>
            </w:r>
          </w:p>
        </w:tc>
        <w:tc>
          <w:tcPr>
            <w:tcW w:w="4536" w:type="dxa"/>
          </w:tcPr>
          <w:p>
            <w:pPr>
              <w:pStyle w:val="yTable"/>
            </w:pPr>
            <w:r>
              <w:t>A judge, master, magistrate, registrar or clerk, or the chief executive officer, of any court of the State or the Commonwealth.</w:t>
            </w:r>
          </w:p>
        </w:tc>
        <w:tc>
          <w:tcPr>
            <w:tcW w:w="1985" w:type="dxa"/>
          </w:tcPr>
          <w:p>
            <w:pPr>
              <w:pStyle w:val="yTable"/>
            </w:pPr>
            <w:r>
              <w:t>Court officer</w:t>
            </w:r>
          </w:p>
        </w:tc>
      </w:tr>
      <w:tr>
        <w:trPr>
          <w:cantSplit/>
        </w:trPr>
        <w:tc>
          <w:tcPr>
            <w:tcW w:w="567" w:type="dxa"/>
          </w:tcPr>
          <w:p>
            <w:pPr>
              <w:pStyle w:val="yTable"/>
            </w:pPr>
            <w:r>
              <w:t>13.</w:t>
            </w:r>
          </w:p>
        </w:tc>
        <w:tc>
          <w:tcPr>
            <w:tcW w:w="4536"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85" w:type="dxa"/>
          </w:tcPr>
          <w:p>
            <w:pPr>
              <w:pStyle w:val="yTable"/>
            </w:pPr>
            <w:r>
              <w:t>Defence force officer</w:t>
            </w:r>
          </w:p>
        </w:tc>
      </w:tr>
      <w:tr>
        <w:trPr>
          <w:cantSplit/>
        </w:trPr>
        <w:tc>
          <w:tcPr>
            <w:tcW w:w="567" w:type="dxa"/>
          </w:tcPr>
          <w:p>
            <w:pPr>
              <w:pStyle w:val="yTable"/>
            </w:pPr>
            <w:r>
              <w:t>14.</w:t>
            </w:r>
          </w:p>
        </w:tc>
        <w:tc>
          <w:tcPr>
            <w:tcW w:w="4536" w:type="dxa"/>
          </w:tcPr>
          <w:p>
            <w:pPr>
              <w:pStyle w:val="yTable"/>
            </w:pPr>
            <w:r>
              <w:t xml:space="preserve">A dentist within the meaning of the </w:t>
            </w:r>
            <w:r>
              <w:rPr>
                <w:i/>
              </w:rPr>
              <w:t>Dental Act 1939.</w:t>
            </w:r>
          </w:p>
        </w:tc>
        <w:tc>
          <w:tcPr>
            <w:tcW w:w="1985" w:type="dxa"/>
          </w:tcPr>
          <w:p>
            <w:pPr>
              <w:pStyle w:val="yTable"/>
            </w:pPr>
            <w:r>
              <w:t>Dentist</w:t>
            </w:r>
          </w:p>
        </w:tc>
      </w:tr>
      <w:tr>
        <w:trPr>
          <w:cantSplit/>
        </w:trPr>
        <w:tc>
          <w:tcPr>
            <w:tcW w:w="567" w:type="dxa"/>
          </w:tcPr>
          <w:p>
            <w:pPr>
              <w:pStyle w:val="yTable"/>
            </w:pPr>
            <w:r>
              <w:t>15.</w:t>
            </w:r>
          </w:p>
        </w:tc>
        <w:tc>
          <w:tcPr>
            <w:tcW w:w="4536" w:type="dxa"/>
          </w:tcPr>
          <w:p>
            <w:pPr>
              <w:pStyle w:val="yTable"/>
            </w:pPr>
            <w:r>
              <w:t xml:space="preserve">A medical practitioner as defined in the </w:t>
            </w:r>
            <w:r>
              <w:rPr>
                <w:i/>
              </w:rPr>
              <w:t>Medical Practitioners Act 2008</w:t>
            </w:r>
            <w:r>
              <w:rPr>
                <w:iCs/>
              </w:rPr>
              <w:t xml:space="preserve"> section 4.</w:t>
            </w:r>
          </w:p>
        </w:tc>
        <w:tc>
          <w:tcPr>
            <w:tcW w:w="1985" w:type="dxa"/>
          </w:tcPr>
          <w:p>
            <w:pPr>
              <w:pStyle w:val="yTable"/>
            </w:pPr>
            <w:r>
              <w:t>Doctor</w:t>
            </w:r>
          </w:p>
        </w:tc>
      </w:tr>
      <w:tr>
        <w:trPr>
          <w:cantSplit/>
        </w:trPr>
        <w:tc>
          <w:tcPr>
            <w:tcW w:w="567" w:type="dxa"/>
          </w:tcPr>
          <w:p>
            <w:pPr>
              <w:pStyle w:val="yTable"/>
            </w:pPr>
            <w:r>
              <w:t>15A.</w:t>
            </w:r>
          </w:p>
        </w:tc>
        <w:tc>
          <w:tcPr>
            <w:tcW w:w="4536" w:type="dxa"/>
          </w:tcPr>
          <w:p>
            <w:pPr>
              <w:pStyle w:val="yTable"/>
            </w:pPr>
            <w:r>
              <w:t xml:space="preserve">A person appointed under the </w:t>
            </w:r>
            <w:r>
              <w:rPr>
                <w:i/>
                <w:iCs/>
              </w:rPr>
              <w:t>Parliamentary and Electorate Staff (Employment) Act 1992</w:t>
            </w:r>
            <w:r>
              <w:t xml:space="preserve"> section 4(1)(b)(i) or (2)(b)(i)</w:t>
            </w:r>
          </w:p>
        </w:tc>
        <w:tc>
          <w:tcPr>
            <w:tcW w:w="1985" w:type="dxa"/>
          </w:tcPr>
          <w:p>
            <w:pPr>
              <w:pStyle w:val="yTable"/>
            </w:pPr>
            <w:r>
              <w:t>Electorate officer of a member of State Parliament</w:t>
            </w:r>
          </w:p>
        </w:tc>
      </w:tr>
      <w:tr>
        <w:trPr>
          <w:cantSplit/>
        </w:trPr>
        <w:tc>
          <w:tcPr>
            <w:tcW w:w="567" w:type="dxa"/>
          </w:tcPr>
          <w:p>
            <w:pPr>
              <w:pStyle w:val="yTable"/>
            </w:pPr>
            <w:r>
              <w:t>16.</w:t>
            </w:r>
          </w:p>
        </w:tc>
        <w:tc>
          <w:tcPr>
            <w:tcW w:w="4536" w:type="dxa"/>
          </w:tcPr>
          <w:p>
            <w:pPr>
              <w:pStyle w:val="yTable"/>
            </w:pPr>
            <w:r>
              <w:t>A member of the Institution of Engineers, Australia, other than at the grade of student.</w:t>
            </w:r>
          </w:p>
        </w:tc>
        <w:tc>
          <w:tcPr>
            <w:tcW w:w="1985" w:type="dxa"/>
          </w:tcPr>
          <w:p>
            <w:pPr>
              <w:pStyle w:val="yTable"/>
            </w:pPr>
            <w:r>
              <w:t>Engineer</w:t>
            </w:r>
          </w:p>
        </w:tc>
      </w:tr>
      <w:tr>
        <w:trPr>
          <w:cantSplit/>
        </w:trPr>
        <w:tc>
          <w:tcPr>
            <w:tcW w:w="567" w:type="dxa"/>
          </w:tcPr>
          <w:p>
            <w:pPr>
              <w:pStyle w:val="yTable"/>
            </w:pPr>
            <w:r>
              <w:t>17.</w:t>
            </w:r>
          </w:p>
        </w:tc>
        <w:tc>
          <w:tcPr>
            <w:tcW w:w="4536"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85" w:type="dxa"/>
          </w:tcPr>
          <w:p>
            <w:pPr>
              <w:pStyle w:val="yTable"/>
            </w:pPr>
            <w:r>
              <w:t>Industrial organisation secretary</w:t>
            </w:r>
          </w:p>
        </w:tc>
      </w:tr>
      <w:tr>
        <w:trPr>
          <w:cantSplit/>
        </w:trPr>
        <w:tc>
          <w:tcPr>
            <w:tcW w:w="567" w:type="dxa"/>
          </w:tcPr>
          <w:p>
            <w:pPr>
              <w:pStyle w:val="yTable"/>
            </w:pPr>
            <w:r>
              <w:t>18.</w:t>
            </w:r>
          </w:p>
        </w:tc>
        <w:tc>
          <w:tcPr>
            <w:tcW w:w="4536" w:type="dxa"/>
          </w:tcPr>
          <w:p>
            <w:pPr>
              <w:pStyle w:val="yTable"/>
            </w:pPr>
            <w:r>
              <w:t>A member of the National Insurance Brokers Association of Australia (ACN 006 093 849).</w:t>
            </w:r>
          </w:p>
        </w:tc>
        <w:tc>
          <w:tcPr>
            <w:tcW w:w="1985" w:type="dxa"/>
          </w:tcPr>
          <w:p>
            <w:pPr>
              <w:pStyle w:val="yTable"/>
            </w:pPr>
            <w:r>
              <w:t>Insurance broker</w:t>
            </w:r>
          </w:p>
        </w:tc>
      </w:tr>
      <w:tr>
        <w:trPr>
          <w:cantSplit/>
        </w:trPr>
        <w:tc>
          <w:tcPr>
            <w:tcW w:w="567" w:type="dxa"/>
          </w:tcPr>
          <w:p>
            <w:pPr>
              <w:pStyle w:val="yTable"/>
            </w:pPr>
            <w:r>
              <w:t>19.</w:t>
            </w:r>
          </w:p>
        </w:tc>
        <w:tc>
          <w:tcPr>
            <w:tcW w:w="4536" w:type="dxa"/>
          </w:tcPr>
          <w:p>
            <w:pPr>
              <w:pStyle w:val="yTable"/>
            </w:pPr>
            <w:r>
              <w:t>A Justice of the Peace.</w:t>
            </w:r>
          </w:p>
        </w:tc>
        <w:tc>
          <w:tcPr>
            <w:tcW w:w="1985" w:type="dxa"/>
          </w:tcPr>
          <w:p>
            <w:pPr>
              <w:pStyle w:val="yTable"/>
            </w:pPr>
            <w:r>
              <w:t>Justice of the Peace</w:t>
            </w:r>
          </w:p>
        </w:tc>
      </w:tr>
      <w:tr>
        <w:trPr>
          <w:cantSplit/>
        </w:trPr>
        <w:tc>
          <w:tcPr>
            <w:tcW w:w="567" w:type="dxa"/>
          </w:tcPr>
          <w:p>
            <w:pPr>
              <w:pStyle w:val="yTable"/>
            </w:pPr>
            <w:r>
              <w:t>19A.</w:t>
            </w:r>
          </w:p>
        </w:tc>
        <w:tc>
          <w:tcPr>
            <w:tcW w:w="4536"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85" w:type="dxa"/>
          </w:tcPr>
          <w:p>
            <w:pPr>
              <w:pStyle w:val="yTable"/>
            </w:pPr>
            <w:r>
              <w:t>Landgate officer</w:t>
            </w:r>
          </w:p>
        </w:tc>
      </w:tr>
      <w:tr>
        <w:trPr>
          <w:cantSplit/>
        </w:trPr>
        <w:tc>
          <w:tcPr>
            <w:tcW w:w="567" w:type="dxa"/>
          </w:tcPr>
          <w:p>
            <w:pPr>
              <w:pStyle w:val="yTable"/>
            </w:pPr>
            <w:r>
              <w:t>20.</w:t>
            </w:r>
          </w:p>
        </w:tc>
        <w:tc>
          <w:tcPr>
            <w:tcW w:w="4536" w:type="dxa"/>
          </w:tcPr>
          <w:p>
            <w:pPr>
              <w:pStyle w:val="yTable"/>
            </w:pPr>
            <w:r>
              <w:t xml:space="preserve">A legal practitioner within the meaning of the </w:t>
            </w:r>
            <w:r>
              <w:rPr>
                <w:i/>
              </w:rPr>
              <w:t>Legal Practice Act 2003</w:t>
            </w:r>
            <w:r>
              <w:t>.</w:t>
            </w:r>
          </w:p>
        </w:tc>
        <w:tc>
          <w:tcPr>
            <w:tcW w:w="1985" w:type="dxa"/>
          </w:tcPr>
          <w:p>
            <w:pPr>
              <w:pStyle w:val="yTable"/>
            </w:pPr>
            <w:r>
              <w:t>Lawyer</w:t>
            </w:r>
          </w:p>
        </w:tc>
      </w:tr>
      <w:tr>
        <w:trPr>
          <w:cantSplit/>
        </w:trPr>
        <w:tc>
          <w:tcPr>
            <w:tcW w:w="567" w:type="dxa"/>
          </w:tcPr>
          <w:p>
            <w:pPr>
              <w:pStyle w:val="yTable"/>
            </w:pPr>
            <w:r>
              <w:t>21.</w:t>
            </w:r>
          </w:p>
        </w:tc>
        <w:tc>
          <w:tcPr>
            <w:tcW w:w="4536" w:type="dxa"/>
          </w:tcPr>
          <w:p>
            <w:pPr>
              <w:pStyle w:val="yTable"/>
            </w:pPr>
            <w:r>
              <w:t>The chief executive officer or deputy chief executive officer of a local government.</w:t>
            </w:r>
          </w:p>
        </w:tc>
        <w:tc>
          <w:tcPr>
            <w:tcW w:w="1985" w:type="dxa"/>
          </w:tcPr>
          <w:p>
            <w:pPr>
              <w:pStyle w:val="yTable"/>
            </w:pPr>
            <w:r>
              <w:t>Local government CEO or deputy CEO</w:t>
            </w:r>
          </w:p>
        </w:tc>
      </w:tr>
      <w:tr>
        <w:trPr>
          <w:cantSplit/>
        </w:trPr>
        <w:tc>
          <w:tcPr>
            <w:tcW w:w="567" w:type="dxa"/>
          </w:tcPr>
          <w:p>
            <w:pPr>
              <w:pStyle w:val="yTable"/>
            </w:pPr>
            <w:r>
              <w:t>22.</w:t>
            </w:r>
          </w:p>
        </w:tc>
        <w:tc>
          <w:tcPr>
            <w:tcW w:w="4536" w:type="dxa"/>
          </w:tcPr>
          <w:p>
            <w:pPr>
              <w:pStyle w:val="yTable"/>
            </w:pPr>
            <w:r>
              <w:t xml:space="preserve">A member of the council of a local government within the meaning of the </w:t>
            </w:r>
            <w:r>
              <w:rPr>
                <w:i/>
              </w:rPr>
              <w:t>Local Government Act 1995</w:t>
            </w:r>
            <w:r>
              <w:t>.</w:t>
            </w:r>
          </w:p>
        </w:tc>
        <w:tc>
          <w:tcPr>
            <w:tcW w:w="1985" w:type="dxa"/>
          </w:tcPr>
          <w:p>
            <w:pPr>
              <w:pStyle w:val="yTable"/>
            </w:pPr>
            <w:r>
              <w:t>Local government councillor</w:t>
            </w:r>
          </w:p>
        </w:tc>
      </w:tr>
      <w:tr>
        <w:trPr>
          <w:cantSplit/>
        </w:trPr>
        <w:tc>
          <w:tcPr>
            <w:tcW w:w="567" w:type="dxa"/>
          </w:tcPr>
          <w:p>
            <w:pPr>
              <w:pStyle w:val="yTable"/>
            </w:pPr>
            <w:r>
              <w:t>23.</w:t>
            </w:r>
          </w:p>
        </w:tc>
        <w:tc>
          <w:tcPr>
            <w:tcW w:w="4536" w:type="dxa"/>
          </w:tcPr>
          <w:p>
            <w:pPr>
              <w:pStyle w:val="yTable"/>
            </w:pPr>
            <w:r>
              <w:t>A member of the Australasian Institute of Chartered Loss Adjusters (ACN 074 804 167).</w:t>
            </w:r>
          </w:p>
        </w:tc>
        <w:tc>
          <w:tcPr>
            <w:tcW w:w="1985" w:type="dxa"/>
          </w:tcPr>
          <w:p>
            <w:pPr>
              <w:pStyle w:val="yTable"/>
            </w:pPr>
            <w:r>
              <w:t>Loss adjuster</w:t>
            </w:r>
          </w:p>
        </w:tc>
      </w:tr>
      <w:tr>
        <w:trPr>
          <w:cantSplit/>
        </w:trPr>
        <w:tc>
          <w:tcPr>
            <w:tcW w:w="567" w:type="dxa"/>
          </w:tcPr>
          <w:p>
            <w:pPr>
              <w:pStyle w:val="yTable"/>
            </w:pPr>
            <w:r>
              <w:t>24.</w:t>
            </w:r>
          </w:p>
        </w:tc>
        <w:tc>
          <w:tcPr>
            <w:tcW w:w="4536" w:type="dxa"/>
          </w:tcPr>
          <w:p>
            <w:pPr>
              <w:pStyle w:val="yTable"/>
            </w:pPr>
            <w:r>
              <w:t xml:space="preserve">An authorised celebrant within the meaning of the </w:t>
            </w:r>
            <w:r>
              <w:rPr>
                <w:i/>
              </w:rPr>
              <w:t>Marriage Act 1961</w:t>
            </w:r>
            <w:r>
              <w:t xml:space="preserve"> of the Commonwealth.</w:t>
            </w:r>
          </w:p>
        </w:tc>
        <w:tc>
          <w:tcPr>
            <w:tcW w:w="1985" w:type="dxa"/>
          </w:tcPr>
          <w:p>
            <w:pPr>
              <w:pStyle w:val="yTable"/>
            </w:pPr>
            <w:r>
              <w:t>Marriage celebrant</w:t>
            </w:r>
          </w:p>
        </w:tc>
      </w:tr>
      <w:tr>
        <w:trPr>
          <w:cantSplit/>
        </w:trPr>
        <w:tc>
          <w:tcPr>
            <w:tcW w:w="567" w:type="dxa"/>
          </w:tcPr>
          <w:p>
            <w:pPr>
              <w:pStyle w:val="yTable"/>
            </w:pPr>
            <w:r>
              <w:t>25.</w:t>
            </w:r>
          </w:p>
        </w:tc>
        <w:tc>
          <w:tcPr>
            <w:tcW w:w="4536" w:type="dxa"/>
          </w:tcPr>
          <w:p>
            <w:pPr>
              <w:pStyle w:val="yTable"/>
            </w:pPr>
            <w:r>
              <w:t>A member of either House of Parliament of the State or of the Commonwealth.</w:t>
            </w:r>
          </w:p>
        </w:tc>
        <w:tc>
          <w:tcPr>
            <w:tcW w:w="1985" w:type="dxa"/>
          </w:tcPr>
          <w:p>
            <w:pPr>
              <w:pStyle w:val="yTable"/>
            </w:pPr>
            <w:r>
              <w:t>Member of Parliament</w:t>
            </w:r>
          </w:p>
        </w:tc>
      </w:tr>
      <w:tr>
        <w:trPr>
          <w:cantSplit/>
        </w:trPr>
        <w:tc>
          <w:tcPr>
            <w:tcW w:w="567" w:type="dxa"/>
          </w:tcPr>
          <w:p>
            <w:pPr>
              <w:pStyle w:val="yTable"/>
            </w:pPr>
            <w:r>
              <w:t>26.</w:t>
            </w:r>
          </w:p>
        </w:tc>
        <w:tc>
          <w:tcPr>
            <w:tcW w:w="4536" w:type="dxa"/>
          </w:tcPr>
          <w:p>
            <w:pPr>
              <w:pStyle w:val="yTable"/>
            </w:pPr>
            <w:r>
              <w:t xml:space="preserve">A minister of religion registered under Part IV Division 1 of the </w:t>
            </w:r>
            <w:r>
              <w:rPr>
                <w:i/>
              </w:rPr>
              <w:t>Marriage Act 1961</w:t>
            </w:r>
            <w:r>
              <w:t xml:space="preserve"> of the Commonwealth.</w:t>
            </w:r>
          </w:p>
        </w:tc>
        <w:tc>
          <w:tcPr>
            <w:tcW w:w="1985" w:type="dxa"/>
          </w:tcPr>
          <w:p>
            <w:pPr>
              <w:pStyle w:val="yTable"/>
            </w:pPr>
            <w:r>
              <w:t>Minister of religion</w:t>
            </w:r>
          </w:p>
        </w:tc>
      </w:tr>
      <w:tr>
        <w:trPr>
          <w:cantSplit/>
        </w:trPr>
        <w:tc>
          <w:tcPr>
            <w:tcW w:w="567" w:type="dxa"/>
          </w:tcPr>
          <w:p>
            <w:pPr>
              <w:pStyle w:val="yTable"/>
            </w:pPr>
            <w:r>
              <w:t>27.</w:t>
            </w:r>
          </w:p>
        </w:tc>
        <w:tc>
          <w:tcPr>
            <w:tcW w:w="4536" w:type="dxa"/>
          </w:tcPr>
          <w:p>
            <w:pPr>
              <w:pStyle w:val="yTable"/>
            </w:pPr>
            <w:r>
              <w:t xml:space="preserve">A nurse within the meaning of the </w:t>
            </w:r>
            <w:r>
              <w:rPr>
                <w:i/>
              </w:rPr>
              <w:t>Nurses Act 1992.</w:t>
            </w:r>
          </w:p>
        </w:tc>
        <w:tc>
          <w:tcPr>
            <w:tcW w:w="1985" w:type="dxa"/>
          </w:tcPr>
          <w:p>
            <w:pPr>
              <w:pStyle w:val="yTable"/>
            </w:pPr>
            <w:r>
              <w:t>Nurse</w:t>
            </w:r>
          </w:p>
        </w:tc>
      </w:tr>
      <w:tr>
        <w:trPr>
          <w:cantSplit/>
        </w:trPr>
        <w:tc>
          <w:tcPr>
            <w:tcW w:w="567" w:type="dxa"/>
          </w:tcPr>
          <w:p>
            <w:pPr>
              <w:pStyle w:val="yTable"/>
            </w:pPr>
            <w:r>
              <w:t>28.</w:t>
            </w:r>
          </w:p>
        </w:tc>
        <w:tc>
          <w:tcPr>
            <w:tcW w:w="4536" w:type="dxa"/>
          </w:tcPr>
          <w:p>
            <w:pPr>
              <w:pStyle w:val="yTable"/>
            </w:pPr>
            <w:r>
              <w:t xml:space="preserve">A registered optometrist within the meaning of the </w:t>
            </w:r>
            <w:r>
              <w:rPr>
                <w:i/>
              </w:rPr>
              <w:t>Optometrists Act 1940</w:t>
            </w:r>
            <w:r>
              <w:t>.</w:t>
            </w:r>
          </w:p>
        </w:tc>
        <w:tc>
          <w:tcPr>
            <w:tcW w:w="1985" w:type="dxa"/>
          </w:tcPr>
          <w:p>
            <w:pPr>
              <w:pStyle w:val="yTable"/>
            </w:pPr>
            <w:r>
              <w:t>Optometrist</w:t>
            </w:r>
          </w:p>
        </w:tc>
      </w:tr>
      <w:tr>
        <w:trPr>
          <w:cantSplit/>
        </w:trPr>
        <w:tc>
          <w:tcPr>
            <w:tcW w:w="567" w:type="dxa"/>
          </w:tcPr>
          <w:p>
            <w:pPr>
              <w:pStyle w:val="yTable"/>
            </w:pPr>
            <w:r>
              <w:t>29.</w:t>
            </w:r>
          </w:p>
        </w:tc>
        <w:tc>
          <w:tcPr>
            <w:tcW w:w="4536" w:type="dxa"/>
          </w:tcPr>
          <w:p>
            <w:pPr>
              <w:pStyle w:val="yTable"/>
            </w:pPr>
            <w:r>
              <w:t xml:space="preserve">A registered patent attorney under the </w:t>
            </w:r>
            <w:r>
              <w:rPr>
                <w:i/>
              </w:rPr>
              <w:t>Patents Act 1990</w:t>
            </w:r>
            <w:r>
              <w:t xml:space="preserve"> of the Commonwealth.</w:t>
            </w:r>
          </w:p>
        </w:tc>
        <w:tc>
          <w:tcPr>
            <w:tcW w:w="1985" w:type="dxa"/>
          </w:tcPr>
          <w:p>
            <w:pPr>
              <w:pStyle w:val="yTable"/>
            </w:pPr>
            <w:r>
              <w:t>Patent attorney</w:t>
            </w:r>
          </w:p>
        </w:tc>
      </w:tr>
      <w:tr>
        <w:trPr>
          <w:cantSplit/>
        </w:trPr>
        <w:tc>
          <w:tcPr>
            <w:tcW w:w="567" w:type="dxa"/>
          </w:tcPr>
          <w:p>
            <w:pPr>
              <w:pStyle w:val="yTable"/>
            </w:pPr>
            <w:r>
              <w:t>30.</w:t>
            </w:r>
          </w:p>
        </w:tc>
        <w:tc>
          <w:tcPr>
            <w:tcW w:w="4536" w:type="dxa"/>
          </w:tcPr>
          <w:p>
            <w:pPr>
              <w:pStyle w:val="yTable"/>
            </w:pPr>
            <w:r>
              <w:t xml:space="preserve">A physiotherapist within the meaning of the </w:t>
            </w:r>
            <w:r>
              <w:rPr>
                <w:i/>
              </w:rPr>
              <w:t>Physiotherapists Act 1950.</w:t>
            </w:r>
          </w:p>
        </w:tc>
        <w:tc>
          <w:tcPr>
            <w:tcW w:w="1985" w:type="dxa"/>
          </w:tcPr>
          <w:p>
            <w:pPr>
              <w:pStyle w:val="yTable"/>
            </w:pPr>
            <w:r>
              <w:t>Physiotherapist</w:t>
            </w:r>
          </w:p>
        </w:tc>
      </w:tr>
      <w:tr>
        <w:trPr>
          <w:cantSplit/>
        </w:trPr>
        <w:tc>
          <w:tcPr>
            <w:tcW w:w="567" w:type="dxa"/>
          </w:tcPr>
          <w:p>
            <w:pPr>
              <w:pStyle w:val="yTable"/>
            </w:pPr>
            <w:r>
              <w:t>31.</w:t>
            </w:r>
          </w:p>
        </w:tc>
        <w:tc>
          <w:tcPr>
            <w:tcW w:w="4536" w:type="dxa"/>
          </w:tcPr>
          <w:p>
            <w:pPr>
              <w:pStyle w:val="yTable"/>
            </w:pPr>
            <w:r>
              <w:t xml:space="preserve">A podiatrist within the meaning of the </w:t>
            </w:r>
            <w:r>
              <w:rPr>
                <w:i/>
              </w:rPr>
              <w:t>Podiatrists Registration Act 1984.</w:t>
            </w:r>
          </w:p>
        </w:tc>
        <w:tc>
          <w:tcPr>
            <w:tcW w:w="1985" w:type="dxa"/>
          </w:tcPr>
          <w:p>
            <w:pPr>
              <w:pStyle w:val="yTable"/>
            </w:pPr>
            <w:r>
              <w:t>Podiatrist</w:t>
            </w:r>
          </w:p>
        </w:tc>
      </w:tr>
      <w:tr>
        <w:trPr>
          <w:cantSplit/>
        </w:trPr>
        <w:tc>
          <w:tcPr>
            <w:tcW w:w="567" w:type="dxa"/>
          </w:tcPr>
          <w:p>
            <w:pPr>
              <w:pStyle w:val="yTable"/>
            </w:pPr>
            <w:r>
              <w:t>32.</w:t>
            </w:r>
          </w:p>
        </w:tc>
        <w:tc>
          <w:tcPr>
            <w:tcW w:w="4536" w:type="dxa"/>
          </w:tcPr>
          <w:p>
            <w:pPr>
              <w:pStyle w:val="yTable"/>
            </w:pPr>
            <w:r>
              <w:t>A police officer.</w:t>
            </w:r>
          </w:p>
        </w:tc>
        <w:tc>
          <w:tcPr>
            <w:tcW w:w="1985" w:type="dxa"/>
          </w:tcPr>
          <w:p>
            <w:pPr>
              <w:pStyle w:val="yTable"/>
            </w:pPr>
            <w:r>
              <w:t>Police officer</w:t>
            </w:r>
          </w:p>
        </w:tc>
      </w:tr>
      <w:tr>
        <w:trPr>
          <w:cantSplit/>
        </w:trPr>
        <w:tc>
          <w:tcPr>
            <w:tcW w:w="567" w:type="dxa"/>
          </w:tcPr>
          <w:p>
            <w:pPr>
              <w:pStyle w:val="yTable"/>
            </w:pPr>
            <w:r>
              <w:t>33.</w:t>
            </w:r>
          </w:p>
        </w:tc>
        <w:tc>
          <w:tcPr>
            <w:tcW w:w="4536"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pPr>
              <w:pStyle w:val="yTable"/>
            </w:pPr>
            <w:r>
              <w:t>Post office manager</w:t>
            </w:r>
          </w:p>
        </w:tc>
      </w:tr>
      <w:tr>
        <w:trPr>
          <w:cantSplit/>
        </w:trPr>
        <w:tc>
          <w:tcPr>
            <w:tcW w:w="567" w:type="dxa"/>
          </w:tcPr>
          <w:p>
            <w:pPr>
              <w:pStyle w:val="yTable"/>
            </w:pPr>
            <w:r>
              <w:t>34.</w:t>
            </w:r>
          </w:p>
        </w:tc>
        <w:tc>
          <w:tcPr>
            <w:tcW w:w="4536" w:type="dxa"/>
          </w:tcPr>
          <w:p>
            <w:pPr>
              <w:pStyle w:val="yTable"/>
            </w:pPr>
            <w:r>
              <w:t xml:space="preserve">A registered psychologist within the meaning of the </w:t>
            </w:r>
            <w:r>
              <w:rPr>
                <w:i/>
              </w:rPr>
              <w:t>Psychologists Registration Act 1976.</w:t>
            </w:r>
          </w:p>
        </w:tc>
        <w:tc>
          <w:tcPr>
            <w:tcW w:w="1985" w:type="dxa"/>
          </w:tcPr>
          <w:p>
            <w:pPr>
              <w:pStyle w:val="yTable"/>
            </w:pPr>
            <w:r>
              <w:t>Psychologist</w:t>
            </w:r>
          </w:p>
        </w:tc>
      </w:tr>
      <w:tr>
        <w:trPr>
          <w:cantSplit/>
        </w:trPr>
        <w:tc>
          <w:tcPr>
            <w:tcW w:w="567" w:type="dxa"/>
          </w:tcPr>
          <w:p>
            <w:pPr>
              <w:pStyle w:val="yTable"/>
            </w:pPr>
            <w:r>
              <w:t>35.</w:t>
            </w:r>
          </w:p>
        </w:tc>
        <w:tc>
          <w:tcPr>
            <w:tcW w:w="4536" w:type="dxa"/>
          </w:tcPr>
          <w:p>
            <w:pPr>
              <w:pStyle w:val="yTable"/>
            </w:pPr>
            <w:r>
              <w:t xml:space="preserve">A public notary within the meaning of the </w:t>
            </w:r>
            <w:r>
              <w:rPr>
                <w:i/>
              </w:rPr>
              <w:t>Public Notaries Act 1979</w:t>
            </w:r>
            <w:r>
              <w:t>.</w:t>
            </w:r>
          </w:p>
        </w:tc>
        <w:tc>
          <w:tcPr>
            <w:tcW w:w="1985" w:type="dxa"/>
          </w:tcPr>
          <w:p>
            <w:pPr>
              <w:pStyle w:val="yTable"/>
            </w:pPr>
            <w:r>
              <w:t>Public notary</w:t>
            </w:r>
          </w:p>
        </w:tc>
      </w:tr>
      <w:tr>
        <w:trPr>
          <w:cantSplit/>
        </w:trPr>
        <w:tc>
          <w:tcPr>
            <w:tcW w:w="567" w:type="dxa"/>
          </w:tcPr>
          <w:p>
            <w:pPr>
              <w:pStyle w:val="yTable"/>
            </w:pPr>
            <w:r>
              <w:t>36.</w:t>
            </w:r>
          </w:p>
        </w:tc>
        <w:tc>
          <w:tcPr>
            <w:tcW w:w="4536" w:type="dxa"/>
          </w:tcPr>
          <w:p>
            <w:pPr>
              <w:pStyle w:val="yTable"/>
            </w:pPr>
            <w:r>
              <w:t>An officer of the Commonwealth public service.</w:t>
            </w:r>
          </w:p>
        </w:tc>
        <w:tc>
          <w:tcPr>
            <w:tcW w:w="1985" w:type="dxa"/>
          </w:tcPr>
          <w:p>
            <w:pPr>
              <w:pStyle w:val="yTable"/>
            </w:pPr>
            <w:r>
              <w:t>Public servant (Commonwealth)</w:t>
            </w:r>
          </w:p>
        </w:tc>
      </w:tr>
      <w:tr>
        <w:trPr>
          <w:cantSplit/>
        </w:trPr>
        <w:tc>
          <w:tcPr>
            <w:tcW w:w="567" w:type="dxa"/>
          </w:tcPr>
          <w:p>
            <w:pPr>
              <w:pStyle w:val="yTable"/>
            </w:pPr>
            <w:r>
              <w:t>37.</w:t>
            </w:r>
          </w:p>
        </w:tc>
        <w:tc>
          <w:tcPr>
            <w:tcW w:w="4536" w:type="dxa"/>
          </w:tcPr>
          <w:p>
            <w:pPr>
              <w:pStyle w:val="yTable"/>
            </w:pPr>
            <w:r>
              <w:t xml:space="preserve">A person who is employed under the </w:t>
            </w:r>
            <w:r>
              <w:rPr>
                <w:i/>
              </w:rPr>
              <w:t xml:space="preserve">Public Sector Management Act 1994 </w:t>
            </w:r>
            <w:r>
              <w:t>Part 3.</w:t>
            </w:r>
          </w:p>
        </w:tc>
        <w:tc>
          <w:tcPr>
            <w:tcW w:w="1985" w:type="dxa"/>
          </w:tcPr>
          <w:p>
            <w:pPr>
              <w:pStyle w:val="yTable"/>
            </w:pPr>
            <w:r>
              <w:t>Public servant (State)</w:t>
            </w:r>
          </w:p>
        </w:tc>
      </w:tr>
      <w:tr>
        <w:trPr>
          <w:cantSplit/>
        </w:trPr>
        <w:tc>
          <w:tcPr>
            <w:tcW w:w="567" w:type="dxa"/>
          </w:tcPr>
          <w:p>
            <w:pPr>
              <w:pStyle w:val="yTable"/>
            </w:pPr>
            <w:r>
              <w:t>38.</w:t>
            </w:r>
          </w:p>
        </w:tc>
        <w:tc>
          <w:tcPr>
            <w:tcW w:w="4536" w:type="dxa"/>
          </w:tcPr>
          <w:p>
            <w:pPr>
              <w:pStyle w:val="yTable"/>
            </w:pPr>
            <w:r>
              <w:t xml:space="preserve">The holder of a licence under the </w:t>
            </w:r>
            <w:r>
              <w:rPr>
                <w:i/>
              </w:rPr>
              <w:t>Real Estate and Business Agents Act 1978</w:t>
            </w:r>
            <w:r>
              <w:t>.</w:t>
            </w:r>
          </w:p>
        </w:tc>
        <w:tc>
          <w:tcPr>
            <w:tcW w:w="1985" w:type="dxa"/>
          </w:tcPr>
          <w:p>
            <w:pPr>
              <w:pStyle w:val="yTable"/>
            </w:pPr>
            <w:r>
              <w:t>Real estate agent</w:t>
            </w:r>
          </w:p>
        </w:tc>
      </w:tr>
      <w:tr>
        <w:trPr>
          <w:cantSplit/>
        </w:trPr>
        <w:tc>
          <w:tcPr>
            <w:tcW w:w="567" w:type="dxa"/>
          </w:tcPr>
          <w:p>
            <w:pPr>
              <w:pStyle w:val="yTable"/>
            </w:pPr>
            <w:r>
              <w:t>39.</w:t>
            </w:r>
          </w:p>
        </w:tc>
        <w:tc>
          <w:tcPr>
            <w:tcW w:w="4536" w:type="dxa"/>
          </w:tcPr>
          <w:p>
            <w:pPr>
              <w:pStyle w:val="yTable"/>
            </w:pPr>
            <w:r>
              <w:t xml:space="preserve">The holder of a licence under the </w:t>
            </w:r>
            <w:r>
              <w:rPr>
                <w:i/>
              </w:rPr>
              <w:t>Settlement Agents Act 1981</w:t>
            </w:r>
            <w:r>
              <w:t>.</w:t>
            </w:r>
          </w:p>
        </w:tc>
        <w:tc>
          <w:tcPr>
            <w:tcW w:w="1985" w:type="dxa"/>
          </w:tcPr>
          <w:p>
            <w:pPr>
              <w:pStyle w:val="yTable"/>
            </w:pPr>
            <w:r>
              <w:t>Settlement agent</w:t>
            </w:r>
          </w:p>
        </w:tc>
      </w:tr>
      <w:tr>
        <w:trPr>
          <w:cantSplit/>
        </w:trPr>
        <w:tc>
          <w:tcPr>
            <w:tcW w:w="567" w:type="dxa"/>
          </w:tcPr>
          <w:p>
            <w:pPr>
              <w:pStyle w:val="yTable"/>
            </w:pPr>
            <w:r>
              <w:t>40.</w:t>
            </w:r>
          </w:p>
        </w:tc>
        <w:tc>
          <w:tcPr>
            <w:tcW w:w="4536" w:type="dxa"/>
          </w:tcPr>
          <w:p>
            <w:pPr>
              <w:pStyle w:val="yTable"/>
            </w:pPr>
            <w:r>
              <w:t>The Sheriff of Western Australia and any deputy sheriff appointed by the Sheriff of Western Australia.</w:t>
            </w:r>
          </w:p>
        </w:tc>
        <w:tc>
          <w:tcPr>
            <w:tcW w:w="1985" w:type="dxa"/>
          </w:tcPr>
          <w:p>
            <w:pPr>
              <w:pStyle w:val="yTable"/>
            </w:pPr>
            <w:r>
              <w:t>Sheriff or deputy sheriff</w:t>
            </w:r>
          </w:p>
        </w:tc>
      </w:tr>
      <w:tr>
        <w:trPr>
          <w:cantSplit/>
        </w:trPr>
        <w:tc>
          <w:tcPr>
            <w:tcW w:w="567" w:type="dxa"/>
          </w:tcPr>
          <w:p>
            <w:pPr>
              <w:pStyle w:val="yTable"/>
            </w:pPr>
            <w:r>
              <w:t>41.</w:t>
            </w:r>
          </w:p>
        </w:tc>
        <w:tc>
          <w:tcPr>
            <w:tcW w:w="4536" w:type="dxa"/>
          </w:tcPr>
          <w:p>
            <w:pPr>
              <w:pStyle w:val="yTable"/>
            </w:pPr>
            <w:r>
              <w:t xml:space="preserve">A licensed surveyor within the meaning of the </w:t>
            </w:r>
            <w:r>
              <w:rPr>
                <w:i/>
              </w:rPr>
              <w:t>Licensed Surveyors Act 1909.</w:t>
            </w:r>
          </w:p>
        </w:tc>
        <w:tc>
          <w:tcPr>
            <w:tcW w:w="1985" w:type="dxa"/>
          </w:tcPr>
          <w:p>
            <w:pPr>
              <w:pStyle w:val="yTable"/>
            </w:pPr>
            <w:r>
              <w:t>Surveyor</w:t>
            </w:r>
          </w:p>
        </w:tc>
      </w:tr>
      <w:tr>
        <w:trPr>
          <w:cantSplit/>
        </w:trPr>
        <w:tc>
          <w:tcPr>
            <w:tcW w:w="567" w:type="dxa"/>
          </w:tcPr>
          <w:p>
            <w:pPr>
              <w:pStyle w:val="yTable"/>
            </w:pPr>
            <w:r>
              <w:t>42.</w:t>
            </w:r>
          </w:p>
        </w:tc>
        <w:tc>
          <w:tcPr>
            <w:tcW w:w="4536"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pPr>
              <w:pStyle w:val="yTable"/>
            </w:pPr>
            <w:r>
              <w:t>Teacher</w:t>
            </w:r>
          </w:p>
        </w:tc>
      </w:tr>
      <w:tr>
        <w:trPr>
          <w:cantSplit/>
        </w:trPr>
        <w:tc>
          <w:tcPr>
            <w:tcW w:w="567" w:type="dxa"/>
          </w:tcPr>
          <w:p>
            <w:pPr>
              <w:pStyle w:val="yTable"/>
            </w:pPr>
            <w:r>
              <w:t>43.</w:t>
            </w:r>
          </w:p>
        </w:tc>
        <w:tc>
          <w:tcPr>
            <w:tcW w:w="4536" w:type="dxa"/>
          </w:tcPr>
          <w:p>
            <w:pPr>
              <w:pStyle w:val="yTable"/>
            </w:pPr>
            <w:r>
              <w:t>A member, registrar or clerk, or the chief executive officer, of any tribunal of the State or the Commonwealth.</w:t>
            </w:r>
          </w:p>
        </w:tc>
        <w:tc>
          <w:tcPr>
            <w:tcW w:w="1985" w:type="dxa"/>
          </w:tcPr>
          <w:p>
            <w:pPr>
              <w:pStyle w:val="yTable"/>
            </w:pPr>
            <w:r>
              <w:t>Tribunal officer</w:t>
            </w:r>
          </w:p>
        </w:tc>
      </w:tr>
      <w:tr>
        <w:trPr>
          <w:cantSplit/>
        </w:trPr>
        <w:tc>
          <w:tcPr>
            <w:tcW w:w="567" w:type="dxa"/>
            <w:tcBorders>
              <w:bottom w:val="single" w:sz="4" w:space="0" w:color="auto"/>
            </w:tcBorders>
          </w:tcPr>
          <w:p>
            <w:pPr>
              <w:pStyle w:val="yTable"/>
            </w:pPr>
            <w:r>
              <w:t>44.</w:t>
            </w:r>
          </w:p>
        </w:tc>
        <w:tc>
          <w:tcPr>
            <w:tcW w:w="4536" w:type="dxa"/>
            <w:tcBorders>
              <w:bottom w:val="single" w:sz="4" w:space="0" w:color="auto"/>
            </w:tcBorders>
          </w:tcPr>
          <w:p>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pPr>
              <w:pStyle w:val="yTable"/>
            </w:pPr>
            <w:r>
              <w:t>Veterinary surgeon</w:t>
            </w:r>
          </w:p>
        </w:tc>
      </w:tr>
    </w:tbl>
    <w:p>
      <w:pPr>
        <w:pStyle w:val="yFootnotesection"/>
      </w:pPr>
      <w:bookmarkStart w:id="234" w:name="_Toc119746908"/>
      <w:bookmarkStart w:id="235" w:name="_Toc121296711"/>
      <w:r>
        <w:tab/>
        <w:t>[Schedule 2 amended in Gazette 9 Jun 2006 p. 2030; 21 Dec 2007 p. 6328; amended by No. 22 of 2008 s. 162.]</w:t>
      </w:r>
    </w:p>
    <w:p>
      <w:pPr>
        <w:tabs>
          <w:tab w:val="left" w:pos="337"/>
        </w:tabs>
        <w:ind w:left="337" w:hanging="337"/>
        <w:sectPr>
          <w:headerReference w:type="even" r:id="rId25"/>
          <w:headerReference w:type="default" r:id="rId26"/>
          <w:headerReference w:type="first" r:id="rId27"/>
          <w:endnotePr>
            <w:numFmt w:val="decimal"/>
          </w:endnotePr>
          <w:pgSz w:w="11906" w:h="16838" w:code="9"/>
          <w:pgMar w:top="2376" w:right="2404" w:bottom="3544" w:left="2404" w:header="709" w:footer="3380" w:gutter="0"/>
          <w:cols w:space="720"/>
          <w:noEndnote/>
          <w:docGrid w:linePitch="326"/>
        </w:sectPr>
      </w:pPr>
    </w:p>
    <w:p>
      <w:pPr>
        <w:pStyle w:val="nHeading2"/>
      </w:pPr>
      <w:bookmarkStart w:id="236" w:name="_Toc121548868"/>
      <w:bookmarkStart w:id="237" w:name="_Toc123018392"/>
      <w:bookmarkStart w:id="238" w:name="_Toc123023402"/>
      <w:bookmarkStart w:id="239" w:name="_Toc123024525"/>
      <w:bookmarkStart w:id="240" w:name="_Toc123026809"/>
      <w:bookmarkStart w:id="241" w:name="_Toc137531471"/>
      <w:bookmarkStart w:id="242" w:name="_Toc185844261"/>
      <w:bookmarkStart w:id="243" w:name="_Toc185926616"/>
      <w:bookmarkStart w:id="244" w:name="_Toc194915619"/>
      <w:bookmarkStart w:id="245" w:name="_Toc199820749"/>
      <w:bookmarkStart w:id="246" w:name="_Toc210115960"/>
      <w:bookmarkStart w:id="247" w:name="_Toc215545013"/>
      <w:r>
        <w:t>Notes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is a compilation of the </w:t>
      </w:r>
      <w:r>
        <w:rPr>
          <w:i/>
          <w:snapToGrid w:val="0"/>
        </w:rPr>
        <w:t>Oaths, Affidavits and Statutory Declarations Act 2005</w:t>
      </w:r>
      <w:r>
        <w:rPr>
          <w:iCs/>
          <w:snapToGrid w:val="0"/>
        </w:rPr>
        <w:t xml:space="preserve"> </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48" w:name="_Toc215545014"/>
      <w:r>
        <w:rPr>
          <w:snapToGrid w:val="0"/>
        </w:rPr>
        <w:t>Compilation table</w:t>
      </w:r>
      <w:bookmarkEnd w:id="248"/>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gridSpan w:val="2"/>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gridSpan w:val="2"/>
            <w:tcBorders>
              <w:top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4536" w:type="dxa"/>
            <w:gridSpan w:val="5"/>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gridSpan w:val="2"/>
          </w:tcPr>
          <w:p>
            <w:pPr>
              <w:pStyle w:val="nTable"/>
              <w:spacing w:after="40"/>
              <w:rPr>
                <w:sz w:val="19"/>
              </w:rPr>
            </w:pPr>
            <w:r>
              <w:rPr>
                <w:sz w:val="19"/>
              </w:rPr>
              <w:t>9 Jun 2006</w:t>
            </w:r>
          </w:p>
        </w:tc>
      </w:tr>
      <w:tr>
        <w:trPr>
          <w:cantSplit/>
        </w:trPr>
        <w:tc>
          <w:tcPr>
            <w:tcW w:w="4536" w:type="dxa"/>
            <w:gridSpan w:val="5"/>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2" w:type="dxa"/>
            <w:gridSpan w:val="2"/>
          </w:tcPr>
          <w:p>
            <w:pPr>
              <w:pStyle w:val="nTable"/>
              <w:spacing w:before="0" w:after="40"/>
              <w:rPr>
                <w:sz w:val="19"/>
              </w:rPr>
            </w:pPr>
            <w:r>
              <w:rPr>
                <w:sz w:val="19"/>
              </w:rPr>
              <w:t>r. 1 and 2: 21 Dec 2007 (see r. 2(a));</w:t>
            </w:r>
            <w:r>
              <w:rPr>
                <w:sz w:val="19"/>
              </w:rPr>
              <w:br/>
              <w:t>Regulations other than r. 1 and 2: 22 Dec 2007 (see r. 2(b))</w:t>
            </w:r>
          </w:p>
        </w:tc>
      </w:tr>
      <w:tr>
        <w:tc>
          <w:tcPr>
            <w:tcW w:w="2268" w:type="dxa"/>
            <w:gridSpan w:val="2"/>
          </w:tcPr>
          <w:p>
            <w:pPr>
              <w:pStyle w:val="nTable"/>
              <w:spacing w:after="40"/>
              <w:rPr>
                <w:iCs/>
                <w:sz w:val="19"/>
              </w:rPr>
            </w:pPr>
            <w:r>
              <w:rPr>
                <w:i/>
                <w:iCs/>
                <w:sz w:val="19"/>
              </w:rPr>
              <w:t>Acts Amendment (Justice) Act 2008</w:t>
            </w:r>
            <w:r>
              <w:rPr>
                <w:sz w:val="19"/>
              </w:rPr>
              <w:t xml:space="preserve"> Pt. 17</w:t>
            </w:r>
          </w:p>
        </w:tc>
        <w:tc>
          <w:tcPr>
            <w:tcW w:w="1134" w:type="dxa"/>
            <w:gridSpan w:val="2"/>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9" w:name="_Toc131329150"/>
      <w:bookmarkStart w:id="250" w:name="_Toc215545015"/>
      <w:r>
        <w:rPr>
          <w:snapToGrid w:val="0"/>
        </w:rPr>
        <w:t>Provisions that have not come into operation</w:t>
      </w:r>
      <w:bookmarkEnd w:id="249"/>
      <w:bookmarkEnd w:id="250"/>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i/>
                <w:iCs/>
                <w:sz w:val="19"/>
              </w:rPr>
            </w:pPr>
            <w:r>
              <w:rPr>
                <w:i/>
                <w:iCs/>
                <w:snapToGrid w:val="0"/>
                <w:sz w:val="19"/>
                <w:lang w:val="en-US"/>
              </w:rPr>
              <w:t>Legal Profession Act 2008</w:t>
            </w:r>
            <w:r>
              <w:rPr>
                <w:snapToGrid w:val="0"/>
                <w:sz w:val="19"/>
                <w:lang w:val="en-US"/>
              </w:rPr>
              <w:t xml:space="preserve"> s. 684 </w:t>
            </w:r>
            <w:r>
              <w:rPr>
                <w:snapToGrid w:val="0"/>
                <w:sz w:val="19"/>
                <w:vertAlign w:val="superscript"/>
                <w:lang w:val="en-US"/>
              </w:rPr>
              <w:t>3</w:t>
            </w:r>
          </w:p>
        </w:tc>
        <w:tc>
          <w:tcPr>
            <w:tcW w:w="1135" w:type="dxa"/>
            <w:tcBorders>
              <w:top w:val="single" w:sz="8" w:space="0" w:color="auto"/>
              <w:bottom w:val="single" w:sz="4" w:space="0" w:color="auto"/>
            </w:tcBorders>
          </w:tcPr>
          <w:p>
            <w:pPr>
              <w:pStyle w:val="nTable"/>
              <w:spacing w:after="40"/>
              <w:rPr>
                <w:sz w:val="19"/>
              </w:rPr>
            </w:pPr>
            <w:r>
              <w:rPr>
                <w:snapToGrid w:val="0"/>
                <w:sz w:val="19"/>
                <w:lang w:val="en-US"/>
              </w:rPr>
              <w:t>21 of 2008</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27 May 2008</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rPr>
          <w:snapToGrid w:val="0"/>
        </w:rPr>
      </w:pPr>
      <w:r>
        <w:rPr>
          <w:snapToGrid w:val="0"/>
          <w:vertAlign w:val="superscript"/>
        </w:rPr>
        <w:t>2</w:t>
      </w:r>
      <w:r>
        <w:rPr>
          <w:snapToGrid w:val="0"/>
          <w:vertAlign w:val="superscript"/>
        </w:rPr>
        <w:tab/>
      </w:r>
      <w:r>
        <w:rPr>
          <w:snapToGrid w:val="0"/>
        </w:rPr>
        <w:t>Footnote no longer applicable.</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684</w:t>
      </w:r>
      <w:r>
        <w:rPr>
          <w:snapToGrid w:val="0"/>
        </w:rPr>
        <w:t xml:space="preserve"> had not come into operation.  It reads as follows:</w:t>
      </w:r>
    </w:p>
    <w:p>
      <w:pPr>
        <w:pStyle w:val="MiscOpen"/>
        <w:rPr>
          <w:snapToGrid w:val="0"/>
        </w:rPr>
      </w:pPr>
      <w:r>
        <w:rPr>
          <w:snapToGrid w:val="0"/>
        </w:rPr>
        <w:t>“</w:t>
      </w:r>
    </w:p>
    <w:p>
      <w:pPr>
        <w:pStyle w:val="nzHeading5"/>
      </w:pPr>
      <w:bookmarkStart w:id="251" w:name="_Toc198708661"/>
      <w:r>
        <w:rPr>
          <w:rStyle w:val="CharSectno"/>
        </w:rPr>
        <w:t>684</w:t>
      </w:r>
      <w:r>
        <w:t>.</w:t>
      </w:r>
      <w:r>
        <w:tab/>
      </w:r>
      <w:r>
        <w:rPr>
          <w:i/>
          <w:iCs/>
        </w:rPr>
        <w:t>Oaths, Affidavits and Statutory Declarations Act 2005</w:t>
      </w:r>
      <w:r>
        <w:t xml:space="preserve"> amended</w:t>
      </w:r>
      <w:bookmarkEnd w:id="251"/>
    </w:p>
    <w:p>
      <w:pPr>
        <w:pStyle w:val="nzSubsection"/>
      </w:pPr>
      <w:r>
        <w:tab/>
        <w:t>(1)</w:t>
      </w:r>
      <w:r>
        <w:tab/>
        <w:t xml:space="preserve">The amendments in this section are to the </w:t>
      </w:r>
      <w:r>
        <w:rPr>
          <w:i/>
          <w:iCs/>
        </w:rPr>
        <w:t>Oaths, Affidavits and Statutory Declarations Act 2005</w:t>
      </w:r>
      <w:r>
        <w:t>.</w:t>
      </w:r>
    </w:p>
    <w:p>
      <w:pPr>
        <w:pStyle w:val="nzSubsection"/>
      </w:pPr>
      <w:r>
        <w:tab/>
        <w:t>(2)</w:t>
      </w:r>
      <w:r>
        <w:tab/>
        <w:t xml:space="preserve">Section 8 is repealed and the following section is inserted instead — </w:t>
      </w:r>
    </w:p>
    <w:p>
      <w:pPr>
        <w:pStyle w:val="nzSubsection"/>
      </w:pPr>
      <w:r>
        <w:t xml:space="preserve">“    </w:t>
      </w:r>
    </w:p>
    <w:p>
      <w:pPr>
        <w:pStyle w:val="nzHeading5"/>
      </w:pPr>
      <w:bookmarkStart w:id="252" w:name="_Toc198708662"/>
      <w:r>
        <w:t>8.</w:t>
      </w:r>
      <w:r>
        <w:rPr>
          <w:b w:val="0"/>
        </w:rPr>
        <w:tab/>
      </w:r>
      <w:r>
        <w:rPr>
          <w:bCs/>
        </w:rPr>
        <w:t>Meaning of “experienced legal practitioner”</w:t>
      </w:r>
      <w:bookmarkEnd w:id="252"/>
    </w:p>
    <w:p>
      <w:pPr>
        <w:pStyle w:val="nzSubsection"/>
      </w:pPr>
      <w:r>
        <w:tab/>
      </w:r>
      <w:r>
        <w:tab/>
        <w:t xml:space="preserve">In this Part — </w:t>
      </w:r>
    </w:p>
    <w:p>
      <w:pPr>
        <w:pStyle w:val="nzDefstart"/>
      </w:pPr>
      <w:r>
        <w:rPr>
          <w:b/>
        </w:rPr>
        <w:tab/>
      </w:r>
      <w:r>
        <w:rPr>
          <w:rStyle w:val="CharDefText"/>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9(6)(b) is amended by deleting “lawyer” and inserting instead — </w:t>
      </w:r>
    </w:p>
    <w:p>
      <w:pPr>
        <w:pStyle w:val="nzSubsection"/>
      </w:pPr>
      <w:r>
        <w:tab/>
      </w:r>
      <w:r>
        <w:tab/>
        <w:t>“    legal practitioner    ”.</w:t>
      </w:r>
    </w:p>
    <w:p>
      <w:pPr>
        <w:pStyle w:val="nzSubsection"/>
      </w:pPr>
      <w:r>
        <w:tab/>
        <w:t>(4)</w:t>
      </w:r>
      <w:r>
        <w:tab/>
        <w:t xml:space="preserve">Section 9(7) is amended by deleting “lawyer” and inserting instead — </w:t>
      </w:r>
    </w:p>
    <w:p>
      <w:pPr>
        <w:pStyle w:val="nzSubsection"/>
      </w:pPr>
      <w:r>
        <w:tab/>
      </w:r>
      <w:r>
        <w:tab/>
        <w:t>“    legal practitioner    ”.</w:t>
      </w:r>
    </w:p>
    <w:p>
      <w:pPr>
        <w:pStyle w:val="nz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nzTable"/>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700"/>
    <w:docVar w:name="WAFER_20151208152700" w:val="RemoveTrackChanges"/>
    <w:docVar w:name="WAFER_20151208152700_GUID" w:val="74b545c9-b131-41cd-aa43-fb79267f28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4623</Words>
  <Characters>22285</Characters>
  <Application>Microsoft Office Word</Application>
  <DocSecurity>0</DocSecurity>
  <Lines>768</Lines>
  <Paragraphs>527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vector>
  </TitlesOfParts>
  <Manager/>
  <Company/>
  <LinksUpToDate>false</LinksUpToDate>
  <CharactersWithSpaces>26381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2005 - 00-i0-03</dc:title>
  <dc:subject/>
  <dc:creator/>
  <cp:keywords/>
  <dc:description/>
  <cp:lastModifiedBy>svcMRProcess</cp:lastModifiedBy>
  <cp:revision>4</cp:revision>
  <cp:lastPrinted>2005-12-02T04:54:00Z</cp:lastPrinted>
  <dcterms:created xsi:type="dcterms:W3CDTF">2015-12-11T10:40:00Z</dcterms:created>
  <dcterms:modified xsi:type="dcterms:W3CDTF">2015-12-11T10:40:00Z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9392</vt:i4>
  </property>
  <property fmtid="{D5CDD505-2E9C-101B-9397-08002B2CF9AE}" pid="6" name="AsAtDate">
    <vt:lpwstr>01 Dec 2008</vt:lpwstr>
  </property>
  <property fmtid="{D5CDD505-2E9C-101B-9397-08002B2CF9AE}" pid="7" name="Suffix">
    <vt:lpwstr>00-i0-03</vt:lpwstr>
  </property>
</Properties>
</file>