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First Home Owner Grant Act 2000</w:t>
      </w:r>
    </w:p>
    <w:p>
      <w:pPr>
        <w:pStyle w:val="NameofActRegPage1"/>
        <w:spacing w:before="1800" w:after="4200"/>
      </w:pPr>
      <w:r>
        <w:fldChar w:fldCharType="begin"/>
      </w:r>
      <w:r>
        <w:instrText xml:space="preserve"> STYLEREF "Name Of Act/Reg"</w:instrText>
      </w:r>
      <w:r>
        <w:fldChar w:fldCharType="separate"/>
      </w:r>
      <w:r>
        <w:rPr>
          <w:noProof/>
        </w:rPr>
        <w:t>First Home Owner Grant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_Toc217710474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_Toc217710475 \h </w:instrText>
      </w:r>
      <w:r>
        <w:fldChar w:fldCharType="separate"/>
      </w:r>
      <w:r>
        <w:t>1</w:t>
      </w:r>
      <w:r>
        <w:fldChar w:fldCharType="end"/>
      </w:r>
    </w:p>
    <w:p>
      <w:pPr>
        <w:pStyle w:val="TOC8"/>
        <w:rPr>
          <w:sz w:val="24"/>
          <w:szCs w:val="24"/>
        </w:rPr>
      </w:pPr>
      <w:r>
        <w:rPr>
          <w:szCs w:val="24"/>
        </w:rPr>
        <w:t>3.</w:t>
      </w:r>
      <w:r>
        <w:rPr>
          <w:szCs w:val="24"/>
        </w:rPr>
        <w:tab/>
        <w:t>Definition</w:t>
      </w:r>
      <w:r>
        <w:tab/>
      </w:r>
      <w:r>
        <w:fldChar w:fldCharType="begin"/>
      </w:r>
      <w:r>
        <w:instrText xml:space="preserve"> PAGEREF _Toc217710476 \h </w:instrText>
      </w:r>
      <w:r>
        <w:fldChar w:fldCharType="separate"/>
      </w:r>
      <w:r>
        <w:t>1</w:t>
      </w:r>
      <w:r>
        <w:fldChar w:fldCharType="end"/>
      </w:r>
    </w:p>
    <w:p>
      <w:pPr>
        <w:pStyle w:val="TOC8"/>
        <w:rPr>
          <w:sz w:val="24"/>
          <w:szCs w:val="24"/>
        </w:rPr>
      </w:pPr>
      <w:r>
        <w:rPr>
          <w:szCs w:val="24"/>
        </w:rPr>
        <w:t>4.</w:t>
      </w:r>
      <w:r>
        <w:rPr>
          <w:szCs w:val="24"/>
        </w:rPr>
        <w:tab/>
        <w:t>Interest of disabled person in home prescribed to be relevant interest (s. 6(1)(h))</w:t>
      </w:r>
      <w:r>
        <w:tab/>
      </w:r>
      <w:r>
        <w:fldChar w:fldCharType="begin"/>
      </w:r>
      <w:r>
        <w:instrText xml:space="preserve"> PAGEREF _Toc217710477 \h </w:instrText>
      </w:r>
      <w:r>
        <w:fldChar w:fldCharType="separate"/>
      </w:r>
      <w:r>
        <w:t>1</w:t>
      </w:r>
      <w:r>
        <w:fldChar w:fldCharType="end"/>
      </w:r>
    </w:p>
    <w:p>
      <w:pPr>
        <w:pStyle w:val="TOC8"/>
        <w:rPr>
          <w:sz w:val="24"/>
          <w:szCs w:val="24"/>
        </w:rPr>
      </w:pPr>
      <w:r>
        <w:rPr>
          <w:szCs w:val="24"/>
        </w:rPr>
        <w:t>5.</w:t>
      </w:r>
      <w:r>
        <w:rPr>
          <w:szCs w:val="24"/>
        </w:rPr>
        <w:tab/>
        <w:t>Interest of occupier of home on primary production land prescribed to be relevant interest (s. 6(1)(h))</w:t>
      </w:r>
      <w:r>
        <w:tab/>
      </w:r>
      <w:r>
        <w:fldChar w:fldCharType="begin"/>
      </w:r>
      <w:r>
        <w:instrText xml:space="preserve"> PAGEREF _Toc217710478 \h </w:instrText>
      </w:r>
      <w:r>
        <w:fldChar w:fldCharType="separate"/>
      </w:r>
      <w:r>
        <w:t>2</w:t>
      </w:r>
      <w:r>
        <w:fldChar w:fldCharType="end"/>
      </w:r>
    </w:p>
    <w:p>
      <w:pPr>
        <w:pStyle w:val="TOC8"/>
        <w:rPr>
          <w:sz w:val="24"/>
          <w:szCs w:val="24"/>
        </w:rPr>
      </w:pPr>
      <w:r>
        <w:rPr>
          <w:szCs w:val="24"/>
        </w:rPr>
        <w:t>6.</w:t>
      </w:r>
      <w:r>
        <w:rPr>
          <w:szCs w:val="24"/>
        </w:rPr>
        <w:tab/>
        <w:t>Prescribed qualification to completion of eligible transaction (s. 14(6))</w:t>
      </w:r>
      <w:r>
        <w:tab/>
      </w:r>
      <w:r>
        <w:fldChar w:fldCharType="begin"/>
      </w:r>
      <w:r>
        <w:instrText xml:space="preserve"> PAGEREF _Toc217710479 \h </w:instrText>
      </w:r>
      <w:r>
        <w:fldChar w:fldCharType="separate"/>
      </w:r>
      <w:r>
        <w:t>3</w:t>
      </w:r>
      <w:r>
        <w:fldChar w:fldCharType="end"/>
      </w:r>
    </w:p>
    <w:p>
      <w:pPr>
        <w:pStyle w:val="TOC8"/>
        <w:rPr>
          <w:sz w:val="24"/>
          <w:szCs w:val="24"/>
        </w:rPr>
      </w:pPr>
      <w:r>
        <w:rPr>
          <w:szCs w:val="24"/>
        </w:rPr>
        <w:t>7.</w:t>
      </w:r>
      <w:r>
        <w:rPr>
          <w:szCs w:val="24"/>
        </w:rPr>
        <w:tab/>
        <w:t>Certain owners of land excluded from the operation of s. 16(1)</w:t>
      </w:r>
      <w:r>
        <w:tab/>
      </w:r>
      <w:r>
        <w:fldChar w:fldCharType="begin"/>
      </w:r>
      <w:r>
        <w:instrText xml:space="preserve"> PAGEREF _Toc217710480 \h </w:instrText>
      </w:r>
      <w:r>
        <w:fldChar w:fldCharType="separate"/>
      </w:r>
      <w:r>
        <w:t>3</w:t>
      </w:r>
      <w:r>
        <w:fldChar w:fldCharType="end"/>
      </w:r>
    </w:p>
    <w:p>
      <w:pPr>
        <w:pStyle w:val="TOC8"/>
        <w:rPr>
          <w:sz w:val="24"/>
          <w:szCs w:val="24"/>
        </w:rPr>
      </w:pPr>
      <w:r>
        <w:rPr>
          <w:szCs w:val="24"/>
        </w:rPr>
        <w:t>8.</w:t>
      </w:r>
      <w:r>
        <w:rPr>
          <w:szCs w:val="24"/>
        </w:rPr>
        <w:tab/>
        <w:t>Prescribed rates of interest (s. 30(3), 32(4) and 52(3) and (7))</w:t>
      </w:r>
      <w:r>
        <w:tab/>
      </w:r>
      <w:r>
        <w:fldChar w:fldCharType="begin"/>
      </w:r>
      <w:r>
        <w:instrText xml:space="preserve"> PAGEREF _Toc217710481 \h </w:instrText>
      </w:r>
      <w:r>
        <w:fldChar w:fldCharType="separate"/>
      </w:r>
      <w:r>
        <w:t>5</w:t>
      </w:r>
      <w:r>
        <w:fldChar w:fldCharType="end"/>
      </w:r>
    </w:p>
    <w:p>
      <w:pPr>
        <w:pStyle w:val="TOC8"/>
        <w:rPr>
          <w:sz w:val="24"/>
          <w:szCs w:val="24"/>
        </w:rPr>
      </w:pPr>
      <w:r>
        <w:rPr>
          <w:szCs w:val="24"/>
        </w:rPr>
        <w:t>9.</w:t>
      </w:r>
      <w:r>
        <w:rPr>
          <w:szCs w:val="24"/>
        </w:rPr>
        <w:tab/>
        <w:t>Conditions to be included in administration agreements (s. 37(2))</w:t>
      </w:r>
      <w:r>
        <w:tab/>
      </w:r>
      <w:r>
        <w:fldChar w:fldCharType="begin"/>
      </w:r>
      <w:r>
        <w:instrText xml:space="preserve"> PAGEREF _Toc217710482 \h </w:instrText>
      </w:r>
      <w:r>
        <w:fldChar w:fldCharType="separate"/>
      </w:r>
      <w:r>
        <w:t>5</w:t>
      </w:r>
      <w:r>
        <w:fldChar w:fldCharType="end"/>
      </w:r>
    </w:p>
    <w:p>
      <w:pPr>
        <w:pStyle w:val="TOC8"/>
        <w:rPr>
          <w:sz w:val="24"/>
          <w:szCs w:val="24"/>
        </w:rPr>
      </w:pPr>
      <w:r>
        <w:rPr>
          <w:szCs w:val="24"/>
        </w:rPr>
        <w:t>10.</w:t>
      </w:r>
      <w:r>
        <w:rPr>
          <w:szCs w:val="24"/>
        </w:rPr>
        <w:tab/>
        <w:t>Witness fees and expenses (s. 41(7))</w:t>
      </w:r>
      <w:r>
        <w:tab/>
      </w:r>
      <w:r>
        <w:fldChar w:fldCharType="begin"/>
      </w:r>
      <w:r>
        <w:instrText xml:space="preserve"> PAGEREF _Toc217710483 \h </w:instrText>
      </w:r>
      <w:r>
        <w:fldChar w:fldCharType="separate"/>
      </w:r>
      <w:r>
        <w:t>6</w:t>
      </w:r>
      <w:r>
        <w:fldChar w:fldCharType="end"/>
      </w:r>
    </w:p>
    <w:p>
      <w:pPr>
        <w:pStyle w:val="TOC8"/>
        <w:rPr>
          <w:sz w:val="24"/>
          <w:szCs w:val="24"/>
        </w:rPr>
      </w:pPr>
      <w:r>
        <w:rPr>
          <w:szCs w:val="24"/>
        </w:rPr>
        <w:t>11.</w:t>
      </w:r>
      <w:r>
        <w:rPr>
          <w:szCs w:val="24"/>
        </w:rPr>
        <w:tab/>
        <w:t>Authorised receipt and permitted disclosure of confidential information (s. 65(3))</w:t>
      </w:r>
      <w:r>
        <w:tab/>
      </w:r>
      <w:r>
        <w:fldChar w:fldCharType="begin"/>
      </w:r>
      <w:r>
        <w:instrText xml:space="preserve"> PAGEREF _Toc217710484 \h </w:instrText>
      </w:r>
      <w:r>
        <w:fldChar w:fldCharType="separate"/>
      </w:r>
      <w:r>
        <w:t>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_Toc217710486 \h </w:instrText>
      </w:r>
      <w:r>
        <w:fldChar w:fldCharType="separate"/>
      </w:r>
      <w:r>
        <w:t>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22965620"/>
      <w:bookmarkStart w:id="9" w:name="_Toc22965685"/>
      <w:bookmarkStart w:id="10" w:name="_Toc162152947"/>
      <w:bookmarkStart w:id="11" w:name="_Toc193181329"/>
      <w:bookmarkStart w:id="12" w:name="_Toc217710474"/>
      <w:r>
        <w:rPr>
          <w:rStyle w:val="CharSectno"/>
        </w:rPr>
        <w:t>1</w:t>
      </w:r>
      <w:r>
        <w:t>.</w:t>
      </w:r>
      <w:r>
        <w:tab/>
        <w:t>Citation</w:t>
      </w:r>
      <w:bookmarkEnd w:id="2"/>
      <w:bookmarkEnd w:id="3"/>
      <w:bookmarkEnd w:id="4"/>
      <w:bookmarkEnd w:id="5"/>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22965621"/>
      <w:bookmarkStart w:id="20" w:name="_Toc22965686"/>
      <w:bookmarkStart w:id="21" w:name="_Toc162152948"/>
      <w:bookmarkStart w:id="22" w:name="_Toc193181330"/>
      <w:bookmarkStart w:id="23" w:name="_Toc217710475"/>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pPr>
      <w:r>
        <w:rPr>
          <w:spacing w:val="-2"/>
        </w:rPr>
        <w:tab/>
      </w:r>
      <w:r>
        <w:rPr>
          <w:spacing w:val="-2"/>
        </w:rPr>
        <w:tab/>
        <w:t>These regulations come into operation on 1 July 2000</w:t>
      </w:r>
      <w:r>
        <w:t>.</w:t>
      </w:r>
    </w:p>
    <w:p>
      <w:pPr>
        <w:pStyle w:val="Heading5"/>
      </w:pPr>
      <w:bookmarkStart w:id="24" w:name="_Toc22965622"/>
      <w:bookmarkStart w:id="25" w:name="_Toc22965687"/>
      <w:bookmarkStart w:id="26" w:name="_Toc162152949"/>
      <w:bookmarkStart w:id="27" w:name="_Toc193181331"/>
      <w:bookmarkStart w:id="28" w:name="_Toc217710476"/>
      <w:r>
        <w:rPr>
          <w:rStyle w:val="CharSectno"/>
        </w:rPr>
        <w:t>3</w:t>
      </w:r>
      <w:r>
        <w:t>.</w:t>
      </w:r>
      <w:r>
        <w:tab/>
        <w:t>Definition</w:t>
      </w:r>
      <w:bookmarkEnd w:id="24"/>
      <w:bookmarkEnd w:id="25"/>
      <w:bookmarkEnd w:id="26"/>
      <w:bookmarkEnd w:id="27"/>
      <w:bookmarkEnd w:id="28"/>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29" w:name="_Toc22965623"/>
      <w:bookmarkStart w:id="30" w:name="_Toc22965688"/>
      <w:bookmarkStart w:id="31" w:name="_Toc162152950"/>
      <w:bookmarkStart w:id="32" w:name="_Toc193181332"/>
      <w:bookmarkStart w:id="33" w:name="_Toc217710477"/>
      <w:r>
        <w:rPr>
          <w:rStyle w:val="CharSectno"/>
        </w:rPr>
        <w:t>4</w:t>
      </w:r>
      <w:r>
        <w:t>.</w:t>
      </w:r>
      <w:r>
        <w:tab/>
        <w:t>Interest of disabled person in home prescribed to be relevant interest (s. 6(1)(h))</w:t>
      </w:r>
      <w:bookmarkEnd w:id="29"/>
      <w:bookmarkEnd w:id="30"/>
      <w:bookmarkEnd w:id="31"/>
      <w:bookmarkEnd w:id="32"/>
      <w:bookmarkEnd w:id="33"/>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34" w:name="_Toc22965624"/>
      <w:bookmarkStart w:id="35" w:name="_Toc22965689"/>
      <w:bookmarkStart w:id="36" w:name="_Toc162152951"/>
      <w:bookmarkStart w:id="37" w:name="_Toc193181333"/>
      <w:bookmarkStart w:id="38" w:name="_Toc217710478"/>
      <w:r>
        <w:rPr>
          <w:rStyle w:val="CharSectno"/>
        </w:rPr>
        <w:t>5</w:t>
      </w:r>
      <w:r>
        <w:t>.</w:t>
      </w:r>
      <w:r>
        <w:tab/>
        <w:t>Interest of occupier of home on primary production land prescribed to be relevant interest (s. 6(1)(h))</w:t>
      </w:r>
      <w:bookmarkEnd w:id="34"/>
      <w:bookmarkEnd w:id="35"/>
      <w:bookmarkEnd w:id="36"/>
      <w:bookmarkEnd w:id="37"/>
      <w:bookmarkEnd w:id="38"/>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39" w:name="_Toc22965625"/>
      <w:bookmarkStart w:id="40" w:name="_Toc22965690"/>
      <w:bookmarkStart w:id="41" w:name="_Toc162152952"/>
      <w:bookmarkStart w:id="42" w:name="_Toc193181334"/>
      <w:bookmarkStart w:id="43" w:name="_Toc217710479"/>
      <w:r>
        <w:rPr>
          <w:rStyle w:val="CharSectno"/>
        </w:rPr>
        <w:t>6</w:t>
      </w:r>
      <w:r>
        <w:t>.</w:t>
      </w:r>
      <w:r>
        <w:tab/>
        <w:t>Prescribed qualification to completion of eligible transaction (s. 14(6))</w:t>
      </w:r>
      <w:bookmarkEnd w:id="39"/>
      <w:bookmarkEnd w:id="40"/>
      <w:bookmarkEnd w:id="41"/>
      <w:bookmarkEnd w:id="42"/>
      <w:bookmarkEnd w:id="43"/>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44" w:name="_Toc22965626"/>
      <w:bookmarkStart w:id="45" w:name="_Toc22965691"/>
      <w:bookmarkStart w:id="46" w:name="_Toc162152953"/>
      <w:bookmarkStart w:id="47" w:name="_Toc193181335"/>
      <w:bookmarkStart w:id="48" w:name="_Toc217710480"/>
      <w:r>
        <w:rPr>
          <w:rStyle w:val="CharSectno"/>
        </w:rPr>
        <w:t>7</w:t>
      </w:r>
      <w:r>
        <w:t>.</w:t>
      </w:r>
      <w:r>
        <w:tab/>
        <w:t>Certain owners of land excluded from the operation of s. 16(1)</w:t>
      </w:r>
      <w:bookmarkEnd w:id="44"/>
      <w:bookmarkEnd w:id="45"/>
      <w:bookmarkEnd w:id="46"/>
      <w:bookmarkEnd w:id="47"/>
      <w:bookmarkEnd w:id="48"/>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rStyle w:val="CharDefText"/>
        </w:rPr>
        <w:t>relevant owner of land</w:t>
      </w:r>
      <w:r>
        <w:t xml:space="preserve"> means a person who owns land as a tenant in common as described in paragraph (b)(i) of the definition of “home unit” in section 19(1) of the </w:t>
      </w:r>
      <w:r>
        <w:rPr>
          <w:i/>
        </w:rPr>
        <w:t>Land Tax Assessment Act 1976</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49" w:name="_Toc22965627"/>
      <w:bookmarkStart w:id="50" w:name="_Toc22965692"/>
      <w:bookmarkStart w:id="51" w:name="_Toc162152954"/>
      <w:bookmarkStart w:id="52" w:name="_Toc193181336"/>
      <w:bookmarkStart w:id="53" w:name="_Toc217710481"/>
      <w:r>
        <w:rPr>
          <w:rStyle w:val="CharSectno"/>
        </w:rPr>
        <w:t>8</w:t>
      </w:r>
      <w:r>
        <w:t>.</w:t>
      </w:r>
      <w:r>
        <w:tab/>
        <w:t>Prescribed rates of interest (s. 30(3), 32(4) and 52(3) and (7))</w:t>
      </w:r>
      <w:bookmarkEnd w:id="49"/>
      <w:bookmarkEnd w:id="50"/>
      <w:bookmarkEnd w:id="51"/>
      <w:bookmarkEnd w:id="52"/>
      <w:bookmarkEnd w:id="53"/>
    </w:p>
    <w:p>
      <w:pPr>
        <w:pStyle w:val="Subsection"/>
      </w:pPr>
      <w:r>
        <w:tab/>
        <w:t>(1)</w:t>
      </w:r>
      <w:r>
        <w:tab/>
        <w:t>The rate of interest for the purposes of section 30(3) of the Act is 6% per annum.</w:t>
      </w:r>
    </w:p>
    <w:p>
      <w:pPr>
        <w:pStyle w:val="Subsection"/>
      </w:pPr>
      <w:r>
        <w:tab/>
        <w:t>(2)</w:t>
      </w:r>
      <w:r>
        <w:tab/>
        <w:t>The rate of interest for the purposes of section 32(4) of the Act is 6% per annum.</w:t>
      </w:r>
    </w:p>
    <w:p>
      <w:pPr>
        <w:pStyle w:val="Subsection"/>
      </w:pPr>
      <w:r>
        <w:tab/>
        <w:t>(3)</w:t>
      </w:r>
      <w:r>
        <w:tab/>
        <w:t>The rate of interest for the purposes of section 52(3) and (7) of the Act is 12% per annum.</w:t>
      </w:r>
    </w:p>
    <w:p>
      <w:pPr>
        <w:pStyle w:val="Footnotesection"/>
      </w:pPr>
      <w:r>
        <w:tab/>
        <w:t>[Regulation 8 amended in Gazette 13 Aug 2004 p. 3252; 20 Mar 2007 p. 1048; 14 Mar 2008 p. 837.]</w:t>
      </w:r>
    </w:p>
    <w:p>
      <w:pPr>
        <w:pStyle w:val="Heading5"/>
      </w:pPr>
      <w:bookmarkStart w:id="54" w:name="_Toc22965628"/>
      <w:bookmarkStart w:id="55" w:name="_Toc22965693"/>
      <w:bookmarkStart w:id="56" w:name="_Toc162152955"/>
      <w:bookmarkStart w:id="57" w:name="_Toc193181337"/>
      <w:bookmarkStart w:id="58" w:name="_Toc217710482"/>
      <w:r>
        <w:rPr>
          <w:rStyle w:val="CharSectno"/>
        </w:rPr>
        <w:t>9</w:t>
      </w:r>
      <w:r>
        <w:t>.</w:t>
      </w:r>
      <w:r>
        <w:tab/>
        <w:t>Conditions to be included in administration agreements (s. 37(2))</w:t>
      </w:r>
      <w:bookmarkEnd w:id="54"/>
      <w:bookmarkEnd w:id="55"/>
      <w:bookmarkEnd w:id="56"/>
      <w:bookmarkEnd w:id="57"/>
      <w:bookmarkEnd w:id="58"/>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59" w:name="_Toc22965629"/>
      <w:bookmarkStart w:id="60" w:name="_Toc22965694"/>
      <w:bookmarkStart w:id="61" w:name="_Toc162152956"/>
      <w:bookmarkStart w:id="62" w:name="_Toc193181338"/>
      <w:bookmarkStart w:id="63" w:name="_Toc217710483"/>
      <w:r>
        <w:rPr>
          <w:rStyle w:val="CharSectno"/>
        </w:rPr>
        <w:t>10</w:t>
      </w:r>
      <w:r>
        <w:t>.</w:t>
      </w:r>
      <w:r>
        <w:tab/>
        <w:t>Witness fees and expenses (s. 41(7))</w:t>
      </w:r>
      <w:bookmarkEnd w:id="59"/>
      <w:bookmarkEnd w:id="60"/>
      <w:bookmarkEnd w:id="61"/>
      <w:bookmarkEnd w:id="62"/>
      <w:bookmarkEnd w:id="63"/>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64" w:name="_Toc22965630"/>
      <w:bookmarkStart w:id="65" w:name="_Toc22965695"/>
      <w:bookmarkStart w:id="66" w:name="_Toc162152957"/>
      <w:bookmarkStart w:id="67" w:name="_Toc193181339"/>
      <w:bookmarkStart w:id="68" w:name="_Toc217710484"/>
      <w:r>
        <w:rPr>
          <w:rStyle w:val="CharSectno"/>
        </w:rPr>
        <w:t>11</w:t>
      </w:r>
      <w:r>
        <w:t>.</w:t>
      </w:r>
      <w:r>
        <w:tab/>
        <w:t>Authorised receipt and permitted disclosure of confidential information (s. 65(3))</w:t>
      </w:r>
      <w:bookmarkEnd w:id="64"/>
      <w:bookmarkEnd w:id="65"/>
      <w:bookmarkEnd w:id="66"/>
      <w:bookmarkEnd w:id="67"/>
      <w:bookmarkEnd w:id="68"/>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Ednotepara"/>
      </w:pPr>
      <w:r>
        <w:tab/>
        <w:t>[(b)</w:t>
      </w:r>
      <w:r>
        <w:tab/>
        <w:t>deleted]</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Subsection"/>
      </w:pPr>
      <w:r>
        <w:tab/>
        <w:t>(3)</w:t>
      </w:r>
      <w:r>
        <w:tab/>
        <w:t xml:space="preserve">In this regulation — </w:t>
      </w:r>
    </w:p>
    <w:p>
      <w:pPr>
        <w:pStyle w:val="Defstart"/>
      </w:pPr>
      <w:r>
        <w:tab/>
      </w:r>
      <w:r>
        <w:rPr>
          <w:rStyle w:val="CharDefText"/>
        </w:rPr>
        <w:t>confidential information</w:t>
      </w:r>
      <w:r>
        <w:t xml:space="preserve"> has the meaning given in section 65(7) of the Act.</w:t>
      </w:r>
    </w:p>
    <w:p>
      <w:pPr>
        <w:pStyle w:val="Footnotesection"/>
        <w:rPr>
          <w:rStyle w:val="CharDivText"/>
        </w:rPr>
      </w:pPr>
      <w:r>
        <w:rPr>
          <w:rStyle w:val="CharDivText"/>
        </w:rPr>
        <w:tab/>
      </w:r>
      <w:r>
        <w:t>[Regulation 11 amended in Gazette 24 Jul 2001 p. 3732; Act No.  74 of 2004 s. 70; 23 Dec 2008 p. 5480</w:t>
      </w:r>
      <w:r>
        <w:noBreakHyphen/>
        <w:t>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69" w:name="_Toc81882556"/>
      <w:bookmarkStart w:id="70" w:name="_Toc90720131"/>
      <w:bookmarkStart w:id="71" w:name="_Toc92182245"/>
      <w:bookmarkStart w:id="72" w:name="_Toc92182533"/>
      <w:bookmarkStart w:id="73" w:name="_Toc92182570"/>
      <w:bookmarkStart w:id="74" w:name="_Toc92186212"/>
      <w:bookmarkStart w:id="75" w:name="_Toc93130916"/>
      <w:bookmarkStart w:id="76" w:name="_Toc96319707"/>
      <w:bookmarkStart w:id="77" w:name="_Toc162152958"/>
      <w:bookmarkStart w:id="78" w:name="_Toc193175654"/>
      <w:bookmarkStart w:id="79" w:name="_Toc193175961"/>
      <w:bookmarkStart w:id="80" w:name="_Toc193176056"/>
      <w:bookmarkStart w:id="81" w:name="_Toc193181340"/>
      <w:bookmarkStart w:id="82" w:name="_Toc217710425"/>
      <w:bookmarkStart w:id="83" w:name="_Toc217710438"/>
      <w:bookmarkStart w:id="84" w:name="_Toc217710485"/>
      <w:r>
        <w:t>Notes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85" w:name="_Toc162152959"/>
      <w:bookmarkStart w:id="86" w:name="_Toc193181341"/>
      <w:bookmarkStart w:id="87" w:name="_Toc217710486"/>
      <w:r>
        <w:t>Compilation table</w:t>
      </w:r>
      <w:bookmarkEnd w:id="85"/>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First Home Owner Grant Regulations 2000</w:t>
            </w:r>
          </w:p>
        </w:tc>
        <w:tc>
          <w:tcPr>
            <w:tcW w:w="1276" w:type="dxa"/>
            <w:tcBorders>
              <w:top w:val="single" w:sz="8" w:space="0" w:color="auto"/>
            </w:tcBorders>
          </w:tcPr>
          <w:p>
            <w:pPr>
              <w:pStyle w:val="nTable"/>
              <w:spacing w:after="40"/>
              <w:rPr>
                <w:sz w:val="19"/>
              </w:rPr>
            </w:pPr>
            <w:r>
              <w:rPr>
                <w:sz w:val="19"/>
              </w:rPr>
              <w:t>30 Jun 2000 p. 3433-7</w:t>
            </w:r>
          </w:p>
        </w:tc>
        <w:tc>
          <w:tcPr>
            <w:tcW w:w="2693" w:type="dxa"/>
            <w:tcBorders>
              <w:top w:val="single" w:sz="8" w:space="0" w:color="auto"/>
            </w:tcBorders>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First Home Owner Grant Amendment Regulations 2001</w:t>
            </w:r>
          </w:p>
        </w:tc>
        <w:tc>
          <w:tcPr>
            <w:tcW w:w="1276" w:type="dxa"/>
          </w:tcPr>
          <w:p>
            <w:pPr>
              <w:pStyle w:val="nTable"/>
              <w:spacing w:after="40"/>
              <w:rPr>
                <w:sz w:val="19"/>
              </w:rPr>
            </w:pPr>
            <w:r>
              <w:rPr>
                <w:sz w:val="19"/>
              </w:rPr>
              <w:t>24 Jul 2001 p. 3732</w:t>
            </w:r>
          </w:p>
        </w:tc>
        <w:tc>
          <w:tcPr>
            <w:tcW w:w="2693" w:type="dxa"/>
          </w:tcPr>
          <w:p>
            <w:pPr>
              <w:pStyle w:val="nTable"/>
              <w:spacing w:after="40"/>
              <w:rPr>
                <w:sz w:val="19"/>
              </w:rPr>
            </w:pPr>
            <w:r>
              <w:rPr>
                <w:sz w:val="19"/>
              </w:rPr>
              <w:t>24 Jul 2001</w:t>
            </w:r>
          </w:p>
        </w:tc>
      </w:tr>
      <w:tr>
        <w:tc>
          <w:tcPr>
            <w:tcW w:w="3119" w:type="dxa"/>
          </w:tcPr>
          <w:p>
            <w:pPr>
              <w:pStyle w:val="nTable"/>
              <w:spacing w:after="40"/>
              <w:rPr>
                <w:i/>
                <w:sz w:val="19"/>
              </w:rPr>
            </w:pPr>
            <w:r>
              <w:rPr>
                <w:i/>
                <w:sz w:val="19"/>
              </w:rPr>
              <w:t>First Home Owner Grant Amendment Regulations 2002</w:t>
            </w:r>
          </w:p>
        </w:tc>
        <w:tc>
          <w:tcPr>
            <w:tcW w:w="1276" w:type="dxa"/>
          </w:tcPr>
          <w:p>
            <w:pPr>
              <w:pStyle w:val="nTable"/>
              <w:spacing w:after="40"/>
              <w:rPr>
                <w:sz w:val="19"/>
              </w:rPr>
            </w:pPr>
            <w:r>
              <w:rPr>
                <w:sz w:val="19"/>
              </w:rPr>
              <w:t>22 Oct 2002 p. 5255-6</w:t>
            </w:r>
          </w:p>
        </w:tc>
        <w:tc>
          <w:tcPr>
            <w:tcW w:w="2693" w:type="dxa"/>
          </w:tcPr>
          <w:p>
            <w:pPr>
              <w:pStyle w:val="nTable"/>
              <w:spacing w:after="40"/>
              <w:rPr>
                <w:sz w:val="19"/>
              </w:rPr>
            </w:pPr>
            <w:r>
              <w:rPr>
                <w:sz w:val="19"/>
              </w:rPr>
              <w:t>22 Oct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12</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First Home Owner Grant Amendment Regulations 2004</w:t>
            </w:r>
          </w:p>
        </w:tc>
        <w:tc>
          <w:tcPr>
            <w:tcW w:w="1276" w:type="dxa"/>
          </w:tcPr>
          <w:p>
            <w:pPr>
              <w:pStyle w:val="nTable"/>
              <w:spacing w:after="40"/>
              <w:rPr>
                <w:sz w:val="19"/>
              </w:rPr>
            </w:pPr>
            <w:r>
              <w:rPr>
                <w:sz w:val="19"/>
              </w:rPr>
              <w:t>13 Aug 2004 p. 3251-2</w:t>
            </w:r>
          </w:p>
        </w:tc>
        <w:tc>
          <w:tcPr>
            <w:tcW w:w="2693" w:type="dxa"/>
          </w:tcPr>
          <w:p>
            <w:pPr>
              <w:pStyle w:val="nTable"/>
              <w:spacing w:after="40"/>
              <w:rPr>
                <w:sz w:val="19"/>
              </w:rPr>
            </w:pPr>
            <w:r>
              <w:rPr>
                <w:sz w:val="19"/>
              </w:rPr>
              <w:t>1 Sep 2004 (see r. 2)</w:t>
            </w:r>
          </w:p>
        </w:tc>
      </w:tr>
      <w:tr>
        <w:trPr>
          <w:cantSplit/>
        </w:trPr>
        <w:tc>
          <w:tcPr>
            <w:tcW w:w="4395" w:type="dxa"/>
            <w:gridSpan w:val="2"/>
          </w:tcPr>
          <w:p>
            <w:pPr>
              <w:pStyle w:val="nTable"/>
              <w:rPr>
                <w:sz w:val="19"/>
              </w:rPr>
            </w:pPr>
            <w:r>
              <w:rPr>
                <w:i/>
                <w:sz w:val="19"/>
              </w:rPr>
              <w:t>Australian Crime Commission (Western Australia) Act 2004</w:t>
            </w:r>
            <w:r>
              <w:rPr>
                <w:iCs/>
                <w:sz w:val="19"/>
              </w:rPr>
              <w:t xml:space="preserve"> s. 70 assented to 8 Dec 2004</w:t>
            </w:r>
          </w:p>
        </w:tc>
        <w:tc>
          <w:tcPr>
            <w:tcW w:w="2693" w:type="dxa"/>
          </w:tcPr>
          <w:p>
            <w:pPr>
              <w:pStyle w:val="nTable"/>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r>
        <w:tc>
          <w:tcPr>
            <w:tcW w:w="3119" w:type="dxa"/>
          </w:tcPr>
          <w:p>
            <w:pPr>
              <w:pStyle w:val="nTable"/>
              <w:spacing w:after="40"/>
              <w:rPr>
                <w:i/>
                <w:sz w:val="19"/>
              </w:rPr>
            </w:pPr>
            <w:r>
              <w:rPr>
                <w:i/>
                <w:sz w:val="19"/>
              </w:rPr>
              <w:t>First Home Owner Grant Amendment Regulations 2007</w:t>
            </w:r>
          </w:p>
        </w:tc>
        <w:tc>
          <w:tcPr>
            <w:tcW w:w="1276" w:type="dxa"/>
          </w:tcPr>
          <w:p>
            <w:pPr>
              <w:pStyle w:val="nTable"/>
              <w:spacing w:after="40"/>
              <w:rPr>
                <w:sz w:val="19"/>
              </w:rPr>
            </w:pPr>
            <w:r>
              <w:rPr>
                <w:sz w:val="19"/>
              </w:rPr>
              <w:t>20 Mar 2007 p. 1048</w:t>
            </w:r>
          </w:p>
        </w:tc>
        <w:tc>
          <w:tcPr>
            <w:tcW w:w="2693" w:type="dxa"/>
          </w:tcPr>
          <w:p>
            <w:pPr>
              <w:pStyle w:val="nTable"/>
              <w:spacing w:after="40"/>
              <w:rPr>
                <w:sz w:val="19"/>
              </w:rPr>
            </w:pPr>
            <w:r>
              <w:rPr>
                <w:sz w:val="19"/>
              </w:rPr>
              <w:t>20 Mar 2007</w:t>
            </w:r>
          </w:p>
        </w:tc>
      </w:tr>
      <w:tr>
        <w:tc>
          <w:tcPr>
            <w:tcW w:w="3119" w:type="dxa"/>
          </w:tcPr>
          <w:p>
            <w:pPr>
              <w:pStyle w:val="nTable"/>
              <w:spacing w:after="40"/>
              <w:rPr>
                <w:i/>
                <w:sz w:val="19"/>
              </w:rPr>
            </w:pPr>
            <w:r>
              <w:rPr>
                <w:i/>
                <w:sz w:val="19"/>
              </w:rPr>
              <w:t>First Home Owner Grant Amendment Regulations 2008</w:t>
            </w:r>
          </w:p>
        </w:tc>
        <w:tc>
          <w:tcPr>
            <w:tcW w:w="1276" w:type="dxa"/>
          </w:tcPr>
          <w:p>
            <w:pPr>
              <w:pStyle w:val="nTable"/>
              <w:spacing w:after="40"/>
              <w:rPr>
                <w:sz w:val="19"/>
              </w:rPr>
            </w:pPr>
            <w:r>
              <w:rPr>
                <w:sz w:val="19"/>
              </w:rPr>
              <w:t>14 Mar 2008 p. 836-7</w:t>
            </w:r>
          </w:p>
        </w:tc>
        <w:tc>
          <w:tcPr>
            <w:tcW w:w="2693" w:type="dxa"/>
          </w:tcPr>
          <w:p>
            <w:pPr>
              <w:pStyle w:val="nTable"/>
              <w:spacing w:after="40"/>
              <w:rPr>
                <w:sz w:val="19"/>
              </w:rPr>
            </w:pPr>
            <w:r>
              <w:rPr>
                <w:sz w:val="19"/>
              </w:rPr>
              <w:t>r. 1 and 2: 14 Mar 2008 (see r. 2(a));</w:t>
            </w:r>
          </w:p>
          <w:p>
            <w:pPr>
              <w:pStyle w:val="nTable"/>
              <w:spacing w:before="0" w:after="40"/>
              <w:rPr>
                <w:sz w:val="19"/>
              </w:rPr>
            </w:pPr>
            <w:r>
              <w:rPr>
                <w:sz w:val="19"/>
              </w:rPr>
              <w:t>Regulations other than r. 1 and 2: 15 Mar 2008 (see r. 2(b))</w:t>
            </w:r>
          </w:p>
        </w:tc>
      </w:tr>
      <w:tr>
        <w:tc>
          <w:tcPr>
            <w:tcW w:w="3119" w:type="dxa"/>
            <w:tcBorders>
              <w:bottom w:val="single" w:sz="4" w:space="0" w:color="auto"/>
            </w:tcBorders>
          </w:tcPr>
          <w:p>
            <w:pPr>
              <w:pStyle w:val="nTable"/>
              <w:spacing w:after="40"/>
              <w:rPr>
                <w:i/>
                <w:sz w:val="19"/>
              </w:rPr>
            </w:pPr>
            <w:r>
              <w:rPr>
                <w:i/>
                <w:sz w:val="19"/>
              </w:rPr>
              <w:t>First Home Owner Grant Amendment Regulations (No. 3) 2008</w:t>
            </w:r>
          </w:p>
        </w:tc>
        <w:tc>
          <w:tcPr>
            <w:tcW w:w="1276" w:type="dxa"/>
            <w:tcBorders>
              <w:bottom w:val="single" w:sz="4" w:space="0" w:color="auto"/>
            </w:tcBorders>
          </w:tcPr>
          <w:p>
            <w:pPr>
              <w:pStyle w:val="nTable"/>
              <w:spacing w:after="40"/>
              <w:rPr>
                <w:sz w:val="19"/>
              </w:rPr>
            </w:pPr>
            <w:r>
              <w:rPr>
                <w:sz w:val="19"/>
              </w:rPr>
              <w:t>23 Dec 2008 p. 5480</w:t>
            </w:r>
            <w:r>
              <w:rPr>
                <w:sz w:val="19"/>
              </w:rPr>
              <w:noBreakHyphen/>
              <w:t>1</w:t>
            </w:r>
          </w:p>
        </w:tc>
        <w:tc>
          <w:tcPr>
            <w:tcW w:w="2693" w:type="dxa"/>
            <w:tcBorders>
              <w:bottom w:val="single" w:sz="4" w:space="0" w:color="auto"/>
            </w:tcBorders>
          </w:tcPr>
          <w:p>
            <w:pPr>
              <w:pStyle w:val="nTable"/>
              <w:spacing w:after="40"/>
              <w:rPr>
                <w:sz w:val="19"/>
              </w:rPr>
            </w:pPr>
            <w:r>
              <w:rPr>
                <w:sz w:val="19"/>
              </w:rPr>
              <w:t>r. 1 and 2: 23 Dec 2008 (see r. 2(a));</w:t>
            </w:r>
            <w:r>
              <w:rPr>
                <w:sz w:val="19"/>
              </w:rPr>
              <w:br/>
              <w:t>Regulations other than r. 1 and 2: 24 Dec 2008 (see r. 2(b))</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E652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12D6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7892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FCA7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A013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506C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4CDB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0C8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1E4E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CA6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1345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3268EE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518"/>
    <w:docVar w:name="WAFER_20151210144518" w:val="RemoveTrackChanges"/>
    <w:docVar w:name="WAFER_20151210144518_GUID" w:val="9c4cad9e-34cf-4f30-8a74-33aa41856f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2274</Words>
  <Characters>10895</Characters>
  <Application>Microsoft Office Word</Application>
  <DocSecurity>0</DocSecurity>
  <Lines>340</Lines>
  <Paragraphs>188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2000 - 01-d0-02</dc:title>
  <dc:subject/>
  <dc:creator/>
  <cp:keywords/>
  <dc:description/>
  <cp:lastModifiedBy>svcMRProcess</cp:lastModifiedBy>
  <cp:revision>4</cp:revision>
  <cp:lastPrinted>2005-02-11T02:24:00Z</cp:lastPrinted>
  <dcterms:created xsi:type="dcterms:W3CDTF">2015-12-13T12:49:00Z</dcterms:created>
  <dcterms:modified xsi:type="dcterms:W3CDTF">2015-12-13T12:49:00Z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20081224</vt:lpwstr>
  </property>
  <property fmtid="{D5CDD505-2E9C-101B-9397-08002B2CF9AE}" pid="4" name="DocumentType">
    <vt:lpwstr>Reg</vt:lpwstr>
  </property>
  <property fmtid="{D5CDD505-2E9C-101B-9397-08002B2CF9AE}" pid="5" name="OwlsUID">
    <vt:i4>2144</vt:i4>
  </property>
  <property fmtid="{D5CDD505-2E9C-101B-9397-08002B2CF9AE}" pid="6" name="ReprintNo">
    <vt:lpwstr>1</vt:lpwstr>
  </property>
  <property fmtid="{D5CDD505-2E9C-101B-9397-08002B2CF9AE}" pid="7" name="AsAtDate">
    <vt:lpwstr>24 Dec 2008</vt:lpwstr>
  </property>
  <property fmtid="{D5CDD505-2E9C-101B-9397-08002B2CF9AE}" pid="8" name="Suffix">
    <vt:lpwstr>01-d0-02</vt:lpwstr>
  </property>
</Properties>
</file>