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B" w:rsidRDefault="004552E4">
      <w:pPr>
        <w:pStyle w:val="WA"/>
      </w:pPr>
      <w:bookmarkStart w:id="0" w:name="_GoBack"/>
      <w:bookmarkEnd w:id="0"/>
      <w:r>
        <w:t>Western Australia</w:t>
      </w:r>
    </w:p>
    <w:p w:rsidR="000F194B" w:rsidRDefault="004552E4">
      <w:pPr>
        <w:pStyle w:val="PrincipalActReg"/>
        <w:spacing w:before="2600" w:after="0"/>
      </w:pPr>
      <w:r>
        <w:t>Workers’ Compensation and Rehabilitation (Acts of Terrorism) Act 2001</w:t>
      </w:r>
    </w:p>
    <w:p w:rsidR="000F194B" w:rsidRDefault="004552E4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00AE5">
        <w:rPr>
          <w:noProof/>
        </w:rPr>
        <w:t>Workers’ Compensation and Injury Management (Acts of Terrorism) (Final Day) Regulations 2002</w:t>
      </w:r>
      <w:r>
        <w:fldChar w:fldCharType="end"/>
      </w:r>
    </w:p>
    <w:p w:rsidR="000F194B" w:rsidRDefault="000F194B">
      <w:pPr>
        <w:jc w:val="center"/>
        <w:rPr>
          <w:b/>
        </w:rPr>
        <w:sectPr w:rsidR="000F19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F194B" w:rsidRDefault="004552E4">
      <w:pPr>
        <w:pStyle w:val="WA"/>
      </w:pPr>
      <w:r>
        <w:lastRenderedPageBreak/>
        <w:t>Western Australia</w:t>
      </w:r>
    </w:p>
    <w:p w:rsidR="000F194B" w:rsidRDefault="004552E4"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00AE5">
        <w:rPr>
          <w:noProof/>
        </w:rPr>
        <w:t>Workers’ Compensation and Injury Management (Acts of Terrorism) (Final Day) Regulations 2002</w:t>
      </w:r>
      <w:r>
        <w:fldChar w:fldCharType="end"/>
      </w:r>
    </w:p>
    <w:p w:rsidR="000F194B" w:rsidRDefault="004552E4">
      <w:pPr>
        <w:pStyle w:val="Arrangement"/>
      </w:pPr>
      <w:r>
        <w:t>CONTENTS</w:t>
      </w:r>
    </w:p>
    <w:p w:rsidR="00800AE5" w:rsidRDefault="004552E4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bookmarkStart w:id="1" w:name="UpToHere"/>
      <w:bookmarkEnd w:id="1"/>
      <w:r w:rsidR="00800AE5">
        <w:t>1.</w:t>
      </w:r>
      <w:r w:rsidR="00800AE5">
        <w:tab/>
        <w:t>Citation</w:t>
      </w:r>
      <w:r w:rsidR="00800AE5">
        <w:tab/>
      </w:r>
      <w:r w:rsidR="00800AE5">
        <w:fldChar w:fldCharType="begin"/>
      </w:r>
      <w:r w:rsidR="00800AE5">
        <w:instrText xml:space="preserve"> PAGEREF _Toc349093755 \h </w:instrText>
      </w:r>
      <w:r w:rsidR="00800AE5">
        <w:fldChar w:fldCharType="separate"/>
      </w:r>
      <w:r w:rsidR="00800AE5">
        <w:t>1</w:t>
      </w:r>
      <w:r w:rsidR="00800AE5">
        <w:fldChar w:fldCharType="end"/>
      </w:r>
    </w:p>
    <w:p w:rsidR="00800AE5" w:rsidRDefault="00800AE5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2.</w:t>
      </w:r>
      <w:r>
        <w:tab/>
        <w:t>Final day prescribed (section 3)</w:t>
      </w:r>
      <w:r>
        <w:tab/>
      </w:r>
      <w:r>
        <w:fldChar w:fldCharType="begin"/>
      </w:r>
      <w:r>
        <w:instrText xml:space="preserve"> PAGEREF _Toc349093756 \h </w:instrText>
      </w:r>
      <w:r>
        <w:fldChar w:fldCharType="separate"/>
      </w:r>
      <w:r>
        <w:t>1</w:t>
      </w:r>
      <w:r>
        <w:fldChar w:fldCharType="end"/>
      </w:r>
    </w:p>
    <w:p w:rsidR="00800AE5" w:rsidRDefault="00800AE5">
      <w:pPr>
        <w:pStyle w:val="TOC2"/>
        <w:tabs>
          <w:tab w:val="righ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 w:rsidR="00800AE5" w:rsidRDefault="00800AE5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_Toc349093758 \h </w:instrText>
      </w:r>
      <w:r>
        <w:fldChar w:fldCharType="separate"/>
      </w:r>
      <w:r>
        <w:t>2</w:t>
      </w:r>
      <w:r>
        <w:fldChar w:fldCharType="end"/>
      </w:r>
    </w:p>
    <w:p w:rsidR="000F194B" w:rsidRDefault="004552E4">
      <w:pPr>
        <w:pStyle w:val="TOC2"/>
      </w:pPr>
      <w:r>
        <w:fldChar w:fldCharType="end"/>
      </w:r>
    </w:p>
    <w:p w:rsidR="000F194B" w:rsidRDefault="004552E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F194B" w:rsidRDefault="000F194B">
      <w:pPr>
        <w:pStyle w:val="NoteHeading"/>
        <w:sectPr w:rsidR="000F194B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F194B" w:rsidRDefault="004552E4">
      <w:pPr>
        <w:pStyle w:val="WA"/>
      </w:pPr>
      <w:r>
        <w:t>Western Australia</w:t>
      </w:r>
    </w:p>
    <w:p w:rsidR="000F194B" w:rsidRDefault="004552E4">
      <w:pPr>
        <w:pStyle w:val="PrincipalActReg"/>
      </w:pPr>
      <w:r>
        <w:t>Workers’ Compensation and Rehabilitation (Acts of Terrorism) Act 2001</w:t>
      </w:r>
    </w:p>
    <w:p w:rsidR="000F194B" w:rsidRDefault="004552E4">
      <w:pPr>
        <w:pStyle w:val="NameofActReg"/>
      </w:pPr>
      <w:r>
        <w:t>Workers’ Compensation and Injury Management (Acts of Terrorism) (Final Day) Regulations 2002</w:t>
      </w:r>
    </w:p>
    <w:p w:rsidR="000F194B" w:rsidRDefault="004552E4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6677447"/>
      <w:bookmarkStart w:id="10" w:name="_Toc120600384"/>
      <w:bookmarkStart w:id="11" w:name="_Toc349093755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F194B" w:rsidRDefault="004552E4"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t>.</w:t>
      </w:r>
    </w:p>
    <w:p w:rsidR="000F194B" w:rsidRDefault="004552E4">
      <w:pPr>
        <w:pStyle w:val="Footnotesection"/>
        <w:rPr>
          <w:i w:val="0"/>
        </w:rPr>
      </w:pPr>
      <w:r>
        <w:tab/>
        <w:t>[Regulation 1 amended in Gazette 25 Nov 2005 p. 5691.]</w:t>
      </w:r>
    </w:p>
    <w:p w:rsidR="000F194B" w:rsidRDefault="004552E4">
      <w:pPr>
        <w:pStyle w:val="Heading5"/>
      </w:pPr>
      <w:bookmarkStart w:id="12" w:name="_Toc120600385"/>
      <w:bookmarkStart w:id="13" w:name="_Toc349093756"/>
      <w:r>
        <w:rPr>
          <w:rStyle w:val="CharSectno"/>
        </w:rPr>
        <w:t>2</w:t>
      </w:r>
      <w:r>
        <w:t>.</w:t>
      </w:r>
      <w:r>
        <w:tab/>
        <w:t>Final day prescribed (section 3)</w:t>
      </w:r>
      <w:bookmarkEnd w:id="12"/>
      <w:bookmarkEnd w:id="13"/>
    </w:p>
    <w:p w:rsidR="000F194B" w:rsidRDefault="004552E4">
      <w:pPr>
        <w:pStyle w:val="Subsection"/>
      </w:pPr>
      <w:r>
        <w:tab/>
      </w:r>
      <w:r>
        <w:tab/>
        <w:t>For the purposes of paragraph (b) of the definition of “final day” in section 3 of the Act, the final day is 31 December 2012.</w:t>
      </w:r>
    </w:p>
    <w:p w:rsidR="000F194B" w:rsidRDefault="004552E4">
      <w:pPr>
        <w:pStyle w:val="Footnotesection"/>
      </w:pPr>
      <w:r>
        <w:tab/>
        <w:t>[Regulation 2 inserted in Gazette 12 Sep 2003 p. 4083; amended in Gazette 25 Nov 2005 p. 5691; 6 Jan 2009 p. 15.]</w:t>
      </w:r>
    </w:p>
    <w:p w:rsidR="000F194B" w:rsidRDefault="000F194B">
      <w:pPr>
        <w:sectPr w:rsidR="000F194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F194B" w:rsidRDefault="004552E4">
      <w:pPr>
        <w:pStyle w:val="nHeading2"/>
      </w:pPr>
      <w:bookmarkStart w:id="14" w:name="_Toc120594932"/>
      <w:bookmarkStart w:id="15" w:name="_Toc120600386"/>
      <w:bookmarkStart w:id="16" w:name="_Toc218928370"/>
      <w:bookmarkStart w:id="17" w:name="_Toc218928376"/>
      <w:bookmarkStart w:id="18" w:name="_Toc349093757"/>
      <w:r>
        <w:t>Notes</w:t>
      </w:r>
      <w:bookmarkEnd w:id="14"/>
      <w:bookmarkEnd w:id="15"/>
      <w:bookmarkEnd w:id="16"/>
      <w:bookmarkEnd w:id="17"/>
      <w:bookmarkEnd w:id="18"/>
    </w:p>
    <w:p w:rsidR="000F194B" w:rsidRDefault="004552E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Workers’ Compensation and Injury Management (Acts of Terrorism) (Final Day) Regulations 2002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0F194B" w:rsidRDefault="004552E4">
      <w:pPr>
        <w:pStyle w:val="nHeading3"/>
      </w:pPr>
      <w:bookmarkStart w:id="19" w:name="_Toc349093758"/>
      <w:r>
        <w:t>Compilation table</w:t>
      </w:r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0F194B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F194B">
        <w:tc>
          <w:tcPr>
            <w:tcW w:w="3119" w:type="dxa"/>
            <w:tcBorders>
              <w:top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Regulations 2002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</w:t>
            </w:r>
          </w:p>
        </w:tc>
      </w:tr>
      <w:tr w:rsidR="000F194B">
        <w:tc>
          <w:tcPr>
            <w:tcW w:w="3119" w:type="dxa"/>
          </w:tcPr>
          <w:p w:rsidR="000F194B" w:rsidRDefault="004552E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 p. 4082-3</w:t>
            </w:r>
          </w:p>
        </w:tc>
        <w:tc>
          <w:tcPr>
            <w:tcW w:w="2693" w:type="dxa"/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</w:t>
            </w:r>
          </w:p>
        </w:tc>
      </w:tr>
      <w:tr w:rsidR="000F194B">
        <w:tc>
          <w:tcPr>
            <w:tcW w:w="3119" w:type="dxa"/>
          </w:tcPr>
          <w:p w:rsidR="000F194B" w:rsidRDefault="004552E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 p. 5691</w:t>
            </w:r>
          </w:p>
        </w:tc>
        <w:tc>
          <w:tcPr>
            <w:tcW w:w="2693" w:type="dxa"/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</w:t>
            </w:r>
          </w:p>
        </w:tc>
      </w:tr>
      <w:tr w:rsidR="000F194B">
        <w:tc>
          <w:tcPr>
            <w:tcW w:w="3118" w:type="dxa"/>
            <w:tcBorders>
              <w:bottom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Jan 2009 p. 15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0F194B" w:rsidRDefault="004552E4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6 Jan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7 Jan 2009 (see r. 2(b))</w:t>
            </w:r>
          </w:p>
        </w:tc>
      </w:tr>
    </w:tbl>
    <w:p w:rsidR="000F194B" w:rsidRDefault="004552E4">
      <w:pPr>
        <w:pStyle w:val="nSubsection"/>
        <w:rPr>
          <w:iCs/>
        </w:rPr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Workers’ Compensation and Injury Management (Acts of Terrorism) (Final Day) Regulations 2002</w:t>
      </w:r>
      <w:r>
        <w:rPr>
          <w:iCs/>
        </w:rPr>
        <w:t>; citation changed (see note under r. 1).</w:t>
      </w:r>
    </w:p>
    <w:p w:rsidR="000F194B" w:rsidRDefault="000F194B"/>
    <w:p w:rsidR="000F194B" w:rsidRDefault="000F194B">
      <w:pPr>
        <w:sectPr w:rsidR="000F194B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F194B" w:rsidRDefault="000F194B"/>
    <w:sectPr w:rsidR="000F194B">
      <w:headerReference w:type="even" r:id="rId28"/>
      <w:type w:val="continuous"/>
      <w:pgSz w:w="11906" w:h="16838" w:code="9"/>
      <w:pgMar w:top="794" w:right="1701" w:bottom="1134" w:left="1701" w:header="79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4B" w:rsidRDefault="004552E4">
      <w:r>
        <w:separator/>
      </w:r>
    </w:p>
  </w:endnote>
  <w:endnote w:type="continuationSeparator" w:id="0">
    <w:p w:rsidR="000F194B" w:rsidRDefault="004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00AE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00AE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Footer"/>
      <w:tabs>
        <w:tab w:val="clear" w:pos="4153"/>
        <w:tab w:val="right" w:pos="7088"/>
      </w:tabs>
      <w:rPr>
        <w:rStyle w:val="PageNumber"/>
      </w:rPr>
    </w:pPr>
  </w:p>
  <w:p w:rsidR="000F194B" w:rsidRDefault="004552E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07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00AE5">
      <w:rPr>
        <w:rFonts w:ascii="Arial" w:hAnsi="Arial" w:cs="Arial"/>
        <w:sz w:val="20"/>
        <w:lang w:val="en-US"/>
      </w:rPr>
      <w:t>00-c0-01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00AE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F194B" w:rsidRDefault="004552E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4B" w:rsidRDefault="004552E4">
      <w:r>
        <w:separator/>
      </w:r>
    </w:p>
  </w:footnote>
  <w:footnote w:type="continuationSeparator" w:id="0">
    <w:p w:rsidR="000F194B" w:rsidRDefault="0045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4552E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00AE5">
      <w:rPr>
        <w:i/>
        <w:noProof/>
      </w:rPr>
      <w:t>Workers’ Compensation and Injury Management (Acts of Terrorism) (Final Day) Regulations 2002</w:t>
    </w:r>
    <w:r>
      <w:rPr>
        <w:i/>
      </w:rPr>
      <w:fldChar w:fldCharType="end"/>
    </w:r>
  </w:p>
  <w:p w:rsidR="000F194B" w:rsidRDefault="004552E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F194B" w:rsidRDefault="004552E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F194B" w:rsidRDefault="000F194B">
    <w:pPr>
      <w:pStyle w:val="headerpart"/>
    </w:pPr>
  </w:p>
  <w:p w:rsidR="000F194B" w:rsidRDefault="000F194B">
    <w:pPr>
      <w:pBdr>
        <w:bottom w:val="single" w:sz="6" w:space="1" w:color="auto"/>
      </w:pBdr>
      <w:rPr>
        <w:b/>
      </w:rPr>
    </w:pPr>
  </w:p>
  <w:p w:rsidR="000F194B" w:rsidRDefault="000F194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ActNameRight"/>
            <w:ind w:right="17"/>
          </w:pPr>
          <w:fldSimple w:instr=" Styleref &quot;Name of Act/Reg&quot; ">
            <w:r w:rsidR="00800AE5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0F194B">
      <w:tc>
        <w:tcPr>
          <w:tcW w:w="5715" w:type="dxa"/>
        </w:tcPr>
        <w:p w:rsidR="000F194B" w:rsidRDefault="000F194B">
          <w:pPr>
            <w:pStyle w:val="HeaderTextRight"/>
          </w:pPr>
        </w:p>
      </w:tc>
      <w:tc>
        <w:tcPr>
          <w:tcW w:w="1548" w:type="dxa"/>
        </w:tcPr>
        <w:p w:rsidR="000F194B" w:rsidRDefault="000F194B">
          <w:pPr>
            <w:pStyle w:val="HeaderNumberRight"/>
            <w:ind w:right="17"/>
          </w:pPr>
        </w:p>
      </w:tc>
    </w:tr>
    <w:tr w:rsidR="000F194B">
      <w:tc>
        <w:tcPr>
          <w:tcW w:w="5715" w:type="dxa"/>
        </w:tcPr>
        <w:p w:rsidR="000F194B" w:rsidRDefault="000F194B">
          <w:pPr>
            <w:pStyle w:val="HeaderTextRight"/>
          </w:pPr>
        </w:p>
      </w:tc>
      <w:tc>
        <w:tcPr>
          <w:tcW w:w="1548" w:type="dxa"/>
        </w:tcPr>
        <w:p w:rsidR="000F194B" w:rsidRDefault="000F194B">
          <w:pPr>
            <w:pStyle w:val="HeaderNumberRight"/>
            <w:ind w:right="17"/>
          </w:pPr>
        </w:p>
      </w:tc>
    </w:tr>
    <w:tr w:rsidR="000F194B">
      <w:trPr>
        <w:cantSplit/>
      </w:trPr>
      <w:tc>
        <w:tcPr>
          <w:tcW w:w="7258" w:type="dxa"/>
          <w:gridSpan w:val="2"/>
        </w:tcPr>
        <w:p w:rsidR="000F194B" w:rsidRDefault="000F194B">
          <w:pPr>
            <w:pStyle w:val="HeaderSectionRight"/>
            <w:ind w:right="17"/>
          </w:pPr>
        </w:p>
      </w:tc>
    </w:tr>
  </w:tbl>
  <w:p w:rsidR="000F194B" w:rsidRDefault="000F194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ActNameLeft"/>
          </w:pPr>
          <w:fldSimple w:instr=" Styleref &quot;Name of Act/Reg&quot; ">
            <w:r w:rsidR="00800AE5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0F194B">
      <w:tc>
        <w:tcPr>
          <w:tcW w:w="1548" w:type="dxa"/>
        </w:tcPr>
        <w:p w:rsidR="000F194B" w:rsidRDefault="000F194B">
          <w:pPr>
            <w:pStyle w:val="HeaderNumberLeft"/>
          </w:pPr>
        </w:p>
      </w:tc>
      <w:tc>
        <w:tcPr>
          <w:tcW w:w="5715" w:type="dxa"/>
        </w:tcPr>
        <w:p w:rsidR="000F194B" w:rsidRDefault="000F194B">
          <w:pPr>
            <w:pStyle w:val="HeaderTextLeft"/>
          </w:pPr>
        </w:p>
      </w:tc>
    </w:tr>
    <w:tr w:rsidR="000F194B">
      <w:tc>
        <w:tcPr>
          <w:tcW w:w="1548" w:type="dxa"/>
        </w:tcPr>
        <w:p w:rsidR="000F194B" w:rsidRDefault="000F194B">
          <w:pPr>
            <w:pStyle w:val="HeaderNumberLeft"/>
          </w:pPr>
        </w:p>
      </w:tc>
      <w:tc>
        <w:tcPr>
          <w:tcW w:w="5715" w:type="dxa"/>
        </w:tcPr>
        <w:p w:rsidR="000F194B" w:rsidRDefault="000F194B">
          <w:pPr>
            <w:pStyle w:val="HeaderTextLeft"/>
          </w:pPr>
        </w:p>
      </w:tc>
    </w:tr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F194B" w:rsidRDefault="000F194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ActNameRight"/>
            <w:ind w:right="17"/>
          </w:pPr>
          <w:fldSimple w:instr=" Styleref &quot;Name of Act/Reg&quot; ">
            <w:r w:rsidR="00800AE5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0F194B">
      <w:tc>
        <w:tcPr>
          <w:tcW w:w="5715" w:type="dxa"/>
        </w:tcPr>
        <w:p w:rsidR="000F194B" w:rsidRDefault="000F194B">
          <w:pPr>
            <w:pStyle w:val="HeaderTextRight"/>
          </w:pPr>
        </w:p>
      </w:tc>
      <w:tc>
        <w:tcPr>
          <w:tcW w:w="1548" w:type="dxa"/>
        </w:tcPr>
        <w:p w:rsidR="000F194B" w:rsidRDefault="000F194B">
          <w:pPr>
            <w:pStyle w:val="HeaderNumberRight"/>
            <w:ind w:right="17"/>
          </w:pPr>
        </w:p>
      </w:tc>
    </w:tr>
    <w:tr w:rsidR="000F194B">
      <w:tc>
        <w:tcPr>
          <w:tcW w:w="5715" w:type="dxa"/>
        </w:tcPr>
        <w:p w:rsidR="000F194B" w:rsidRDefault="000F194B">
          <w:pPr>
            <w:pStyle w:val="HeaderTextRight"/>
          </w:pPr>
        </w:p>
      </w:tc>
      <w:tc>
        <w:tcPr>
          <w:tcW w:w="1548" w:type="dxa"/>
        </w:tcPr>
        <w:p w:rsidR="000F194B" w:rsidRDefault="000F194B">
          <w:pPr>
            <w:pStyle w:val="HeaderNumberRight"/>
            <w:ind w:right="17"/>
          </w:pPr>
        </w:p>
      </w:tc>
    </w:tr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F194B" w:rsidRDefault="000F194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ActNameLeft"/>
          </w:pPr>
          <w:fldSimple w:instr=" Styleref &quot;Name of Act/Reg&quot; ">
            <w:r w:rsidR="00800AE5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0F194B">
      <w:tc>
        <w:tcPr>
          <w:tcW w:w="1548" w:type="dxa"/>
        </w:tcPr>
        <w:p w:rsidR="000F194B" w:rsidRDefault="004552E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0F194B" w:rsidRDefault="004552E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F194B">
      <w:tc>
        <w:tcPr>
          <w:tcW w:w="1548" w:type="dxa"/>
        </w:tcPr>
        <w:p w:rsidR="000F194B" w:rsidRDefault="004552E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F194B" w:rsidRDefault="004552E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SectionLeft"/>
          </w:pPr>
          <w:r>
            <w:t xml:space="preserve">r. </w:t>
          </w:r>
          <w:fldSimple w:instr=" styleref CharSectno ">
            <w:r w:rsidR="00800AE5">
              <w:rPr>
                <w:noProof/>
              </w:rPr>
              <w:t>1</w:t>
            </w:r>
          </w:fldSimple>
        </w:p>
      </w:tc>
    </w:tr>
  </w:tbl>
  <w:p w:rsidR="000F194B" w:rsidRDefault="000F194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ActNameRight"/>
            <w:ind w:right="17"/>
          </w:pPr>
          <w:fldSimple w:instr=" Styleref &quot;Name of Act/Reg&quot; ">
            <w:r w:rsidR="00800AE5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0F194B">
      <w:tc>
        <w:tcPr>
          <w:tcW w:w="5715" w:type="dxa"/>
        </w:tcPr>
        <w:p w:rsidR="000F194B" w:rsidRDefault="004552E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F194B" w:rsidRDefault="004552E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F194B">
      <w:tc>
        <w:tcPr>
          <w:tcW w:w="5715" w:type="dxa"/>
        </w:tcPr>
        <w:p w:rsidR="000F194B" w:rsidRDefault="004552E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F194B" w:rsidRDefault="004552E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800AE5">
              <w:rPr>
                <w:noProof/>
              </w:rPr>
              <w:t>1</w:t>
            </w:r>
          </w:fldSimple>
        </w:p>
      </w:tc>
    </w:tr>
  </w:tbl>
  <w:p w:rsidR="000F194B" w:rsidRDefault="000F194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4B" w:rsidRDefault="000F194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F194B">
      <w:trPr>
        <w:cantSplit/>
      </w:trPr>
      <w:tc>
        <w:tcPr>
          <w:tcW w:w="7258" w:type="dxa"/>
          <w:gridSpan w:val="2"/>
        </w:tcPr>
        <w:p w:rsidR="000F194B" w:rsidRDefault="004552E4">
          <w:pPr>
            <w:pStyle w:val="HeaderActNameLeft"/>
          </w:pPr>
          <w:fldSimple w:instr=" Styleref &quot;Name of Act/Reg&quot; ">
            <w:r w:rsidR="00800AE5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0F194B">
      <w:tc>
        <w:tcPr>
          <w:tcW w:w="1548" w:type="dxa"/>
        </w:tcPr>
        <w:p w:rsidR="000F194B" w:rsidRDefault="000F194B">
          <w:pPr>
            <w:pStyle w:val="HeaderNumberLeft"/>
          </w:pPr>
        </w:p>
      </w:tc>
      <w:tc>
        <w:tcPr>
          <w:tcW w:w="5715" w:type="dxa"/>
        </w:tcPr>
        <w:p w:rsidR="000F194B" w:rsidRDefault="000F194B">
          <w:pPr>
            <w:pStyle w:val="HeaderTextLeft"/>
          </w:pPr>
        </w:p>
      </w:tc>
    </w:tr>
    <w:tr w:rsidR="000F194B">
      <w:tc>
        <w:tcPr>
          <w:tcW w:w="1548" w:type="dxa"/>
        </w:tcPr>
        <w:p w:rsidR="000F194B" w:rsidRDefault="000F194B">
          <w:pPr>
            <w:pStyle w:val="HeaderNumberLeft"/>
          </w:pPr>
        </w:p>
      </w:tc>
      <w:tc>
        <w:tcPr>
          <w:tcW w:w="5715" w:type="dxa"/>
        </w:tcPr>
        <w:p w:rsidR="000F194B" w:rsidRDefault="000F194B">
          <w:pPr>
            <w:pStyle w:val="HeaderTextLeft"/>
          </w:pPr>
        </w:p>
      </w:tc>
    </w:tr>
    <w:tr w:rsidR="000F194B">
      <w:trPr>
        <w:cantSplit/>
      </w:trPr>
      <w:tc>
        <w:tcPr>
          <w:tcW w:w="7258" w:type="dxa"/>
          <w:gridSpan w:val="2"/>
        </w:tcPr>
        <w:p w:rsidR="000F194B" w:rsidRDefault="000F194B">
          <w:pPr>
            <w:pStyle w:val="HeaderSectionRight"/>
            <w:ind w:right="17"/>
            <w:jc w:val="left"/>
          </w:pPr>
        </w:p>
      </w:tc>
    </w:tr>
  </w:tbl>
  <w:p w:rsidR="000F194B" w:rsidRDefault="000F194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4DCF59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324E559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4"/>
    <w:rsid w:val="000F194B"/>
    <w:rsid w:val="004552E4"/>
    <w:rsid w:val="006102FC"/>
    <w:rsid w:val="00800AE5"/>
    <w:rsid w:val="00B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2154</Characters>
  <Application>Microsoft Office Word</Application>
  <DocSecurity>0</DocSecurity>
  <Lines>93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2002 - 00-c0-01</dc:title>
  <dc:subject>Subsidiary Legislation</dc:subject>
  <dc:creator>svcMRProcess</dc:creator>
  <cp:keywords>Brought into Production 7 June 2002</cp:keywords>
  <dc:description>This template was originally constructed by Paul O'Neill  and has been modified by Mark Dungey to operate with the PCO DLL (constructed by Mark Dungey)</dc:description>
  <cp:lastModifiedBy>svcMRProcess</cp:lastModifiedBy>
  <cp:revision>4</cp:revision>
  <cp:lastPrinted>2002-12-02T08:05:00Z</cp:lastPrinted>
  <dcterms:created xsi:type="dcterms:W3CDTF">2013-02-19T19:19:00Z</dcterms:created>
  <dcterms:modified xsi:type="dcterms:W3CDTF">2013-02-19T19:19:00Z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20090107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AsAtDate">
    <vt:lpwstr>07 Jan 2009</vt:lpwstr>
  </property>
  <property fmtid="{D5CDD505-2E9C-101B-9397-08002B2CF9AE}" pid="7" name="Suffix">
    <vt:lpwstr>00-c0-01</vt:lpwstr>
  </property>
</Properties>
</file>