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Maritime Fees and Charges (Taxing) Act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Maritime Fees and Charges (Taxing) Act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  <w:snapToGrid w:val="0"/>
        </w:rPr>
        <w:tab/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_Toc421110022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  <w:snapToGrid w:val="0"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_Toc421110023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  <w:snapToGrid w:val="0"/>
        </w:rPr>
        <w:tab/>
        <w:t>Imposition of tax under Port Authorities Act 1999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_Toc421110024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_Toc421110026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pacing w:before="600" w:after="120"/>
      </w:pPr>
      <w:r>
        <w:t>Maritime Fees and Charges (Taxing) Act 1999</w:t>
      </w:r>
    </w:p>
    <w:p>
      <w:pPr>
        <w:pStyle w:val="LongTitle"/>
      </w:pPr>
      <w:bookmarkStart w:id="3" w:name="BillCited"/>
      <w:bookmarkEnd w:id="3"/>
      <w:r>
        <w:t>An Act to impose certain fees and charges levied by maritime authorities to the extent that any such fee or charge may be a tax.</w:t>
      </w:r>
    </w:p>
    <w:p>
      <w:pPr>
        <w:pStyle w:val="Enactment"/>
        <w:suppressLineNumbers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</w:pPr>
      <w:bookmarkStart w:id="4" w:name="_Toc379268163"/>
      <w:bookmarkStart w:id="5" w:name="_Toc42111002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Maritime Fees and Charges (Taxing) Act 1999.</w:t>
      </w:r>
      <w:r>
        <w:rPr>
          <w:snapToGrid w:val="0"/>
        </w:rPr>
        <w:t xml:space="preserve"> </w:t>
      </w:r>
    </w:p>
    <w:p>
      <w:pPr>
        <w:pStyle w:val="Heading5"/>
        <w:rPr>
          <w:snapToGrid w:val="0"/>
        </w:rPr>
      </w:pPr>
      <w:bookmarkStart w:id="6" w:name="Start_Cursor"/>
      <w:bookmarkStart w:id="7" w:name="_Toc379268164"/>
      <w:bookmarkStart w:id="8" w:name="_Toc421110023"/>
      <w:bookmarkEnd w:id="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</w:p>
    <w:p>
      <w:pPr>
        <w:pStyle w:val="Subsection"/>
      </w:pPr>
      <w:r>
        <w:tab/>
      </w:r>
      <w:r>
        <w:tab/>
        <w:t>This Act comes into operation on the day on which it receives the Royal Assent.</w:t>
      </w:r>
    </w:p>
    <w:p>
      <w:pPr>
        <w:pStyle w:val="Heading5"/>
        <w:rPr>
          <w:snapToGrid w:val="0"/>
        </w:rPr>
      </w:pPr>
      <w:bookmarkStart w:id="9" w:name="_Toc379268165"/>
      <w:bookmarkStart w:id="10" w:name="_Toc4211100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Imposition of tax under </w:t>
      </w:r>
      <w:r>
        <w:rPr>
          <w:i/>
          <w:snapToGrid w:val="0"/>
        </w:rPr>
        <w:t>Port Authorities Act 1999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To the extent that any fee or charge referred to in section 37 of the </w:t>
      </w:r>
      <w:r>
        <w:rPr>
          <w:i/>
        </w:rPr>
        <w:t>Port Authorities Act 1999</w:t>
      </w:r>
      <w:r>
        <w:t xml:space="preserve"> may be a tax, this Act imposes the fee or charge.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9268166"/>
      <w:bookmarkStart w:id="12" w:name="_Toc421110013"/>
      <w:bookmarkStart w:id="13" w:name="_Toc421110025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Maritime Fees and Charges (Taxing) Act 1999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4" w:name="_Toc421110026"/>
      <w:r>
        <w:rPr>
          <w:snapToGrid w:val="0"/>
        </w:rPr>
        <w:t>Compilation table</w:t>
      </w:r>
      <w:bookmarkEnd w:id="1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snapToGrid w:val="0"/>
              </w:rPr>
              <w:t>Maritime Fees and Charges (Taxing) Act 1999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6 of 1999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Apr 1999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Apr 1999 (see s. 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567" w:right="2410" w:bottom="567" w:left="2410" w:header="720" w:footer="3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Apr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Apr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Apr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Maritime Fees and Charges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Maritime Fees and Charges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Maritime Fees and Charges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Maritime Fees and Charges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Maritime Fees and Charges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Maritime Fees and Charges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06C7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FA5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5C8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B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D66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B08B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C1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8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40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D14543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60806"/>
    <w:docVar w:name="WAFER_20140204085744" w:val="RemoveTocBookmarks,RemoveUnusedBookmarks,RemoveLanguageTags,UsedStyles,ResetPageSize,UpdateArrangement"/>
    <w:docVar w:name="WAFER_20140204085744_GUID" w:val="035340a7-ccb1-458a-bcfd-7155013b2dc5"/>
    <w:docVar w:name="WAFER_20140204090406" w:val="RemoveTocBookmarks,RunningHeaders"/>
    <w:docVar w:name="WAFER_20140204090406_GUID" w:val="bd2a4411-a138-423e-b317-b17110a5f5f0"/>
    <w:docVar w:name="WAFER_20150603152936" w:val="ResetPageSize,UpdateArrangement,UpdateNTable"/>
    <w:docVar w:name="WAFER_20150603152936_GUID" w:val="205f5547-f915-4fb9-869d-46666bd788fe"/>
    <w:docVar w:name="WAFER_20151106160806" w:val="UpdateStyles,UsedStyles"/>
    <w:docVar w:name="WAFER_20151106160806_GUID" w:val="3c5321ad-8ab8-4270-aef4-3391350618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uiPriority w:val="39"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uiPriority w:val="39"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</Words>
  <Characters>1426</Characters>
  <Application>Microsoft Office Word</Application>
  <DocSecurity>0</DocSecurity>
  <Lines>67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Maritime Fees and Charges (Taxing) Act 1999 - 00-a0-12</dc:title>
  <dc:subject/>
  <dc:creator/>
  <cp:keywords/>
  <dc:description/>
  <cp:lastModifiedBy>svcMRProcess</cp:lastModifiedBy>
  <cp:revision>4</cp:revision>
  <cp:lastPrinted>1999-04-16T03:07:00Z</cp:lastPrinted>
  <dcterms:created xsi:type="dcterms:W3CDTF">2019-01-24T03:33:00Z</dcterms:created>
  <dcterms:modified xsi:type="dcterms:W3CDTF">2019-01-24T03:33:00Z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 of 1999</vt:lpwstr>
  </property>
  <property fmtid="{D5CDD505-2E9C-101B-9397-08002B2CF9AE}" pid="3" name="CommencementDate">
    <vt:lpwstr>19990413</vt:lpwstr>
  </property>
  <property fmtid="{D5CDD505-2E9C-101B-9397-08002B2CF9AE}" pid="4" name="DocumentType">
    <vt:lpwstr>Act</vt:lpwstr>
  </property>
  <property fmtid="{D5CDD505-2E9C-101B-9397-08002B2CF9AE}" pid="5" name="AsAtDate">
    <vt:lpwstr>13 Apr 1999</vt:lpwstr>
  </property>
  <property fmtid="{D5CDD505-2E9C-101B-9397-08002B2CF9AE}" pid="6" name="Suffix">
    <vt:lpwstr>00-a0-12</vt:lpwstr>
  </property>
</Properties>
</file>