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right="192"/>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_Toc124139880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_Toc124139881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_Toc124139882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_Toc124139883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_Toc124139884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_Toc124139885 \h </w:instrText>
      </w:r>
      <w:r>
        <w:fldChar w:fldCharType="separate"/>
      </w:r>
      <w:r>
        <w:t>4</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_Toc124139886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_Toc124139887 \h </w:instrText>
      </w:r>
      <w:r>
        <w:fldChar w:fldCharType="separate"/>
      </w:r>
      <w:r>
        <w:t>11</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_Toc124139888 \h </w:instrText>
      </w:r>
      <w:r>
        <w:fldChar w:fldCharType="separate"/>
      </w:r>
      <w:r>
        <w:t>12</w:t>
      </w:r>
      <w:r>
        <w:fldChar w:fldCharType="end"/>
      </w:r>
    </w:p>
    <w:p>
      <w:pPr>
        <w:pStyle w:val="TOC2"/>
        <w:tabs>
          <w:tab w:val="righ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_Toc124139890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_Toc124139891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_Toc124139892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_Toc124139893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 to appoint acting warden</w:t>
      </w:r>
      <w:r>
        <w:tab/>
      </w:r>
      <w:r>
        <w:fldChar w:fldCharType="begin"/>
      </w:r>
      <w:r>
        <w:instrText xml:space="preserve"> PAGEREF _Toc124139894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_Toc124139895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_Toc124139896 \h </w:instrText>
      </w:r>
      <w:r>
        <w:fldChar w:fldCharType="separate"/>
      </w:r>
      <w:r>
        <w:t>17</w:t>
      </w:r>
      <w:r>
        <w:fldChar w:fldCharType="end"/>
      </w:r>
    </w:p>
    <w:p>
      <w:pPr>
        <w:pStyle w:val="TOC2"/>
        <w:keepLines/>
        <w:tabs>
          <w:tab w:val="right" w:pos="7086"/>
        </w:tabs>
        <w:rPr>
          <w:b w:val="0"/>
          <w:sz w:val="24"/>
          <w:szCs w:val="24"/>
        </w:rPr>
      </w:pPr>
      <w:r>
        <w:rPr>
          <w:szCs w:val="30"/>
        </w:rPr>
        <w:lastRenderedPageBreak/>
        <w:t>Part III — Land open for mining</w:t>
      </w:r>
    </w:p>
    <w:p>
      <w:pPr>
        <w:pStyle w:val="TOC4"/>
        <w:keepLines/>
        <w:tabs>
          <w:tab w:val="right" w:pos="7086"/>
        </w:tabs>
        <w:rPr>
          <w:b w:val="0"/>
          <w:sz w:val="24"/>
          <w:szCs w:val="24"/>
        </w:rPr>
      </w:pPr>
      <w:r>
        <w:rPr>
          <w:szCs w:val="26"/>
        </w:rPr>
        <w:t>Division 1</w:t>
      </w:r>
      <w:r>
        <w:rPr>
          <w:snapToGrid w:val="0"/>
          <w:szCs w:val="26"/>
        </w:rPr>
        <w:t> — </w:t>
      </w:r>
      <w:r>
        <w:rPr>
          <w:szCs w:val="26"/>
        </w:rPr>
        <w:t>Crown land</w:t>
      </w:r>
    </w:p>
    <w:p>
      <w:pPr>
        <w:pStyle w:val="TOC8"/>
        <w:keepNext/>
        <w:keepLines/>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_Toc124139899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Power to set aside land for mining or exempt it therefrom</w:t>
      </w:r>
      <w:r>
        <w:tab/>
      </w:r>
      <w:r>
        <w:fldChar w:fldCharType="begin"/>
      </w:r>
      <w:r>
        <w:instrText xml:space="preserve"> PAGEREF _Toc124139900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_Toc124139901 \h </w:instrText>
      </w:r>
      <w:r>
        <w:fldChar w:fldCharType="separate"/>
      </w:r>
      <w:r>
        <w:t>20</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_Toc124139902 \h </w:instrText>
      </w:r>
      <w:r>
        <w:fldChar w:fldCharType="separate"/>
      </w:r>
      <w:r>
        <w:t>26</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_Toc124139903 \h </w:instrText>
      </w:r>
      <w:r>
        <w:fldChar w:fldCharType="separate"/>
      </w:r>
      <w:r>
        <w:t>27</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_Toc124139904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_Toc124139905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_Toc124139906 \h </w:instrText>
      </w:r>
      <w:r>
        <w:fldChar w:fldCharType="separate"/>
      </w:r>
      <w:r>
        <w:t>30</w:t>
      </w:r>
      <w:r>
        <w:fldChar w:fldCharType="end"/>
      </w:r>
    </w:p>
    <w:p>
      <w:pPr>
        <w:pStyle w:val="TOC4"/>
        <w:tabs>
          <w:tab w:val="righ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_Toc124139908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_Toc124139909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_Toc124139910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_Toc124139911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_Toc124139912 \h </w:instrText>
      </w:r>
      <w:r>
        <w:fldChar w:fldCharType="separate"/>
      </w:r>
      <w:r>
        <w:t>38</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_Toc124139913 \h </w:instrText>
      </w:r>
      <w:r>
        <w:fldChar w:fldCharType="separate"/>
      </w:r>
      <w:r>
        <w:t>40</w:t>
      </w:r>
      <w:r>
        <w:fldChar w:fldCharType="end"/>
      </w:r>
    </w:p>
    <w:p>
      <w:pPr>
        <w:pStyle w:val="TOC4"/>
        <w:tabs>
          <w:tab w:val="righ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_Toc124139915 \h </w:instrText>
      </w:r>
      <w:r>
        <w:fldChar w:fldCharType="separate"/>
      </w:r>
      <w:r>
        <w:t>41</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_Toc124139916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_Toc124139917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_Toc124139918 \h </w:instrText>
      </w:r>
      <w:r>
        <w:fldChar w:fldCharType="separate"/>
      </w:r>
      <w:r>
        <w:t>45</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_Toc124139919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_Toc124139920 \h </w:instrText>
      </w:r>
      <w:r>
        <w:fldChar w:fldCharType="separate"/>
      </w:r>
      <w:r>
        <w:t>48</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_Toc124139921 \h </w:instrText>
      </w:r>
      <w:r>
        <w:fldChar w:fldCharType="separate"/>
      </w:r>
      <w:r>
        <w:t>49</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_Toc124139922 \h </w:instrText>
      </w:r>
      <w:r>
        <w:fldChar w:fldCharType="separate"/>
      </w:r>
      <w:r>
        <w:t>50</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_Toc124139923 \h </w:instrText>
      </w:r>
      <w:r>
        <w:fldChar w:fldCharType="separate"/>
      </w:r>
      <w:r>
        <w:t>51</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_Toc124139924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_Toc124139925 \h </w:instrText>
      </w:r>
      <w:r>
        <w:fldChar w:fldCharType="separate"/>
      </w:r>
      <w:r>
        <w:t>52</w:t>
      </w:r>
      <w:r>
        <w:fldChar w:fldCharType="end"/>
      </w:r>
    </w:p>
    <w:p>
      <w:pPr>
        <w:pStyle w:val="TOC2"/>
        <w:tabs>
          <w:tab w:val="right" w:pos="7086"/>
        </w:tabs>
        <w:rPr>
          <w:b w:val="0"/>
          <w:sz w:val="24"/>
          <w:szCs w:val="24"/>
        </w:rPr>
      </w:pPr>
      <w:r>
        <w:rPr>
          <w:szCs w:val="30"/>
        </w:rPr>
        <w:t>Part IV — Mining tenements</w:t>
      </w:r>
    </w:p>
    <w:p>
      <w:pPr>
        <w:pStyle w:val="TOC4"/>
        <w:tabs>
          <w:tab w:val="righ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_Toc124139928 \h </w:instrText>
      </w:r>
      <w:r>
        <w:fldChar w:fldCharType="separate"/>
      </w:r>
      <w:r>
        <w:t>54</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_Toc124139929 \h </w:instrText>
      </w:r>
      <w:r>
        <w:fldChar w:fldCharType="separate"/>
      </w:r>
      <w:r>
        <w:t>54</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_Toc124139930 \h </w:instrText>
      </w:r>
      <w:r>
        <w:fldChar w:fldCharType="separate"/>
      </w:r>
      <w:r>
        <w:t>55</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_Toc124139931 \h </w:instrText>
      </w:r>
      <w:r>
        <w:fldChar w:fldCharType="separate"/>
      </w:r>
      <w:r>
        <w:t>56</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_Toc124139932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_Toc124139933 \h </w:instrText>
      </w:r>
      <w:r>
        <w:fldChar w:fldCharType="separate"/>
      </w:r>
      <w:r>
        <w:t>56</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_Toc124139934 \h </w:instrText>
      </w:r>
      <w:r>
        <w:fldChar w:fldCharType="separate"/>
      </w:r>
      <w:r>
        <w:t>57</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_Toc124139935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_Toc124139936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_Toc124139937 \h </w:instrText>
      </w:r>
      <w:r>
        <w:fldChar w:fldCharType="separate"/>
      </w:r>
      <w:r>
        <w:t>59</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_Toc124139938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_Toc124139939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_Toc124139940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_Toc124139941 \h </w:instrText>
      </w:r>
      <w:r>
        <w:fldChar w:fldCharType="separate"/>
      </w:r>
      <w:r>
        <w:t>62</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_Toc124139942 \h </w:instrText>
      </w:r>
      <w:r>
        <w:fldChar w:fldCharType="separate"/>
      </w:r>
      <w:r>
        <w:t>62</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_Toc124139943 \h </w:instrText>
      </w:r>
      <w:r>
        <w:fldChar w:fldCharType="separate"/>
      </w:r>
      <w:r>
        <w:t>63</w:t>
      </w:r>
      <w:r>
        <w:fldChar w:fldCharType="end"/>
      </w:r>
    </w:p>
    <w:p>
      <w:pPr>
        <w:pStyle w:val="TOC4"/>
        <w:tabs>
          <w:tab w:val="righ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vertAlign w:val="superscript"/>
        </w:rPr>
        <w:tab/>
      </w:r>
      <w:r>
        <w:rPr>
          <w:snapToGrid w:val="0"/>
          <w:szCs w:val="24"/>
        </w:rPr>
        <w:t>Graticular sections</w:t>
      </w:r>
      <w:r>
        <w:tab/>
      </w:r>
      <w:r>
        <w:fldChar w:fldCharType="begin"/>
      </w:r>
      <w:r>
        <w:instrText xml:space="preserve"> PAGEREF _Toc124139945 \h </w:instrText>
      </w:r>
      <w:r>
        <w:fldChar w:fldCharType="separate"/>
      </w:r>
      <w:r>
        <w:t>69</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_Toc124139946 \h </w:instrText>
      </w:r>
      <w:r>
        <w:fldChar w:fldCharType="separate"/>
      </w:r>
      <w:r>
        <w:t>70</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_Toc124139947 \h </w:instrText>
      </w:r>
      <w:r>
        <w:fldChar w:fldCharType="separate"/>
      </w:r>
      <w:r>
        <w:t>72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_Toc124139948 \h </w:instrText>
      </w:r>
      <w:r>
        <w:fldChar w:fldCharType="separate"/>
      </w:r>
      <w:r>
        <w:t>74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_Toc124139949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_Toc124139950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_Toc124139951 \h </w:instrText>
      </w:r>
      <w:r>
        <w:fldChar w:fldCharType="separate"/>
      </w:r>
      <w:r>
        <w:t>77</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_Toc124139952 \h </w:instrText>
      </w:r>
      <w:r>
        <w:fldChar w:fldCharType="separate"/>
      </w:r>
      <w:r>
        <w:t>77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_Toc124139953 \h </w:instrText>
      </w:r>
      <w:r>
        <w:fldChar w:fldCharType="separate"/>
      </w:r>
      <w:r>
        <w:t>78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_Toc124139954 \h </w:instrText>
      </w:r>
      <w:r>
        <w:fldChar w:fldCharType="separate"/>
      </w:r>
      <w:r>
        <w:t>78</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_Toc124139955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_Toc124139956 \h </w:instrText>
      </w:r>
      <w:r>
        <w:fldChar w:fldCharType="separate"/>
      </w:r>
      <w:r>
        <w:t>80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_Toc124139957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_Toc124139958 \h </w:instrText>
      </w:r>
      <w:r>
        <w:fldChar w:fldCharType="separate"/>
      </w:r>
      <w:r>
        <w:t>85</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_Toc124139959 \h </w:instrText>
      </w:r>
      <w:r>
        <w:fldChar w:fldCharType="separate"/>
      </w:r>
      <w:r>
        <w:t>86</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_Toc124139960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_Toc124139961 \h </w:instrText>
      </w:r>
      <w:r>
        <w:fldChar w:fldCharType="separate"/>
      </w:r>
      <w:r>
        <w:t>88</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licences on an </w:t>
      </w:r>
      <w:r>
        <w:rPr>
          <w:szCs w:val="24"/>
        </w:rPr>
        <w:t>primary tenement</w:t>
      </w:r>
      <w:r>
        <w:tab/>
      </w:r>
      <w:r>
        <w:fldChar w:fldCharType="begin"/>
      </w:r>
      <w:r>
        <w:instrText xml:space="preserve"> PAGEREF _Toc124139962 \h </w:instrText>
      </w:r>
      <w:r>
        <w:fldChar w:fldCharType="separate"/>
      </w:r>
      <w:r>
        <w:t>89</w:t>
      </w:r>
      <w:r>
        <w:fldChar w:fldCharType="end"/>
      </w:r>
    </w:p>
    <w:p>
      <w:pPr>
        <w:pStyle w:val="TOC4"/>
        <w:tabs>
          <w:tab w:val="righ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napToGrid w:val="0"/>
          <w:szCs w:val="24"/>
        </w:rPr>
        <w:t>.</w:t>
      </w:r>
      <w:r>
        <w:rPr>
          <w:snapToGrid w:val="0"/>
          <w:szCs w:val="24"/>
        </w:rPr>
        <w:tab/>
        <w:t>Definitions</w:t>
      </w:r>
      <w:r>
        <w:tab/>
      </w:r>
      <w:r>
        <w:fldChar w:fldCharType="begin"/>
      </w:r>
      <w:r>
        <w:instrText xml:space="preserve"> PAGEREF _Toc124139964 \h </w:instrText>
      </w:r>
      <w:r>
        <w:fldChar w:fldCharType="separate"/>
      </w:r>
      <w:r>
        <w:t>95</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_Toc124139965 \h </w:instrText>
      </w:r>
      <w:r>
        <w:fldChar w:fldCharType="separate"/>
      </w:r>
      <w:r>
        <w:t>95</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_Toc124139966 \h </w:instrText>
      </w:r>
      <w:r>
        <w:fldChar w:fldCharType="separate"/>
      </w:r>
      <w:r>
        <w:t>96</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_Toc124139967 \h </w:instrText>
      </w:r>
      <w:r>
        <w:fldChar w:fldCharType="separate"/>
      </w:r>
      <w:r>
        <w:t>98</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_Toc124139968 \h </w:instrText>
      </w:r>
      <w:r>
        <w:fldChar w:fldCharType="separate"/>
      </w:r>
      <w:r>
        <w:t>100</w:t>
      </w:r>
      <w:r>
        <w:fldChar w:fldCharType="end"/>
      </w:r>
    </w:p>
    <w:p>
      <w:pPr>
        <w:pStyle w:val="TOC8"/>
        <w:rPr>
          <w:sz w:val="24"/>
          <w:szCs w:val="24"/>
        </w:rPr>
      </w:pPr>
      <w:r>
        <w:rPr>
          <w:szCs w:val="24"/>
        </w:rPr>
        <w:t>70F</w:t>
      </w:r>
      <w:r>
        <w:rPr>
          <w:snapToGrid w:val="0"/>
          <w:szCs w:val="24"/>
        </w:rPr>
        <w:t>.</w:t>
      </w:r>
      <w:r>
        <w:rPr>
          <w:snapToGrid w:val="0"/>
          <w:szCs w:val="24"/>
        </w:rPr>
        <w:tab/>
        <w:t>Security relating to retention licence</w:t>
      </w:r>
      <w:r>
        <w:tab/>
      </w:r>
      <w:r>
        <w:fldChar w:fldCharType="begin"/>
      </w:r>
      <w:r>
        <w:instrText xml:space="preserve"> PAGEREF _Toc124139969 \h </w:instrText>
      </w:r>
      <w:r>
        <w:fldChar w:fldCharType="separate"/>
      </w:r>
      <w:r>
        <w:t>101</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_Toc124139970 \h </w:instrText>
      </w:r>
      <w:r>
        <w:fldChar w:fldCharType="separate"/>
      </w:r>
      <w:r>
        <w:t>101</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_Toc124139971 \h </w:instrText>
      </w:r>
      <w:r>
        <w:fldChar w:fldCharType="separate"/>
      </w:r>
      <w:r>
        <w:t>101</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_Toc124139972 \h </w:instrText>
      </w:r>
      <w:r>
        <w:fldChar w:fldCharType="separate"/>
      </w:r>
      <w:r>
        <w:t>102</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_Toc124139973 \h </w:instrText>
      </w:r>
      <w:r>
        <w:fldChar w:fldCharType="separate"/>
      </w:r>
      <w:r>
        <w:t>103</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_Toc124139974 \h </w:instrText>
      </w:r>
      <w:r>
        <w:fldChar w:fldCharType="separate"/>
      </w:r>
      <w:r>
        <w:t>104</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_Toc124139975 \h </w:instrText>
      </w:r>
      <w:r>
        <w:fldChar w:fldCharType="separate"/>
      </w:r>
      <w:r>
        <w:t>105</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_Toc124139976 \h </w:instrText>
      </w:r>
      <w:r>
        <w:fldChar w:fldCharType="separate"/>
      </w:r>
      <w:r>
        <w:t>105</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_Toc124139977 \h </w:instrText>
      </w:r>
      <w:r>
        <w:fldChar w:fldCharType="separate"/>
      </w:r>
      <w:r>
        <w:t>106</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_Toc124139978 \h </w:instrText>
      </w:r>
      <w:r>
        <w:fldChar w:fldCharType="separate"/>
      </w:r>
      <w:r>
        <w:t>107</w:t>
      </w:r>
      <w:r>
        <w:fldChar w:fldCharType="end"/>
      </w:r>
    </w:p>
    <w:p>
      <w:pPr>
        <w:pStyle w:val="TOC4"/>
        <w:tabs>
          <w:tab w:val="righ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_Toc124139980 \h </w:instrText>
      </w:r>
      <w:r>
        <w:fldChar w:fldCharType="separate"/>
      </w:r>
      <w:r>
        <w:t>108</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_Toc124139981 \h </w:instrText>
      </w:r>
      <w:r>
        <w:fldChar w:fldCharType="separate"/>
      </w:r>
      <w:r>
        <w:t>108</w:t>
      </w:r>
      <w:r>
        <w:fldChar w:fldCharType="end"/>
      </w:r>
    </w:p>
    <w:p>
      <w:pPr>
        <w:pStyle w:val="TOC8"/>
        <w:rPr>
          <w:sz w:val="24"/>
          <w:szCs w:val="24"/>
        </w:rPr>
      </w:pPr>
      <w:r>
        <w:rPr>
          <w:szCs w:val="24"/>
        </w:rPr>
        <w:t>73</w:t>
      </w:r>
      <w:r>
        <w:rPr>
          <w:snapToGrid w:val="0"/>
          <w:szCs w:val="24"/>
        </w:rPr>
        <w:t>.</w:t>
      </w:r>
      <w:r>
        <w:rPr>
          <w:snapToGrid w:val="0"/>
          <w:szCs w:val="24"/>
        </w:rPr>
        <w:tab/>
        <w:t>Area of mining lease</w:t>
      </w:r>
      <w:r>
        <w:tab/>
      </w:r>
      <w:r>
        <w:fldChar w:fldCharType="begin"/>
      </w:r>
      <w:r>
        <w:instrText xml:space="preserve"> PAGEREF _Toc124139982 \h </w:instrText>
      </w:r>
      <w:r>
        <w:fldChar w:fldCharType="separate"/>
      </w:r>
      <w:r>
        <w:t>108</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_Toc124139983 \h </w:instrText>
      </w:r>
      <w:r>
        <w:fldChar w:fldCharType="separate"/>
      </w:r>
      <w:r>
        <w:t>108</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_Toc124139984 \h </w:instrText>
      </w:r>
      <w:r>
        <w:fldChar w:fldCharType="separate"/>
      </w:r>
      <w:r>
        <w:t>109</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_Toc124139985 \h </w:instrText>
      </w:r>
      <w:r>
        <w:fldChar w:fldCharType="separate"/>
      </w:r>
      <w:r>
        <w:t>111</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_Toc124139986 \h </w:instrText>
      </w:r>
      <w:r>
        <w:fldChar w:fldCharType="separate"/>
      </w:r>
      <w:r>
        <w:t>111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_Toc124139987 \h </w:instrText>
      </w:r>
      <w:r>
        <w:fldChar w:fldCharType="separate"/>
      </w:r>
      <w:r>
        <w:t>112</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_Toc124139988 \h </w:instrText>
      </w:r>
      <w:r>
        <w:fldChar w:fldCharType="separate"/>
      </w:r>
      <w:r>
        <w:t>112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_Toc124139989 \h </w:instrText>
      </w:r>
      <w:r>
        <w:fldChar w:fldCharType="separate"/>
      </w:r>
      <w:r>
        <w:t>113</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_Toc124139990 \h </w:instrText>
      </w:r>
      <w:r>
        <w:fldChar w:fldCharType="separate"/>
      </w:r>
      <w:r>
        <w:t>114</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_Toc124139991 \h </w:instrText>
      </w:r>
      <w:r>
        <w:fldChar w:fldCharType="separate"/>
      </w:r>
      <w:r>
        <w:t>115</w:t>
      </w:r>
      <w:r>
        <w:fldChar w:fldCharType="end"/>
      </w:r>
    </w:p>
    <w:p>
      <w:pPr>
        <w:pStyle w:val="TOC8"/>
        <w:rPr>
          <w:sz w:val="24"/>
          <w:szCs w:val="24"/>
        </w:rPr>
      </w:pPr>
      <w:r>
        <w:rPr>
          <w:szCs w:val="24"/>
        </w:rPr>
        <w:t>84A</w:t>
      </w:r>
      <w:r>
        <w:rPr>
          <w:snapToGrid w:val="0"/>
          <w:szCs w:val="24"/>
        </w:rPr>
        <w:t>.</w:t>
      </w:r>
      <w:r>
        <w:rPr>
          <w:snapToGrid w:val="0"/>
          <w:szCs w:val="24"/>
        </w:rPr>
        <w:tab/>
        <w:t>Security relating to mining lease</w:t>
      </w:r>
      <w:r>
        <w:tab/>
      </w:r>
      <w:r>
        <w:fldChar w:fldCharType="begin"/>
      </w:r>
      <w:r>
        <w:instrText xml:space="preserve"> PAGEREF _Toc124139992 \h </w:instrText>
      </w:r>
      <w:r>
        <w:fldChar w:fldCharType="separate"/>
      </w:r>
      <w:r>
        <w:t>116</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_Toc124139993 \h </w:instrText>
      </w:r>
      <w:r>
        <w:fldChar w:fldCharType="separate"/>
      </w:r>
      <w:r>
        <w:t>116</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_Toc124139994 \h </w:instrText>
      </w:r>
      <w:r>
        <w:fldChar w:fldCharType="separate"/>
      </w:r>
      <w:r>
        <w:t>117</w:t>
      </w:r>
      <w:r>
        <w:fldChar w:fldCharType="end"/>
      </w:r>
    </w:p>
    <w:p>
      <w:pPr>
        <w:pStyle w:val="TOC8"/>
        <w:rPr>
          <w:sz w:val="24"/>
          <w:szCs w:val="24"/>
        </w:rPr>
      </w:pPr>
      <w:r>
        <w:rPr>
          <w:szCs w:val="24"/>
        </w:rPr>
        <w:t>85B</w:t>
      </w:r>
      <w:r>
        <w:rPr>
          <w:snapToGrid w:val="0"/>
          <w:szCs w:val="24"/>
        </w:rPr>
        <w:t>.</w:t>
      </w:r>
      <w:r>
        <w:rPr>
          <w:snapToGrid w:val="0"/>
          <w:szCs w:val="24"/>
          <w:vertAlign w:val="superscript"/>
        </w:rPr>
        <w:tab/>
      </w:r>
      <w:r>
        <w:rPr>
          <w:snapToGrid w:val="0"/>
          <w:szCs w:val="24"/>
        </w:rPr>
        <w:t>Special prospecting licence on a mining lease</w:t>
      </w:r>
      <w:r>
        <w:tab/>
      </w:r>
      <w:r>
        <w:fldChar w:fldCharType="begin"/>
      </w:r>
      <w:r>
        <w:instrText xml:space="preserve"> PAGEREF _Toc124139995 \h </w:instrText>
      </w:r>
      <w:r>
        <w:fldChar w:fldCharType="separate"/>
      </w:r>
      <w:r>
        <w:t>117</w:t>
      </w:r>
      <w:r>
        <w:fldChar w:fldCharType="end"/>
      </w:r>
    </w:p>
    <w:p>
      <w:pPr>
        <w:pStyle w:val="TOC4"/>
        <w:tabs>
          <w:tab w:val="righ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_Toc124139997 \h </w:instrText>
      </w:r>
      <w:r>
        <w:fldChar w:fldCharType="separate"/>
      </w:r>
      <w:r>
        <w:t>122</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_Toc124139998 \h </w:instrText>
      </w:r>
      <w:r>
        <w:fldChar w:fldCharType="separate"/>
      </w:r>
      <w:r>
        <w:t>123</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_Toc124139999 \h </w:instrText>
      </w:r>
      <w:r>
        <w:fldChar w:fldCharType="separate"/>
      </w:r>
      <w:r>
        <w:t>123</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_Toc124140000 \h </w:instrText>
      </w:r>
      <w:r>
        <w:fldChar w:fldCharType="separate"/>
      </w:r>
      <w:r>
        <w:t>125</w:t>
      </w:r>
      <w:r>
        <w:fldChar w:fldCharType="end"/>
      </w:r>
    </w:p>
    <w:p>
      <w:pPr>
        <w:pStyle w:val="TOC8"/>
        <w:rPr>
          <w:sz w:val="24"/>
          <w:szCs w:val="24"/>
        </w:rPr>
      </w:pPr>
      <w:r>
        <w:rPr>
          <w:szCs w:val="24"/>
        </w:rPr>
        <w:t>90</w:t>
      </w:r>
      <w:r>
        <w:rPr>
          <w:snapToGrid w:val="0"/>
          <w:szCs w:val="24"/>
        </w:rPr>
        <w:t>.</w:t>
      </w:r>
      <w:r>
        <w:rPr>
          <w:snapToGrid w:val="0"/>
          <w:szCs w:val="24"/>
        </w:rPr>
        <w:tab/>
        <w:t>Certain provisions apply to general purpose leases</w:t>
      </w:r>
      <w:r>
        <w:tab/>
      </w:r>
      <w:r>
        <w:fldChar w:fldCharType="begin"/>
      </w:r>
      <w:r>
        <w:instrText xml:space="preserve"> PAGEREF _Toc124140001 \h </w:instrText>
      </w:r>
      <w:r>
        <w:fldChar w:fldCharType="separate"/>
      </w:r>
      <w:r>
        <w:t>125</w:t>
      </w:r>
      <w:r>
        <w:fldChar w:fldCharType="end"/>
      </w:r>
    </w:p>
    <w:p>
      <w:pPr>
        <w:pStyle w:val="TOC4"/>
        <w:tabs>
          <w:tab w:val="righ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_Toc124140003 \h </w:instrText>
      </w:r>
      <w:r>
        <w:fldChar w:fldCharType="separate"/>
      </w:r>
      <w:r>
        <w:t>125</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_Toc124140004 \h </w:instrText>
      </w:r>
      <w:r>
        <w:fldChar w:fldCharType="separate"/>
      </w:r>
      <w:r>
        <w:t>127</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_Toc124140005 \h </w:instrText>
      </w:r>
      <w:r>
        <w:fldChar w:fldCharType="separate"/>
      </w:r>
      <w:r>
        <w:t>128</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_Toc124140006 \h </w:instrText>
      </w:r>
      <w:r>
        <w:fldChar w:fldCharType="separate"/>
      </w:r>
      <w:r>
        <w:t>129</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_Toc124140007 \h </w:instrText>
      </w:r>
      <w:r>
        <w:fldChar w:fldCharType="separate"/>
      </w:r>
      <w:r>
        <w:t>129</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_Toc124140008 \h </w:instrText>
      </w:r>
      <w:r>
        <w:fldChar w:fldCharType="separate"/>
      </w:r>
      <w:r>
        <w:t>130</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_Toc124140009 \h </w:instrText>
      </w:r>
      <w:r>
        <w:fldChar w:fldCharType="separate"/>
      </w:r>
      <w:r>
        <w:t>130</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_Toc124140010 \h </w:instrText>
      </w:r>
      <w:r>
        <w:fldChar w:fldCharType="separate"/>
      </w:r>
      <w:r>
        <w:t>131</w:t>
      </w:r>
      <w:r>
        <w:fldChar w:fldCharType="end"/>
      </w:r>
    </w:p>
    <w:p>
      <w:pPr>
        <w:pStyle w:val="TOC4"/>
        <w:tabs>
          <w:tab w:val="righ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_Toc124140012 \h </w:instrText>
      </w:r>
      <w:r>
        <w:fldChar w:fldCharType="separate"/>
      </w:r>
      <w:r>
        <w:t>131</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_Toc124140013 \h </w:instrText>
      </w:r>
      <w:r>
        <w:fldChar w:fldCharType="separate"/>
      </w:r>
      <w:r>
        <w:t>133</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_Toc124140014 \h </w:instrText>
      </w:r>
      <w:r>
        <w:fldChar w:fldCharType="separate"/>
      </w:r>
      <w:r>
        <w:t>133</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_Toc124140015 \h </w:instrText>
      </w:r>
      <w:r>
        <w:fldChar w:fldCharType="separate"/>
      </w:r>
      <w:r>
        <w:t>137</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_Toc124140016 \h </w:instrText>
      </w:r>
      <w:r>
        <w:fldChar w:fldCharType="separate"/>
      </w:r>
      <w:r>
        <w:t>138</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_Toc124140017 \h </w:instrText>
      </w:r>
      <w:r>
        <w:fldChar w:fldCharType="separate"/>
      </w:r>
      <w:r>
        <w:t>139</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_Toc124140018 \h </w:instrText>
      </w:r>
      <w:r>
        <w:fldChar w:fldCharType="separate"/>
      </w:r>
      <w:r>
        <w:t>141</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_Toc124140019 \h </w:instrText>
      </w:r>
      <w:r>
        <w:fldChar w:fldCharType="separate"/>
      </w:r>
      <w:r>
        <w:t>143</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_Toc124140020 \h </w:instrText>
      </w:r>
      <w:r>
        <w:fldChar w:fldCharType="separate"/>
      </w:r>
      <w:r>
        <w:t>144</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_Toc124140021 \h </w:instrText>
      </w:r>
      <w:r>
        <w:fldChar w:fldCharType="separate"/>
      </w:r>
      <w:r>
        <w:t>145</w:t>
      </w:r>
      <w:r>
        <w:fldChar w:fldCharType="end"/>
      </w:r>
    </w:p>
    <w:p>
      <w:pPr>
        <w:pStyle w:val="TOC4"/>
        <w:tabs>
          <w:tab w:val="righ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_Toc124140023 \h </w:instrText>
      </w:r>
      <w:r>
        <w:fldChar w:fldCharType="separate"/>
      </w:r>
      <w:r>
        <w:t>146</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_Toc124140024 \h </w:instrText>
      </w:r>
      <w:r>
        <w:fldChar w:fldCharType="separate"/>
      </w:r>
      <w:r>
        <w:t>148</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_Toc124140025 \h </w:instrText>
      </w:r>
      <w:r>
        <w:fldChar w:fldCharType="separate"/>
      </w:r>
      <w:r>
        <w:t>149</w:t>
      </w:r>
      <w:r>
        <w:fldChar w:fldCharType="end"/>
      </w:r>
    </w:p>
    <w:p>
      <w:pPr>
        <w:pStyle w:val="TOC4"/>
        <w:tabs>
          <w:tab w:val="right" w:pos="7086"/>
        </w:tabs>
        <w:rPr>
          <w:b w:val="0"/>
          <w:sz w:val="24"/>
          <w:szCs w:val="24"/>
        </w:rPr>
      </w:pPr>
      <w:r>
        <w:rPr>
          <w:szCs w:val="26"/>
        </w:rPr>
        <w:t>Division 8</w:t>
      </w:r>
      <w:r>
        <w:rPr>
          <w:snapToGrid w:val="0"/>
          <w:szCs w:val="26"/>
        </w:rPr>
        <w:t> — </w:t>
      </w:r>
      <w:r>
        <w:rPr>
          <w:szCs w:val="26"/>
        </w:rPr>
        <w:t>Registration of documents affecting tenements</w:t>
      </w:r>
    </w:p>
    <w:p>
      <w:pPr>
        <w:pStyle w:val="TOC8"/>
        <w:rPr>
          <w:sz w:val="24"/>
          <w:szCs w:val="24"/>
        </w:rPr>
      </w:pPr>
      <w:r>
        <w:rPr>
          <w:szCs w:val="24"/>
        </w:rPr>
        <w:t>103A</w:t>
      </w:r>
      <w:r>
        <w:rPr>
          <w:snapToGrid w:val="0"/>
          <w:szCs w:val="24"/>
        </w:rPr>
        <w:t>.</w:t>
      </w:r>
      <w:r>
        <w:rPr>
          <w:snapToGrid w:val="0"/>
          <w:szCs w:val="24"/>
        </w:rPr>
        <w:tab/>
        <w:t>Time of lodgement to be taken as time of registration</w:t>
      </w:r>
      <w:r>
        <w:tab/>
      </w:r>
      <w:r>
        <w:fldChar w:fldCharType="begin"/>
      </w:r>
      <w:r>
        <w:instrText xml:space="preserve"> PAGEREF _Toc124140027 \h </w:instrText>
      </w:r>
      <w:r>
        <w:fldChar w:fldCharType="separate"/>
      </w:r>
      <w:r>
        <w:t>149</w:t>
      </w:r>
      <w:r>
        <w:fldChar w:fldCharType="end"/>
      </w:r>
    </w:p>
    <w:p>
      <w:pPr>
        <w:pStyle w:val="TOC2"/>
        <w:tabs>
          <w:tab w:val="righ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_Toc124140029 \h </w:instrText>
      </w:r>
      <w:r>
        <w:fldChar w:fldCharType="separate"/>
      </w:r>
      <w:r>
        <w:t>151</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_Toc124140030 \h </w:instrText>
      </w:r>
      <w:r>
        <w:fldChar w:fldCharType="separate"/>
      </w:r>
      <w:r>
        <w:t>152</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_Toc124140031 \h </w:instrText>
      </w:r>
      <w:r>
        <w:fldChar w:fldCharType="separate"/>
      </w:r>
      <w:r>
        <w:t>152</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_Toc124140032 \h </w:instrText>
      </w:r>
      <w:r>
        <w:fldChar w:fldCharType="separate"/>
      </w:r>
      <w:r>
        <w:t>154</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_Toc124140033 \h </w:instrText>
      </w:r>
      <w:r>
        <w:fldChar w:fldCharType="separate"/>
      </w:r>
      <w:r>
        <w:t>154</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_Toc124140034 \h </w:instrText>
      </w:r>
      <w:r>
        <w:fldChar w:fldCharType="separate"/>
      </w:r>
      <w:r>
        <w:t>154</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_Toc124140035 \h </w:instrText>
      </w:r>
      <w:r>
        <w:fldChar w:fldCharType="separate"/>
      </w:r>
      <w:r>
        <w:t>155</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_Toc124140036 \h </w:instrText>
      </w:r>
      <w:r>
        <w:fldChar w:fldCharType="separate"/>
      </w:r>
      <w:r>
        <w:t>155</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_Toc124140037 \h </w:instrText>
      </w:r>
      <w:r>
        <w:fldChar w:fldCharType="separate"/>
      </w:r>
      <w:r>
        <w:t>156</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_Toc124140038 \h </w:instrText>
      </w:r>
      <w:r>
        <w:fldChar w:fldCharType="separate"/>
      </w:r>
      <w:r>
        <w:t>161</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_Toc124140039 \h </w:instrText>
      </w:r>
      <w:r>
        <w:fldChar w:fldCharType="separate"/>
      </w:r>
      <w:r>
        <w:t>161</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_Toc124140040 \h </w:instrText>
      </w:r>
      <w:r>
        <w:fldChar w:fldCharType="separate"/>
      </w:r>
      <w:r>
        <w:t>162</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_Toc124140041 \h </w:instrText>
      </w:r>
      <w:r>
        <w:fldChar w:fldCharType="separate"/>
      </w:r>
      <w:r>
        <w:t>163</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_Toc124140042 \h </w:instrText>
      </w:r>
      <w:r>
        <w:fldChar w:fldCharType="separate"/>
      </w:r>
      <w:r>
        <w:t>164</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_Toc124140043 \h </w:instrText>
      </w:r>
      <w:r>
        <w:fldChar w:fldCharType="separate"/>
      </w:r>
      <w:r>
        <w:t>164</w:t>
      </w:r>
      <w:r>
        <w:fldChar w:fldCharType="end"/>
      </w:r>
    </w:p>
    <w:p>
      <w:pPr>
        <w:pStyle w:val="TOC8"/>
        <w:rPr>
          <w:sz w:val="24"/>
          <w:szCs w:val="24"/>
        </w:rPr>
      </w:pPr>
      <w:r>
        <w:rPr>
          <w:szCs w:val="24"/>
        </w:rPr>
        <w:t>114A</w:t>
      </w:r>
      <w:r>
        <w:rPr>
          <w:snapToGrid w:val="0"/>
          <w:szCs w:val="24"/>
        </w:rPr>
        <w:t>.</w:t>
      </w:r>
      <w:r>
        <w:rPr>
          <w:snapToGrid w:val="0"/>
          <w:szCs w:val="24"/>
          <w:vertAlign w:val="superscript"/>
        </w:rPr>
        <w:tab/>
      </w:r>
      <w:r>
        <w:rPr>
          <w:snapToGrid w:val="0"/>
          <w:szCs w:val="24"/>
        </w:rPr>
        <w:t>Rights conferred under mining tenement exercisable in respect of mining product belonging to Crown</w:t>
      </w:r>
      <w:r>
        <w:tab/>
      </w:r>
      <w:r>
        <w:fldChar w:fldCharType="begin"/>
      </w:r>
      <w:r>
        <w:instrText xml:space="preserve"> PAGEREF _Toc124140044 \h </w:instrText>
      </w:r>
      <w:r>
        <w:fldChar w:fldCharType="separate"/>
      </w:r>
      <w:r>
        <w:t>167</w:t>
      </w:r>
      <w:r>
        <w:fldChar w:fldCharType="end"/>
      </w:r>
    </w:p>
    <w:p>
      <w:pPr>
        <w:pStyle w:val="TOC8"/>
        <w:rPr>
          <w:sz w:val="24"/>
          <w:szCs w:val="24"/>
        </w:rPr>
      </w:pPr>
      <w:r>
        <w:rPr>
          <w:szCs w:val="24"/>
        </w:rPr>
        <w:t>115</w:t>
      </w:r>
      <w:r>
        <w:rPr>
          <w:snapToGrid w:val="0"/>
          <w:szCs w:val="24"/>
        </w:rPr>
        <w:t>.</w:t>
      </w:r>
      <w:r>
        <w:rPr>
          <w:snapToGrid w:val="0"/>
          <w:szCs w:val="24"/>
        </w:rPr>
        <w:tab/>
        <w:t>Power to enter on land for geological etc., surveys</w:t>
      </w:r>
      <w:r>
        <w:tab/>
      </w:r>
      <w:r>
        <w:fldChar w:fldCharType="begin"/>
      </w:r>
      <w:r>
        <w:instrText xml:space="preserve"> PAGEREF _Toc124140045 \h </w:instrText>
      </w:r>
      <w:r>
        <w:fldChar w:fldCharType="separate"/>
      </w:r>
      <w:r>
        <w:t>167</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_Toc124140046 \h </w:instrText>
      </w:r>
      <w:r>
        <w:fldChar w:fldCharType="separate"/>
      </w:r>
      <w:r>
        <w:t>169</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_Toc124140047 \h </w:instrText>
      </w:r>
      <w:r>
        <w:fldChar w:fldCharType="separate"/>
      </w:r>
      <w:r>
        <w:t>170</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_Toc124140048 \h </w:instrText>
      </w:r>
      <w:r>
        <w:fldChar w:fldCharType="separate"/>
      </w:r>
      <w:r>
        <w:t>170</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_Toc124140049 \h </w:instrText>
      </w:r>
      <w:r>
        <w:fldChar w:fldCharType="separate"/>
      </w:r>
      <w:r>
        <w:t>171</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_Toc124140050 \h </w:instrText>
      </w:r>
      <w:r>
        <w:fldChar w:fldCharType="separate"/>
      </w:r>
      <w:r>
        <w:t>171</w:t>
      </w:r>
      <w:r>
        <w:fldChar w:fldCharType="end"/>
      </w:r>
    </w:p>
    <w:p>
      <w:pPr>
        <w:pStyle w:val="TOC8"/>
        <w:rPr>
          <w:sz w:val="24"/>
          <w:szCs w:val="24"/>
        </w:rPr>
      </w:pPr>
      <w:r>
        <w:rPr>
          <w:szCs w:val="24"/>
        </w:rPr>
        <w:t>119A</w:t>
      </w:r>
      <w:r>
        <w:rPr>
          <w:snapToGrid w:val="0"/>
          <w:szCs w:val="24"/>
        </w:rPr>
        <w:t>.</w:t>
      </w:r>
      <w:r>
        <w:rPr>
          <w:snapToGrid w:val="0"/>
          <w:szCs w:val="24"/>
        </w:rPr>
        <w:tab/>
        <w:t>Mortgages of mining tenements</w:t>
      </w:r>
      <w:r>
        <w:tab/>
      </w:r>
      <w:r>
        <w:fldChar w:fldCharType="begin"/>
      </w:r>
      <w:r>
        <w:instrText xml:space="preserve"> PAGEREF _Toc124140051 \h </w:instrText>
      </w:r>
      <w:r>
        <w:fldChar w:fldCharType="separate"/>
      </w:r>
      <w:r>
        <w:t>172</w:t>
      </w:r>
      <w:r>
        <w:fldChar w:fldCharType="end"/>
      </w:r>
    </w:p>
    <w:p>
      <w:pPr>
        <w:pStyle w:val="TOC8"/>
        <w:rPr>
          <w:sz w:val="24"/>
          <w:szCs w:val="24"/>
        </w:rPr>
      </w:pPr>
      <w:r>
        <w:rPr>
          <w:szCs w:val="24"/>
        </w:rPr>
        <w:t>120</w:t>
      </w:r>
      <w:r>
        <w:rPr>
          <w:snapToGrid w:val="0"/>
          <w:szCs w:val="24"/>
        </w:rPr>
        <w:t>.</w:t>
      </w:r>
      <w:r>
        <w:rPr>
          <w:snapToGrid w:val="0"/>
          <w:szCs w:val="24"/>
        </w:rPr>
        <w:tab/>
        <w:t>Town planning schemes and local laws to be considered but not to derogate from this Act</w:t>
      </w:r>
      <w:r>
        <w:tab/>
      </w:r>
      <w:r>
        <w:fldChar w:fldCharType="begin"/>
      </w:r>
      <w:r>
        <w:instrText xml:space="preserve"> PAGEREF _Toc124140052 \h </w:instrText>
      </w:r>
      <w:r>
        <w:fldChar w:fldCharType="separate"/>
      </w:r>
      <w:r>
        <w:t>172</w:t>
      </w:r>
      <w:r>
        <w:fldChar w:fldCharType="end"/>
      </w:r>
    </w:p>
    <w:p>
      <w:pPr>
        <w:pStyle w:val="TOC2"/>
        <w:tabs>
          <w:tab w:val="right" w:pos="7086"/>
        </w:tabs>
        <w:rPr>
          <w:b w:val="0"/>
          <w:sz w:val="24"/>
          <w:szCs w:val="24"/>
        </w:rPr>
      </w:pPr>
      <w:r>
        <w:rPr>
          <w:szCs w:val="30"/>
        </w:rPr>
        <w:t>Part VI — Caveats</w:t>
      </w:r>
    </w:p>
    <w:p>
      <w:pPr>
        <w:pStyle w:val="TOC8"/>
        <w:rPr>
          <w:sz w:val="24"/>
          <w:szCs w:val="24"/>
        </w:rPr>
      </w:pPr>
      <w:r>
        <w:rPr>
          <w:szCs w:val="24"/>
        </w:rPr>
        <w:t>120A</w:t>
      </w:r>
      <w:r>
        <w:rPr>
          <w:snapToGrid w:val="0"/>
          <w:szCs w:val="24"/>
        </w:rPr>
        <w:t>.</w:t>
      </w:r>
      <w:r>
        <w:rPr>
          <w:snapToGrid w:val="0"/>
          <w:szCs w:val="24"/>
        </w:rPr>
        <w:tab/>
        <w:t>Certain surrenders not affected by this Part</w:t>
      </w:r>
      <w:r>
        <w:tab/>
      </w:r>
      <w:r>
        <w:fldChar w:fldCharType="begin"/>
      </w:r>
      <w:r>
        <w:instrText xml:space="preserve"> PAGEREF _Toc124140054 \h </w:instrText>
      </w:r>
      <w:r>
        <w:fldChar w:fldCharType="separate"/>
      </w:r>
      <w:r>
        <w:t>173</w:t>
      </w:r>
      <w:r>
        <w:fldChar w:fldCharType="end"/>
      </w:r>
    </w:p>
    <w:p>
      <w:pPr>
        <w:pStyle w:val="TOC8"/>
        <w:rPr>
          <w:sz w:val="24"/>
          <w:szCs w:val="24"/>
        </w:rPr>
      </w:pPr>
      <w:r>
        <w:rPr>
          <w:szCs w:val="24"/>
        </w:rPr>
        <w:t>121</w:t>
      </w:r>
      <w:r>
        <w:rPr>
          <w:snapToGrid w:val="0"/>
          <w:szCs w:val="24"/>
        </w:rPr>
        <w:t>.</w:t>
      </w:r>
      <w:r>
        <w:rPr>
          <w:snapToGrid w:val="0"/>
          <w:szCs w:val="24"/>
        </w:rPr>
        <w:tab/>
        <w:t>Lodging of caveats</w:t>
      </w:r>
      <w:r>
        <w:tab/>
      </w:r>
      <w:r>
        <w:fldChar w:fldCharType="begin"/>
      </w:r>
      <w:r>
        <w:instrText xml:space="preserve"> PAGEREF _Toc124140055 \h </w:instrText>
      </w:r>
      <w:r>
        <w:fldChar w:fldCharType="separate"/>
      </w:r>
      <w:r>
        <w:t>173</w:t>
      </w:r>
      <w:r>
        <w:fldChar w:fldCharType="end"/>
      </w:r>
    </w:p>
    <w:p>
      <w:pPr>
        <w:pStyle w:val="TOC8"/>
        <w:rPr>
          <w:sz w:val="24"/>
          <w:szCs w:val="24"/>
        </w:rPr>
      </w:pPr>
      <w:r>
        <w:rPr>
          <w:szCs w:val="24"/>
        </w:rPr>
        <w:t>122</w:t>
      </w:r>
      <w:r>
        <w:rPr>
          <w:snapToGrid w:val="0"/>
          <w:szCs w:val="24"/>
        </w:rPr>
        <w:t>.</w:t>
      </w:r>
      <w:r>
        <w:rPr>
          <w:snapToGrid w:val="0"/>
          <w:szCs w:val="24"/>
        </w:rPr>
        <w:tab/>
        <w:t>Duration and effect of caveat</w:t>
      </w:r>
      <w:r>
        <w:tab/>
      </w:r>
      <w:r>
        <w:fldChar w:fldCharType="begin"/>
      </w:r>
      <w:r>
        <w:instrText xml:space="preserve"> PAGEREF _Toc124140056 \h </w:instrText>
      </w:r>
      <w:r>
        <w:fldChar w:fldCharType="separate"/>
      </w:r>
      <w:r>
        <w:t>174</w:t>
      </w:r>
      <w:r>
        <w:fldChar w:fldCharType="end"/>
      </w:r>
    </w:p>
    <w:p>
      <w:pPr>
        <w:pStyle w:val="TOC2"/>
        <w:tabs>
          <w:tab w:val="righ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_Toc124140058 \h </w:instrText>
      </w:r>
      <w:r>
        <w:fldChar w:fldCharType="separate"/>
      </w:r>
      <w:r>
        <w:t>176</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_Toc124140059 \h </w:instrText>
      </w:r>
      <w:r>
        <w:fldChar w:fldCharType="separate"/>
      </w:r>
      <w:r>
        <w:t>179</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_Toc124140060 \h </w:instrText>
      </w:r>
      <w:r>
        <w:fldChar w:fldCharType="separate"/>
      </w:r>
      <w:r>
        <w:t>181</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_Toc124140061 \h </w:instrText>
      </w:r>
      <w:r>
        <w:fldChar w:fldCharType="separate"/>
      </w:r>
      <w:r>
        <w:t>181</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_Toc124140062 \h </w:instrText>
      </w:r>
      <w:r>
        <w:fldChar w:fldCharType="separate"/>
      </w:r>
      <w:r>
        <w:t>182</w:t>
      </w:r>
      <w:r>
        <w:fldChar w:fldCharType="end"/>
      </w:r>
    </w:p>
    <w:p>
      <w:pPr>
        <w:pStyle w:val="TOC2"/>
        <w:tabs>
          <w:tab w:val="righ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_Toc124140064 \h </w:instrText>
      </w:r>
      <w:r>
        <w:fldChar w:fldCharType="separate"/>
      </w:r>
      <w:r>
        <w:t>184</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_Toc124140065 \h </w:instrText>
      </w:r>
      <w:r>
        <w:fldChar w:fldCharType="separate"/>
      </w:r>
      <w:r>
        <w:t>184</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_Toc124140066 \h </w:instrText>
      </w:r>
      <w:r>
        <w:fldChar w:fldCharType="separate"/>
      </w:r>
      <w:r>
        <w:t>184</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_Toc124140067 \h </w:instrText>
      </w:r>
      <w:r>
        <w:fldChar w:fldCharType="separate"/>
      </w:r>
      <w:r>
        <w:t>185</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_Toc124140068 \h </w:instrText>
      </w:r>
      <w:r>
        <w:fldChar w:fldCharType="separate"/>
      </w:r>
      <w:r>
        <w:t>185</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_Toc124140069 \h </w:instrText>
      </w:r>
      <w:r>
        <w:fldChar w:fldCharType="separate"/>
      </w:r>
      <w:r>
        <w:t>185</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_Toc124140070 \h </w:instrText>
      </w:r>
      <w:r>
        <w:fldChar w:fldCharType="separate"/>
      </w:r>
      <w:r>
        <w:t>187</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_Toc124140071 \h </w:instrText>
      </w:r>
      <w:r>
        <w:fldChar w:fldCharType="separate"/>
      </w:r>
      <w:r>
        <w:t>187</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_Toc124140072 \h </w:instrText>
      </w:r>
      <w:r>
        <w:fldChar w:fldCharType="separate"/>
      </w:r>
      <w:r>
        <w:t>190</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_Toc124140073 \h </w:instrText>
      </w:r>
      <w:r>
        <w:fldChar w:fldCharType="separate"/>
      </w:r>
      <w:r>
        <w:t>191</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_Toc124140074 \h </w:instrText>
      </w:r>
      <w:r>
        <w:fldChar w:fldCharType="separate"/>
      </w:r>
      <w:r>
        <w:t>191</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_Toc124140075 \h </w:instrText>
      </w:r>
      <w:r>
        <w:fldChar w:fldCharType="separate"/>
      </w:r>
      <w:r>
        <w:t>192</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_Toc124140076 \h </w:instrText>
      </w:r>
      <w:r>
        <w:fldChar w:fldCharType="separate"/>
      </w:r>
      <w:r>
        <w:t>193</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_Toc124140077 \h </w:instrText>
      </w:r>
      <w:r>
        <w:fldChar w:fldCharType="separate"/>
      </w:r>
      <w:r>
        <w:t>193</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_Toc124140078 \h </w:instrText>
      </w:r>
      <w:r>
        <w:fldChar w:fldCharType="separate"/>
      </w:r>
      <w:r>
        <w:t>194</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_Toc124140079 \h </w:instrText>
      </w:r>
      <w:r>
        <w:fldChar w:fldCharType="separate"/>
      </w:r>
      <w:r>
        <w:t>195</w:t>
      </w:r>
      <w:r>
        <w:fldChar w:fldCharType="end"/>
      </w:r>
    </w:p>
    <w:p>
      <w:pPr>
        <w:pStyle w:val="TOC8"/>
        <w:rPr>
          <w:sz w:val="24"/>
          <w:szCs w:val="24"/>
        </w:rPr>
      </w:pPr>
      <w:r>
        <w:rPr>
          <w:szCs w:val="24"/>
        </w:rPr>
        <w:t>144</w:t>
      </w:r>
      <w:r>
        <w:rPr>
          <w:snapToGrid w:val="0"/>
          <w:szCs w:val="24"/>
        </w:rPr>
        <w:t>.</w:t>
      </w:r>
      <w:r>
        <w:rPr>
          <w:snapToGrid w:val="0"/>
          <w:szCs w:val="24"/>
        </w:rPr>
        <w:tab/>
        <w:t>Persons before whom affidavits may be sworn</w:t>
      </w:r>
      <w:r>
        <w:tab/>
      </w:r>
      <w:r>
        <w:fldChar w:fldCharType="begin"/>
      </w:r>
      <w:r>
        <w:instrText xml:space="preserve"> PAGEREF _Toc124140080 \h </w:instrText>
      </w:r>
      <w:r>
        <w:fldChar w:fldCharType="separate"/>
      </w:r>
      <w:r>
        <w:t>195</w:t>
      </w:r>
      <w:r>
        <w:fldChar w:fldCharType="end"/>
      </w:r>
    </w:p>
    <w:p>
      <w:pPr>
        <w:pStyle w:val="TOC8"/>
        <w:rPr>
          <w:sz w:val="24"/>
          <w:szCs w:val="24"/>
        </w:rPr>
      </w:pPr>
      <w:r>
        <w:rPr>
          <w:szCs w:val="24"/>
        </w:rPr>
        <w:t>145</w:t>
      </w:r>
      <w:r>
        <w:rPr>
          <w:snapToGrid w:val="0"/>
          <w:szCs w:val="24"/>
        </w:rPr>
        <w:t>.</w:t>
      </w:r>
      <w:r>
        <w:rPr>
          <w:snapToGrid w:val="0"/>
          <w:szCs w:val="24"/>
        </w:rPr>
        <w:tab/>
        <w:t>Proof of judgment, order or decision of warden</w:t>
      </w:r>
      <w:r>
        <w:tab/>
      </w:r>
      <w:r>
        <w:fldChar w:fldCharType="begin"/>
      </w:r>
      <w:r>
        <w:instrText xml:space="preserve"> PAGEREF _Toc124140081 \h </w:instrText>
      </w:r>
      <w:r>
        <w:fldChar w:fldCharType="separate"/>
      </w:r>
      <w:r>
        <w:t>196</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_Toc124140082 \h </w:instrText>
      </w:r>
      <w:r>
        <w:fldChar w:fldCharType="separate"/>
      </w:r>
      <w:r>
        <w:t>196</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_Toc124140083 \h </w:instrText>
      </w:r>
      <w:r>
        <w:fldChar w:fldCharType="separate"/>
      </w:r>
      <w:r>
        <w:t>197</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_Toc124140084 \h </w:instrText>
      </w:r>
      <w:r>
        <w:fldChar w:fldCharType="separate"/>
      </w:r>
      <w:r>
        <w:t>198</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_Toc124140085 \h </w:instrText>
      </w:r>
      <w:r>
        <w:fldChar w:fldCharType="separate"/>
      </w:r>
      <w:r>
        <w:t>200</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_Toc124140086 \h </w:instrText>
      </w:r>
      <w:r>
        <w:fldChar w:fldCharType="separate"/>
      </w:r>
      <w:r>
        <w:t>201</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_Toc124140087 \h </w:instrText>
      </w:r>
      <w:r>
        <w:fldChar w:fldCharType="separate"/>
      </w:r>
      <w:r>
        <w:t>201</w:t>
      </w:r>
      <w:r>
        <w:fldChar w:fldCharType="end"/>
      </w:r>
    </w:p>
    <w:p>
      <w:pPr>
        <w:pStyle w:val="TOC2"/>
        <w:tabs>
          <w:tab w:val="righ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_Toc124140089 \h </w:instrText>
      </w:r>
      <w:r>
        <w:fldChar w:fldCharType="separate"/>
      </w:r>
      <w:r>
        <w:t>202</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_Toc124140090 \h </w:instrText>
      </w:r>
      <w:r>
        <w:fldChar w:fldCharType="separate"/>
      </w:r>
      <w:r>
        <w:t>202</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_Toc124140091 \h </w:instrText>
      </w:r>
      <w:r>
        <w:fldChar w:fldCharType="separate"/>
      </w:r>
      <w:r>
        <w:t>202</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_Toc124140092 \h </w:instrText>
      </w:r>
      <w:r>
        <w:fldChar w:fldCharType="separate"/>
      </w:r>
      <w:r>
        <w:t>203</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_Toc124140093 \h </w:instrText>
      </w:r>
      <w:r>
        <w:fldChar w:fldCharType="separate"/>
      </w:r>
      <w:r>
        <w:t>204</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_Toc124140094 \h </w:instrText>
      </w:r>
      <w:r>
        <w:fldChar w:fldCharType="separate"/>
      </w:r>
      <w:r>
        <w:t>204</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_Toc124140095 \h </w:instrText>
      </w:r>
      <w:r>
        <w:fldChar w:fldCharType="separate"/>
      </w:r>
      <w:r>
        <w:t>205</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_Toc124140096 \h </w:instrText>
      </w:r>
      <w:r>
        <w:fldChar w:fldCharType="separate"/>
      </w:r>
      <w:r>
        <w:t>205</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_Toc124140097 \h </w:instrText>
      </w:r>
      <w:r>
        <w:fldChar w:fldCharType="separate"/>
      </w:r>
      <w:r>
        <w:t>206</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_Toc124140098 \h </w:instrText>
      </w:r>
      <w:r>
        <w:fldChar w:fldCharType="separate"/>
      </w:r>
      <w:r>
        <w:t>207</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_Toc124140099 \h </w:instrText>
      </w:r>
      <w:r>
        <w:fldChar w:fldCharType="separate"/>
      </w:r>
      <w:r>
        <w:t>207</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_Toc124140100 \h </w:instrText>
      </w:r>
      <w:r>
        <w:fldChar w:fldCharType="separate"/>
      </w:r>
      <w:r>
        <w:t>208</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_Toc124140101 \h </w:instrText>
      </w:r>
      <w:r>
        <w:fldChar w:fldCharType="separate"/>
      </w:r>
      <w:r>
        <w:t>208</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_Toc124140102 \h </w:instrText>
      </w:r>
      <w:r>
        <w:fldChar w:fldCharType="separate"/>
      </w:r>
      <w:r>
        <w:t>208</w:t>
      </w:r>
      <w:r>
        <w:fldChar w:fldCharType="end"/>
      </w:r>
    </w:p>
    <w:p>
      <w:pPr>
        <w:pStyle w:val="TOC2"/>
        <w:tabs>
          <w:tab w:val="right" w:pos="7086"/>
        </w:tabs>
        <w:rPr>
          <w:b w:val="0"/>
          <w:sz w:val="24"/>
          <w:szCs w:val="24"/>
        </w:rPr>
      </w:pPr>
      <w:r>
        <w:rPr>
          <w:szCs w:val="28"/>
        </w:rPr>
        <w:t>Second Schedule</w:t>
      </w:r>
    </w:p>
    <w:p>
      <w:pPr>
        <w:pStyle w:val="TOC8"/>
        <w:rPr>
          <w:sz w:val="24"/>
          <w:szCs w:val="24"/>
        </w:rPr>
      </w:pPr>
      <w:r>
        <w:rPr>
          <w:snapToGrid w:val="0"/>
          <w:szCs w:val="22"/>
        </w:rPr>
        <w:t>1.</w:t>
      </w:r>
      <w:r>
        <w:rPr>
          <w:snapToGrid w:val="0"/>
          <w:szCs w:val="22"/>
        </w:rPr>
        <w:tab/>
        <w:t>Continuation of certain temporary reserves and rights of occupancy</w:t>
      </w:r>
      <w:r>
        <w:tab/>
      </w:r>
      <w:r>
        <w:fldChar w:fldCharType="begin"/>
      </w:r>
      <w:r>
        <w:instrText xml:space="preserve"> PAGEREF _Toc124140104 \h </w:instrText>
      </w:r>
      <w:r>
        <w:fldChar w:fldCharType="separate"/>
      </w:r>
      <w:r>
        <w:t>215</w:t>
      </w:r>
      <w:r>
        <w:fldChar w:fldCharType="end"/>
      </w:r>
    </w:p>
    <w:p>
      <w:pPr>
        <w:pStyle w:val="TOC8"/>
        <w:rPr>
          <w:sz w:val="24"/>
          <w:szCs w:val="24"/>
        </w:rPr>
      </w:pPr>
      <w:r>
        <w:rPr>
          <w:snapToGrid w:val="0"/>
          <w:szCs w:val="22"/>
        </w:rPr>
        <w:t>2.</w:t>
      </w:r>
      <w:r>
        <w:rPr>
          <w:snapToGrid w:val="0"/>
          <w:szCs w:val="22"/>
        </w:rPr>
        <w:tab/>
        <w:t>Certain gold mining leases, coal mining leases and mineral leases to become mining leases</w:t>
      </w:r>
      <w:r>
        <w:tab/>
      </w:r>
      <w:r>
        <w:fldChar w:fldCharType="begin"/>
      </w:r>
      <w:r>
        <w:instrText xml:space="preserve"> PAGEREF _Toc124140105 \h </w:instrText>
      </w:r>
      <w:r>
        <w:fldChar w:fldCharType="separate"/>
      </w:r>
      <w:r>
        <w:t>216</w:t>
      </w:r>
      <w:r>
        <w:fldChar w:fldCharType="end"/>
      </w:r>
    </w:p>
    <w:p>
      <w:pPr>
        <w:pStyle w:val="TOC8"/>
        <w:rPr>
          <w:sz w:val="24"/>
          <w:szCs w:val="24"/>
        </w:rPr>
      </w:pPr>
      <w:r>
        <w:rPr>
          <w:snapToGrid w:val="0"/>
          <w:szCs w:val="22"/>
        </w:rPr>
        <w:t>3.</w:t>
      </w:r>
      <w:r>
        <w:rPr>
          <w:snapToGrid w:val="0"/>
          <w:szCs w:val="22"/>
        </w:rPr>
        <w:tab/>
        <w:t>Rights conferred on holders of certain mineral claims and dredging claims</w:t>
      </w:r>
      <w:r>
        <w:tab/>
      </w:r>
      <w:r>
        <w:fldChar w:fldCharType="begin"/>
      </w:r>
      <w:r>
        <w:instrText xml:space="preserve"> PAGEREF _Toc124140106 \h </w:instrText>
      </w:r>
      <w:r>
        <w:fldChar w:fldCharType="separate"/>
      </w:r>
      <w:r>
        <w:t>218</w:t>
      </w:r>
      <w:r>
        <w:fldChar w:fldCharType="end"/>
      </w:r>
    </w:p>
    <w:p>
      <w:pPr>
        <w:pStyle w:val="TOC8"/>
        <w:rPr>
          <w:sz w:val="24"/>
          <w:szCs w:val="24"/>
        </w:rPr>
      </w:pPr>
      <w:r>
        <w:rPr>
          <w:snapToGrid w:val="0"/>
          <w:szCs w:val="22"/>
        </w:rPr>
        <w:t>4.</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_Toc124140107 \h </w:instrText>
      </w:r>
      <w:r>
        <w:fldChar w:fldCharType="separate"/>
      </w:r>
      <w:r>
        <w:t>218</w:t>
      </w:r>
      <w:r>
        <w:fldChar w:fldCharType="end"/>
      </w:r>
    </w:p>
    <w:p>
      <w:pPr>
        <w:pStyle w:val="TOC8"/>
        <w:rPr>
          <w:sz w:val="24"/>
          <w:szCs w:val="24"/>
        </w:rPr>
      </w:pPr>
      <w:r>
        <w:rPr>
          <w:snapToGrid w:val="0"/>
          <w:szCs w:val="22"/>
        </w:rPr>
        <w:t>5.</w:t>
      </w:r>
      <w:r>
        <w:rPr>
          <w:snapToGrid w:val="0"/>
          <w:szCs w:val="22"/>
        </w:rPr>
        <w:tab/>
        <w:t>Continuation of mining tenements held by virtue of miners’ rights</w:t>
      </w:r>
      <w:r>
        <w:tab/>
      </w:r>
      <w:r>
        <w:fldChar w:fldCharType="begin"/>
      </w:r>
      <w:r>
        <w:instrText xml:space="preserve"> PAGEREF _Toc124140108 \h </w:instrText>
      </w:r>
      <w:r>
        <w:fldChar w:fldCharType="separate"/>
      </w:r>
      <w:r>
        <w:t>219</w:t>
      </w:r>
      <w:r>
        <w:fldChar w:fldCharType="end"/>
      </w:r>
    </w:p>
    <w:p>
      <w:pPr>
        <w:pStyle w:val="TOC8"/>
        <w:rPr>
          <w:sz w:val="24"/>
          <w:szCs w:val="24"/>
        </w:rPr>
      </w:pPr>
      <w:r>
        <w:rPr>
          <w:snapToGrid w:val="0"/>
          <w:szCs w:val="22"/>
        </w:rPr>
        <w:t>6.</w:t>
      </w:r>
      <w:r>
        <w:rPr>
          <w:snapToGrid w:val="0"/>
          <w:szCs w:val="22"/>
        </w:rPr>
        <w:tab/>
        <w:t>Temporary continuation of certain machinery areas, tailings areas, quarrying areas and water rights</w:t>
      </w:r>
      <w:r>
        <w:tab/>
      </w:r>
      <w:r>
        <w:fldChar w:fldCharType="begin"/>
      </w:r>
      <w:r>
        <w:instrText xml:space="preserve"> PAGEREF _Toc124140109 \h </w:instrText>
      </w:r>
      <w:r>
        <w:fldChar w:fldCharType="separate"/>
      </w:r>
      <w:r>
        <w:t>220</w:t>
      </w:r>
      <w:r>
        <w:fldChar w:fldCharType="end"/>
      </w:r>
    </w:p>
    <w:p>
      <w:pPr>
        <w:pStyle w:val="TOC8"/>
        <w:rPr>
          <w:sz w:val="24"/>
          <w:szCs w:val="24"/>
        </w:rPr>
      </w:pPr>
      <w:r>
        <w:rPr>
          <w:snapToGrid w:val="0"/>
          <w:szCs w:val="22"/>
        </w:rPr>
        <w:t>7.</w:t>
      </w:r>
      <w:r>
        <w:rPr>
          <w:snapToGrid w:val="0"/>
          <w:szCs w:val="22"/>
        </w:rPr>
        <w:tab/>
        <w:t>Continuation of certain licences</w:t>
      </w:r>
      <w:r>
        <w:tab/>
      </w:r>
      <w:r>
        <w:fldChar w:fldCharType="begin"/>
      </w:r>
      <w:r>
        <w:instrText xml:space="preserve"> PAGEREF _Toc124140110 \h </w:instrText>
      </w:r>
      <w:r>
        <w:fldChar w:fldCharType="separate"/>
      </w:r>
      <w:r>
        <w:t>221</w:t>
      </w:r>
      <w:r>
        <w:fldChar w:fldCharType="end"/>
      </w:r>
    </w:p>
    <w:p>
      <w:pPr>
        <w:pStyle w:val="TOC8"/>
        <w:rPr>
          <w:sz w:val="24"/>
          <w:szCs w:val="24"/>
        </w:rPr>
      </w:pPr>
      <w:r>
        <w:rPr>
          <w:snapToGrid w:val="0"/>
          <w:szCs w:val="22"/>
        </w:rPr>
        <w:t>8.</w:t>
      </w:r>
      <w:r>
        <w:rPr>
          <w:snapToGrid w:val="0"/>
          <w:szCs w:val="22"/>
        </w:rPr>
        <w:tab/>
        <w:t>Disposal of pending applications for mining tenements</w:t>
      </w:r>
      <w:r>
        <w:tab/>
      </w:r>
      <w:r>
        <w:fldChar w:fldCharType="begin"/>
      </w:r>
      <w:r>
        <w:instrText xml:space="preserve"> PAGEREF _Toc124140111 \h </w:instrText>
      </w:r>
      <w:r>
        <w:fldChar w:fldCharType="separate"/>
      </w:r>
      <w:r>
        <w:t>222</w:t>
      </w:r>
      <w:r>
        <w:fldChar w:fldCharType="end"/>
      </w:r>
    </w:p>
    <w:p>
      <w:pPr>
        <w:pStyle w:val="TOC8"/>
        <w:rPr>
          <w:sz w:val="24"/>
          <w:szCs w:val="24"/>
        </w:rPr>
      </w:pPr>
      <w:r>
        <w:rPr>
          <w:snapToGrid w:val="0"/>
          <w:szCs w:val="22"/>
        </w:rPr>
        <w:t>9.</w:t>
      </w:r>
      <w:r>
        <w:rPr>
          <w:snapToGrid w:val="0"/>
          <w:szCs w:val="22"/>
        </w:rPr>
        <w:tab/>
        <w:t>Rights of holders of certain prospecting areas</w:t>
      </w:r>
      <w:r>
        <w:tab/>
      </w:r>
      <w:r>
        <w:fldChar w:fldCharType="begin"/>
      </w:r>
      <w:r>
        <w:instrText xml:space="preserve"> PAGEREF _Toc124140112 \h </w:instrText>
      </w:r>
      <w:r>
        <w:fldChar w:fldCharType="separate"/>
      </w:r>
      <w:r>
        <w:t>224</w:t>
      </w:r>
      <w:r>
        <w:fldChar w:fldCharType="end"/>
      </w:r>
    </w:p>
    <w:p>
      <w:pPr>
        <w:pStyle w:val="TOC8"/>
        <w:rPr>
          <w:sz w:val="24"/>
          <w:szCs w:val="24"/>
        </w:rPr>
      </w:pPr>
      <w:r>
        <w:rPr>
          <w:snapToGrid w:val="0"/>
          <w:szCs w:val="22"/>
        </w:rPr>
        <w:t>10.</w:t>
      </w:r>
      <w:r>
        <w:rPr>
          <w:snapToGrid w:val="0"/>
          <w:szCs w:val="22"/>
        </w:rPr>
        <w:tab/>
        <w:t>Transitional provisions relating to mortgages</w:t>
      </w:r>
      <w:r>
        <w:tab/>
      </w:r>
      <w:r>
        <w:fldChar w:fldCharType="begin"/>
      </w:r>
      <w:r>
        <w:instrText xml:space="preserve"> PAGEREF _Toc124140113 \h </w:instrText>
      </w:r>
      <w:r>
        <w:fldChar w:fldCharType="separate"/>
      </w:r>
      <w:r>
        <w:t>224</w:t>
      </w:r>
      <w:r>
        <w:fldChar w:fldCharType="end"/>
      </w:r>
    </w:p>
    <w:p>
      <w:pPr>
        <w:pStyle w:val="TOC8"/>
        <w:rPr>
          <w:sz w:val="24"/>
          <w:szCs w:val="24"/>
        </w:rPr>
      </w:pPr>
      <w:r>
        <w:rPr>
          <w:snapToGrid w:val="0"/>
          <w:szCs w:val="22"/>
        </w:rPr>
        <w:t>11.</w:t>
      </w:r>
      <w:r>
        <w:rPr>
          <w:snapToGrid w:val="0"/>
          <w:szCs w:val="22"/>
        </w:rPr>
        <w:tab/>
        <w:t>Officers</w:t>
      </w:r>
      <w:r>
        <w:tab/>
      </w:r>
      <w:r>
        <w:fldChar w:fldCharType="begin"/>
      </w:r>
      <w:r>
        <w:instrText xml:space="preserve"> PAGEREF _Toc124140114 \h </w:instrText>
      </w:r>
      <w:r>
        <w:fldChar w:fldCharType="separate"/>
      </w:r>
      <w:r>
        <w:t>226</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_Toc124140115 \h </w:instrText>
      </w:r>
      <w:r>
        <w:fldChar w:fldCharType="separate"/>
      </w:r>
      <w:r>
        <w:t>226</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_Toc124140116 \h </w:instrText>
      </w:r>
      <w:r>
        <w:fldChar w:fldCharType="separate"/>
      </w:r>
      <w:r>
        <w:t>227</w:t>
      </w:r>
      <w:r>
        <w:fldChar w:fldCharType="end"/>
      </w:r>
    </w:p>
    <w:p>
      <w:pPr>
        <w:pStyle w:val="TOC8"/>
        <w:rPr>
          <w:sz w:val="24"/>
          <w:szCs w:val="24"/>
        </w:rPr>
      </w:pPr>
      <w:r>
        <w:rPr>
          <w:snapToGrid w:val="0"/>
          <w:szCs w:val="22"/>
        </w:rPr>
        <w:t>13A.</w:t>
      </w:r>
      <w:r>
        <w:rPr>
          <w:snapToGrid w:val="0"/>
          <w:szCs w:val="22"/>
        </w:rPr>
        <w:tab/>
        <w:t>Consents to follow the land</w:t>
      </w:r>
      <w:r>
        <w:tab/>
      </w:r>
      <w:r>
        <w:fldChar w:fldCharType="begin"/>
      </w:r>
      <w:r>
        <w:instrText xml:space="preserve"> PAGEREF _Toc124140117 \h </w:instrText>
      </w:r>
      <w:r>
        <w:fldChar w:fldCharType="separate"/>
      </w:r>
      <w:r>
        <w:t>227</w:t>
      </w:r>
      <w:r>
        <w:fldChar w:fldCharType="end"/>
      </w:r>
    </w:p>
    <w:p>
      <w:pPr>
        <w:pStyle w:val="TOC8"/>
        <w:rPr>
          <w:sz w:val="24"/>
          <w:szCs w:val="24"/>
        </w:rPr>
      </w:pPr>
      <w:r>
        <w:rPr>
          <w:snapToGrid w:val="0"/>
          <w:szCs w:val="22"/>
        </w:rPr>
        <w:t>14.</w:t>
      </w:r>
      <w:r>
        <w:rPr>
          <w:snapToGrid w:val="0"/>
          <w:szCs w:val="22"/>
        </w:rPr>
        <w:tab/>
        <w:t>References to repealed Act</w:t>
      </w:r>
      <w:r>
        <w:tab/>
      </w:r>
      <w:r>
        <w:fldChar w:fldCharType="begin"/>
      </w:r>
      <w:r>
        <w:instrText xml:space="preserve"> PAGEREF _Toc124140118 \h </w:instrText>
      </w:r>
      <w:r>
        <w:fldChar w:fldCharType="separate"/>
      </w:r>
      <w:r>
        <w:t>227</w:t>
      </w:r>
      <w:r>
        <w:fldChar w:fldCharType="end"/>
      </w:r>
    </w:p>
    <w:p>
      <w:pPr>
        <w:pStyle w:val="TOC8"/>
        <w:rPr>
          <w:sz w:val="24"/>
          <w:szCs w:val="24"/>
        </w:rPr>
      </w:pPr>
      <w:r>
        <w:rPr>
          <w:snapToGrid w:val="0"/>
          <w:szCs w:val="22"/>
        </w:rPr>
        <w:t>15.</w:t>
      </w:r>
      <w:r>
        <w:rPr>
          <w:snapToGrid w:val="0"/>
          <w:szCs w:val="22"/>
        </w:rPr>
        <w:tab/>
        <w:t>Prevention of anomalies during transitional period</w:t>
      </w:r>
      <w:r>
        <w:tab/>
      </w:r>
      <w:r>
        <w:fldChar w:fldCharType="begin"/>
      </w:r>
      <w:r>
        <w:instrText xml:space="preserve"> PAGEREF _Toc124140119 \h </w:instrText>
      </w:r>
      <w:r>
        <w:fldChar w:fldCharType="separate"/>
      </w:r>
      <w:r>
        <w:t>227</w:t>
      </w:r>
      <w:r>
        <w:fldChar w:fldCharType="end"/>
      </w:r>
    </w:p>
    <w:p>
      <w:pPr>
        <w:pStyle w:val="TOC2"/>
        <w:tabs>
          <w:tab w:val="right" w:pos="7086"/>
        </w:tabs>
        <w:rPr>
          <w:b w:val="0"/>
          <w:sz w:val="24"/>
          <w:szCs w:val="24"/>
        </w:rPr>
      </w:pPr>
      <w:r>
        <w:rPr>
          <w:szCs w:val="28"/>
        </w:rPr>
        <w:t>Third Schedule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_Toc124140122 \h </w:instrText>
      </w:r>
      <w:r>
        <w:fldChar w:fldCharType="separate"/>
      </w:r>
      <w:r>
        <w:t>230</w:t>
      </w:r>
      <w:r>
        <w:fldChar w:fldCharType="end"/>
      </w:r>
    </w:p>
    <w:p>
      <w:pPr>
        <w:pStyle w:val="TOC8"/>
        <w:rPr>
          <w:sz w:val="24"/>
          <w:szCs w:val="24"/>
        </w:rPr>
      </w:pPr>
      <w:r>
        <w:rPr>
          <w:szCs w:val="24"/>
        </w:rPr>
        <w:tab/>
        <w:t>Provisions that have not come into operation</w:t>
      </w:r>
      <w:r>
        <w:tab/>
      </w:r>
      <w:r>
        <w:fldChar w:fldCharType="begin"/>
      </w:r>
      <w:r>
        <w:instrText xml:space="preserve"> PAGEREF _Toc124140123 \h </w:instrText>
      </w:r>
      <w:r>
        <w:fldChar w:fldCharType="separate"/>
      </w:r>
      <w:r>
        <w:t>235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120"/>
        <w:rPr>
          <w:snapToGrid w:val="0"/>
        </w:rPr>
      </w:pPr>
      <w:bookmarkStart w:id="18" w:name="_Toc520087879"/>
      <w:bookmarkStart w:id="19" w:name="_Toc523620515"/>
      <w:bookmarkStart w:id="20" w:name="_Toc38853666"/>
      <w:bookmarkStart w:id="21" w:name="_Toc124061025"/>
      <w:bookmarkStart w:id="22" w:name="_Toc124139880"/>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spacing w:before="120"/>
        <w:rPr>
          <w:snapToGrid w:val="0"/>
        </w:rPr>
      </w:pPr>
      <w:bookmarkStart w:id="23" w:name="_Toc520087880"/>
      <w:bookmarkStart w:id="24" w:name="_Toc523620516"/>
      <w:bookmarkStart w:id="25" w:name="_Toc38853667"/>
      <w:bookmarkStart w:id="26" w:name="_Toc124061026"/>
      <w:bookmarkStart w:id="27" w:name="_Toc124139881"/>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pPr>
      <w:bookmarkStart w:id="28" w:name="_Toc520087882"/>
      <w:r>
        <w:t>[</w:t>
      </w:r>
      <w:r>
        <w:rPr>
          <w:b/>
        </w:rPr>
        <w:t>3.</w:t>
      </w:r>
      <w:r>
        <w:tab/>
      </w:r>
      <w:r>
        <w:tab/>
        <w:t>Omitted under Reprints Act 1984 s. 7(4)(f).]</w:t>
      </w:r>
    </w:p>
    <w:p>
      <w:pPr>
        <w:pStyle w:val="Heading5"/>
        <w:spacing w:before="120"/>
        <w:rPr>
          <w:snapToGrid w:val="0"/>
        </w:rPr>
      </w:pPr>
      <w:bookmarkStart w:id="29" w:name="_Toc523620517"/>
      <w:bookmarkStart w:id="30" w:name="_Toc38853668"/>
      <w:bookmarkStart w:id="31" w:name="_Toc124061027"/>
      <w:bookmarkStart w:id="32" w:name="_Toc124139882"/>
      <w:r>
        <w:rPr>
          <w:snapToGrid w:val="0"/>
        </w:rPr>
        <w:t>4.</w:t>
      </w:r>
      <w:r>
        <w:rPr>
          <w:snapToGrid w:val="0"/>
        </w:rPr>
        <w:tab/>
        <w:t>Transitional provisions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spacing w:val="-4"/>
        </w:rPr>
      </w:pPr>
      <w:r>
        <w:rPr>
          <w:snapToGrid w:val="0"/>
          <w:spacing w:val="-4"/>
        </w:rPr>
        <w:tab/>
        <w:t>(a)</w:t>
      </w:r>
      <w:r>
        <w:rPr>
          <w:snapToGrid w:val="0"/>
          <w:spacing w:val="-4"/>
        </w:rPr>
        <w:tab/>
        <w:t xml:space="preserve">in so far as that Act applies, the </w:t>
      </w:r>
      <w:r>
        <w:rPr>
          <w:i/>
          <w:snapToGrid w:val="0"/>
          <w:spacing w:val="-4"/>
        </w:rPr>
        <w:t>Interpretation Act 1918 </w:t>
      </w:r>
      <w:r>
        <w:rPr>
          <w:snapToGrid w:val="0"/>
          <w:spacing w:val="-4"/>
          <w:vertAlign w:val="superscript"/>
        </w:rPr>
        <w:t>2</w:t>
      </w:r>
      <w:r>
        <w:rPr>
          <w:snapToGrid w:val="0"/>
          <w:spacing w:val="-4"/>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pPr>
      <w:r>
        <w:tab/>
        <w:t xml:space="preserve">[Section 4 inserted by No. 100 of 1985 s. 3.] </w:t>
      </w:r>
    </w:p>
    <w:p>
      <w:pPr>
        <w:pStyle w:val="Heading5"/>
        <w:spacing w:before="120"/>
        <w:rPr>
          <w:snapToGrid w:val="0"/>
        </w:rPr>
      </w:pPr>
      <w:bookmarkStart w:id="33" w:name="_Toc520087883"/>
      <w:bookmarkStart w:id="34" w:name="_Toc523620518"/>
      <w:bookmarkStart w:id="35" w:name="_Toc38853669"/>
      <w:bookmarkStart w:id="36" w:name="_Toc124061028"/>
      <w:bookmarkStart w:id="37" w:name="_Toc124139883"/>
      <w:r>
        <w:rPr>
          <w:snapToGrid w:val="0"/>
        </w:rPr>
        <w:t>5.</w:t>
      </w:r>
      <w:r>
        <w:rPr>
          <w:snapToGrid w:val="0"/>
        </w:rPr>
        <w:tab/>
        <w:t>Saving</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pPr>
      <w:r>
        <w:tab/>
        <w:t xml:space="preserve">[Section 5 amended by No. 69 of 1981 s. 5.] </w:t>
      </w:r>
    </w:p>
    <w:p>
      <w:pPr>
        <w:pStyle w:val="Heading5"/>
        <w:rPr>
          <w:snapToGrid w:val="0"/>
        </w:rPr>
      </w:pPr>
      <w:bookmarkStart w:id="38" w:name="_Toc520087884"/>
      <w:bookmarkStart w:id="39" w:name="_Toc523620519"/>
      <w:bookmarkStart w:id="40" w:name="_Toc38853670"/>
      <w:bookmarkStart w:id="41" w:name="_Toc124061029"/>
      <w:bookmarkStart w:id="42" w:name="_Toc124139884"/>
      <w:r>
        <w:rPr>
          <w:rStyle w:val="CharSectno"/>
        </w:rPr>
        <w:t>6</w:t>
      </w:r>
      <w:r>
        <w:rPr>
          <w:snapToGrid w:val="0"/>
        </w:rPr>
        <w:t>.</w:t>
      </w:r>
      <w:r>
        <w:rPr>
          <w:snapToGrid w:val="0"/>
        </w:rPr>
        <w:tab/>
        <w:t>Operation of this Act</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keepNext/>
        <w:keepLines/>
        <w:rPr>
          <w:snapToGrid w:val="0"/>
        </w:rPr>
      </w:pPr>
      <w:r>
        <w:rPr>
          <w:snapToGrid w:val="0"/>
        </w:rPr>
        <w:tab/>
        <w:t>(2)</w:t>
      </w:r>
      <w:r>
        <w:rPr>
          <w:snapToGrid w:val="0"/>
        </w:rPr>
        <w:tab/>
        <w:t>Notwithstanding anything in this Act — </w:t>
      </w:r>
    </w:p>
    <w:p>
      <w:pPr>
        <w:pStyle w:val="Indenta"/>
        <w:keepNext/>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pPr>
      <w:r>
        <w:tab/>
        <w:t xml:space="preserve">[Section 6 amended by No. 100 of 1985 s. 4; No. 77 of 1986 s. 8; No. 14 of 1996 s. 4.] </w:t>
      </w:r>
    </w:p>
    <w:p>
      <w:pPr>
        <w:pStyle w:val="Ednotesection"/>
        <w:spacing w:before="120"/>
        <w:ind w:left="890" w:hanging="890"/>
      </w:pPr>
      <w:r>
        <w:t>[</w:t>
      </w:r>
      <w:r>
        <w:rPr>
          <w:b/>
        </w:rPr>
        <w:t>7.</w:t>
      </w:r>
      <w:r>
        <w:t xml:space="preserve"> </w:t>
      </w:r>
      <w:r>
        <w:tab/>
      </w:r>
      <w:r>
        <w:tab/>
        <w:t xml:space="preserve">Repealed by No. 122 of 1982 s. 4.] </w:t>
      </w:r>
    </w:p>
    <w:p>
      <w:pPr>
        <w:pStyle w:val="Heading5"/>
        <w:spacing w:before="120"/>
        <w:rPr>
          <w:snapToGrid w:val="0"/>
        </w:rPr>
      </w:pPr>
      <w:bookmarkStart w:id="43" w:name="_Toc520087885"/>
      <w:bookmarkStart w:id="44" w:name="_Toc523620520"/>
      <w:bookmarkStart w:id="45" w:name="_Toc38853671"/>
      <w:bookmarkStart w:id="46" w:name="_Toc124061030"/>
      <w:bookmarkStart w:id="47" w:name="_Toc124139885"/>
      <w:r>
        <w:rPr>
          <w:rStyle w:val="CharSectno"/>
        </w:rPr>
        <w:t>8</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agricultural</w:t>
      </w:r>
      <w:r>
        <w:rPr>
          <w:b/>
        </w:rPr>
        <w:t>”</w:t>
      </w:r>
      <w:r>
        <w:t xml:space="preserve"> used in relation to the purposes for which land is occupied, includes cropping or pasturing purposes;</w:t>
      </w:r>
    </w:p>
    <w:p>
      <w:pPr>
        <w:pStyle w:val="Defstart"/>
        <w:spacing w:before="60"/>
      </w:pPr>
      <w:r>
        <w:rPr>
          <w:b/>
        </w:rPr>
        <w:tab/>
        <w:t>“</w:t>
      </w:r>
      <w:r>
        <w:rPr>
          <w:rStyle w:val="CharDefText"/>
        </w:rPr>
        <w:t>burial ground</w:t>
      </w:r>
      <w:r>
        <w:rPr>
          <w:b/>
        </w:rPr>
        <w:t>”</w:t>
      </w:r>
      <w:r>
        <w:t xml:space="preserve"> means an area of land reserved or demarcated exclusively for the purpose of burials;</w:t>
      </w:r>
    </w:p>
    <w:p>
      <w:pPr>
        <w:pStyle w:val="Defstart"/>
        <w:spacing w:before="60"/>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spacing w:before="60"/>
      </w:pPr>
      <w:r>
        <w:rPr>
          <w:b/>
        </w:rPr>
        <w:tab/>
        <w:t>“</w:t>
      </w:r>
      <w:r>
        <w:rPr>
          <w:rStyle w:val="CharDefText"/>
        </w:rPr>
        <w:t>Crown land</w:t>
      </w:r>
      <w:r>
        <w:rPr>
          <w:b/>
        </w:rPr>
        <w:t>”</w:t>
      </w:r>
      <w:r>
        <w:t xml:space="preserve"> means all land in the State, except — </w:t>
      </w:r>
    </w:p>
    <w:p>
      <w:pPr>
        <w:pStyle w:val="Defpara"/>
        <w:keepNext/>
        <w:spacing w:before="60"/>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rPr>
          <w:spacing w:val="-4"/>
        </w:rPr>
      </w:pPr>
      <w:r>
        <w:rPr>
          <w:spacing w:val="-4"/>
        </w:rPr>
        <w:tab/>
        <w:t>(b)</w:t>
      </w:r>
      <w:r>
        <w:rPr>
          <w:spacing w:val="-4"/>
        </w:rP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spacing w:before="60"/>
      </w:pPr>
      <w:r>
        <w:rPr>
          <w:b/>
        </w:rPr>
        <w:tab/>
        <w:t>“</w:t>
      </w:r>
      <w:r>
        <w:rPr>
          <w:rStyle w:val="CharDefText"/>
        </w:rPr>
        <w:t>dam</w:t>
      </w:r>
      <w:r>
        <w:rPr>
          <w:b/>
        </w:rPr>
        <w:t>”</w:t>
      </w:r>
      <w:r>
        <w:t xml:space="preserve"> means any accumulation or storage of water, whether natural or artificial;</w:t>
      </w:r>
    </w:p>
    <w:p>
      <w:pPr>
        <w:pStyle w:val="Defstart"/>
        <w:spacing w:before="60"/>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spacing w:before="60"/>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spacing w:before="60"/>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spacing w:before="60"/>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spacing w:before="60"/>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t>“</w:t>
      </w:r>
      <w:r>
        <w:rPr>
          <w:rStyle w:val="CharDefText"/>
        </w:rPr>
        <w:t>lapidary work</w:t>
      </w:r>
      <w:r>
        <w:rPr>
          <w:b/>
        </w:rPr>
        <w:t>”</w:t>
      </w:r>
      <w:r>
        <w:t xml:space="preserve"> includes the selection, cutting, polishing, engraving and setting of rock or other minerals;</w:t>
      </w:r>
    </w:p>
    <w:p>
      <w:pPr>
        <w:pStyle w:val="Defstart"/>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pPr>
      <w:r>
        <w:rPr>
          <w:b/>
        </w:rPr>
        <w:tab/>
        <w:t>“</w:t>
      </w:r>
      <w:r>
        <w:rPr>
          <w:rStyle w:val="CharDefText"/>
        </w:rPr>
        <w:t>machinery</w:t>
      </w:r>
      <w:r>
        <w:rPr>
          <w:b/>
        </w:rPr>
        <w:t>”</w:t>
      </w:r>
      <w:r>
        <w:t xml:space="preserve"> includes all mechanical appliances of whatever kind used or intended to be used for any mining purpose;</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pPr>
      <w:r>
        <w:rPr>
          <w:b/>
        </w:rPr>
        <w:tab/>
        <w:t>“</w:t>
      </w:r>
      <w:r>
        <w:rPr>
          <w:rStyle w:val="CharDefText"/>
        </w:rPr>
        <w:t>mine</w:t>
      </w:r>
      <w:r>
        <w:rPr>
          <w:b/>
        </w:rPr>
        <w:t>”</w:t>
      </w:r>
      <w:r>
        <w:t>, as a noun, means any place in, on or under which mining operations are carried on;</w:t>
      </w:r>
    </w:p>
    <w:p>
      <w:pPr>
        <w:pStyle w:val="Defstart"/>
      </w:pPr>
      <w:r>
        <w:rPr>
          <w:b/>
        </w:rPr>
        <w:tab/>
        <w:t>“</w:t>
      </w:r>
      <w:r>
        <w:rPr>
          <w:rStyle w:val="CharDefText"/>
        </w:rPr>
        <w:t>mine</w:t>
      </w:r>
      <w:r>
        <w:rPr>
          <w:b/>
        </w:rPr>
        <w:t>”</w:t>
      </w:r>
      <w:r>
        <w:t>, as a verb, includes any manner or method of mining operations;</w:t>
      </w:r>
    </w:p>
    <w:p>
      <w:pPr>
        <w:pStyle w:val="Defstar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spacing w:before="60"/>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spacing w:before="60"/>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spacing w:before="60"/>
      </w:pPr>
      <w:r>
        <w:rPr>
          <w:b/>
        </w:rPr>
        <w:tab/>
        <w:t>“</w:t>
      </w:r>
      <w:r>
        <w:rPr>
          <w:rStyle w:val="CharDefText"/>
        </w:rPr>
        <w:t>vehicle</w:t>
      </w:r>
      <w:r>
        <w:rPr>
          <w:b/>
        </w:rPr>
        <w:t>”</w:t>
      </w:r>
      <w:r>
        <w:t xml:space="preserve"> includes an aircraft, helicopter or air cushion vehicle;</w:t>
      </w:r>
    </w:p>
    <w:p>
      <w:pPr>
        <w:pStyle w:val="Defstart"/>
        <w:spacing w:before="60"/>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spacing w:before="60"/>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great-grandparent;</w:t>
      </w:r>
    </w:p>
    <w:p>
      <w:pPr>
        <w:pStyle w:val="Indenti"/>
      </w:pPr>
      <w:r>
        <w:tab/>
        <w:t>(iii)</w:t>
      </w:r>
      <w:r>
        <w:tab/>
        <w:t>a child, grandchild or great-grandchild;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p>
    <w:p>
      <w:pPr>
        <w:pStyle w:val="Indenta"/>
      </w:pPr>
      <w:r>
        <w:tab/>
        <w:t>(b)</w:t>
      </w:r>
      <w:r>
        <w:tab/>
        <w:t>a body corporate, if the person is a related entity (as defined in section 9 of the Corporations Act) in relation to the body corporate.</w:t>
      </w:r>
    </w:p>
    <w:p>
      <w:pPr>
        <w:pStyle w:val="Footnotesection"/>
      </w:pPr>
      <w:r>
        <w:tab/>
        <w:t xml:space="preserve">[Section 8 amended by No. 69 of 1981 s. 6; No. 122 of 1982 s. 5; No. 100 of 1985 s. 5; No. 105 of 1986 s. 7; No. 22 of 1990 s. 4; No. 37 of 1993 s. 10(2), 12(2), 26 and 27; No. 14 of 1996 s. 4; No. 5 of 1997 s. 40; No. 31 of 1997 s. 71(1) and 141; No. 10 of 2001 s. 130; No. 15 of 2002 s. 4; No. 28 of 2003 s. 152.] </w:t>
      </w:r>
    </w:p>
    <w:p>
      <w:pPr>
        <w:pStyle w:val="Heading5"/>
        <w:spacing w:before="120"/>
        <w:rPr>
          <w:snapToGrid w:val="0"/>
        </w:rPr>
      </w:pPr>
      <w:bookmarkStart w:id="48" w:name="_Toc520087886"/>
      <w:bookmarkStart w:id="49" w:name="_Toc523620521"/>
      <w:bookmarkStart w:id="50" w:name="_Toc38853672"/>
      <w:bookmarkStart w:id="51" w:name="_Toc124061031"/>
      <w:bookmarkStart w:id="52" w:name="_Toc124139886"/>
      <w:r>
        <w:rPr>
          <w:rStyle w:val="CharSectno"/>
        </w:rPr>
        <w:t>8A</w:t>
      </w:r>
      <w:r>
        <w:rPr>
          <w:snapToGrid w:val="0"/>
        </w:rPr>
        <w:t>.</w:t>
      </w:r>
      <w:r>
        <w:rPr>
          <w:snapToGrid w:val="0"/>
        </w:rPr>
        <w:tab/>
        <w:t>Rights in respect of oil shale or coal</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pPr>
      <w:r>
        <w:tab/>
        <w:t xml:space="preserve">[Section 8A inserted by No. 69 of 1981 s. 7.] </w:t>
      </w:r>
    </w:p>
    <w:p>
      <w:pPr>
        <w:pStyle w:val="Heading5"/>
        <w:spacing w:before="120"/>
        <w:rPr>
          <w:snapToGrid w:val="0"/>
        </w:rPr>
      </w:pPr>
      <w:bookmarkStart w:id="53" w:name="_Toc520087887"/>
      <w:bookmarkStart w:id="54" w:name="_Toc523620522"/>
      <w:bookmarkStart w:id="55" w:name="_Toc38853673"/>
      <w:bookmarkStart w:id="56" w:name="_Toc124061032"/>
      <w:bookmarkStart w:id="57" w:name="_Toc124139887"/>
      <w:r>
        <w:rPr>
          <w:rStyle w:val="CharSectno"/>
        </w:rPr>
        <w:t>9</w:t>
      </w:r>
      <w:r>
        <w:rPr>
          <w:snapToGrid w:val="0"/>
        </w:rPr>
        <w:t>.</w:t>
      </w:r>
      <w:r>
        <w:rPr>
          <w:snapToGrid w:val="0"/>
        </w:rPr>
        <w:tab/>
        <w:t>Gold and silver and other precious metals property of the Crown</w:t>
      </w:r>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58" w:name="_Toc520087888"/>
      <w:bookmarkStart w:id="59" w:name="_Toc523620523"/>
      <w:bookmarkStart w:id="60" w:name="_Toc38853674"/>
      <w:bookmarkStart w:id="61" w:name="_Toc124061033"/>
      <w:bookmarkStart w:id="62" w:name="_Toc124139888"/>
      <w:r>
        <w:rPr>
          <w:rStyle w:val="CharSectno"/>
        </w:rPr>
        <w:t>9B</w:t>
      </w:r>
      <w:r>
        <w:t>.</w:t>
      </w:r>
      <w:r>
        <w:tab/>
        <w:t>Position on the Earth’s surface</w:t>
      </w:r>
      <w:bookmarkEnd w:id="58"/>
      <w:bookmarkEnd w:id="59"/>
      <w:bookmarkEnd w:id="60"/>
      <w:bookmarkEnd w:id="61"/>
      <w:bookmarkEnd w:id="6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63" w:name="_Toc87427543"/>
      <w:bookmarkStart w:id="64" w:name="_Toc87851118"/>
      <w:bookmarkStart w:id="65" w:name="_Toc88295341"/>
      <w:bookmarkStart w:id="66" w:name="_Toc89519000"/>
      <w:bookmarkStart w:id="67" w:name="_Toc90869125"/>
      <w:bookmarkStart w:id="68" w:name="_Toc91407897"/>
      <w:bookmarkStart w:id="69" w:name="_Toc92863641"/>
      <w:bookmarkStart w:id="70" w:name="_Toc95015009"/>
      <w:bookmarkStart w:id="71" w:name="_Toc95106716"/>
      <w:bookmarkStart w:id="72" w:name="_Toc97018516"/>
      <w:bookmarkStart w:id="73" w:name="_Toc101693469"/>
      <w:bookmarkStart w:id="74" w:name="_Toc103130339"/>
      <w:bookmarkStart w:id="75" w:name="_Toc104710989"/>
      <w:bookmarkStart w:id="76" w:name="_Toc121559974"/>
      <w:bookmarkStart w:id="77" w:name="_Toc122328415"/>
      <w:bookmarkStart w:id="78" w:name="_Toc124061034"/>
      <w:bookmarkStart w:id="79" w:name="_Toc124139889"/>
      <w:r>
        <w:rPr>
          <w:rStyle w:val="CharPartNo"/>
        </w:rPr>
        <w:t>Part II</w:t>
      </w:r>
      <w:r>
        <w:rPr>
          <w:rStyle w:val="CharDivNo"/>
        </w:rPr>
        <w:t> </w:t>
      </w:r>
      <w:r>
        <w:t>—</w:t>
      </w:r>
      <w:r>
        <w:rPr>
          <w:rStyle w:val="CharDivText"/>
        </w:rPr>
        <w:t> </w:t>
      </w:r>
      <w:r>
        <w:rPr>
          <w:rStyle w:val="CharPartText"/>
        </w:rPr>
        <w:t>Administration, mineral fields and courts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spacing w:before="120"/>
        <w:rPr>
          <w:snapToGrid w:val="0"/>
        </w:rPr>
      </w:pPr>
      <w:bookmarkStart w:id="80" w:name="_Toc520087889"/>
      <w:bookmarkStart w:id="81" w:name="_Toc523620524"/>
      <w:bookmarkStart w:id="82" w:name="_Toc38853675"/>
      <w:bookmarkStart w:id="83" w:name="_Toc124061035"/>
      <w:bookmarkStart w:id="84" w:name="_Toc124139890"/>
      <w:r>
        <w:rPr>
          <w:rStyle w:val="CharSectno"/>
        </w:rPr>
        <w:t>10</w:t>
      </w:r>
      <w:r>
        <w:rPr>
          <w:snapToGrid w:val="0"/>
        </w:rPr>
        <w:t>.</w:t>
      </w:r>
      <w:r>
        <w:rPr>
          <w:snapToGrid w:val="0"/>
        </w:rPr>
        <w:tab/>
        <w:t>Administration of Act</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This Act shall be administered by the Minister.</w:t>
      </w:r>
    </w:p>
    <w:p>
      <w:pPr>
        <w:pStyle w:val="Subsection"/>
        <w:spacing w:before="1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1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120"/>
        <w:rPr>
          <w:snapToGrid w:val="0"/>
        </w:rPr>
      </w:pPr>
      <w:bookmarkStart w:id="85" w:name="_Toc520087890"/>
      <w:bookmarkStart w:id="86" w:name="_Toc523620525"/>
      <w:bookmarkStart w:id="87" w:name="_Toc38853676"/>
      <w:bookmarkStart w:id="88" w:name="_Toc124061036"/>
      <w:bookmarkStart w:id="89" w:name="_Toc124139891"/>
      <w:r>
        <w:rPr>
          <w:rStyle w:val="CharSectno"/>
        </w:rPr>
        <w:t>11</w:t>
      </w:r>
      <w:r>
        <w:rPr>
          <w:snapToGrid w:val="0"/>
        </w:rPr>
        <w:t>.</w:t>
      </w:r>
      <w:r>
        <w:rPr>
          <w:snapToGrid w:val="0"/>
        </w:rPr>
        <w:tab/>
        <w:t>Chief executive officer and other officers</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pPr>
      <w:r>
        <w:tab/>
        <w:t xml:space="preserve">[Section 11 amended by No. 113 of 1987 s. 32; No. 32 of 1994 s. 19.] </w:t>
      </w:r>
    </w:p>
    <w:p>
      <w:pPr>
        <w:pStyle w:val="Heading5"/>
        <w:spacing w:before="120"/>
        <w:rPr>
          <w:snapToGrid w:val="0"/>
        </w:rPr>
      </w:pPr>
      <w:bookmarkStart w:id="90" w:name="_Toc520087891"/>
      <w:bookmarkStart w:id="91" w:name="_Toc523620526"/>
      <w:bookmarkStart w:id="92" w:name="_Toc38853677"/>
      <w:bookmarkStart w:id="93" w:name="_Toc124061037"/>
      <w:bookmarkStart w:id="94" w:name="_Toc124139892"/>
      <w:r>
        <w:rPr>
          <w:rStyle w:val="CharSectno"/>
        </w:rPr>
        <w:t>12</w:t>
      </w:r>
      <w:r>
        <w:rPr>
          <w:snapToGrid w:val="0"/>
        </w:rPr>
        <w:t>.</w:t>
      </w:r>
      <w:r>
        <w:rPr>
          <w:snapToGrid w:val="0"/>
        </w:rPr>
        <w:tab/>
        <w:t>Delegation</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95" w:name="_Toc520087892"/>
      <w:bookmarkStart w:id="96" w:name="_Toc523620527"/>
      <w:bookmarkStart w:id="97" w:name="_Toc38853678"/>
      <w:bookmarkStart w:id="98" w:name="_Toc124061038"/>
      <w:bookmarkStart w:id="99" w:name="_Toc124139893"/>
      <w:r>
        <w:rPr>
          <w:rStyle w:val="CharSectno"/>
        </w:rPr>
        <w:t>13</w:t>
      </w:r>
      <w:r>
        <w:rPr>
          <w:snapToGrid w:val="0"/>
        </w:rPr>
        <w:t>.</w:t>
      </w:r>
      <w:r>
        <w:rPr>
          <w:snapToGrid w:val="0"/>
        </w:rPr>
        <w:tab/>
        <w:t>Wardens of mines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Courts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r>
        <w:rPr>
          <w:snapToGrid w:val="0"/>
          <w:vertAlign w:val="superscript"/>
        </w:rPr>
        <w:t> 4</w:t>
      </w:r>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w:t>
      </w:r>
      <w:r>
        <w:rPr>
          <w:snapToGrid w:val="0"/>
          <w:vertAlign w:val="superscript"/>
        </w:rPr>
        <w:t> 4</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00" w:name="_Toc520087893"/>
      <w:bookmarkStart w:id="101" w:name="_Toc523620528"/>
      <w:bookmarkStart w:id="102" w:name="_Toc38853679"/>
      <w:bookmarkStart w:id="103" w:name="_Toc124061039"/>
      <w:bookmarkStart w:id="104" w:name="_Toc124139894"/>
      <w:r>
        <w:rPr>
          <w:rStyle w:val="CharSectno"/>
        </w:rPr>
        <w:t>14</w:t>
      </w:r>
      <w:r>
        <w:rPr>
          <w:snapToGrid w:val="0"/>
        </w:rPr>
        <w:t>.</w:t>
      </w:r>
      <w:r>
        <w:rPr>
          <w:snapToGrid w:val="0"/>
        </w:rPr>
        <w:tab/>
        <w:t>Power to appoint acting warden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rPr>
          <w:snapToGrid w:val="0"/>
        </w:rPr>
      </w:pPr>
      <w:r>
        <w:rPr>
          <w:snapToGrid w:val="0"/>
        </w:rPr>
        <w:tab/>
        <w:t>(b)</w:t>
      </w:r>
      <w:r>
        <w:rPr>
          <w:snapToGrid w:val="0"/>
        </w:rPr>
        <w:tab/>
        <w:t>he shall be a Justice of the Peace, by virtue of his office.</w:t>
      </w:r>
    </w:p>
    <w:p>
      <w:pPr>
        <w:pStyle w:val="Footnotesection"/>
      </w:pPr>
      <w:r>
        <w:tab/>
        <w:t xml:space="preserve">[Section 14 amended by No. 100 of 1985 s. 8.] </w:t>
      </w:r>
    </w:p>
    <w:p>
      <w:pPr>
        <w:pStyle w:val="Heading5"/>
        <w:rPr>
          <w:snapToGrid w:val="0"/>
        </w:rPr>
      </w:pPr>
      <w:bookmarkStart w:id="105" w:name="_Toc520087894"/>
      <w:bookmarkStart w:id="106" w:name="_Toc523620529"/>
      <w:bookmarkStart w:id="107" w:name="_Toc38853680"/>
      <w:bookmarkStart w:id="108" w:name="_Toc124061040"/>
      <w:bookmarkStart w:id="109" w:name="_Toc124139895"/>
      <w:r>
        <w:rPr>
          <w:rStyle w:val="CharSectno"/>
        </w:rPr>
        <w:t>15</w:t>
      </w:r>
      <w:r>
        <w:rPr>
          <w:snapToGrid w:val="0"/>
        </w:rPr>
        <w:t>.</w:t>
      </w:r>
      <w:r>
        <w:rPr>
          <w:snapToGrid w:val="0"/>
        </w:rPr>
        <w:tab/>
        <w:t>Warden prohibited from adjudicating in certain matters and officer prohibited from using information</w:t>
      </w:r>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spacing w:before="120"/>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pPr>
      <w:r>
        <w:tab/>
        <w:t xml:space="preserve">[Section 15 amended by No. 100 of 1985 s. 9; No. 70 of 2004 s. 82.] </w:t>
      </w:r>
    </w:p>
    <w:p>
      <w:pPr>
        <w:pStyle w:val="Heading5"/>
        <w:spacing w:before="120"/>
        <w:rPr>
          <w:snapToGrid w:val="0"/>
        </w:rPr>
      </w:pPr>
      <w:bookmarkStart w:id="110" w:name="_Toc520087895"/>
      <w:bookmarkStart w:id="111" w:name="_Toc523620530"/>
      <w:bookmarkStart w:id="112" w:name="_Toc38853681"/>
      <w:bookmarkStart w:id="113" w:name="_Toc124061041"/>
      <w:bookmarkStart w:id="114" w:name="_Toc124139896"/>
      <w:r>
        <w:rPr>
          <w:rStyle w:val="CharSectno"/>
        </w:rPr>
        <w:t>16</w:t>
      </w:r>
      <w:r>
        <w:rPr>
          <w:snapToGrid w:val="0"/>
        </w:rPr>
        <w:t>.</w:t>
      </w:r>
      <w:r>
        <w:rPr>
          <w:snapToGrid w:val="0"/>
        </w:rPr>
        <w:tab/>
        <w:t>Power to proclaim mineral fields</w:t>
      </w:r>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12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spacing w:before="120"/>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spacing w:before="120"/>
        <w:ind w:left="890" w:hanging="890"/>
      </w:pPr>
      <w:r>
        <w:t>[</w:t>
      </w:r>
      <w:r>
        <w:rPr>
          <w:b/>
        </w:rPr>
        <w:t>17.</w:t>
      </w:r>
      <w:r>
        <w:t xml:space="preserve"> </w:t>
      </w:r>
      <w:r>
        <w:tab/>
      </w:r>
      <w:r>
        <w:tab/>
        <w:t xml:space="preserve">Repealed by No. 100 of 1985 s. 10.] </w:t>
      </w:r>
    </w:p>
    <w:p>
      <w:pPr>
        <w:pStyle w:val="Heading2"/>
      </w:pPr>
      <w:bookmarkStart w:id="115" w:name="_Toc87427551"/>
      <w:bookmarkStart w:id="116" w:name="_Toc87851126"/>
      <w:bookmarkStart w:id="117" w:name="_Toc88295349"/>
      <w:bookmarkStart w:id="118" w:name="_Toc89519008"/>
      <w:bookmarkStart w:id="119" w:name="_Toc90869133"/>
      <w:bookmarkStart w:id="120" w:name="_Toc91407905"/>
      <w:bookmarkStart w:id="121" w:name="_Toc92863649"/>
      <w:bookmarkStart w:id="122" w:name="_Toc95015017"/>
      <w:bookmarkStart w:id="123" w:name="_Toc95106724"/>
      <w:bookmarkStart w:id="124" w:name="_Toc97018524"/>
      <w:bookmarkStart w:id="125" w:name="_Toc101693477"/>
      <w:bookmarkStart w:id="126" w:name="_Toc103130347"/>
      <w:bookmarkStart w:id="127" w:name="_Toc104710997"/>
      <w:bookmarkStart w:id="128" w:name="_Toc121559982"/>
      <w:bookmarkStart w:id="129" w:name="_Toc122328423"/>
      <w:bookmarkStart w:id="130" w:name="_Toc124061042"/>
      <w:bookmarkStart w:id="131" w:name="_Toc124139897"/>
      <w:r>
        <w:rPr>
          <w:rStyle w:val="CharPartNo"/>
        </w:rPr>
        <w:t>Part III</w:t>
      </w:r>
      <w:r>
        <w:t> — </w:t>
      </w:r>
      <w:r>
        <w:rPr>
          <w:rStyle w:val="CharPartText"/>
        </w:rPr>
        <w:t>Land open for mining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spacing w:before="120"/>
        <w:rPr>
          <w:snapToGrid w:val="0"/>
        </w:rPr>
      </w:pPr>
      <w:bookmarkStart w:id="132" w:name="_Toc87427552"/>
      <w:bookmarkStart w:id="133" w:name="_Toc87851127"/>
      <w:bookmarkStart w:id="134" w:name="_Toc88295350"/>
      <w:bookmarkStart w:id="135" w:name="_Toc89519009"/>
      <w:bookmarkStart w:id="136" w:name="_Toc90869134"/>
      <w:bookmarkStart w:id="137" w:name="_Toc91407906"/>
      <w:bookmarkStart w:id="138" w:name="_Toc92863650"/>
      <w:bookmarkStart w:id="139" w:name="_Toc95015018"/>
      <w:bookmarkStart w:id="140" w:name="_Toc95106725"/>
      <w:bookmarkStart w:id="141" w:name="_Toc97018525"/>
      <w:bookmarkStart w:id="142" w:name="_Toc101693478"/>
      <w:bookmarkStart w:id="143" w:name="_Toc103130348"/>
      <w:bookmarkStart w:id="144" w:name="_Toc104710998"/>
      <w:bookmarkStart w:id="145" w:name="_Toc121559983"/>
      <w:bookmarkStart w:id="146" w:name="_Toc122328424"/>
      <w:bookmarkStart w:id="147" w:name="_Toc124061043"/>
      <w:bookmarkStart w:id="148" w:name="_Toc124139898"/>
      <w:r>
        <w:rPr>
          <w:rStyle w:val="CharDivNo"/>
        </w:rPr>
        <w:t>Division 1</w:t>
      </w:r>
      <w:r>
        <w:rPr>
          <w:snapToGrid w:val="0"/>
        </w:rPr>
        <w:t> — </w:t>
      </w:r>
      <w:r>
        <w:rPr>
          <w:rStyle w:val="CharDivText"/>
        </w:rPr>
        <w:t>Crown land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spacing w:before="120"/>
        <w:rPr>
          <w:snapToGrid w:val="0"/>
        </w:rPr>
      </w:pPr>
      <w:bookmarkStart w:id="149" w:name="_Toc520087896"/>
      <w:bookmarkStart w:id="150" w:name="_Toc523620531"/>
      <w:bookmarkStart w:id="151" w:name="_Toc38853682"/>
      <w:bookmarkStart w:id="152" w:name="_Toc124061044"/>
      <w:bookmarkStart w:id="153" w:name="_Toc124139899"/>
      <w:r>
        <w:rPr>
          <w:rStyle w:val="CharSectno"/>
        </w:rPr>
        <w:t>18</w:t>
      </w:r>
      <w:r>
        <w:rPr>
          <w:snapToGrid w:val="0"/>
        </w:rPr>
        <w:t>.</w:t>
      </w:r>
      <w:r>
        <w:rPr>
          <w:snapToGrid w:val="0"/>
        </w:rPr>
        <w:tab/>
        <w:t>Crown land open for mining</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pPr>
      <w:r>
        <w:tab/>
        <w:t xml:space="preserve">[Section 18 amended by No. 100 of 1985 s. 11.] </w:t>
      </w:r>
    </w:p>
    <w:p>
      <w:pPr>
        <w:pStyle w:val="Heading5"/>
        <w:spacing w:before="120"/>
        <w:rPr>
          <w:snapToGrid w:val="0"/>
        </w:rPr>
      </w:pPr>
      <w:bookmarkStart w:id="154" w:name="_Toc520087897"/>
      <w:bookmarkStart w:id="155" w:name="_Toc523620532"/>
      <w:bookmarkStart w:id="156" w:name="_Toc38853683"/>
      <w:bookmarkStart w:id="157" w:name="_Toc124061045"/>
      <w:bookmarkStart w:id="158" w:name="_Toc124139900"/>
      <w:r>
        <w:rPr>
          <w:rStyle w:val="CharSectno"/>
        </w:rPr>
        <w:t>19</w:t>
      </w:r>
      <w:r>
        <w:rPr>
          <w:snapToGrid w:val="0"/>
        </w:rPr>
        <w:t>.</w:t>
      </w:r>
      <w:r>
        <w:rPr>
          <w:snapToGrid w:val="0"/>
        </w:rPr>
        <w:tab/>
        <w:t>Power to set aside land for mining or exempt it therefrom</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rPr>
          <w:snapToGrid w:val="0"/>
        </w:rPr>
      </w:pPr>
      <w:r>
        <w:rPr>
          <w:snapToGrid w:val="0"/>
        </w:rPr>
        <w:tab/>
        <w:t>(6)</w:t>
      </w:r>
      <w:r>
        <w:rPr>
          <w:snapToGrid w:val="0"/>
        </w:rPr>
        <w:tab/>
        <w:t>On receiving an application made under subsection (5), the Minister may — </w:t>
      </w:r>
    </w:p>
    <w:p>
      <w:pPr>
        <w:pStyle w:val="Indenta"/>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pPr>
      <w:r>
        <w:tab/>
        <w:t xml:space="preserve">[Section 19 amended by No. 69 of 1981 s. 8; No. 100 of 1985 s. 12; No. 21 of 1993 s. 45; No. 58 of 1994 s. 4; No. 52 of 1995 s. 20; No. 5 of 1997 s. 41(2).] </w:t>
      </w:r>
    </w:p>
    <w:p>
      <w:pPr>
        <w:pStyle w:val="Heading5"/>
        <w:rPr>
          <w:snapToGrid w:val="0"/>
        </w:rPr>
      </w:pPr>
      <w:bookmarkStart w:id="159" w:name="_Toc520087898"/>
      <w:bookmarkStart w:id="160" w:name="_Toc523620533"/>
      <w:bookmarkStart w:id="161" w:name="_Toc38853684"/>
      <w:bookmarkStart w:id="162" w:name="_Toc124061046"/>
      <w:bookmarkStart w:id="163" w:name="_Toc124139901"/>
      <w:r>
        <w:rPr>
          <w:rStyle w:val="CharSectno"/>
        </w:rPr>
        <w:t>20</w:t>
      </w:r>
      <w:r>
        <w:rPr>
          <w:snapToGrid w:val="0"/>
        </w:rPr>
        <w:t>.</w:t>
      </w:r>
      <w:r>
        <w:rPr>
          <w:snapToGrid w:val="0"/>
        </w:rPr>
        <w:tab/>
        <w:t>General rights to prospect and protection of certain Crown land</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rPr>
          <w:snapToGrid w:val="0"/>
        </w:rPr>
      </w:pPr>
      <w:r>
        <w:rPr>
          <w:snapToGrid w:val="0"/>
        </w:rPr>
        <w:tab/>
        <w:t>(e)</w:t>
      </w:r>
      <w:r>
        <w:rPr>
          <w:snapToGrid w:val="0"/>
        </w:rPr>
        <w:tab/>
        <w:t>subject to any Act relating to Crown lands and the regulations thereunder for the time being in force for the preservation of timber — </w:t>
      </w:r>
    </w:p>
    <w:p>
      <w:pPr>
        <w:pStyle w:val="Indenti"/>
        <w:rPr>
          <w:snapToGrid w:val="0"/>
        </w:rPr>
      </w:pPr>
      <w:r>
        <w:rPr>
          <w:snapToGrid w:val="0"/>
        </w:rPr>
        <w:tab/>
        <w:t>(i)</w:t>
      </w:r>
      <w:r>
        <w:rPr>
          <w:snapToGrid w:val="0"/>
        </w:rPr>
        <w:tab/>
        <w:t>to cut and remove timber from such land for the purpose of prospecting; and</w:t>
      </w:r>
    </w:p>
    <w:p>
      <w:pPr>
        <w:pStyle w:val="Indenti"/>
        <w:keepNext/>
        <w:rPr>
          <w:snapToGrid w:val="0"/>
        </w:rPr>
      </w:pPr>
      <w:r>
        <w:rPr>
          <w:snapToGrid w:val="0"/>
        </w:rPr>
        <w:tab/>
        <w:t>(ii)</w:t>
      </w:r>
      <w:r>
        <w:rPr>
          <w:snapToGrid w:val="0"/>
        </w:rPr>
        <w:tab/>
        <w:t>to erect, use and remove any building or structure on any such land lawfully occupied by him for the purpose of prospecting,</w:t>
      </w:r>
    </w:p>
    <w:p>
      <w:pPr>
        <w:pStyle w:val="Indenta"/>
        <w:spacing w:before="60"/>
        <w:rPr>
          <w:snapToGrid w:val="0"/>
        </w:rPr>
      </w:pPr>
      <w:r>
        <w:rPr>
          <w:snapToGrid w:val="0"/>
        </w:rPr>
        <w:tab/>
      </w:r>
      <w:r>
        <w:rPr>
          <w:snapToGrid w:val="0"/>
        </w:rPr>
        <w:tab/>
        <w:t>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0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spacing w:before="60"/>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spacing w:before="60"/>
        <w:rPr>
          <w:snapToGrid w:val="0"/>
          <w:spacing w:val="-4"/>
        </w:rPr>
      </w:pPr>
      <w:r>
        <w:rPr>
          <w:snapToGrid w:val="0"/>
          <w:spacing w:val="-4"/>
        </w:rPr>
        <w:tab/>
        <w:t>(b)</w:t>
      </w:r>
      <w:r>
        <w:rPr>
          <w:snapToGrid w:val="0"/>
          <w:spacing w:val="-4"/>
        </w:rPr>
        <w:tab/>
        <w:t>take all necessary steps to prevent fire, damage to trees or other property and to prevent damage to any property or damage to livestock by the presence of dogs, the discharge of firearms, the use of vehicles or otherwise; and</w:t>
      </w:r>
    </w:p>
    <w:p>
      <w:pPr>
        <w:pStyle w:val="Indenta"/>
        <w:spacing w:before="60"/>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 xml:space="preserve">repealed] </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rPr>
          <w:snapToGrid w:val="0"/>
        </w:rPr>
      </w:pPr>
      <w:r>
        <w:tab/>
      </w:r>
      <w:r>
        <w:tab/>
        <w:t xml:space="preserve">but </w:t>
      </w:r>
      <w:r>
        <w:rPr>
          <w:snapToGrid w:val="0"/>
        </w:rPr>
        <w:t>nothing in this subsection prevents such a holder from passing and repassing over any Crown land that is situated within — </w:t>
      </w:r>
    </w:p>
    <w:p>
      <w:pPr>
        <w:pStyle w:val="Indenta"/>
        <w:keepNext/>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keepLines/>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spacing w:val="-4"/>
        </w:rPr>
      </w:pPr>
      <w:r>
        <w:rPr>
          <w:snapToGrid w:val="0"/>
          <w:spacing w:val="-4"/>
        </w:rPr>
        <w:tab/>
        <w:t>(e)</w:t>
      </w:r>
      <w:r>
        <w:rPr>
          <w:snapToGrid w:val="0"/>
          <w:spacing w:val="-4"/>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2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2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2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pPr>
      <w:r>
        <w:tab/>
        <w:t xml:space="preserve">[Section 20 amended by No. 122 of 1982 s. 6; No. 100 of 1985 s. 13; No. 22 of 1990 s. 5; No. 31 of 1997 s. 141; No. 63 of 2000 s. 4; No. 15 of 2002 s. 5.] </w:t>
      </w:r>
    </w:p>
    <w:p>
      <w:pPr>
        <w:pStyle w:val="Heading5"/>
      </w:pPr>
      <w:bookmarkStart w:id="164" w:name="_Toc520087899"/>
      <w:bookmarkStart w:id="165" w:name="_Toc523620534"/>
      <w:bookmarkStart w:id="166" w:name="_Toc38853685"/>
      <w:bookmarkStart w:id="167" w:name="_Toc124061047"/>
      <w:bookmarkStart w:id="168" w:name="_Toc124139902"/>
      <w:r>
        <w:rPr>
          <w:rStyle w:val="CharSectno"/>
        </w:rPr>
        <w:t>20A</w:t>
      </w:r>
      <w:r>
        <w:t>.</w:t>
      </w:r>
      <w:r>
        <w:tab/>
        <w:t xml:space="preserve">Permit to prospect on Crown land the subject of an exploration </w:t>
      </w:r>
      <w:bookmarkEnd w:id="164"/>
      <w:r>
        <w:t>licence</w:t>
      </w:r>
      <w:bookmarkEnd w:id="165"/>
      <w:bookmarkEnd w:id="166"/>
      <w:bookmarkEnd w:id="167"/>
      <w:bookmarkEnd w:id="16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pPr>
      <w:r>
        <w:tab/>
        <w:t>[Section 20A inserted by No. 63 of 2000 s. 5.]</w:t>
      </w:r>
    </w:p>
    <w:p>
      <w:pPr>
        <w:pStyle w:val="Heading5"/>
      </w:pPr>
      <w:bookmarkStart w:id="169" w:name="_Toc520087900"/>
      <w:bookmarkStart w:id="170" w:name="_Toc523620535"/>
      <w:bookmarkStart w:id="171" w:name="_Toc38853686"/>
      <w:bookmarkStart w:id="172" w:name="_Toc124061048"/>
      <w:bookmarkStart w:id="173" w:name="_Toc124139903"/>
      <w:r>
        <w:rPr>
          <w:rStyle w:val="CharSectno"/>
        </w:rPr>
        <w:t>20B</w:t>
      </w:r>
      <w:r>
        <w:t>.</w:t>
      </w:r>
      <w:r>
        <w:tab/>
        <w:t>Power to remove Crown land from the operation of section 20A</w:t>
      </w:r>
      <w:bookmarkEnd w:id="169"/>
      <w:bookmarkEnd w:id="170"/>
      <w:bookmarkEnd w:id="171"/>
      <w:bookmarkEnd w:id="172"/>
      <w:bookmarkEnd w:id="173"/>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keepNext/>
      </w:pPr>
      <w:r>
        <w:tab/>
        <w:t>(4)</w:t>
      </w:r>
      <w:r>
        <w:tab/>
        <w:t>A notice under this section does not affect the operation of a permit issued under section 20A before the day on which the notice takes effect.</w:t>
      </w:r>
    </w:p>
    <w:p>
      <w:pPr>
        <w:pStyle w:val="Footnotesection"/>
      </w:pPr>
      <w:r>
        <w:tab/>
        <w:t>[Section 20B inserted by No. 63 of 2000 s. 5.]</w:t>
      </w:r>
    </w:p>
    <w:p>
      <w:pPr>
        <w:pStyle w:val="Heading5"/>
      </w:pPr>
      <w:bookmarkStart w:id="174" w:name="_Toc520087901"/>
      <w:bookmarkStart w:id="175" w:name="_Toc523620536"/>
      <w:bookmarkStart w:id="176" w:name="_Toc38853687"/>
      <w:bookmarkStart w:id="177" w:name="_Toc124061049"/>
      <w:bookmarkStart w:id="178" w:name="_Toc124139904"/>
      <w:r>
        <w:rPr>
          <w:rStyle w:val="CharSectno"/>
        </w:rPr>
        <w:t>20C</w:t>
      </w:r>
      <w:r>
        <w:t>.</w:t>
      </w:r>
      <w:r>
        <w:tab/>
        <w:t>Limitation on actions in tort</w:t>
      </w:r>
      <w:bookmarkEnd w:id="174"/>
      <w:bookmarkEnd w:id="175"/>
      <w:bookmarkEnd w:id="176"/>
      <w:bookmarkEnd w:id="177"/>
      <w:bookmarkEnd w:id="178"/>
    </w:p>
    <w:p>
      <w:pPr>
        <w:pStyle w:val="Subsection"/>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(2)</w:t>
      </w:r>
      <w:r>
        <w:tab/>
        <w:t>Nothing in subsection (1)(b)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(3)</w:t>
      </w:r>
      <w:r>
        <w:tab/>
        <w:t>In this section a reference to the doing of a thing includes a reference to an omission to do a thing.</w:t>
      </w:r>
    </w:p>
    <w:p>
      <w:pPr>
        <w:pStyle w:val="Subsection"/>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pPr>
      <w:r>
        <w:tab/>
        <w:t>[Section 20C inserted by No. 63 of 2000 s. 5.]</w:t>
      </w:r>
    </w:p>
    <w:p>
      <w:pPr>
        <w:pStyle w:val="Heading5"/>
        <w:spacing w:before="120"/>
        <w:rPr>
          <w:snapToGrid w:val="0"/>
        </w:rPr>
      </w:pPr>
      <w:bookmarkStart w:id="179" w:name="_Toc520087902"/>
      <w:bookmarkStart w:id="180" w:name="_Toc523620537"/>
      <w:bookmarkStart w:id="181" w:name="_Toc38853688"/>
      <w:bookmarkStart w:id="182" w:name="_Toc124061050"/>
      <w:bookmarkStart w:id="183" w:name="_Toc124139905"/>
      <w:r>
        <w:rPr>
          <w:rStyle w:val="CharSectno"/>
        </w:rPr>
        <w:t>21</w:t>
      </w:r>
      <w:r>
        <w:rPr>
          <w:snapToGrid w:val="0"/>
        </w:rPr>
        <w:t>.</w:t>
      </w:r>
      <w:r>
        <w:rPr>
          <w:snapToGrid w:val="0"/>
        </w:rPr>
        <w:tab/>
        <w:t>Power to resume land</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pPr>
      <w:r>
        <w:tab/>
        <w:t>[Section 21 amended by No. 100 of 1985 s. 14; No. 31 of 1997 s. 71(3)</w:t>
      </w:r>
      <w:r>
        <w:noBreakHyphen/>
        <w:t xml:space="preserve">(6); No. 55 of 2004 s. 570.] </w:t>
      </w:r>
    </w:p>
    <w:p>
      <w:pPr>
        <w:pStyle w:val="Heading5"/>
        <w:rPr>
          <w:snapToGrid w:val="0"/>
        </w:rPr>
      </w:pPr>
      <w:bookmarkStart w:id="184" w:name="_Toc520087903"/>
      <w:bookmarkStart w:id="185" w:name="_Toc523620538"/>
      <w:bookmarkStart w:id="186" w:name="_Toc38853689"/>
      <w:bookmarkStart w:id="187" w:name="_Toc124061051"/>
      <w:bookmarkStart w:id="188" w:name="_Toc124139906"/>
      <w:r>
        <w:rPr>
          <w:rStyle w:val="CharSectno"/>
        </w:rPr>
        <w:t>22</w:t>
      </w:r>
      <w:r>
        <w:rPr>
          <w:snapToGrid w:val="0"/>
        </w:rPr>
        <w:t>.</w:t>
      </w:r>
      <w:r>
        <w:rPr>
          <w:snapToGrid w:val="0"/>
        </w:rPr>
        <w:tab/>
        <w:t>Effect of resumption</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pPr>
      <w:r>
        <w:tab/>
        <w:t xml:space="preserve">[Section 22 amended by No. 100 of 1985 s. 15; No. 31 of 1997 s. 71(7).] </w:t>
      </w:r>
    </w:p>
    <w:p>
      <w:pPr>
        <w:pStyle w:val="Heading3"/>
        <w:rPr>
          <w:snapToGrid w:val="0"/>
        </w:rPr>
      </w:pPr>
      <w:bookmarkStart w:id="189" w:name="_Toc87427561"/>
      <w:bookmarkStart w:id="190" w:name="_Toc87851136"/>
      <w:bookmarkStart w:id="191" w:name="_Toc88295359"/>
      <w:bookmarkStart w:id="192" w:name="_Toc89519018"/>
      <w:bookmarkStart w:id="193" w:name="_Toc90869143"/>
      <w:bookmarkStart w:id="194" w:name="_Toc91407915"/>
      <w:bookmarkStart w:id="195" w:name="_Toc92863659"/>
      <w:bookmarkStart w:id="196" w:name="_Toc95015027"/>
      <w:bookmarkStart w:id="197" w:name="_Toc95106734"/>
      <w:bookmarkStart w:id="198" w:name="_Toc97018534"/>
      <w:bookmarkStart w:id="199" w:name="_Toc101693487"/>
      <w:bookmarkStart w:id="200" w:name="_Toc103130357"/>
      <w:bookmarkStart w:id="201" w:name="_Toc104711007"/>
      <w:bookmarkStart w:id="202" w:name="_Toc121559992"/>
      <w:bookmarkStart w:id="203" w:name="_Toc122328433"/>
      <w:bookmarkStart w:id="204" w:name="_Toc124061052"/>
      <w:bookmarkStart w:id="205" w:name="_Toc124139907"/>
      <w:r>
        <w:rPr>
          <w:rStyle w:val="CharDivNo"/>
        </w:rPr>
        <w:t>Division 2</w:t>
      </w:r>
      <w:r>
        <w:rPr>
          <w:snapToGrid w:val="0"/>
        </w:rPr>
        <w:t> — </w:t>
      </w:r>
      <w:r>
        <w:rPr>
          <w:rStyle w:val="CharDivText"/>
        </w:rPr>
        <w:t>Public reserves, etc.</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520087904"/>
      <w:bookmarkStart w:id="207" w:name="_Toc523620539"/>
      <w:bookmarkStart w:id="208" w:name="_Toc38853690"/>
      <w:bookmarkStart w:id="209" w:name="_Toc124061053"/>
      <w:bookmarkStart w:id="210" w:name="_Toc124139908"/>
      <w:r>
        <w:rPr>
          <w:rStyle w:val="CharSectno"/>
        </w:rPr>
        <w:t>23</w:t>
      </w:r>
      <w:r>
        <w:rPr>
          <w:snapToGrid w:val="0"/>
        </w:rPr>
        <w:t>.</w:t>
      </w:r>
      <w:r>
        <w:rPr>
          <w:snapToGrid w:val="0"/>
        </w:rPr>
        <w:tab/>
        <w:t>Mining on public reserves, etc.</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keepNext/>
        <w:keepLines/>
        <w:rPr>
          <w:snapToGrid w:val="0"/>
        </w:rPr>
      </w:pPr>
      <w:r>
        <w:rPr>
          <w:snapToGrid w:val="0"/>
        </w:rPr>
        <w:tab/>
        <w:t>(ii)</w:t>
      </w:r>
      <w:r>
        <w:rPr>
          <w:snapToGrid w:val="0"/>
        </w:rPr>
        <w:tab/>
        <w:t>is in breach of any term or condition to which a consent given under section 24, 24A or 25 is made subject,</w:t>
      </w:r>
    </w:p>
    <w:p>
      <w:pPr>
        <w:pStyle w:val="Indenta"/>
        <w:keepNext/>
        <w:keepLines/>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pPr>
      <w:r>
        <w:tab/>
        <w:t xml:space="preserve">[Section 23 inserted by No. 100 of 1985 s. 16; amended by No. 5 of 1997 s. 41(2).] </w:t>
      </w:r>
    </w:p>
    <w:p>
      <w:pPr>
        <w:pStyle w:val="Heading5"/>
        <w:rPr>
          <w:snapToGrid w:val="0"/>
        </w:rPr>
      </w:pPr>
      <w:bookmarkStart w:id="211" w:name="_Toc520087905"/>
      <w:bookmarkStart w:id="212" w:name="_Toc523620540"/>
      <w:bookmarkStart w:id="213" w:name="_Toc38853691"/>
      <w:bookmarkStart w:id="214" w:name="_Toc124061054"/>
      <w:bookmarkStart w:id="215" w:name="_Toc124139909"/>
      <w:r>
        <w:rPr>
          <w:rStyle w:val="CharSectno"/>
        </w:rPr>
        <w:t>24</w:t>
      </w:r>
      <w:r>
        <w:rPr>
          <w:snapToGrid w:val="0"/>
        </w:rPr>
        <w:t>.</w:t>
      </w:r>
      <w:r>
        <w:rPr>
          <w:snapToGrid w:val="0"/>
        </w:rPr>
        <w:tab/>
        <w:t>Classification of reserves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spacing w:before="60"/>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spacing w:before="60"/>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spacing w:before="60"/>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spacing w:before="60"/>
        <w:rPr>
          <w:snapToGrid w:val="0"/>
        </w:rPr>
      </w:pPr>
      <w:r>
        <w:rPr>
          <w:snapToGrid w:val="0"/>
        </w:rPr>
        <w:tab/>
        <w:t>(g)</w:t>
      </w:r>
      <w:r>
        <w:rPr>
          <w:snapToGrid w:val="0"/>
        </w:rPr>
        <w:tab/>
        <w:t>land that is reserved under any Act other than those Acts already referred to in this subsection.</w:t>
      </w:r>
    </w:p>
    <w:p>
      <w:pPr>
        <w:pStyle w:val="Indenta"/>
        <w:tabs>
          <w:tab w:val="left" w:pos="284"/>
        </w:tabs>
        <w:rPr>
          <w:snapToGrid w:val="0"/>
        </w:rPr>
      </w:pPr>
      <w:r>
        <w:rPr>
          <w:snapToGrid w:val="0"/>
        </w:rPr>
        <w:tab/>
        <w:t>(2)</w:t>
      </w:r>
      <w:r>
        <w:rPr>
          <w:snapToGrid w:val="0"/>
        </w:rPr>
        <w:tab/>
        <w:t>(a)</w:t>
      </w:r>
      <w:r>
        <w:rPr>
          <w:snapToGrid w:val="0"/>
        </w:rPr>
        <w:tab/>
        <w:t>The Governor may, from time to time, by order in council, apply this section to any other land or class of land specified in the order in council and as from the date so specified this section shall apply to the extent and in the manner specified in the order in council.</w:t>
      </w:r>
    </w:p>
    <w:p>
      <w:pPr>
        <w:pStyle w:val="Indenta"/>
        <w:tabs>
          <w:tab w:val="left" w:pos="567"/>
        </w:tabs>
        <w:rPr>
          <w:snapToGrid w:val="0"/>
        </w:rPr>
      </w:pPr>
      <w:r>
        <w:rPr>
          <w:snapToGrid w:val="0"/>
        </w:rPr>
        <w:tab/>
      </w: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Indenta"/>
        <w:tabs>
          <w:tab w:val="left" w:pos="284"/>
        </w:tabs>
        <w:rPr>
          <w:snapToGrid w:val="0"/>
        </w:rPr>
      </w:pPr>
      <w:r>
        <w:rPr>
          <w:snapToGrid w:val="0"/>
        </w:rPr>
        <w:tab/>
        <w:t>(3)</w:t>
      </w:r>
      <w:r>
        <w:rPr>
          <w:snapToGrid w:val="0"/>
        </w:rPr>
        <w:tab/>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Indenta"/>
        <w:tabs>
          <w:tab w:val="left" w:pos="284"/>
        </w:tabs>
        <w:rPr>
          <w:snapToGrid w:val="0"/>
        </w:rPr>
      </w:pPr>
      <w:r>
        <w:rPr>
          <w:snapToGrid w:val="0"/>
        </w:rPr>
        <w:tab/>
        <w:t>(5)</w:t>
      </w:r>
      <w:r>
        <w:rPr>
          <w:snapToGrid w:val="0"/>
        </w:rPr>
        <w:tab/>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Indenta"/>
        <w:tabs>
          <w:tab w:val="left" w:pos="284"/>
        </w:tabs>
        <w:rPr>
          <w:snapToGrid w:val="0"/>
        </w:rPr>
      </w:pPr>
      <w:r>
        <w:rPr>
          <w:snapToGrid w:val="0"/>
        </w:rPr>
        <w:tab/>
        <w:t>(6)</w:t>
      </w:r>
      <w:r>
        <w:rPr>
          <w:snapToGrid w:val="0"/>
        </w:rPr>
        <w:tab/>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Indenta"/>
        <w:tabs>
          <w:tab w:val="left" w:pos="284"/>
        </w:tabs>
        <w:rPr>
          <w:snapToGrid w:val="0"/>
        </w:rPr>
      </w:pPr>
      <w:r>
        <w:rPr>
          <w:snapToGrid w:val="0"/>
        </w:rPr>
        <w:tab/>
        <w:t>(7)</w:t>
      </w:r>
      <w:r>
        <w:rPr>
          <w:snapToGrid w:val="0"/>
        </w:rPr>
        <w:tab/>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Indenta"/>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spacing w:before="240"/>
        <w:rPr>
          <w:snapToGrid w:val="0"/>
        </w:rPr>
      </w:pPr>
      <w:bookmarkStart w:id="216" w:name="_Toc520087906"/>
      <w:bookmarkStart w:id="217" w:name="_Toc523620541"/>
      <w:bookmarkStart w:id="218" w:name="_Toc38853692"/>
      <w:bookmarkStart w:id="219" w:name="_Toc124061055"/>
      <w:bookmarkStart w:id="220" w:name="_Toc124139910"/>
      <w:r>
        <w:rPr>
          <w:rStyle w:val="CharSectno"/>
        </w:rPr>
        <w:t>24A</w:t>
      </w:r>
      <w:r>
        <w:rPr>
          <w:snapToGrid w:val="0"/>
        </w:rPr>
        <w:t>.</w:t>
      </w:r>
      <w:r>
        <w:rPr>
          <w:snapToGrid w:val="0"/>
        </w:rPr>
        <w:tab/>
        <w:t>Mining in marine reserves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spacing w:before="120"/>
        <w:rPr>
          <w:snapToGrid w:val="0"/>
        </w:rPr>
      </w:pPr>
      <w:bookmarkStart w:id="221" w:name="_Toc520087907"/>
      <w:bookmarkStart w:id="222" w:name="_Toc523620542"/>
      <w:bookmarkStart w:id="223" w:name="_Toc38853693"/>
      <w:bookmarkStart w:id="224" w:name="_Toc124061056"/>
      <w:bookmarkStart w:id="225" w:name="_Toc124139911"/>
      <w:r>
        <w:rPr>
          <w:rStyle w:val="CharSectno"/>
        </w:rPr>
        <w:t>25</w:t>
      </w:r>
      <w:r>
        <w:rPr>
          <w:snapToGrid w:val="0"/>
        </w:rPr>
        <w:t>.</w:t>
      </w:r>
      <w:r>
        <w:rPr>
          <w:snapToGrid w:val="0"/>
        </w:rPr>
        <w:tab/>
        <w:t>Mining on foreshore, sea bed, navigable waters or townsite</w:t>
      </w:r>
      <w:bookmarkEnd w:id="221"/>
      <w:bookmarkEnd w:id="222"/>
      <w:bookmarkEnd w:id="223"/>
      <w:bookmarkEnd w:id="224"/>
      <w:bookmarkEnd w:id="225"/>
      <w:r>
        <w:rPr>
          <w:snapToGrid w:val="0"/>
        </w:rPr>
        <w:t xml:space="preserve"> </w:t>
      </w:r>
    </w:p>
    <w:p>
      <w:pPr>
        <w:pStyle w:val="Subsection"/>
        <w:keepNext/>
        <w:spacing w:before="120"/>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keepNext/>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keepNext/>
        <w:spacing w:before="120"/>
        <w:rPr>
          <w:snapToGrid w:val="0"/>
        </w:rPr>
      </w:pPr>
      <w:r>
        <w:rPr>
          <w:snapToGrid w:val="0"/>
        </w:rPr>
        <w:tab/>
      </w:r>
      <w:r>
        <w:rPr>
          <w:snapToGrid w:val="0"/>
        </w:rPr>
        <w:tab/>
        <w:t>but this section does not apply to land that is part of a marine nature reserve, marine park or marine management area.</w:t>
      </w:r>
    </w:p>
    <w:p>
      <w:pPr>
        <w:pStyle w:val="Indenta"/>
        <w:tabs>
          <w:tab w:val="left" w:pos="284"/>
        </w:tabs>
        <w:rPr>
          <w:snapToGrid w:val="0"/>
        </w:rPr>
      </w:pPr>
      <w:r>
        <w:rPr>
          <w:snapToGrid w:val="0"/>
        </w:rPr>
        <w:tab/>
        <w:t>(2)</w:t>
      </w:r>
      <w:r>
        <w:rPr>
          <w:snapToGrid w:val="0"/>
        </w:rPr>
        <w:tab/>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Indenta"/>
        <w:tabs>
          <w:tab w:val="left" w:pos="426"/>
        </w:tabs>
        <w:rPr>
          <w:snapToGrid w:val="0"/>
        </w:rPr>
      </w:pPr>
      <w:r>
        <w:rPr>
          <w:snapToGrid w:val="0"/>
        </w:rPr>
        <w:tab/>
        <w:t>(3)</w:t>
      </w:r>
      <w:r>
        <w:rPr>
          <w:snapToGrid w:val="0"/>
        </w:rPr>
        <w:tab/>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pPr>
      <w:r>
        <w:tab/>
        <w:t xml:space="preserve">[Section 25 amended by No. 77 of 1986 s. 9; No. 22 of 1990 s. 7; No. 37 of 1993 s. 4; No. 14 of 1996 s. 4; No. 5 of 1997 s. 42; No. 31 of 1997 s. 71(12) and 141; No. 24 of 2000 s. 26(1).] </w:t>
      </w:r>
    </w:p>
    <w:p>
      <w:pPr>
        <w:pStyle w:val="Heading5"/>
        <w:rPr>
          <w:snapToGrid w:val="0"/>
        </w:rPr>
      </w:pPr>
      <w:bookmarkStart w:id="226" w:name="_Toc520087908"/>
      <w:bookmarkStart w:id="227" w:name="_Toc523620543"/>
      <w:bookmarkStart w:id="228" w:name="_Toc38853694"/>
      <w:bookmarkStart w:id="229" w:name="_Toc124061057"/>
      <w:bookmarkStart w:id="230" w:name="_Toc124139912"/>
      <w:r>
        <w:rPr>
          <w:rStyle w:val="CharSectno"/>
        </w:rPr>
        <w:t>26</w:t>
      </w:r>
      <w:r>
        <w:rPr>
          <w:snapToGrid w:val="0"/>
        </w:rPr>
        <w:t>.</w:t>
      </w:r>
      <w:r>
        <w:rPr>
          <w:snapToGrid w:val="0"/>
        </w:rPr>
        <w:tab/>
        <w:t>Terms and conditions</w:t>
      </w:r>
      <w:bookmarkEnd w:id="226"/>
      <w:bookmarkEnd w:id="227"/>
      <w:bookmarkEnd w:id="228"/>
      <w:bookmarkEnd w:id="229"/>
      <w:bookmarkEnd w:id="230"/>
      <w:r>
        <w:rPr>
          <w:snapToGrid w:val="0"/>
        </w:rPr>
        <w:t xml:space="preserve"> </w:t>
      </w:r>
    </w:p>
    <w:p>
      <w:pPr>
        <w:pStyle w:val="Subsection"/>
        <w:keepNext/>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spacing w:before="100"/>
        <w:rPr>
          <w:snapToGrid w:val="0"/>
        </w:rPr>
      </w:pPr>
      <w:r>
        <w:rPr>
          <w:snapToGrid w:val="0"/>
        </w:rPr>
        <w:tab/>
        <w:t>(1a)</w:t>
      </w:r>
      <w:r>
        <w:rPr>
          <w:snapToGrid w:val="0"/>
        </w:rPr>
        <w:tab/>
        <w:t>A security referred to in subsection (1)(d) shall be in accordance with and subject to section 126.</w:t>
      </w:r>
    </w:p>
    <w:p>
      <w:pPr>
        <w:pStyle w:val="Subsection"/>
        <w:spacing w:before="10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spacing w:before="60"/>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spacing w:before="100"/>
        <w:rPr>
          <w:snapToGrid w:val="0"/>
        </w:rPr>
      </w:pPr>
      <w:r>
        <w:rPr>
          <w:snapToGrid w:val="0"/>
        </w:rPr>
        <w:tab/>
      </w:r>
      <w:r>
        <w:rPr>
          <w:snapToGrid w:val="0"/>
        </w:rPr>
        <w:tab/>
        <w:t>but otherwise the land shall be marked out as a mining tenement in accordance with this Act.</w:t>
      </w:r>
    </w:p>
    <w:p>
      <w:pPr>
        <w:pStyle w:val="Subsection"/>
        <w:spacing w:before="100"/>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pPr>
      <w:r>
        <w:tab/>
        <w:t xml:space="preserve">[Section 26 amended by No. 100 of 1985 s. 18; No. 5 of 1997 s. 41(2); No. 17 of 1999 s. 4.] </w:t>
      </w:r>
    </w:p>
    <w:p>
      <w:pPr>
        <w:pStyle w:val="Heading5"/>
        <w:rPr>
          <w:snapToGrid w:val="0"/>
        </w:rPr>
      </w:pPr>
      <w:bookmarkStart w:id="231" w:name="_Toc520087909"/>
      <w:bookmarkStart w:id="232" w:name="_Toc523620544"/>
      <w:bookmarkStart w:id="233" w:name="_Toc38853695"/>
      <w:bookmarkStart w:id="234" w:name="_Toc124061058"/>
      <w:bookmarkStart w:id="235" w:name="_Toc124139913"/>
      <w:r>
        <w:rPr>
          <w:rStyle w:val="CharSectno"/>
        </w:rPr>
        <w:t>26A</w:t>
      </w:r>
      <w:r>
        <w:rPr>
          <w:snapToGrid w:val="0"/>
        </w:rPr>
        <w:t>.</w:t>
      </w:r>
      <w:r>
        <w:rPr>
          <w:snapToGrid w:val="0"/>
        </w:rPr>
        <w:tab/>
        <w:t>Mining tenements within townsites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 kept in accordance with the regulations.</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pPr>
      <w:r>
        <w:tab/>
        <w:t>[Section 26A inserted by No. 22 of 1990 s. 8; amended by No. 31 of 1997 s. 71(13)</w:t>
      </w:r>
      <w:r>
        <w:noBreakHyphen/>
        <w:t xml:space="preserve">(16).] </w:t>
      </w:r>
    </w:p>
    <w:p>
      <w:pPr>
        <w:pStyle w:val="Heading3"/>
        <w:rPr>
          <w:snapToGrid w:val="0"/>
        </w:rPr>
      </w:pPr>
      <w:bookmarkStart w:id="236" w:name="_Toc87427568"/>
      <w:bookmarkStart w:id="237" w:name="_Toc87851143"/>
      <w:bookmarkStart w:id="238" w:name="_Toc88295366"/>
      <w:bookmarkStart w:id="239" w:name="_Toc89519025"/>
      <w:bookmarkStart w:id="240" w:name="_Toc90869150"/>
      <w:bookmarkStart w:id="241" w:name="_Toc91407922"/>
      <w:bookmarkStart w:id="242" w:name="_Toc92863666"/>
      <w:bookmarkStart w:id="243" w:name="_Toc95015034"/>
      <w:bookmarkStart w:id="244" w:name="_Toc95106741"/>
      <w:bookmarkStart w:id="245" w:name="_Toc97018541"/>
      <w:bookmarkStart w:id="246" w:name="_Toc101693494"/>
      <w:bookmarkStart w:id="247" w:name="_Toc103130364"/>
      <w:bookmarkStart w:id="248" w:name="_Toc104711014"/>
      <w:bookmarkStart w:id="249" w:name="_Toc121559999"/>
      <w:bookmarkStart w:id="250" w:name="_Toc122328440"/>
      <w:bookmarkStart w:id="251" w:name="_Toc124061059"/>
      <w:bookmarkStart w:id="252" w:name="_Toc124139914"/>
      <w:r>
        <w:rPr>
          <w:rStyle w:val="CharDivNo"/>
        </w:rPr>
        <w:t>Division 3</w:t>
      </w:r>
      <w:r>
        <w:rPr>
          <w:snapToGrid w:val="0"/>
        </w:rPr>
        <w:t> — </w:t>
      </w:r>
      <w:r>
        <w:rPr>
          <w:rStyle w:val="CharDivText"/>
        </w:rPr>
        <w:t>Private land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520087910"/>
      <w:bookmarkStart w:id="254" w:name="_Toc523620545"/>
      <w:bookmarkStart w:id="255" w:name="_Toc38853696"/>
      <w:bookmarkStart w:id="256" w:name="_Toc124061060"/>
      <w:bookmarkStart w:id="257" w:name="_Toc124139915"/>
      <w:r>
        <w:rPr>
          <w:rStyle w:val="CharSectno"/>
        </w:rPr>
        <w:t>27</w:t>
      </w:r>
      <w:r>
        <w:rPr>
          <w:snapToGrid w:val="0"/>
        </w:rPr>
        <w:t>.</w:t>
      </w:r>
      <w:r>
        <w:rPr>
          <w:snapToGrid w:val="0"/>
        </w:rPr>
        <w:tab/>
        <w:t>Private land open for mining</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rPr>
          <w:snapToGrid w:val="0"/>
        </w:rPr>
      </w:pPr>
      <w:bookmarkStart w:id="258" w:name="_Toc520087911"/>
      <w:bookmarkStart w:id="259" w:name="_Toc523620546"/>
      <w:bookmarkStart w:id="260" w:name="_Toc38853697"/>
      <w:bookmarkStart w:id="261" w:name="_Toc124061061"/>
      <w:bookmarkStart w:id="262" w:name="_Toc124139916"/>
      <w:r>
        <w:rPr>
          <w:rStyle w:val="CharSectno"/>
        </w:rPr>
        <w:t>28</w:t>
      </w:r>
      <w:r>
        <w:rPr>
          <w:snapToGrid w:val="0"/>
        </w:rPr>
        <w:t>.</w:t>
      </w:r>
      <w:r>
        <w:rPr>
          <w:snapToGrid w:val="0"/>
        </w:rPr>
        <w:tab/>
        <w:t>Unlawful entry on private land</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263" w:name="_Toc520087912"/>
      <w:bookmarkStart w:id="264" w:name="_Toc523620547"/>
      <w:bookmarkStart w:id="265" w:name="_Toc38853698"/>
      <w:bookmarkStart w:id="266" w:name="_Toc124061062"/>
      <w:bookmarkStart w:id="267" w:name="_Toc124139917"/>
      <w:r>
        <w:rPr>
          <w:rStyle w:val="CharSectno"/>
        </w:rPr>
        <w:t>29</w:t>
      </w:r>
      <w:r>
        <w:rPr>
          <w:snapToGrid w:val="0"/>
        </w:rPr>
        <w:t>.</w:t>
      </w:r>
      <w:r>
        <w:rPr>
          <w:snapToGrid w:val="0"/>
        </w:rPr>
        <w:tab/>
        <w:t>Granting of mining tenements in respect of private land</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keepNext/>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 </w:t>
      </w:r>
    </w:p>
    <w:p>
      <w:pPr>
        <w:pStyle w:val="Indenta"/>
        <w:keepNext/>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spacing w:before="120"/>
        <w:rPr>
          <w:snapToGrid w:val="0"/>
        </w:rPr>
      </w:pPr>
      <w:bookmarkStart w:id="268" w:name="_Toc520087913"/>
      <w:bookmarkStart w:id="269" w:name="_Toc523620548"/>
      <w:bookmarkStart w:id="270" w:name="_Toc38853699"/>
      <w:bookmarkStart w:id="271" w:name="_Toc124061063"/>
      <w:bookmarkStart w:id="272" w:name="_Toc124139918"/>
      <w:r>
        <w:rPr>
          <w:rStyle w:val="CharSectno"/>
        </w:rPr>
        <w:t>30</w:t>
      </w:r>
      <w:r>
        <w:rPr>
          <w:snapToGrid w:val="0"/>
        </w:rPr>
        <w:t>.</w:t>
      </w:r>
      <w:r>
        <w:rPr>
          <w:snapToGrid w:val="0"/>
        </w:rPr>
        <w:tab/>
        <w:t>Granting of permits in respect of private land</w:t>
      </w:r>
      <w:bookmarkEnd w:id="268"/>
      <w:bookmarkEnd w:id="269"/>
      <w:bookmarkEnd w:id="270"/>
      <w:bookmarkEnd w:id="271"/>
      <w:bookmarkEnd w:id="272"/>
      <w:r>
        <w:rPr>
          <w:snapToGrid w:val="0"/>
        </w:rPr>
        <w:t xml:space="preserve"> </w:t>
      </w:r>
    </w:p>
    <w:p>
      <w:pPr>
        <w:pStyle w:val="Subsection"/>
        <w:spacing w:before="100"/>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spacing w:before="100"/>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spacing w:before="100"/>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0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keepNext/>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pPr>
      <w:r>
        <w:tab/>
        <w:t xml:space="preserve">[Section 30 inserted by No. 69 of 1981 s. 10; amended by No. 100 of 1985 s. 21; No. 22 of 1990 s. 9.] </w:t>
      </w:r>
    </w:p>
    <w:p>
      <w:pPr>
        <w:pStyle w:val="Heading5"/>
        <w:rPr>
          <w:snapToGrid w:val="0"/>
        </w:rPr>
      </w:pPr>
      <w:bookmarkStart w:id="273" w:name="_Toc520087914"/>
      <w:bookmarkStart w:id="274" w:name="_Toc523620549"/>
      <w:bookmarkStart w:id="275" w:name="_Toc38853700"/>
      <w:bookmarkStart w:id="276" w:name="_Toc124061064"/>
      <w:bookmarkStart w:id="277" w:name="_Toc124139919"/>
      <w:r>
        <w:rPr>
          <w:rStyle w:val="CharSectno"/>
        </w:rPr>
        <w:t>31</w:t>
      </w:r>
      <w:r>
        <w:rPr>
          <w:snapToGrid w:val="0"/>
        </w:rPr>
        <w:t>.</w:t>
      </w:r>
      <w:r>
        <w:rPr>
          <w:snapToGrid w:val="0"/>
        </w:rPr>
        <w:tab/>
        <w:t>Holder of permit to give notice to owner and occupier</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278" w:name="_Toc520087915"/>
      <w:bookmarkStart w:id="279" w:name="_Toc523620550"/>
      <w:bookmarkStart w:id="280" w:name="_Toc38853701"/>
      <w:bookmarkStart w:id="281" w:name="_Toc124061065"/>
      <w:bookmarkStart w:id="282" w:name="_Toc124139920"/>
      <w:r>
        <w:rPr>
          <w:rStyle w:val="CharSectno"/>
        </w:rPr>
        <w:t>32</w:t>
      </w:r>
      <w:r>
        <w:rPr>
          <w:snapToGrid w:val="0"/>
        </w:rPr>
        <w:t>.</w:t>
      </w:r>
      <w:r>
        <w:rPr>
          <w:snapToGrid w:val="0"/>
        </w:rPr>
        <w:tab/>
        <w:t>Rights conferred by a permit</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283" w:name="_Toc520087916"/>
      <w:bookmarkStart w:id="284" w:name="_Toc523620551"/>
      <w:bookmarkStart w:id="285" w:name="_Toc38853702"/>
      <w:bookmarkStart w:id="286" w:name="_Toc124061066"/>
      <w:bookmarkStart w:id="287" w:name="_Toc124139921"/>
      <w:r>
        <w:rPr>
          <w:rStyle w:val="CharSectno"/>
        </w:rPr>
        <w:t>33</w:t>
      </w:r>
      <w:r>
        <w:rPr>
          <w:snapToGrid w:val="0"/>
        </w:rPr>
        <w:t>.</w:t>
      </w:r>
      <w:r>
        <w:rPr>
          <w:snapToGrid w:val="0"/>
        </w:rPr>
        <w:tab/>
        <w:t>Application for mining tenement by permit holder</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pPr>
      <w:r>
        <w:tab/>
        <w:t xml:space="preserve">[Section 33 amended by No. 100 of 1985 s. 24; No. 14 of 1996 s. 4.] </w:t>
      </w:r>
    </w:p>
    <w:p>
      <w:pPr>
        <w:pStyle w:val="Ednotesection"/>
      </w:pPr>
      <w:r>
        <w:t>[</w:t>
      </w:r>
      <w:r>
        <w:rPr>
          <w:b/>
        </w:rPr>
        <w:t>34.</w:t>
      </w:r>
      <w:r>
        <w:t xml:space="preserve"> </w:t>
      </w:r>
      <w:r>
        <w:tab/>
      </w:r>
      <w:r>
        <w:tab/>
        <w:t xml:space="preserve">Repealed by No. 69 of 1981 s. 12.] </w:t>
      </w:r>
    </w:p>
    <w:p>
      <w:pPr>
        <w:pStyle w:val="Heading5"/>
        <w:rPr>
          <w:snapToGrid w:val="0"/>
        </w:rPr>
      </w:pPr>
      <w:bookmarkStart w:id="288" w:name="_Toc520087917"/>
      <w:bookmarkStart w:id="289" w:name="_Toc523620552"/>
      <w:bookmarkStart w:id="290" w:name="_Toc38853703"/>
      <w:bookmarkStart w:id="291" w:name="_Toc124061067"/>
      <w:bookmarkStart w:id="292" w:name="_Toc124139922"/>
      <w:r>
        <w:rPr>
          <w:rStyle w:val="CharSectno"/>
        </w:rPr>
        <w:t>35</w:t>
      </w:r>
      <w:r>
        <w:rPr>
          <w:snapToGrid w:val="0"/>
        </w:rPr>
        <w:t>.</w:t>
      </w:r>
      <w:r>
        <w:rPr>
          <w:snapToGrid w:val="0"/>
        </w:rPr>
        <w:tab/>
        <w:t>Compensation to be agreed upon or determined before mining operation commences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 xml:space="preserve"> </w:t>
      </w:r>
      <w:r>
        <w:tab/>
      </w:r>
      <w:r>
        <w:tab/>
        <w:t xml:space="preserve">Repealed by No. 69 of 1981 s. 14.] </w:t>
      </w:r>
    </w:p>
    <w:p>
      <w:pPr>
        <w:pStyle w:val="Heading5"/>
        <w:rPr>
          <w:snapToGrid w:val="0"/>
        </w:rPr>
      </w:pPr>
      <w:bookmarkStart w:id="293" w:name="_Toc520087918"/>
      <w:bookmarkStart w:id="294" w:name="_Toc523620553"/>
      <w:bookmarkStart w:id="295" w:name="_Toc38853704"/>
      <w:bookmarkStart w:id="296" w:name="_Toc124061068"/>
      <w:bookmarkStart w:id="297" w:name="_Toc124139923"/>
      <w:r>
        <w:rPr>
          <w:rStyle w:val="CharSectno"/>
        </w:rPr>
        <w:t>37</w:t>
      </w:r>
      <w:r>
        <w:rPr>
          <w:snapToGrid w:val="0"/>
        </w:rPr>
        <w:t>.</w:t>
      </w:r>
      <w:r>
        <w:rPr>
          <w:snapToGrid w:val="0"/>
        </w:rPr>
        <w:tab/>
        <w:t>Application to bring certain private land under this Division</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MiscellaneousBody"/>
        <w:tabs>
          <w:tab w:val="right" w:pos="607"/>
          <w:tab w:val="right" w:pos="1327"/>
          <w:tab w:val="left" w:pos="1610"/>
        </w:tabs>
        <w:spacing w:before="120"/>
        <w:ind w:left="1610" w:hanging="1610"/>
        <w:rPr>
          <w:snapToGrid w:val="0"/>
        </w:rPr>
      </w:pPr>
      <w:r>
        <w:rPr>
          <w:snapToGrid w:val="0"/>
        </w:rPr>
        <w:tab/>
        <w:t>(3)</w:t>
      </w:r>
      <w:r>
        <w:rPr>
          <w:snapToGrid w:val="0"/>
        </w:rPr>
        <w:tab/>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Indenta"/>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120"/>
        <w:rPr>
          <w:snapToGrid w:val="0"/>
        </w:rPr>
      </w:pPr>
      <w:bookmarkStart w:id="298" w:name="_Toc520087919"/>
      <w:bookmarkStart w:id="299" w:name="_Toc523620554"/>
      <w:bookmarkStart w:id="300" w:name="_Toc38853705"/>
      <w:bookmarkStart w:id="301" w:name="_Toc124061069"/>
      <w:bookmarkStart w:id="302" w:name="_Toc124139924"/>
      <w:r>
        <w:rPr>
          <w:rStyle w:val="CharSectno"/>
        </w:rPr>
        <w:t>38</w:t>
      </w:r>
      <w:r>
        <w:rPr>
          <w:snapToGrid w:val="0"/>
        </w:rPr>
        <w:t>.</w:t>
      </w:r>
      <w:r>
        <w:rPr>
          <w:snapToGrid w:val="0"/>
        </w:rPr>
        <w:tab/>
        <w:t>Right of owner to apply for mining tenement</w:t>
      </w:r>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spacing w:before="120"/>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03" w:name="_Toc520087920"/>
      <w:bookmarkStart w:id="304" w:name="_Toc523620555"/>
      <w:bookmarkStart w:id="305" w:name="_Toc38853706"/>
      <w:bookmarkStart w:id="306" w:name="_Toc124061070"/>
      <w:bookmarkStart w:id="307" w:name="_Toc124139925"/>
      <w:r>
        <w:rPr>
          <w:rStyle w:val="CharSectno"/>
        </w:rPr>
        <w:t>39</w:t>
      </w:r>
      <w:r>
        <w:rPr>
          <w:snapToGrid w:val="0"/>
        </w:rPr>
        <w:t>.</w:t>
      </w:r>
      <w:r>
        <w:rPr>
          <w:snapToGrid w:val="0"/>
        </w:rPr>
        <w:tab/>
        <w:t>Owner to comply with mining tenement conditions</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08" w:name="_Toc87427580"/>
      <w:bookmarkStart w:id="309" w:name="_Toc87851155"/>
      <w:bookmarkStart w:id="310" w:name="_Toc88295378"/>
      <w:bookmarkStart w:id="311" w:name="_Toc89519037"/>
      <w:bookmarkStart w:id="312" w:name="_Toc90869162"/>
      <w:bookmarkStart w:id="313" w:name="_Toc91407934"/>
      <w:bookmarkStart w:id="314" w:name="_Toc92863678"/>
      <w:bookmarkStart w:id="315" w:name="_Toc95015046"/>
      <w:bookmarkStart w:id="316" w:name="_Toc95106753"/>
      <w:bookmarkStart w:id="317" w:name="_Toc97018553"/>
      <w:bookmarkStart w:id="318" w:name="_Toc101693506"/>
      <w:bookmarkStart w:id="319" w:name="_Toc103130376"/>
      <w:bookmarkStart w:id="320" w:name="_Toc104711026"/>
      <w:bookmarkStart w:id="321" w:name="_Toc121560011"/>
      <w:bookmarkStart w:id="322" w:name="_Toc122328452"/>
      <w:bookmarkStart w:id="323" w:name="_Toc124061071"/>
      <w:bookmarkStart w:id="324" w:name="_Toc124139926"/>
      <w:r>
        <w:rPr>
          <w:rStyle w:val="CharPartNo"/>
        </w:rPr>
        <w:t>Part IV</w:t>
      </w:r>
      <w:r>
        <w:t> — </w:t>
      </w:r>
      <w:r>
        <w:rPr>
          <w:rStyle w:val="CharPartText"/>
        </w:rPr>
        <w:t>Mining tenements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3"/>
        <w:rPr>
          <w:snapToGrid w:val="0"/>
        </w:rPr>
      </w:pPr>
      <w:bookmarkStart w:id="325" w:name="_Toc87427581"/>
      <w:bookmarkStart w:id="326" w:name="_Toc87851156"/>
      <w:bookmarkStart w:id="327" w:name="_Toc88295379"/>
      <w:bookmarkStart w:id="328" w:name="_Toc89519038"/>
      <w:bookmarkStart w:id="329" w:name="_Toc90869163"/>
      <w:bookmarkStart w:id="330" w:name="_Toc91407935"/>
      <w:bookmarkStart w:id="331" w:name="_Toc92863679"/>
      <w:bookmarkStart w:id="332" w:name="_Toc95015047"/>
      <w:bookmarkStart w:id="333" w:name="_Toc95106754"/>
      <w:bookmarkStart w:id="334" w:name="_Toc97018554"/>
      <w:bookmarkStart w:id="335" w:name="_Toc101693507"/>
      <w:bookmarkStart w:id="336" w:name="_Toc103130377"/>
      <w:bookmarkStart w:id="337" w:name="_Toc104711027"/>
      <w:bookmarkStart w:id="338" w:name="_Toc121560012"/>
      <w:bookmarkStart w:id="339" w:name="_Toc122328453"/>
      <w:bookmarkStart w:id="340" w:name="_Toc124061072"/>
      <w:bookmarkStart w:id="341" w:name="_Toc124139927"/>
      <w:r>
        <w:rPr>
          <w:rStyle w:val="CharDivNo"/>
        </w:rPr>
        <w:t>Division 1</w:t>
      </w:r>
      <w:r>
        <w:rPr>
          <w:snapToGrid w:val="0"/>
        </w:rPr>
        <w:t> — </w:t>
      </w:r>
      <w:r>
        <w:rPr>
          <w:rStyle w:val="CharDivText"/>
        </w:rPr>
        <w:t>Prospecting licence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Ednotesection"/>
      </w:pPr>
      <w:r>
        <w:t>[</w:t>
      </w:r>
      <w:r>
        <w:rPr>
          <w:b/>
        </w:rPr>
        <w:t xml:space="preserve">39A. </w:t>
      </w:r>
      <w:r>
        <w:rPr>
          <w:b/>
        </w:rPr>
        <w:tab/>
      </w:r>
      <w:r>
        <w:t xml:space="preserve">Repealed by No. 52 of 1995 s. 21.] </w:t>
      </w:r>
    </w:p>
    <w:p>
      <w:pPr>
        <w:pStyle w:val="Heading5"/>
        <w:rPr>
          <w:snapToGrid w:val="0"/>
        </w:rPr>
      </w:pPr>
      <w:bookmarkStart w:id="342" w:name="_Toc520087921"/>
      <w:bookmarkStart w:id="343" w:name="_Toc523620556"/>
      <w:bookmarkStart w:id="344" w:name="_Toc38853707"/>
      <w:bookmarkStart w:id="345" w:name="_Toc124061073"/>
      <w:bookmarkStart w:id="346" w:name="_Toc124139928"/>
      <w:r>
        <w:rPr>
          <w:rStyle w:val="CharSectno"/>
        </w:rPr>
        <w:t>40</w:t>
      </w:r>
      <w:r>
        <w:rPr>
          <w:snapToGrid w:val="0"/>
        </w:rPr>
        <w:t>.</w:t>
      </w:r>
      <w:r>
        <w:rPr>
          <w:snapToGrid w:val="0"/>
        </w:rPr>
        <w:tab/>
        <w:t xml:space="preserve">Grant of prospecting </w:t>
      </w:r>
      <w:bookmarkEnd w:id="342"/>
      <w:r>
        <w:rPr>
          <w:snapToGrid w:val="0"/>
        </w:rPr>
        <w:t>licence</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pPr>
      <w:r>
        <w:tab/>
        <w:t xml:space="preserve">[Section 40 amended by No. 122 of 1982 s. 8; No. 100 of 1985 s. 27; No. 58 of 1994 s. 7; No. 5 of 1997 s. 41(2).] </w:t>
      </w:r>
    </w:p>
    <w:p>
      <w:pPr>
        <w:pStyle w:val="Heading5"/>
        <w:rPr>
          <w:snapToGrid w:val="0"/>
        </w:rPr>
      </w:pPr>
      <w:bookmarkStart w:id="347" w:name="_Toc520087922"/>
      <w:bookmarkStart w:id="348" w:name="_Toc523620557"/>
      <w:bookmarkStart w:id="349" w:name="_Toc38853708"/>
      <w:bookmarkStart w:id="350" w:name="_Toc124061074"/>
      <w:bookmarkStart w:id="351" w:name="_Toc124139929"/>
      <w:r>
        <w:rPr>
          <w:rStyle w:val="CharSectno"/>
        </w:rPr>
        <w:t>41</w:t>
      </w:r>
      <w:r>
        <w:rPr>
          <w:snapToGrid w:val="0"/>
        </w:rPr>
        <w:t>.</w:t>
      </w:r>
      <w:r>
        <w:rPr>
          <w:snapToGrid w:val="0"/>
        </w:rPr>
        <w:tab/>
        <w:t xml:space="preserve">Application for prospecting </w:t>
      </w:r>
      <w:bookmarkEnd w:id="347"/>
      <w:r>
        <w:rPr>
          <w:snapToGrid w:val="0"/>
        </w:rPr>
        <w:t>licence</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352" w:name="_Toc520087923"/>
      <w:bookmarkStart w:id="353" w:name="_Toc523620558"/>
      <w:bookmarkStart w:id="354" w:name="_Toc38853709"/>
      <w:bookmarkStart w:id="355" w:name="_Toc124061075"/>
      <w:bookmarkStart w:id="356" w:name="_Toc124139930"/>
      <w:r>
        <w:rPr>
          <w:rStyle w:val="CharSectno"/>
        </w:rPr>
        <w:t>42</w:t>
      </w:r>
      <w:r>
        <w:rPr>
          <w:snapToGrid w:val="0"/>
        </w:rPr>
        <w:t>.</w:t>
      </w:r>
      <w:r>
        <w:rPr>
          <w:snapToGrid w:val="0"/>
        </w:rPr>
        <w:tab/>
        <w:t xml:space="preserve">Determination of application for prospecting </w:t>
      </w:r>
      <w:bookmarkEnd w:id="352"/>
      <w:r>
        <w:rPr>
          <w:snapToGrid w:val="0"/>
        </w:rPr>
        <w:t>licence</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357" w:name="_Toc38853710"/>
      <w:bookmarkStart w:id="358" w:name="_Toc124061076"/>
      <w:bookmarkStart w:id="359" w:name="_Toc124139931"/>
      <w:bookmarkStart w:id="360" w:name="_Toc520087924"/>
      <w:bookmarkStart w:id="361" w:name="_Toc523620559"/>
      <w:r>
        <w:rPr>
          <w:rStyle w:val="CharSectno"/>
        </w:rPr>
        <w:t>43</w:t>
      </w:r>
      <w:r>
        <w:t>.</w:t>
      </w:r>
      <w:r>
        <w:tab/>
        <w:t>Prospecting licence not to include land already the subject of a mining tenement</w:t>
      </w:r>
      <w:bookmarkEnd w:id="357"/>
      <w:bookmarkEnd w:id="358"/>
      <w:bookmarkEnd w:id="359"/>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under section 56A.</w:t>
      </w:r>
    </w:p>
    <w:p>
      <w:pPr>
        <w:pStyle w:val="Footnotesection"/>
      </w:pPr>
      <w:r>
        <w:tab/>
        <w:t>[Section 43 inserted by No. 15 of 2002 s. 6.]</w:t>
      </w:r>
    </w:p>
    <w:p>
      <w:pPr>
        <w:pStyle w:val="Heading5"/>
        <w:rPr>
          <w:snapToGrid w:val="0"/>
        </w:rPr>
      </w:pPr>
      <w:bookmarkStart w:id="362" w:name="_Toc38853711"/>
      <w:bookmarkStart w:id="363" w:name="_Toc124061077"/>
      <w:bookmarkStart w:id="364" w:name="_Toc124139932"/>
      <w:r>
        <w:rPr>
          <w:rStyle w:val="CharSectno"/>
        </w:rPr>
        <w:t>44</w:t>
      </w:r>
      <w:r>
        <w:rPr>
          <w:snapToGrid w:val="0"/>
        </w:rPr>
        <w:t>.</w:t>
      </w:r>
      <w:r>
        <w:rPr>
          <w:snapToGrid w:val="0"/>
        </w:rPr>
        <w:tab/>
        <w:t>Power to grant prospecting licence over all or part of land in application</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365" w:name="_Toc520087925"/>
      <w:bookmarkStart w:id="366" w:name="_Toc523620560"/>
      <w:bookmarkStart w:id="367" w:name="_Toc38853712"/>
      <w:bookmarkStart w:id="368" w:name="_Toc124061078"/>
      <w:bookmarkStart w:id="369" w:name="_Toc124139933"/>
      <w:r>
        <w:rPr>
          <w:rStyle w:val="CharSectno"/>
        </w:rPr>
        <w:t>45</w:t>
      </w:r>
      <w:r>
        <w:rPr>
          <w:snapToGrid w:val="0"/>
        </w:rPr>
        <w:t>.</w:t>
      </w:r>
      <w:r>
        <w:rPr>
          <w:snapToGrid w:val="0"/>
        </w:rPr>
        <w:tab/>
        <w:t xml:space="preserve">Term of prospecting </w:t>
      </w:r>
      <w:bookmarkEnd w:id="365"/>
      <w:r>
        <w:rPr>
          <w:snapToGrid w:val="0"/>
        </w:rPr>
        <w:t>licence</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pPr>
      <w:r>
        <w:tab/>
        <w:t xml:space="preserve">[Section 45 amended by No. 122 of 1982 s. 11; No. 100 of 1985 s. 31; No. 22 of 1990 s. 11; No. 37 of 1993 s. 5; No. 15 of 2002 s. 8.] </w:t>
      </w:r>
    </w:p>
    <w:p>
      <w:pPr>
        <w:pStyle w:val="Heading5"/>
        <w:rPr>
          <w:snapToGrid w:val="0"/>
        </w:rPr>
      </w:pPr>
      <w:bookmarkStart w:id="370" w:name="_Toc520087926"/>
      <w:bookmarkStart w:id="371" w:name="_Toc523620561"/>
      <w:bookmarkStart w:id="372" w:name="_Toc38853713"/>
      <w:bookmarkStart w:id="373" w:name="_Toc124061079"/>
      <w:bookmarkStart w:id="374" w:name="_Toc124139934"/>
      <w:r>
        <w:rPr>
          <w:rStyle w:val="CharSectno"/>
        </w:rPr>
        <w:t>46</w:t>
      </w:r>
      <w:r>
        <w:rPr>
          <w:snapToGrid w:val="0"/>
        </w:rPr>
        <w:t>.</w:t>
      </w:r>
      <w:r>
        <w:rPr>
          <w:snapToGrid w:val="0"/>
        </w:rPr>
        <w:tab/>
        <w:t xml:space="preserve">Conditions attached to every prospecting </w:t>
      </w:r>
      <w:bookmarkEnd w:id="370"/>
      <w:r>
        <w:rPr>
          <w:snapToGrid w:val="0"/>
        </w:rPr>
        <w:t>licence</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 xml:space="preserve">in the opinion of the State Mining Engineer </w:t>
      </w:r>
      <w:r>
        <w:rPr>
          <w:snapToGrid w:val="0"/>
          <w:vertAlign w:val="superscript"/>
        </w:rPr>
        <w:t>5</w:t>
      </w:r>
      <w:r>
        <w:rPr>
          <w:snapToGrid w:val="0"/>
        </w:rPr>
        <w:t>, likely to endanger the safety of any person or animal,</w:t>
      </w:r>
    </w:p>
    <w:p>
      <w:pPr>
        <w:pStyle w:val="Indenta"/>
        <w:rPr>
          <w:snapToGrid w:val="0"/>
        </w:rPr>
      </w:pPr>
      <w:r>
        <w:rPr>
          <w:snapToGrid w:val="0"/>
        </w:rPr>
        <w:tab/>
      </w:r>
      <w:r>
        <w:rPr>
          <w:snapToGrid w:val="0"/>
        </w:rPr>
        <w:tab/>
        <w:t xml:space="preserve">will be filled in or otherwise made safe to the satisfaction of the State Mining Engineer </w:t>
      </w:r>
      <w:r>
        <w:rPr>
          <w:snapToGrid w:val="0"/>
          <w:vertAlign w:val="superscript"/>
        </w:rPr>
        <w:t>5</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w:t>
      </w:r>
    </w:p>
    <w:p>
      <w:pPr>
        <w:pStyle w:val="Heading5"/>
        <w:rPr>
          <w:snapToGrid w:val="0"/>
        </w:rPr>
      </w:pPr>
      <w:bookmarkStart w:id="375" w:name="_Toc520087927"/>
      <w:bookmarkStart w:id="376" w:name="_Toc523620562"/>
      <w:bookmarkStart w:id="377" w:name="_Toc38853714"/>
      <w:bookmarkStart w:id="378" w:name="_Toc124061080"/>
      <w:bookmarkStart w:id="379" w:name="_Toc124139935"/>
      <w:r>
        <w:rPr>
          <w:rStyle w:val="CharSectno"/>
        </w:rPr>
        <w:t>46A</w:t>
      </w:r>
      <w:r>
        <w:rPr>
          <w:snapToGrid w:val="0"/>
        </w:rPr>
        <w:t>.</w:t>
      </w:r>
      <w:r>
        <w:rPr>
          <w:snapToGrid w:val="0"/>
        </w:rPr>
        <w:tab/>
        <w:t>Conditions for prevention or reduction of injury to land</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380" w:name="_Toc520087928"/>
      <w:bookmarkStart w:id="381" w:name="_Toc523620563"/>
      <w:bookmarkStart w:id="382" w:name="_Toc38853715"/>
      <w:bookmarkStart w:id="383" w:name="_Toc124061081"/>
      <w:bookmarkStart w:id="384" w:name="_Toc124139936"/>
      <w:r>
        <w:rPr>
          <w:rStyle w:val="CharSectno"/>
        </w:rPr>
        <w:t>47</w:t>
      </w:r>
      <w:r>
        <w:rPr>
          <w:snapToGrid w:val="0"/>
        </w:rPr>
        <w:t>.</w:t>
      </w:r>
      <w:r>
        <w:rPr>
          <w:snapToGrid w:val="0"/>
        </w:rPr>
        <w:tab/>
        <w:t>Survey of area of prospecting licence not required in first instance</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385" w:name="_Toc520087929"/>
      <w:bookmarkStart w:id="386" w:name="_Toc523620564"/>
      <w:bookmarkStart w:id="387" w:name="_Toc38853716"/>
      <w:bookmarkStart w:id="388" w:name="_Toc124061082"/>
      <w:bookmarkStart w:id="389" w:name="_Toc124139937"/>
      <w:r>
        <w:rPr>
          <w:rStyle w:val="CharSectno"/>
        </w:rPr>
        <w:t>48</w:t>
      </w:r>
      <w:r>
        <w:rPr>
          <w:snapToGrid w:val="0"/>
        </w:rPr>
        <w:t>.</w:t>
      </w:r>
      <w:r>
        <w:rPr>
          <w:snapToGrid w:val="0"/>
        </w:rPr>
        <w:tab/>
        <w:t xml:space="preserve">Rights conferred by prospecting </w:t>
      </w:r>
      <w:bookmarkEnd w:id="385"/>
      <w:r>
        <w:rPr>
          <w:snapToGrid w:val="0"/>
        </w:rPr>
        <w:t>licence</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390" w:name="_Toc520087930"/>
      <w:bookmarkStart w:id="391" w:name="_Toc523620565"/>
      <w:bookmarkStart w:id="392" w:name="_Toc38853717"/>
      <w:bookmarkStart w:id="393" w:name="_Toc124061083"/>
      <w:bookmarkStart w:id="394" w:name="_Toc124139938"/>
      <w:r>
        <w:rPr>
          <w:rStyle w:val="CharSectno"/>
        </w:rPr>
        <w:t>49</w:t>
      </w:r>
      <w:r>
        <w:rPr>
          <w:snapToGrid w:val="0"/>
        </w:rPr>
        <w:t>.</w:t>
      </w:r>
      <w:r>
        <w:rPr>
          <w:snapToGrid w:val="0"/>
        </w:rPr>
        <w:tab/>
        <w:t>Holder of prospecting licence to have priority for grant of mining leases or general purpose leases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395" w:name="_Toc520087931"/>
      <w:bookmarkStart w:id="396" w:name="_Toc523620566"/>
      <w:bookmarkStart w:id="397" w:name="_Toc38853718"/>
      <w:bookmarkStart w:id="398" w:name="_Toc124061084"/>
      <w:bookmarkStart w:id="399" w:name="_Toc124139939"/>
      <w:r>
        <w:rPr>
          <w:rStyle w:val="CharSectno"/>
        </w:rPr>
        <w:t>50</w:t>
      </w:r>
      <w:r>
        <w:rPr>
          <w:snapToGrid w:val="0"/>
        </w:rPr>
        <w:t>.</w:t>
      </w:r>
      <w:r>
        <w:rPr>
          <w:snapToGrid w:val="0"/>
        </w:rPr>
        <w:tab/>
        <w:t>Compliance with expenditure conditions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Heading5"/>
        <w:rPr>
          <w:snapToGrid w:val="0"/>
        </w:rPr>
      </w:pPr>
      <w:bookmarkStart w:id="400" w:name="_Toc520087932"/>
      <w:bookmarkStart w:id="401" w:name="_Toc523620567"/>
      <w:bookmarkStart w:id="402" w:name="_Toc38853719"/>
      <w:bookmarkStart w:id="403" w:name="_Toc124061085"/>
      <w:bookmarkStart w:id="404" w:name="_Toc124139940"/>
      <w:r>
        <w:rPr>
          <w:rStyle w:val="CharSectno"/>
        </w:rPr>
        <w:t>51</w:t>
      </w:r>
      <w:r>
        <w:rPr>
          <w:snapToGrid w:val="0"/>
        </w:rPr>
        <w:t>.</w:t>
      </w:r>
      <w:r>
        <w:rPr>
          <w:snapToGrid w:val="0"/>
        </w:rPr>
        <w:tab/>
        <w:t>Reports of work and expenditure</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rPr>
          <w:snapToGrid w:val="0"/>
        </w:rPr>
      </w:pPr>
      <w:bookmarkStart w:id="405" w:name="_Toc520087933"/>
      <w:bookmarkStart w:id="406" w:name="_Toc523620568"/>
      <w:bookmarkStart w:id="407" w:name="_Toc38853720"/>
      <w:bookmarkStart w:id="408" w:name="_Toc124061086"/>
      <w:bookmarkStart w:id="409" w:name="_Toc124139941"/>
      <w:r>
        <w:rPr>
          <w:rStyle w:val="CharSectno"/>
        </w:rPr>
        <w:t>52</w:t>
      </w:r>
      <w:r>
        <w:rPr>
          <w:snapToGrid w:val="0"/>
        </w:rPr>
        <w:t>.</w:t>
      </w:r>
      <w:r>
        <w:rPr>
          <w:snapToGrid w:val="0"/>
        </w:rPr>
        <w:tab/>
        <w:t xml:space="preserve">Security relating to prospecting </w:t>
      </w:r>
      <w:bookmarkEnd w:id="405"/>
      <w:r>
        <w:rPr>
          <w:snapToGrid w:val="0"/>
        </w:rPr>
        <w:t>licence</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Ednotesection"/>
      </w:pPr>
      <w:r>
        <w:t>[</w:t>
      </w:r>
      <w:r>
        <w:rPr>
          <w:b/>
        </w:rPr>
        <w:t>53-55.</w:t>
      </w:r>
      <w:r>
        <w:t xml:space="preserve">  Repealed by No. 122 of 1982 s. 14.] </w:t>
      </w:r>
    </w:p>
    <w:p>
      <w:pPr>
        <w:pStyle w:val="Heading5"/>
        <w:rPr>
          <w:snapToGrid w:val="0"/>
        </w:rPr>
      </w:pPr>
      <w:bookmarkStart w:id="410" w:name="_Toc520087934"/>
      <w:bookmarkStart w:id="411" w:name="_Toc523620569"/>
      <w:bookmarkStart w:id="412" w:name="_Toc38853721"/>
      <w:bookmarkStart w:id="413" w:name="_Toc124061087"/>
      <w:bookmarkStart w:id="414" w:name="_Toc124139942"/>
      <w:r>
        <w:rPr>
          <w:rStyle w:val="CharSectno"/>
        </w:rPr>
        <w:t>56</w:t>
      </w:r>
      <w:r>
        <w:rPr>
          <w:snapToGrid w:val="0"/>
        </w:rPr>
        <w:t>.</w:t>
      </w:r>
      <w:r>
        <w:rPr>
          <w:snapToGrid w:val="0"/>
        </w:rPr>
        <w:tab/>
        <w:t xml:space="preserve">Appeal against refusal to grant prospecting </w:t>
      </w:r>
      <w:bookmarkEnd w:id="410"/>
      <w:r>
        <w:rPr>
          <w:snapToGrid w:val="0"/>
        </w:rPr>
        <w:t>licence</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pPr>
      <w:r>
        <w:tab/>
        <w:t xml:space="preserve">[Section 56 inserted by No. 122 of 1982 s. 15; amended by No. 21 of 1993 s. 45; No. 58 of 1994 s. 9(3) and (4); No. 52 of 1995 s. 23.] </w:t>
      </w:r>
    </w:p>
    <w:p>
      <w:pPr>
        <w:pStyle w:val="Heading5"/>
        <w:rPr>
          <w:snapToGrid w:val="0"/>
        </w:rPr>
      </w:pPr>
      <w:bookmarkStart w:id="415" w:name="_Toc520087935"/>
      <w:bookmarkStart w:id="416" w:name="_Toc523620570"/>
      <w:bookmarkStart w:id="417" w:name="_Toc38853722"/>
      <w:bookmarkStart w:id="418" w:name="_Toc124061088"/>
      <w:bookmarkStart w:id="419" w:name="_Toc124139943"/>
      <w:r>
        <w:rPr>
          <w:rStyle w:val="CharSectno"/>
        </w:rPr>
        <w:t>56A</w:t>
      </w:r>
      <w:r>
        <w:rPr>
          <w:snapToGrid w:val="0"/>
        </w:rPr>
        <w:t>.</w:t>
      </w:r>
      <w:r>
        <w:rPr>
          <w:snapToGrid w:val="0"/>
        </w:rPr>
        <w:tab/>
        <w:t>Special prospecting licences</w:t>
      </w:r>
      <w:bookmarkEnd w:id="415"/>
      <w:bookmarkEnd w:id="416"/>
      <w:bookmarkEnd w:id="417"/>
      <w:bookmarkEnd w:id="418"/>
      <w:bookmarkEnd w:id="419"/>
      <w:r>
        <w:rPr>
          <w:snapToGrid w:val="0"/>
        </w:rPr>
        <w:t xml:space="preserve"> </w:t>
      </w:r>
    </w:p>
    <w:p>
      <w:pPr>
        <w:pStyle w:val="Subsection"/>
        <w:spacing w:before="100"/>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spacing w:before="100"/>
        <w:rPr>
          <w:snapToGrid w:val="0"/>
        </w:rPr>
      </w:pPr>
      <w:r>
        <w:rPr>
          <w:snapToGrid w:val="0"/>
        </w:rPr>
        <w:tab/>
        <w:t>(1a)</w:t>
      </w:r>
      <w:r>
        <w:rPr>
          <w:snapToGrid w:val="0"/>
        </w:rPr>
        <w:tab/>
        <w:t>A special prospecting licence may only be applied for by, granted to or held by a natural person.</w:t>
      </w:r>
    </w:p>
    <w:p>
      <w:pPr>
        <w:pStyle w:val="Subsection"/>
        <w:spacing w:before="100"/>
        <w:rPr>
          <w:snapToGrid w:val="0"/>
        </w:rPr>
      </w:pPr>
      <w:r>
        <w:rPr>
          <w:snapToGrid w:val="0"/>
        </w:rPr>
        <w:tab/>
        <w:t>(2)</w:t>
      </w:r>
      <w:r>
        <w:rPr>
          <w:snapToGrid w:val="0"/>
        </w:rPr>
        <w:tab/>
        <w:t>Within 14 days after lodging an application for a special prospecting licence under subsection (1) the applicant shall serve notice of his application on the holder of the primary tenement as if that holder were the occupier of the land to which that application relates.</w:t>
      </w:r>
    </w:p>
    <w:p>
      <w:pPr>
        <w:pStyle w:val="Subsection"/>
        <w:spacing w:before="100"/>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spacing w:before="1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12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12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12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rPr>
          <w:snapToGrid w:val="0"/>
        </w:rPr>
      </w:pPr>
      <w:r>
        <w:rPr>
          <w:snapToGrid w:val="0"/>
        </w:rPr>
        <w:tab/>
        <w:t>(6)</w:t>
      </w:r>
      <w:r>
        <w:rPr>
          <w:snapToGrid w:val="0"/>
        </w:rPr>
        <w:tab/>
        <w:t>Subject to this section, the mining registrar, the warden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3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No more than one special prospecting licence, or mining lease in respect of the land or any part thereof which is the subject of a special prospecting licence, shall be granted in respect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 if — </w:t>
      </w:r>
    </w:p>
    <w:p>
      <w:pPr>
        <w:pStyle w:val="Indenta"/>
        <w:rPr>
          <w:snapToGrid w:val="0"/>
        </w:rPr>
      </w:pPr>
      <w:r>
        <w:rPr>
          <w:snapToGrid w:val="0"/>
        </w:rPr>
        <w:tab/>
        <w:t>(a)</w:t>
      </w:r>
      <w:r>
        <w:rPr>
          <w:snapToGrid w:val="0"/>
        </w:rPr>
        <w:tab/>
        <w:t>after being served with the prescribed notice of that application, the holder of the primary tenement does not lodge an objection against that application; or</w:t>
      </w:r>
    </w:p>
    <w:p>
      <w:pPr>
        <w:pStyle w:val="Indenta"/>
        <w:rPr>
          <w:snapToGrid w:val="0"/>
        </w:rPr>
      </w:pPr>
      <w:r>
        <w:rPr>
          <w:snapToGrid w:val="0"/>
        </w:rPr>
        <w:tab/>
        <w:t>(b)</w:t>
      </w:r>
      <w:r>
        <w:rPr>
          <w:snapToGrid w:val="0"/>
        </w:rPr>
        <w:tab/>
        <w:t>it is proved to the satisfaction of the Minister by a report from the Director, Geological Survey, that gold exists in payable quantities on or in the land to which that application relates,</w:t>
      </w:r>
    </w:p>
    <w:p>
      <w:pPr>
        <w:pStyle w:val="Subsection"/>
        <w:spacing w:before="120"/>
        <w:rPr>
          <w:snapToGrid w:val="0"/>
        </w:rPr>
      </w:pPr>
      <w:r>
        <w:rPr>
          <w:snapToGrid w:val="0"/>
        </w:rPr>
        <w:tab/>
      </w:r>
      <w:r>
        <w:rPr>
          <w:snapToGrid w:val="0"/>
        </w:rPr>
        <w:tab/>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spacing w:before="12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120"/>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20"/>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22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22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spacing w:before="220"/>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w:t>
      </w:r>
    </w:p>
    <w:p>
      <w:pPr>
        <w:pStyle w:val="Heading3"/>
        <w:rPr>
          <w:snapToGrid w:val="0"/>
        </w:rPr>
      </w:pPr>
      <w:bookmarkStart w:id="420" w:name="_Toc87427598"/>
      <w:bookmarkStart w:id="421" w:name="_Toc87851173"/>
      <w:bookmarkStart w:id="422" w:name="_Toc88295396"/>
      <w:bookmarkStart w:id="423" w:name="_Toc89519055"/>
      <w:bookmarkStart w:id="424" w:name="_Toc90869180"/>
      <w:bookmarkStart w:id="425" w:name="_Toc91407952"/>
      <w:bookmarkStart w:id="426" w:name="_Toc92863696"/>
      <w:bookmarkStart w:id="427" w:name="_Toc95015064"/>
      <w:bookmarkStart w:id="428" w:name="_Toc95106771"/>
      <w:bookmarkStart w:id="429" w:name="_Toc97018571"/>
      <w:bookmarkStart w:id="430" w:name="_Toc101693524"/>
      <w:bookmarkStart w:id="431" w:name="_Toc103130394"/>
      <w:bookmarkStart w:id="432" w:name="_Toc104711044"/>
      <w:bookmarkStart w:id="433" w:name="_Toc121560029"/>
      <w:bookmarkStart w:id="434" w:name="_Toc122328470"/>
      <w:bookmarkStart w:id="435" w:name="_Toc124061089"/>
      <w:bookmarkStart w:id="436" w:name="_Toc124139944"/>
      <w:r>
        <w:rPr>
          <w:rStyle w:val="CharDivNo"/>
        </w:rPr>
        <w:t>Division 2</w:t>
      </w:r>
      <w:r>
        <w:rPr>
          <w:snapToGrid w:val="0"/>
        </w:rPr>
        <w:t> — </w:t>
      </w:r>
      <w:r>
        <w:rPr>
          <w:rStyle w:val="CharDivText"/>
        </w:rPr>
        <w:t>Exploration licence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Ednotesection"/>
      </w:pPr>
      <w:r>
        <w:t>[</w:t>
      </w:r>
      <w:r>
        <w:rPr>
          <w:b/>
        </w:rPr>
        <w:t>56AA.</w:t>
      </w:r>
      <w:r>
        <w:t xml:space="preserve"> </w:t>
      </w:r>
      <w:r>
        <w:tab/>
        <w:t xml:space="preserve">Repealed by No. 52 of 1995 s. 25.] </w:t>
      </w:r>
    </w:p>
    <w:p>
      <w:pPr>
        <w:pStyle w:val="Ednotesection"/>
      </w:pPr>
      <w:r>
        <w:t>[</w:t>
      </w:r>
      <w:r>
        <w:rPr>
          <w:b/>
        </w:rPr>
        <w:t>56B</w:t>
      </w:r>
      <w:r>
        <w:t>.</w:t>
      </w:r>
      <w:r>
        <w:tab/>
      </w:r>
      <w:r>
        <w:tab/>
        <w:t>Repealed by No. 54 of 2000 s. 5(3).]</w:t>
      </w:r>
    </w:p>
    <w:p>
      <w:pPr>
        <w:pStyle w:val="Heading5"/>
        <w:rPr>
          <w:snapToGrid w:val="0"/>
        </w:rPr>
      </w:pPr>
      <w:bookmarkStart w:id="437" w:name="_Toc520087936"/>
      <w:bookmarkStart w:id="438" w:name="_Toc523620571"/>
      <w:bookmarkStart w:id="439" w:name="_Toc38853723"/>
      <w:bookmarkStart w:id="440" w:name="_Toc124061090"/>
      <w:bookmarkStart w:id="441" w:name="_Toc124139945"/>
      <w:r>
        <w:rPr>
          <w:rStyle w:val="CharSectno"/>
        </w:rPr>
        <w:t>56C</w:t>
      </w:r>
      <w:r>
        <w:rPr>
          <w:snapToGrid w:val="0"/>
        </w:rPr>
        <w:t>.</w:t>
      </w:r>
      <w:r>
        <w:rPr>
          <w:snapToGrid w:val="0"/>
          <w:vertAlign w:val="superscript"/>
        </w:rPr>
        <w:tab/>
      </w:r>
      <w:r>
        <w:rPr>
          <w:snapToGrid w:val="0"/>
        </w:rPr>
        <w:t>Graticular sections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spacing w:before="120"/>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pPr>
      <w:r>
        <w:tab/>
        <w:t xml:space="preserve">[Section 56C inserted by No. 22 of 1990 s. 15.] </w:t>
      </w:r>
    </w:p>
    <w:p>
      <w:pPr>
        <w:pStyle w:val="Heading5"/>
        <w:spacing w:before="120"/>
        <w:rPr>
          <w:snapToGrid w:val="0"/>
        </w:rPr>
      </w:pPr>
      <w:bookmarkStart w:id="442" w:name="_Toc520087937"/>
      <w:bookmarkStart w:id="443" w:name="_Toc523620572"/>
      <w:bookmarkStart w:id="444" w:name="_Toc38853724"/>
      <w:bookmarkStart w:id="445" w:name="_Toc124061091"/>
      <w:bookmarkStart w:id="446" w:name="_Toc124139946"/>
      <w:r>
        <w:rPr>
          <w:rStyle w:val="CharSectno"/>
        </w:rPr>
        <w:t>57</w:t>
      </w:r>
      <w:r>
        <w:rPr>
          <w:snapToGrid w:val="0"/>
        </w:rPr>
        <w:t>.</w:t>
      </w:r>
      <w:r>
        <w:rPr>
          <w:snapToGrid w:val="0"/>
        </w:rPr>
        <w:tab/>
        <w:t xml:space="preserve">Grant of exploration </w:t>
      </w:r>
      <w:bookmarkEnd w:id="442"/>
      <w:r>
        <w:rPr>
          <w:snapToGrid w:val="0"/>
        </w:rPr>
        <w:t>licence</w:t>
      </w:r>
      <w:bookmarkEnd w:id="443"/>
      <w:bookmarkEnd w:id="444"/>
      <w:bookmarkEnd w:id="445"/>
      <w:bookmarkEnd w:id="446"/>
      <w:r>
        <w:rPr>
          <w:snapToGrid w:val="0"/>
        </w:rPr>
        <w:t xml:space="preserve"> </w:t>
      </w:r>
    </w:p>
    <w:p>
      <w:pPr>
        <w:pStyle w:val="Subsection"/>
        <w:keepNext/>
        <w:keepLines/>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22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220"/>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2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2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pPr>
      <w:r>
        <w:tab/>
        <w:t xml:space="preserve">[Section 57 amended by No. 69 of 1981 s. 17; No. 122 of 1982 s. 17; No. 100 of 1985 s. 38; No. 22 of 1990 s. 16; No. 37 of 1993 s. 7; No. 58 of 1994 s. 13 and 15(2) and (3); No. 15 of 2002 s. 10.] </w:t>
      </w:r>
    </w:p>
    <w:p>
      <w:pPr>
        <w:pStyle w:val="Heading5"/>
        <w:spacing w:before="120"/>
        <w:rPr>
          <w:snapToGrid w:val="0"/>
        </w:rPr>
      </w:pPr>
      <w:bookmarkStart w:id="447" w:name="_Toc520087938"/>
      <w:bookmarkStart w:id="448" w:name="_Toc523620573"/>
      <w:bookmarkStart w:id="449" w:name="_Toc38853725"/>
      <w:bookmarkStart w:id="450" w:name="_Toc124061092"/>
      <w:bookmarkStart w:id="451" w:name="_Toc124139947"/>
      <w:r>
        <w:rPr>
          <w:rStyle w:val="CharSectno"/>
        </w:rPr>
        <w:t>58</w:t>
      </w:r>
      <w:r>
        <w:rPr>
          <w:snapToGrid w:val="0"/>
        </w:rPr>
        <w:t>.</w:t>
      </w:r>
      <w:r>
        <w:rPr>
          <w:snapToGrid w:val="0"/>
        </w:rPr>
        <w:tab/>
        <w:t xml:space="preserve">Application for exploration </w:t>
      </w:r>
      <w:bookmarkEnd w:id="447"/>
      <w:r>
        <w:rPr>
          <w:snapToGrid w:val="0"/>
        </w:rPr>
        <w:t>licence</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application referred to in subsection (1) must identify the block or blocks applied for by number in accordance with section 56C(4).</w:t>
      </w:r>
    </w:p>
    <w:p>
      <w:pPr>
        <w:pStyle w:val="Indenta"/>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Indenta"/>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spacing w:before="80"/>
        <w:ind w:left="890" w:hanging="890"/>
      </w:pPr>
      <w:r>
        <w:tab/>
        <w:t xml:space="preserve">[Section 58 amended by No. 100 of 1985 s. 39; No. 22 of 1990 s. 17; No. 37 of 1993 s. 26 and 28(1); No. 58 of 1994 s. 14; No. 15 of 2002 s. 11.] </w:t>
      </w:r>
    </w:p>
    <w:p>
      <w:pPr>
        <w:pStyle w:val="Heading5"/>
        <w:spacing w:before="120"/>
        <w:rPr>
          <w:snapToGrid w:val="0"/>
        </w:rPr>
      </w:pPr>
      <w:bookmarkStart w:id="452" w:name="_Toc520087939"/>
      <w:bookmarkStart w:id="453" w:name="_Toc523620574"/>
      <w:bookmarkStart w:id="454" w:name="_Toc38853726"/>
      <w:bookmarkStart w:id="455" w:name="_Toc124061093"/>
      <w:bookmarkStart w:id="456" w:name="_Toc124139948"/>
      <w:r>
        <w:rPr>
          <w:rStyle w:val="CharSectno"/>
        </w:rPr>
        <w:t>59</w:t>
      </w:r>
      <w:r>
        <w:rPr>
          <w:snapToGrid w:val="0"/>
        </w:rPr>
        <w:t>.</w:t>
      </w:r>
      <w:r>
        <w:rPr>
          <w:snapToGrid w:val="0"/>
        </w:rPr>
        <w:tab/>
        <w:t xml:space="preserve">Determination of application for exploration </w:t>
      </w:r>
      <w:bookmarkEnd w:id="452"/>
      <w:r>
        <w:rPr>
          <w:snapToGrid w:val="0"/>
        </w:rPr>
        <w:t>licence</w:t>
      </w:r>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 </w:t>
      </w:r>
    </w:p>
    <w:p>
      <w:pPr>
        <w:pStyle w:val="Indenta"/>
        <w:spacing w:before="60"/>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spacing w:before="60"/>
        <w:rPr>
          <w:snapToGrid w:val="0"/>
        </w:rPr>
      </w:pPr>
      <w:r>
        <w:rPr>
          <w:snapToGrid w:val="0"/>
        </w:rPr>
        <w:tab/>
        <w:t>(b)</w:t>
      </w:r>
      <w:r>
        <w:rPr>
          <w:snapToGrid w:val="0"/>
        </w:rPr>
        <w:tab/>
        <w:t>recommend the refusal of the exploration licence if not so satisfied.</w:t>
      </w:r>
    </w:p>
    <w:p>
      <w:pPr>
        <w:pStyle w:val="Subsection"/>
        <w:spacing w:before="100"/>
        <w:rPr>
          <w:snapToGrid w:val="0"/>
        </w:rPr>
      </w:pPr>
      <w:r>
        <w:rPr>
          <w:snapToGrid w:val="0"/>
        </w:rPr>
        <w:tab/>
        <w:t>(4)</w:t>
      </w:r>
      <w:r>
        <w:rPr>
          <w:snapToGrid w:val="0"/>
        </w:rPr>
        <w:tab/>
        <w:t>Where a notice of objection — </w:t>
      </w:r>
    </w:p>
    <w:p>
      <w:pPr>
        <w:pStyle w:val="Indenta"/>
        <w:spacing w:before="60"/>
        <w:rPr>
          <w:snapToGrid w:val="0"/>
        </w:rPr>
      </w:pPr>
      <w:r>
        <w:rPr>
          <w:snapToGrid w:val="0"/>
        </w:rPr>
        <w:tab/>
        <w:t>(a)</w:t>
      </w:r>
      <w:r>
        <w:rPr>
          <w:snapToGrid w:val="0"/>
        </w:rPr>
        <w:tab/>
        <w:t>is lodged within the prescribed time; or</w:t>
      </w:r>
    </w:p>
    <w:p>
      <w:pPr>
        <w:pStyle w:val="Indenta"/>
        <w:spacing w:before="60"/>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457" w:name="_Toc520087940"/>
      <w:bookmarkStart w:id="458" w:name="_Toc523620575"/>
      <w:bookmarkStart w:id="459" w:name="_Toc38853727"/>
      <w:bookmarkStart w:id="460" w:name="_Toc124061094"/>
      <w:bookmarkStart w:id="461" w:name="_Toc124139949"/>
      <w:r>
        <w:rPr>
          <w:rStyle w:val="CharSectno"/>
        </w:rPr>
        <w:t>60</w:t>
      </w:r>
      <w:r>
        <w:rPr>
          <w:snapToGrid w:val="0"/>
        </w:rPr>
        <w:t>.</w:t>
      </w:r>
      <w:r>
        <w:rPr>
          <w:snapToGrid w:val="0"/>
        </w:rPr>
        <w:tab/>
        <w:t xml:space="preserve">Security relating to exploration </w:t>
      </w:r>
      <w:bookmarkEnd w:id="457"/>
      <w:r>
        <w:rPr>
          <w:snapToGrid w:val="0"/>
        </w:rPr>
        <w:t>licence</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pPr>
      <w:r>
        <w:tab/>
        <w:t xml:space="preserve">[Section 60 amended by No. 100 of 1985 s. 41; No. 37 of 1993 s. 26; No. 58 of 1994 s. 16; No. 17 of 1999 s. 7(1) and (2).] </w:t>
      </w:r>
    </w:p>
    <w:p>
      <w:pPr>
        <w:pStyle w:val="Heading5"/>
        <w:rPr>
          <w:snapToGrid w:val="0"/>
        </w:rPr>
      </w:pPr>
      <w:bookmarkStart w:id="462" w:name="_Toc520087941"/>
      <w:bookmarkStart w:id="463" w:name="_Toc523620576"/>
      <w:bookmarkStart w:id="464" w:name="_Toc38853728"/>
      <w:bookmarkStart w:id="465" w:name="_Toc124061095"/>
      <w:bookmarkStart w:id="466" w:name="_Toc124139950"/>
      <w:r>
        <w:rPr>
          <w:rStyle w:val="CharSectno"/>
        </w:rPr>
        <w:t>61</w:t>
      </w:r>
      <w:r>
        <w:rPr>
          <w:snapToGrid w:val="0"/>
        </w:rPr>
        <w:t>.</w:t>
      </w:r>
      <w:r>
        <w:rPr>
          <w:snapToGrid w:val="0"/>
        </w:rPr>
        <w:tab/>
        <w:t xml:space="preserve">Term of exploration </w:t>
      </w:r>
      <w:bookmarkEnd w:id="462"/>
      <w:r>
        <w:rPr>
          <w:snapToGrid w:val="0"/>
        </w:rPr>
        <w:t>licence</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keepNext/>
        <w:rPr>
          <w:snapToGrid w:val="0"/>
        </w:rPr>
      </w:pPr>
      <w:r>
        <w:rPr>
          <w:snapToGrid w:val="0"/>
        </w:rPr>
        <w:tab/>
        <w:t>(2)</w:t>
      </w:r>
      <w:r>
        <w:rPr>
          <w:snapToGrid w:val="0"/>
        </w:rPr>
        <w:tab/>
        <w:t>Notwithstanding subsection (1) the Minister may extend the term of an exploration licence — </w:t>
      </w:r>
    </w:p>
    <w:p>
      <w:pPr>
        <w:pStyle w:val="Indenta"/>
        <w:rPr>
          <w:snapToGrid w:val="0"/>
        </w:rPr>
      </w:pPr>
      <w:r>
        <w:rPr>
          <w:snapToGrid w:val="0"/>
        </w:rPr>
        <w:tab/>
        <w:t>(a)</w:t>
      </w:r>
      <w:r>
        <w:rPr>
          <w:snapToGrid w:val="0"/>
        </w:rPr>
        <w:tab/>
        <w:t>in prescribed circumstances by — </w:t>
      </w:r>
    </w:p>
    <w:p>
      <w:pPr>
        <w:pStyle w:val="Indenti"/>
        <w:rPr>
          <w:snapToGrid w:val="0"/>
        </w:rPr>
      </w:pPr>
      <w:r>
        <w:rPr>
          <w:snapToGrid w:val="0"/>
        </w:rPr>
        <w:tab/>
        <w:t>(i)</w:t>
      </w:r>
      <w:r>
        <w:rPr>
          <w:snapToGrid w:val="0"/>
        </w:rPr>
        <w:tab/>
        <w:t>a period of one or 2 years; and</w:t>
      </w:r>
    </w:p>
    <w:p>
      <w:pPr>
        <w:pStyle w:val="Indenti"/>
        <w:rPr>
          <w:snapToGrid w:val="0"/>
        </w:rPr>
      </w:pPr>
      <w:r>
        <w:rPr>
          <w:snapToGrid w:val="0"/>
        </w:rPr>
        <w:tab/>
        <w:t>(ii)</w:t>
      </w:r>
      <w:r>
        <w:rPr>
          <w:snapToGrid w:val="0"/>
        </w:rPr>
        <w:tab/>
        <w:t>one further period of one or 2 years;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exceptional circumstances by a further period or periods of one year,</w:t>
      </w:r>
    </w:p>
    <w:p>
      <w:pPr>
        <w:pStyle w:val="Subsection"/>
        <w:spacing w:before="120"/>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spacing w:before="120"/>
        <w:rPr>
          <w:snapToGrid w:val="0"/>
        </w:rPr>
      </w:pPr>
      <w:r>
        <w:rPr>
          <w:snapToGrid w:val="0"/>
        </w:rPr>
        <w:tab/>
        <w:t>(3)</w:t>
      </w:r>
      <w:r>
        <w:rPr>
          <w:snapToGrid w:val="0"/>
        </w:rPr>
        <w:tab/>
        <w:t>A person making an application for the extension of the term of an exploration licence under subsection (2) shall lodge that application at the office of the mining registrar and where the term of the exploration licence would but for this subsection expire, that licence shall continue in force in respect to the land the subject of the application until the application for the extension of the term is determined.</w:t>
      </w:r>
    </w:p>
    <w:p>
      <w:pPr>
        <w:pStyle w:val="Subsection"/>
        <w:spacing w:before="100"/>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pPr>
      <w:r>
        <w:tab/>
        <w:t xml:space="preserve">[Section 61 amended by No. 122 of 1982 s. 18; No. 12 of 1987 s. 4; No. 37 of 1993 s. 26; No. 58 of 1994 s. 17; No. 17 of 1999 s. 8.] </w:t>
      </w:r>
    </w:p>
    <w:p>
      <w:pPr>
        <w:pStyle w:val="Heading5"/>
        <w:spacing w:before="120"/>
        <w:rPr>
          <w:snapToGrid w:val="0"/>
        </w:rPr>
      </w:pPr>
      <w:bookmarkStart w:id="467" w:name="_Toc520087942"/>
      <w:bookmarkStart w:id="468" w:name="_Toc523620577"/>
      <w:bookmarkStart w:id="469" w:name="_Toc38853729"/>
      <w:bookmarkStart w:id="470" w:name="_Toc124061096"/>
      <w:bookmarkStart w:id="471" w:name="_Toc124139951"/>
      <w:r>
        <w:rPr>
          <w:rStyle w:val="CharSectno"/>
        </w:rPr>
        <w:t>62</w:t>
      </w:r>
      <w:r>
        <w:rPr>
          <w:snapToGrid w:val="0"/>
        </w:rPr>
        <w:t>.</w:t>
      </w:r>
      <w:r>
        <w:rPr>
          <w:snapToGrid w:val="0"/>
        </w:rPr>
        <w:tab/>
        <w:t>Expenditure conditions</w:t>
      </w:r>
      <w:bookmarkEnd w:id="467"/>
      <w:bookmarkEnd w:id="468"/>
      <w:bookmarkEnd w:id="469"/>
      <w:bookmarkEnd w:id="470"/>
      <w:bookmarkEnd w:id="471"/>
      <w:r>
        <w:rPr>
          <w:snapToGrid w:val="0"/>
        </w:rPr>
        <w:t xml:space="preserve"> </w:t>
      </w:r>
    </w:p>
    <w:p>
      <w:pPr>
        <w:pStyle w:val="Subsection"/>
        <w:spacing w:before="100"/>
        <w:rPr>
          <w:snapToGrid w:val="0"/>
        </w:rPr>
      </w:pPr>
      <w:r>
        <w:rPr>
          <w:snapToGrid w:val="0"/>
        </w:rPr>
        <w:tab/>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Heading5"/>
        <w:spacing w:before="120"/>
        <w:rPr>
          <w:snapToGrid w:val="0"/>
        </w:rPr>
      </w:pPr>
      <w:bookmarkStart w:id="472" w:name="_Toc520087943"/>
      <w:bookmarkStart w:id="473" w:name="_Toc523620578"/>
      <w:bookmarkStart w:id="474" w:name="_Toc38853730"/>
      <w:bookmarkStart w:id="475" w:name="_Toc124061097"/>
      <w:bookmarkStart w:id="476" w:name="_Toc124139952"/>
      <w:r>
        <w:rPr>
          <w:rStyle w:val="CharSectno"/>
        </w:rPr>
        <w:t>63</w:t>
      </w:r>
      <w:r>
        <w:rPr>
          <w:snapToGrid w:val="0"/>
        </w:rPr>
        <w:t>.</w:t>
      </w:r>
      <w:r>
        <w:rPr>
          <w:snapToGrid w:val="0"/>
        </w:rPr>
        <w:tab/>
        <w:t xml:space="preserve">Condition attached to exploration </w:t>
      </w:r>
      <w:bookmarkEnd w:id="472"/>
      <w:r>
        <w:rPr>
          <w:snapToGrid w:val="0"/>
        </w:rPr>
        <w:t>licence</w:t>
      </w:r>
      <w:bookmarkEnd w:id="473"/>
      <w:bookmarkEnd w:id="474"/>
      <w:bookmarkEnd w:id="475"/>
      <w:bookmarkEnd w:id="476"/>
      <w:r>
        <w:rPr>
          <w:snapToGrid w:val="0"/>
        </w:rPr>
        <w:t xml:space="preserve"> </w:t>
      </w:r>
    </w:p>
    <w:p>
      <w:pPr>
        <w:pStyle w:val="Subsection"/>
        <w:spacing w:before="100"/>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spacing w:before="60"/>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spacing w:before="60"/>
        <w:rPr>
          <w:snapToGrid w:val="0"/>
        </w:rPr>
      </w:pPr>
      <w:r>
        <w:rPr>
          <w:snapToGrid w:val="0"/>
        </w:rPr>
        <w:tab/>
        <w:t>(b)</w:t>
      </w:r>
      <w:r>
        <w:rPr>
          <w:snapToGrid w:val="0"/>
        </w:rPr>
        <w:tab/>
        <w:t xml:space="preserve">will fill in or otherwise make safe to the satisfaction of the State Mining Engineer </w:t>
      </w:r>
      <w:r>
        <w:rPr>
          <w:snapToGrid w:val="0"/>
          <w:vertAlign w:val="superscript"/>
        </w:rPr>
        <w:t>5</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 xml:space="preserve">in the opinion of the State Mining Engineer </w:t>
      </w:r>
      <w:r>
        <w:rPr>
          <w:snapToGrid w:val="0"/>
          <w:vertAlign w:val="superscript"/>
        </w:rPr>
        <w:t>5</w:t>
      </w:r>
      <w:r>
        <w:rPr>
          <w:snapToGrid w:val="0"/>
        </w:rPr>
        <w:t>, likely to endanger the safety of any person or animal;</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w:t>
      </w:r>
    </w:p>
    <w:p>
      <w:pPr>
        <w:pStyle w:val="Heading5"/>
        <w:rPr>
          <w:snapToGrid w:val="0"/>
        </w:rPr>
      </w:pPr>
      <w:bookmarkStart w:id="477" w:name="_Toc520087944"/>
      <w:bookmarkStart w:id="478" w:name="_Toc523620579"/>
      <w:bookmarkStart w:id="479" w:name="_Toc38853731"/>
      <w:bookmarkStart w:id="480" w:name="_Toc124061098"/>
      <w:bookmarkStart w:id="481" w:name="_Toc124139953"/>
      <w:r>
        <w:rPr>
          <w:rStyle w:val="CharSectno"/>
        </w:rPr>
        <w:t>63AA</w:t>
      </w:r>
      <w:r>
        <w:rPr>
          <w:snapToGrid w:val="0"/>
        </w:rPr>
        <w:t>.</w:t>
      </w:r>
      <w:r>
        <w:rPr>
          <w:snapToGrid w:val="0"/>
        </w:rPr>
        <w:tab/>
        <w:t>Conditions for prevention or reduction of injury to land</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482" w:name="_Toc520087945"/>
      <w:bookmarkStart w:id="483" w:name="_Toc523620580"/>
      <w:bookmarkStart w:id="484" w:name="_Toc38853732"/>
      <w:bookmarkStart w:id="485" w:name="_Toc124061099"/>
      <w:bookmarkStart w:id="486" w:name="_Toc124139954"/>
      <w:r>
        <w:rPr>
          <w:rStyle w:val="CharSectno"/>
        </w:rPr>
        <w:t>63A</w:t>
      </w:r>
      <w:r>
        <w:rPr>
          <w:snapToGrid w:val="0"/>
        </w:rPr>
        <w:t>.</w:t>
      </w:r>
      <w:r>
        <w:rPr>
          <w:snapToGrid w:val="0"/>
        </w:rPr>
        <w:tab/>
        <w:t>When exploration licence liable to forfeiture</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w:t>
      </w:r>
    </w:p>
    <w:p>
      <w:pPr>
        <w:pStyle w:val="Heading5"/>
        <w:rPr>
          <w:snapToGrid w:val="0"/>
        </w:rPr>
      </w:pPr>
      <w:bookmarkStart w:id="487" w:name="_Toc520087946"/>
      <w:bookmarkStart w:id="488" w:name="_Toc523620581"/>
      <w:bookmarkStart w:id="489" w:name="_Toc38853733"/>
      <w:bookmarkStart w:id="490" w:name="_Toc124061100"/>
      <w:bookmarkStart w:id="491" w:name="_Toc124139955"/>
      <w:r>
        <w:rPr>
          <w:rStyle w:val="CharSectno"/>
        </w:rPr>
        <w:t>64</w:t>
      </w:r>
      <w:r>
        <w:rPr>
          <w:snapToGrid w:val="0"/>
        </w:rPr>
        <w:t>.</w:t>
      </w:r>
      <w:r>
        <w:rPr>
          <w:snapToGrid w:val="0"/>
        </w:rPr>
        <w:tab/>
        <w:t xml:space="preserve">Consent to dealing in exploration </w:t>
      </w:r>
      <w:bookmarkEnd w:id="487"/>
      <w:r>
        <w:rPr>
          <w:snapToGrid w:val="0"/>
        </w:rPr>
        <w:t>licence</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During the first year of the term for which an exploration licence is granted, a legal or equitable interest in or affecting an exploration licence shall not be transferred or otherwise dealt with, whether directly or indirectly, unless — </w:t>
      </w:r>
    </w:p>
    <w:p>
      <w:pPr>
        <w:pStyle w:val="Indenta"/>
        <w:rPr>
          <w:snapToGrid w:val="0"/>
        </w:rPr>
      </w:pPr>
      <w:r>
        <w:rPr>
          <w:snapToGrid w:val="0"/>
        </w:rPr>
        <w:tab/>
        <w:t>(a)</w:t>
      </w:r>
      <w:r>
        <w:rPr>
          <w:snapToGrid w:val="0"/>
        </w:rPr>
        <w:tab/>
        <w:t>the dealing arises in the due administration of the estate or affairs of a holder — </w:t>
      </w:r>
    </w:p>
    <w:p>
      <w:pPr>
        <w:pStyle w:val="Indenti"/>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to which that subsection applies where the agreement expressly provides that the consent required by that subsection is to be obtained as a condition of the dealing.</w:t>
      </w:r>
    </w:p>
    <w:p>
      <w:pPr>
        <w:pStyle w:val="Footnotesection"/>
      </w:pPr>
      <w:r>
        <w:tab/>
        <w:t xml:space="preserve">[Section 64 inserted by No. 100 of 1985 s. 44; amended by No. 37 of 1993 s. 27; No. 10 of 2001 s. 132.] </w:t>
      </w:r>
    </w:p>
    <w:p>
      <w:pPr>
        <w:pStyle w:val="Heading5"/>
        <w:rPr>
          <w:snapToGrid w:val="0"/>
        </w:rPr>
      </w:pPr>
      <w:bookmarkStart w:id="492" w:name="_Toc520087947"/>
      <w:bookmarkStart w:id="493" w:name="_Toc523620582"/>
      <w:bookmarkStart w:id="494" w:name="_Toc38853734"/>
      <w:bookmarkStart w:id="495" w:name="_Toc124061101"/>
      <w:bookmarkStart w:id="496" w:name="_Toc124139956"/>
      <w:r>
        <w:rPr>
          <w:rStyle w:val="CharSectno"/>
        </w:rPr>
        <w:t>65</w:t>
      </w:r>
      <w:r>
        <w:rPr>
          <w:snapToGrid w:val="0"/>
        </w:rPr>
        <w:t>.</w:t>
      </w:r>
      <w:r>
        <w:rPr>
          <w:snapToGrid w:val="0"/>
        </w:rPr>
        <w:tab/>
        <w:t xml:space="preserve">Surrender of certain areas subject to the exploration </w:t>
      </w:r>
      <w:bookmarkEnd w:id="492"/>
      <w:r>
        <w:rPr>
          <w:snapToGrid w:val="0"/>
        </w:rPr>
        <w:t>licence</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section, the holder of an exploration licence shall at the expiration of — </w:t>
      </w:r>
    </w:p>
    <w:p>
      <w:pPr>
        <w:pStyle w:val="Indenta"/>
        <w:rPr>
          <w:snapToGrid w:val="0"/>
        </w:rPr>
      </w:pPr>
      <w:r>
        <w:rPr>
          <w:snapToGrid w:val="0"/>
        </w:rPr>
        <w:tab/>
        <w:t>(a)</w:t>
      </w:r>
      <w:r>
        <w:rPr>
          <w:snapToGrid w:val="0"/>
        </w:rPr>
        <w:tab/>
        <w:t>the third year of the term for which the licence was granted, surrender not less than half the number of the blocks that are subject to the licence;</w:t>
      </w:r>
    </w:p>
    <w:p>
      <w:pPr>
        <w:pStyle w:val="Indenta"/>
        <w:rPr>
          <w:snapToGrid w:val="0"/>
        </w:rPr>
      </w:pPr>
      <w:r>
        <w:rPr>
          <w:snapToGrid w:val="0"/>
        </w:rPr>
        <w:tab/>
        <w:t>(b)</w:t>
      </w:r>
      <w:r>
        <w:rPr>
          <w:snapToGrid w:val="0"/>
        </w:rPr>
        <w:tab/>
        <w:t>the fourth year of the term for which the licence was granted, surrender not less than half the number of the blocks that are then subject to the licence,</w:t>
      </w:r>
    </w:p>
    <w:p>
      <w:pPr>
        <w:pStyle w:val="Subsection"/>
        <w:rPr>
          <w:snapToGrid w:val="0"/>
        </w:rPr>
      </w:pPr>
      <w:r>
        <w:rPr>
          <w:snapToGrid w:val="0"/>
        </w:rPr>
        <w:tab/>
      </w:r>
      <w:r>
        <w:rPr>
          <w:snapToGrid w:val="0"/>
        </w:rPr>
        <w:tab/>
        <w:t>but so that after each surrender the graticular sections that constitute the blocks that remain subject to the exploration licence form not more than 3 discrete areas each consisting of — </w:t>
      </w:r>
    </w:p>
    <w:p>
      <w:pPr>
        <w:pStyle w:val="Indenta"/>
        <w:rPr>
          <w:snapToGrid w:val="0"/>
        </w:rPr>
      </w:pPr>
      <w:r>
        <w:rPr>
          <w:snapToGrid w:val="0"/>
        </w:rPr>
        <w:tab/>
        <w:t>(c)</w:t>
      </w:r>
      <w:r>
        <w:rPr>
          <w:snapToGrid w:val="0"/>
        </w:rPr>
        <w:tab/>
        <w:t>a single graticular section; or</w:t>
      </w:r>
    </w:p>
    <w:p>
      <w:pPr>
        <w:pStyle w:val="Indenta"/>
        <w:rPr>
          <w:snapToGrid w:val="0"/>
        </w:rPr>
      </w:pPr>
      <w:r>
        <w:rPr>
          <w:snapToGrid w:val="0"/>
        </w:rPr>
        <w:tab/>
        <w:t>(d)</w:t>
      </w:r>
      <w:r>
        <w:rPr>
          <w:snapToGrid w:val="0"/>
        </w:rPr>
        <w:tab/>
        <w:t>a number of graticular sections each having a side in common with at least one other graticular section in that area.</w:t>
      </w:r>
    </w:p>
    <w:p>
      <w:pPr>
        <w:pStyle w:val="Subsection"/>
        <w:rPr>
          <w:snapToGrid w:val="0"/>
        </w:rPr>
      </w:pPr>
      <w:r>
        <w:rPr>
          <w:snapToGrid w:val="0"/>
        </w:rPr>
        <w:tab/>
        <w:t>(1a)</w:t>
      </w:r>
      <w:r>
        <w:rPr>
          <w:snapToGrid w:val="0"/>
        </w:rPr>
        <w:tab/>
        <w:t>Where, at least one month before the end of that year of the term when the land to which the application relates is by this section required to be surrendered, or within such shorter period as the Minister may allow, the holder of an exploration licence — </w:t>
      </w:r>
    </w:p>
    <w:p>
      <w:pPr>
        <w:pStyle w:val="Indenta"/>
        <w:rPr>
          <w:snapToGrid w:val="0"/>
        </w:rPr>
      </w:pPr>
      <w:r>
        <w:rPr>
          <w:snapToGrid w:val="0"/>
        </w:rPr>
        <w:tab/>
        <w:t>(a)</w:t>
      </w:r>
      <w:r>
        <w:rPr>
          <w:snapToGrid w:val="0"/>
        </w:rPr>
        <w:tab/>
        <w:t>who is a person authorised by the Minister under section 111 to explore for iron on that land; or</w:t>
      </w:r>
    </w:p>
    <w:p>
      <w:pPr>
        <w:pStyle w:val="Indenta"/>
        <w:rPr>
          <w:snapToGrid w:val="0"/>
        </w:rPr>
      </w:pPr>
      <w:r>
        <w:rPr>
          <w:snapToGrid w:val="0"/>
        </w:rPr>
        <w:tab/>
        <w:t>(b)</w:t>
      </w:r>
      <w:r>
        <w:rPr>
          <w:snapToGrid w:val="0"/>
        </w:rPr>
        <w:tab/>
        <w:t>who satisfies the Minister that by reason of difficulties or delays — </w:t>
      </w:r>
    </w:p>
    <w:p>
      <w:pPr>
        <w:pStyle w:val="Indenti"/>
        <w:rPr>
          <w:snapToGrid w:val="0"/>
        </w:rPr>
      </w:pPr>
      <w:r>
        <w:rPr>
          <w:snapToGrid w:val="0"/>
        </w:rPr>
        <w:tab/>
        <w:t>(i)</w:t>
      </w:r>
      <w:r>
        <w:rPr>
          <w:snapToGrid w:val="0"/>
        </w:rPr>
        <w:tab/>
        <w:t>occasioned by law;</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w:t>
      </w:r>
    </w:p>
    <w:p>
      <w:pPr>
        <w:pStyle w:val="Indenta"/>
        <w:rPr>
          <w:snapToGrid w:val="0"/>
        </w:rPr>
      </w:pPr>
      <w:r>
        <w:rPr>
          <w:snapToGrid w:val="0"/>
        </w:rPr>
        <w:tab/>
      </w:r>
      <w:r>
        <w:rPr>
          <w:snapToGrid w:val="0"/>
        </w:rPr>
        <w:tab/>
        <w:t>his exploration programme, or the marking out and application appropriate to a mining lease or general purpose lease in relation to the land, could not be undertaken or completed or is restricted in a manner that is, or is subject to conditions that are, for the time being impracticable,</w:t>
      </w:r>
    </w:p>
    <w:p>
      <w:pPr>
        <w:pStyle w:val="Subsection"/>
        <w:rPr>
          <w:snapToGrid w:val="0"/>
        </w:rPr>
      </w:pPr>
      <w:r>
        <w:rPr>
          <w:snapToGrid w:val="0"/>
        </w:rPr>
        <w:tab/>
      </w:r>
      <w:r>
        <w:rPr>
          <w:snapToGrid w:val="0"/>
        </w:rPr>
        <w:tab/>
        <w:t>applies in writing to the Minister for relief from the obligation to surrender land the Minister may exempt that holder from the requirements of this section, either wholly or in part, on such terms or conditions as he thinks fit.</w:t>
      </w:r>
    </w:p>
    <w:p>
      <w:pPr>
        <w:pStyle w:val="Subsection"/>
        <w:rPr>
          <w:snapToGrid w:val="0"/>
        </w:rPr>
      </w:pPr>
      <w:r>
        <w:rPr>
          <w:snapToGrid w:val="0"/>
        </w:rPr>
        <w:tab/>
        <w:t>(1b)</w:t>
      </w:r>
      <w:r>
        <w:rPr>
          <w:snapToGrid w:val="0"/>
        </w:rPr>
        <w:tab/>
        <w:t>Where any application is made under subsection (1a), the requirements of subsection (1) as to surrender shall in respect to the land the subject of the application be deferred until the application is determined, but in so far as in respect to any land to which the application relates no exemption is granted those requirements shall have effect in relation to the land to which an exemption does not apply as though the year of the term for which the licence was granted expired on a date 2 months after the date on which the notification of the determination of the application was given by the Minister to the holder.</w:t>
      </w:r>
    </w:p>
    <w:p>
      <w:pPr>
        <w:pStyle w:val="Subsection"/>
        <w:rPr>
          <w:snapToGrid w:val="0"/>
        </w:rPr>
      </w:pPr>
      <w:r>
        <w:rPr>
          <w:snapToGrid w:val="0"/>
        </w:rPr>
        <w:tab/>
        <w:t>(1ba)</w:t>
      </w:r>
      <w:r>
        <w:rPr>
          <w:snapToGrid w:val="0"/>
        </w:rPr>
        <w:tab/>
        <w:t>Notification referred to in subsection (1b) shall be given by the Minister by certified mail, and the date on which the notification is given shall be taken to be the date on which the notification is posted.</w:t>
      </w:r>
    </w:p>
    <w:p>
      <w:pPr>
        <w:pStyle w:val="Subsection"/>
        <w:rPr>
          <w:snapToGrid w:val="0"/>
        </w:rPr>
      </w:pPr>
      <w:r>
        <w:rPr>
          <w:snapToGrid w:val="0"/>
        </w:rPr>
        <w:tab/>
        <w:t>(1c)</w:t>
      </w:r>
      <w:r>
        <w:rPr>
          <w:snapToGrid w:val="0"/>
          <w:sz w:val="20"/>
        </w:rPr>
        <w:tab/>
      </w:r>
      <w:r>
        <w:rPr>
          <w:snapToGrid w:val="0"/>
        </w:rPr>
        <w:t>A surrender under this section —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lodged at the principal office of the Department at Perth on or before the last day of the third or fourth year, as the case requires, of the term for which it is lodged;</w:t>
      </w:r>
    </w:p>
    <w:p>
      <w:pPr>
        <w:pStyle w:val="Indenta"/>
        <w:rPr>
          <w:snapToGrid w:val="0"/>
        </w:rPr>
      </w:pPr>
      <w:r>
        <w:rPr>
          <w:snapToGrid w:val="0"/>
        </w:rPr>
        <w:tab/>
        <w:t>(c)</w:t>
      </w:r>
      <w:r>
        <w:rPr>
          <w:snapToGrid w:val="0"/>
        </w:rPr>
        <w:tab/>
        <w:t>subject to subsection (1b), takes effect on the expiration of the last day of the third or fourth year, as the case requires, of the term; and</w:t>
      </w:r>
    </w:p>
    <w:p>
      <w:pPr>
        <w:pStyle w:val="Indenta"/>
        <w:rPr>
          <w:snapToGrid w:val="0"/>
        </w:rPr>
      </w:pPr>
      <w:r>
        <w:rPr>
          <w:snapToGrid w:val="0"/>
        </w:rPr>
        <w:tab/>
        <w:t>(d)</w:t>
      </w:r>
      <w:r>
        <w:rPr>
          <w:snapToGrid w:val="0"/>
        </w:rPr>
        <w:tab/>
        <w:t>if the number of blocks in an exploration licence is an uneven number, the number of blocks to be surrendered is the number ascertained in accordance with the following formula — </w:t>
      </w:r>
    </w:p>
    <w:p>
      <w:pPr>
        <w:pStyle w:val="Equation"/>
        <w:ind w:left="1701"/>
      </w:pPr>
      <w:r>
        <w:rPr>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1.5pt" o:ole="" fillcolor="window">
            <v:imagedata r:id="rId20" o:title=""/>
          </v:shape>
          <o:OLEObject Type="Embed" ProgID="Equation.3" ShapeID="_x0000_i1025" DrawAspect="Content" ObjectID="_1643570060" r:id="rId21"/>
        </w:object>
      </w:r>
    </w:p>
    <w:p>
      <w:pPr>
        <w:pStyle w:val="MiscellaneousBody"/>
        <w:tabs>
          <w:tab w:val="left" w:pos="2410"/>
          <w:tab w:val="left" w:pos="2694"/>
        </w:tabs>
        <w:spacing w:before="120"/>
        <w:ind w:left="2744" w:hanging="1134"/>
        <w:rPr>
          <w:snapToGrid w:val="0"/>
        </w:rPr>
      </w:pPr>
      <w:r>
        <w:rPr>
          <w:snapToGrid w:val="0"/>
        </w:rPr>
        <w:t>Where</w:t>
      </w:r>
      <w:r>
        <w:rPr>
          <w:snapToGrid w:val="0"/>
        </w:rPr>
        <w:tab/>
        <w:t>S</w:t>
      </w:r>
      <w:r>
        <w:rPr>
          <w:snapToGrid w:val="0"/>
        </w:rPr>
        <w:tab/>
        <w:t>means the number of blocks to be surrendered; and</w:t>
      </w:r>
    </w:p>
    <w:p>
      <w:pPr>
        <w:pStyle w:val="MiscellaneousBody"/>
        <w:tabs>
          <w:tab w:val="left" w:pos="2410"/>
          <w:tab w:val="left" w:pos="2694"/>
        </w:tabs>
        <w:spacing w:before="120"/>
        <w:ind w:left="2744" w:hanging="1134"/>
        <w:rPr>
          <w:snapToGrid w:val="0"/>
        </w:rPr>
      </w:pPr>
      <w:r>
        <w:rPr>
          <w:snapToGrid w:val="0"/>
        </w:rPr>
        <w:tab/>
        <w:t>N</w:t>
      </w:r>
      <w:r>
        <w:rPr>
          <w:snapToGrid w:val="0"/>
        </w:rPr>
        <w:tab/>
        <w:t>means the total number of blocks in the licence.</w:t>
      </w:r>
    </w:p>
    <w:p>
      <w:pPr>
        <w:pStyle w:val="Subsection"/>
        <w:keepNext/>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during the first 3 years of the term for which an exploration licence was granted, the holder — </w:t>
      </w:r>
    </w:p>
    <w:p>
      <w:pPr>
        <w:pStyle w:val="Indenti"/>
        <w:rPr>
          <w:snapToGrid w:val="0"/>
        </w:rPr>
      </w:pPr>
      <w:r>
        <w:rPr>
          <w:snapToGrid w:val="0"/>
        </w:rPr>
        <w:tab/>
        <w:t>(i)</w:t>
      </w:r>
      <w:r>
        <w:rPr>
          <w:snapToGrid w:val="0"/>
        </w:rPr>
        <w:tab/>
        <w:t>is granted a mining lease or general purpose lease of land then the subject of the exploration licence; or</w:t>
      </w:r>
    </w:p>
    <w:p>
      <w:pPr>
        <w:pStyle w:val="Indenti"/>
        <w:rPr>
          <w:snapToGrid w:val="0"/>
        </w:rPr>
      </w:pPr>
      <w:r>
        <w:rPr>
          <w:snapToGrid w:val="0"/>
        </w:rPr>
        <w:tab/>
        <w:t>(ii)</w:t>
      </w:r>
      <w:r>
        <w:rPr>
          <w:snapToGrid w:val="0"/>
        </w:rPr>
        <w:tab/>
        <w:t>surrenders a part of the area then the subject of the exploration licence,</w:t>
      </w:r>
    </w:p>
    <w:p>
      <w:pPr>
        <w:pStyle w:val="Indenta"/>
        <w:rPr>
          <w:snapToGrid w:val="0"/>
        </w:rPr>
      </w:pPr>
      <w:r>
        <w:rPr>
          <w:snapToGrid w:val="0"/>
        </w:rPr>
        <w:tab/>
      </w:r>
      <w:r>
        <w:rPr>
          <w:snapToGrid w:val="0"/>
        </w:rPr>
        <w:tab/>
        <w:t>in calculating the area of land that is required to be surrendered under paragraph (a) of that subsection an area to which subparagraph (i) or (ii) of this subsection applies shall, at the expiration of the third year of the term, be taken into account as though it were an area then surrendered in satisfaction of that requirement; and</w:t>
      </w:r>
    </w:p>
    <w:p>
      <w:pPr>
        <w:pStyle w:val="Indenta"/>
        <w:keepNext/>
        <w:rPr>
          <w:snapToGrid w:val="0"/>
        </w:rPr>
      </w:pPr>
      <w:r>
        <w:rPr>
          <w:snapToGrid w:val="0"/>
        </w:rPr>
        <w:tab/>
        <w:t>(b)</w:t>
      </w:r>
      <w:r>
        <w:rPr>
          <w:snapToGrid w:val="0"/>
        </w:rPr>
        <w:tab/>
        <w:t>if, during the fourth year of the term for which an exploration licence is granted, the holder — </w:t>
      </w:r>
    </w:p>
    <w:p>
      <w:pPr>
        <w:pStyle w:val="Indenti"/>
        <w:rPr>
          <w:snapToGrid w:val="0"/>
        </w:rPr>
      </w:pPr>
      <w:r>
        <w:rPr>
          <w:snapToGrid w:val="0"/>
        </w:rPr>
        <w:tab/>
        <w:t>(i)</w:t>
      </w:r>
      <w:r>
        <w:rPr>
          <w:snapToGrid w:val="0"/>
        </w:rPr>
        <w:tab/>
        <w:t>is granted a mining lease or general purpose lease of land then the subject of the exploration licence; or</w:t>
      </w:r>
    </w:p>
    <w:p>
      <w:pPr>
        <w:pStyle w:val="Indenti"/>
        <w:rPr>
          <w:snapToGrid w:val="0"/>
        </w:rPr>
      </w:pPr>
      <w:r>
        <w:rPr>
          <w:snapToGrid w:val="0"/>
        </w:rPr>
        <w:tab/>
        <w:t>(ii)</w:t>
      </w:r>
      <w:r>
        <w:rPr>
          <w:snapToGrid w:val="0"/>
        </w:rPr>
        <w:tab/>
        <w:t>surrenders a part of the area then the subject of the exploration licence,</w:t>
      </w:r>
    </w:p>
    <w:p>
      <w:pPr>
        <w:pStyle w:val="Indenta"/>
        <w:rPr>
          <w:snapToGrid w:val="0"/>
        </w:rPr>
      </w:pPr>
      <w:r>
        <w:rPr>
          <w:snapToGrid w:val="0"/>
        </w:rPr>
        <w:tab/>
      </w:r>
      <w:r>
        <w:rPr>
          <w:snapToGrid w:val="0"/>
        </w:rPr>
        <w:tab/>
        <w:t>in calculating the area of land that is required to be surrendered under paragraph (b) of that subsection an area to which subparagraph (i) or (ii) of this subsection applies shall, at the expiration of that year, be taken into account as though it were an area then surrendered in satisfaction of that requirement.</w:t>
      </w:r>
    </w:p>
    <w:p>
      <w:pPr>
        <w:pStyle w:val="Subsection"/>
        <w:rPr>
          <w:snapToGrid w:val="0"/>
        </w:rPr>
      </w:pPr>
      <w:r>
        <w:rPr>
          <w:snapToGrid w:val="0"/>
        </w:rPr>
        <w:tab/>
        <w:t>(3)</w:t>
      </w:r>
      <w:r>
        <w:rPr>
          <w:snapToGrid w:val="0"/>
        </w:rPr>
        <w:tab/>
        <w:t>Subsection (1) does not apply to an exploration licence if the licence is granted in respect of one block.</w:t>
      </w:r>
    </w:p>
    <w:p>
      <w:pPr>
        <w:pStyle w:val="Subsection"/>
        <w:rPr>
          <w:snapToGrid w:val="0"/>
        </w:rPr>
      </w:pPr>
      <w:r>
        <w:rPr>
          <w:snapToGrid w:val="0"/>
        </w:rPr>
        <w:tab/>
        <w:t>(3a)</w:t>
      </w:r>
      <w:r>
        <w:rPr>
          <w:snapToGrid w:val="0"/>
        </w:rPr>
        <w:tab/>
        <w:t>Subsection (1)(b) does not apply to an exploration licence if the licence is granted in respect of 2 blocks.</w:t>
      </w:r>
    </w:p>
    <w:p>
      <w:pPr>
        <w:pStyle w:val="Subsection"/>
        <w:rPr>
          <w:snapToGrid w:val="0"/>
        </w:rPr>
      </w:pPr>
      <w:r>
        <w:rPr>
          <w:snapToGrid w:val="0"/>
        </w:rPr>
        <w:tab/>
        <w:t>(4)</w:t>
      </w:r>
      <w:r>
        <w:rPr>
          <w:snapToGrid w:val="0"/>
        </w:rPr>
        <w:tab/>
        <w:t>Where the holder does not comply with subsection (1) or (1b), the whole of the area of land which is then subject to the exploration licence shall by force of this subsection be surrendered and the exploration licence shall cease to apply thereto.</w:t>
      </w:r>
    </w:p>
    <w:p>
      <w:pPr>
        <w:pStyle w:val="Subsection"/>
        <w:keepNext/>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rPr>
          <w:snapToGrid w:val="0"/>
        </w:rPr>
      </w:pPr>
      <w:r>
        <w:rPr>
          <w:snapToGrid w:val="0"/>
        </w:rPr>
        <w:tab/>
        <w:t>(6)</w:t>
      </w:r>
      <w:r>
        <w:rPr>
          <w:snapToGrid w:val="0"/>
        </w:rPr>
        <w:tab/>
        <w:t>Notwithstanding that a surrender has taken effect under this section any land the subject of the surrender shall not be — </w:t>
      </w:r>
    </w:p>
    <w:p>
      <w:pPr>
        <w:pStyle w:val="Indenta"/>
        <w:rPr>
          <w:snapToGrid w:val="0"/>
        </w:rPr>
      </w:pPr>
      <w:r>
        <w:rPr>
          <w:snapToGrid w:val="0"/>
        </w:rPr>
        <w:tab/>
        <w:t>(a)</w:t>
      </w:r>
      <w:r>
        <w:rPr>
          <w:snapToGrid w:val="0"/>
        </w:rPr>
        <w:tab/>
        <w:t>marked out in connection with a mining tenement; or</w:t>
      </w:r>
    </w:p>
    <w:p>
      <w:pPr>
        <w:pStyle w:val="Indenta"/>
        <w:keepNext/>
        <w:rPr>
          <w:snapToGrid w:val="0"/>
        </w:rPr>
      </w:pPr>
      <w:r>
        <w:rPr>
          <w:snapToGrid w:val="0"/>
        </w:rPr>
        <w:tab/>
        <w:t>(b)</w:t>
      </w:r>
      <w:r>
        <w:rPr>
          <w:snapToGrid w:val="0"/>
        </w:rPr>
        <w:tab/>
        <w:t>included in an application for a mining tenement,</w:t>
      </w:r>
    </w:p>
    <w:p>
      <w:pPr>
        <w:pStyle w:val="Subsection"/>
        <w:rPr>
          <w:snapToGrid w:val="0"/>
        </w:rPr>
      </w:pPr>
      <w:r>
        <w:rPr>
          <w:snapToGrid w:val="0"/>
        </w:rPr>
        <w:tab/>
      </w:r>
      <w:r>
        <w:rPr>
          <w:snapToGrid w:val="0"/>
        </w:rPr>
        <w:tab/>
        <w:t>unless and until plans referred to in subsection (5) have been endorsed to that effect in the prescribed manner.</w:t>
      </w:r>
    </w:p>
    <w:p>
      <w:pPr>
        <w:pStyle w:val="Footnotesection"/>
      </w:pPr>
      <w:r>
        <w:tab/>
        <w:t xml:space="preserve">[Section 65 amended by No. 69 of 1981 s. 20; No. 100 of 1985 s. 45; No. 12 of 1987 s. 5; No. 22 of 1990 s. 19; No. 57 of 1997 s. 89(2).] </w:t>
      </w:r>
    </w:p>
    <w:p>
      <w:pPr>
        <w:pStyle w:val="Heading5"/>
        <w:spacing w:before="120"/>
        <w:rPr>
          <w:snapToGrid w:val="0"/>
        </w:rPr>
      </w:pPr>
      <w:bookmarkStart w:id="497" w:name="_Toc520087948"/>
      <w:bookmarkStart w:id="498" w:name="_Toc523620583"/>
      <w:bookmarkStart w:id="499" w:name="_Toc38853735"/>
      <w:bookmarkStart w:id="500" w:name="_Toc124061102"/>
      <w:bookmarkStart w:id="501" w:name="_Toc124139957"/>
      <w:r>
        <w:rPr>
          <w:rStyle w:val="CharSectno"/>
        </w:rPr>
        <w:t>66</w:t>
      </w:r>
      <w:r>
        <w:rPr>
          <w:snapToGrid w:val="0"/>
        </w:rPr>
        <w:t>.</w:t>
      </w:r>
      <w:r>
        <w:rPr>
          <w:snapToGrid w:val="0"/>
        </w:rPr>
        <w:tab/>
        <w:t xml:space="preserve">Rights conferred by exploration </w:t>
      </w:r>
      <w:bookmarkEnd w:id="497"/>
      <w:r>
        <w:rPr>
          <w:snapToGrid w:val="0"/>
        </w:rPr>
        <w:t>licence</w:t>
      </w:r>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pPr>
      <w:r>
        <w:tab/>
        <w:t xml:space="preserve">[Section 66 amended by No. 100 of 1985 s. 46; No. 22 of 1990 s. 20; No. 5 of 1997 s. 41(2).] </w:t>
      </w:r>
    </w:p>
    <w:p>
      <w:pPr>
        <w:pStyle w:val="Heading5"/>
        <w:spacing w:before="120"/>
        <w:rPr>
          <w:snapToGrid w:val="0"/>
        </w:rPr>
      </w:pPr>
      <w:bookmarkStart w:id="502" w:name="_Toc520087949"/>
      <w:bookmarkStart w:id="503" w:name="_Toc523620584"/>
      <w:bookmarkStart w:id="504" w:name="_Toc38853736"/>
      <w:bookmarkStart w:id="505" w:name="_Toc124061103"/>
      <w:bookmarkStart w:id="506" w:name="_Toc124139958"/>
      <w:r>
        <w:rPr>
          <w:rStyle w:val="CharSectno"/>
        </w:rPr>
        <w:t>67</w:t>
      </w:r>
      <w:r>
        <w:rPr>
          <w:snapToGrid w:val="0"/>
        </w:rPr>
        <w:t>.</w:t>
      </w:r>
      <w:r>
        <w:rPr>
          <w:snapToGrid w:val="0"/>
        </w:rPr>
        <w:tab/>
        <w:t>Holder of exploration licence to have priority for grant of mining leases or general purpose leases</w:t>
      </w:r>
      <w:bookmarkEnd w:id="502"/>
      <w:bookmarkEnd w:id="503"/>
      <w:bookmarkEnd w:id="504"/>
      <w:bookmarkEnd w:id="505"/>
      <w:bookmarkEnd w:id="506"/>
      <w:r>
        <w:rPr>
          <w:snapToGrid w:val="0"/>
        </w:rPr>
        <w:t xml:space="preserve"> </w:t>
      </w:r>
    </w:p>
    <w:p>
      <w:pPr>
        <w:pStyle w:val="Subsection"/>
        <w:spacing w:before="100"/>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spacing w:before="10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spacing w:before="100"/>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spacing w:before="100"/>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507" w:name="_Toc520087950"/>
      <w:bookmarkStart w:id="508" w:name="_Toc523620585"/>
      <w:bookmarkStart w:id="509" w:name="_Toc38853737"/>
      <w:bookmarkStart w:id="510" w:name="_Toc124061104"/>
      <w:bookmarkStart w:id="511" w:name="_Toc124139959"/>
      <w:r>
        <w:rPr>
          <w:rStyle w:val="CharSectno"/>
        </w:rPr>
        <w:t>67A</w:t>
      </w:r>
      <w:r>
        <w:rPr>
          <w:snapToGrid w:val="0"/>
        </w:rPr>
        <w:t>.</w:t>
      </w:r>
      <w:r>
        <w:rPr>
          <w:snapToGrid w:val="0"/>
        </w:rPr>
        <w:tab/>
        <w:t>Holder of exploration licence may apply to amalgamate secondary tenement</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00"/>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spacing w:before="100"/>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spacing w:before="100"/>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spacing w:before="100"/>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0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80"/>
        <w:ind w:left="890" w:hanging="890"/>
      </w:pPr>
      <w:r>
        <w:tab/>
        <w:t xml:space="preserve">[Section 67A inserted by No. 37 of 1993 s. 8; amended by No. 58 of 1994 s. 19; No. 15 of 2002 s. 13.] </w:t>
      </w:r>
    </w:p>
    <w:p>
      <w:pPr>
        <w:pStyle w:val="Heading5"/>
        <w:spacing w:before="120"/>
        <w:rPr>
          <w:snapToGrid w:val="0"/>
        </w:rPr>
      </w:pPr>
      <w:bookmarkStart w:id="512" w:name="_Toc520087951"/>
      <w:bookmarkStart w:id="513" w:name="_Toc523620586"/>
      <w:bookmarkStart w:id="514" w:name="_Toc38853738"/>
      <w:bookmarkStart w:id="515" w:name="_Toc124061105"/>
      <w:bookmarkStart w:id="516" w:name="_Toc124139960"/>
      <w:r>
        <w:rPr>
          <w:rStyle w:val="CharSectno"/>
        </w:rPr>
        <w:t>68</w:t>
      </w:r>
      <w:r>
        <w:rPr>
          <w:snapToGrid w:val="0"/>
        </w:rPr>
        <w:t>.</w:t>
      </w:r>
      <w:r>
        <w:rPr>
          <w:snapToGrid w:val="0"/>
        </w:rPr>
        <w:tab/>
        <w:t>Holder of exploration licence to keep geological records</w:t>
      </w:r>
      <w:bookmarkEnd w:id="512"/>
      <w:bookmarkEnd w:id="513"/>
      <w:bookmarkEnd w:id="514"/>
      <w:bookmarkEnd w:id="515"/>
      <w:bookmarkEnd w:id="516"/>
      <w:r>
        <w:rPr>
          <w:snapToGrid w:val="0"/>
        </w:rPr>
        <w:t xml:space="preserve"> </w:t>
      </w:r>
    </w:p>
    <w:p>
      <w:pPr>
        <w:pStyle w:val="Subsection"/>
        <w:spacing w:before="10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Penstart"/>
        <w:spacing w:before="60"/>
        <w:rPr>
          <w:snapToGrid w:val="0"/>
        </w:rPr>
      </w:pPr>
      <w:r>
        <w:rPr>
          <w:snapToGrid w:val="0"/>
        </w:rPr>
        <w:tab/>
        <w:t>Penalty: $500.</w:t>
      </w:r>
    </w:p>
    <w:p>
      <w:pPr>
        <w:pStyle w:val="Subsection"/>
        <w:spacing w:before="10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Penstart"/>
        <w:spacing w:before="60"/>
        <w:rPr>
          <w:snapToGrid w:val="0"/>
        </w:rPr>
      </w:pPr>
      <w:r>
        <w:rPr>
          <w:snapToGrid w:val="0"/>
        </w:rPr>
        <w:tab/>
        <w:t>Penalty: $500.</w:t>
      </w:r>
    </w:p>
    <w:p>
      <w:pPr>
        <w:pStyle w:val="Subsection"/>
        <w:spacing w:before="10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Footnotesection"/>
      </w:pPr>
      <w:r>
        <w:tab/>
        <w:t xml:space="preserve">[Section 68 amended by No. 58 of 1994 s. 20.] </w:t>
      </w:r>
    </w:p>
    <w:p>
      <w:pPr>
        <w:pStyle w:val="Heading5"/>
        <w:keepNext w:val="0"/>
        <w:keepLines w:val="0"/>
        <w:spacing w:before="120"/>
        <w:rPr>
          <w:snapToGrid w:val="0"/>
        </w:rPr>
      </w:pPr>
      <w:bookmarkStart w:id="517" w:name="_Toc520087952"/>
      <w:bookmarkStart w:id="518" w:name="_Toc523620587"/>
      <w:bookmarkStart w:id="519" w:name="_Toc38853739"/>
      <w:bookmarkStart w:id="520" w:name="_Toc124061106"/>
      <w:bookmarkStart w:id="521" w:name="_Toc124139961"/>
      <w:r>
        <w:rPr>
          <w:rStyle w:val="CharSectno"/>
        </w:rPr>
        <w:t>69</w:t>
      </w:r>
      <w:r>
        <w:rPr>
          <w:snapToGrid w:val="0"/>
        </w:rPr>
        <w:t>.</w:t>
      </w:r>
      <w:r>
        <w:rPr>
          <w:snapToGrid w:val="0"/>
        </w:rPr>
        <w:tab/>
        <w:t>Land the subject of exploration licence not to be again marked out for a certain period</w:t>
      </w:r>
      <w:bookmarkEnd w:id="517"/>
      <w:bookmarkEnd w:id="518"/>
      <w:bookmarkEnd w:id="519"/>
      <w:bookmarkEnd w:id="520"/>
      <w:bookmarkEnd w:id="521"/>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relinquished in accordance with section 65, the land the subject of the licence or the part so relinquished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spacing w:before="100"/>
        <w:rPr>
          <w:snapToGrid w:val="0"/>
        </w:rPr>
      </w:pPr>
      <w:r>
        <w:tab/>
      </w:r>
      <w:r>
        <w:tab/>
        <w:t>within a period of 3 months from and including that date.</w:t>
      </w:r>
    </w:p>
    <w:p>
      <w:pPr>
        <w:pStyle w:val="Subsection"/>
        <w:spacing w:before="100"/>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pPr>
      <w:r>
        <w:tab/>
        <w:t xml:space="preserve">[Section 69 amended by No. 100 of 1985 s. 48; No. 22 of 1990 s. 21; No. 15 of 2002 s. 14.] </w:t>
      </w:r>
    </w:p>
    <w:p>
      <w:pPr>
        <w:pStyle w:val="Heading5"/>
        <w:spacing w:before="120"/>
        <w:rPr>
          <w:snapToGrid w:val="0"/>
        </w:rPr>
      </w:pPr>
      <w:bookmarkStart w:id="522" w:name="_Toc520087953"/>
      <w:bookmarkStart w:id="523" w:name="_Toc523620588"/>
      <w:bookmarkStart w:id="524" w:name="_Toc38853740"/>
      <w:bookmarkStart w:id="525" w:name="_Toc124061107"/>
      <w:bookmarkStart w:id="526" w:name="_Toc124139962"/>
      <w:r>
        <w:rPr>
          <w:rStyle w:val="CharSectno"/>
        </w:rPr>
        <w:t>70</w:t>
      </w:r>
      <w:r>
        <w:rPr>
          <w:snapToGrid w:val="0"/>
        </w:rPr>
        <w:t>.</w:t>
      </w:r>
      <w:r>
        <w:rPr>
          <w:snapToGrid w:val="0"/>
        </w:rPr>
        <w:tab/>
        <w:t xml:space="preserve">Special prospecting licences on an </w:t>
      </w:r>
      <w:bookmarkEnd w:id="522"/>
      <w:bookmarkEnd w:id="523"/>
      <w:r>
        <w:t>primary tenement</w:t>
      </w:r>
      <w:bookmarkEnd w:id="524"/>
      <w:bookmarkEnd w:id="525"/>
      <w:bookmarkEnd w:id="526"/>
    </w:p>
    <w:p>
      <w:pPr>
        <w:pStyle w:val="Subsection"/>
        <w:spacing w:before="1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spacing w:val="-4"/>
        </w:rPr>
      </w:pPr>
      <w:r>
        <w:rPr>
          <w:snapToGrid w:val="0"/>
          <w:spacing w:val="-4"/>
        </w:rPr>
        <w:tab/>
        <w:t>(a)</w:t>
      </w:r>
      <w:r>
        <w:rPr>
          <w:snapToGrid w:val="0"/>
          <w:spacing w:val="-4"/>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spacing w:val="-4"/>
        </w:rPr>
        <w:t>, the date of approval of the claim; and</w:t>
      </w:r>
    </w:p>
    <w:p>
      <w:pPr>
        <w:pStyle w:val="Indenta"/>
        <w:rPr>
          <w:snapToGrid w:val="0"/>
        </w:rPr>
      </w:pPr>
      <w:r>
        <w:rPr>
          <w:snapToGrid w:val="0"/>
        </w:rPr>
        <w:tab/>
        <w:t>(b)</w:t>
      </w:r>
      <w:r>
        <w:rPr>
          <w:snapToGrid w:val="0"/>
        </w:rPr>
        <w:tab/>
        <w:t xml:space="preserve">in any other case, the date on which the </w:t>
      </w:r>
      <w:r>
        <w:t>primary tenement</w:t>
      </w:r>
      <w:r>
        <w:rPr>
          <w:snapToGrid w:val="0"/>
        </w:rPr>
        <w:t xml:space="preserve"> was granted,</w:t>
      </w:r>
    </w:p>
    <w:p>
      <w:pPr>
        <w:pStyle w:val="Subsection"/>
        <w:spacing w:before="100"/>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 xml:space="preserve">Within 14 days after lodging an application for a special prospecting licence under subsection (1) the applicant shall give notice thereof to the holder of the </w:t>
      </w:r>
      <w:r>
        <w:t>primary tenement</w:t>
      </w:r>
      <w:r>
        <w:rPr>
          <w:snapToGrid w:val="0"/>
        </w:rPr>
        <w:t xml:space="preserve"> as if such holder were the occupier of the land to which the application relates.</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rPr>
          <w:snapToGrid w:val="0"/>
        </w:rPr>
      </w:pPr>
      <w:r>
        <w:rPr>
          <w:snapToGrid w:val="0"/>
        </w:rPr>
        <w:tab/>
        <w:t>(6)</w:t>
      </w:r>
      <w:r>
        <w:rPr>
          <w:snapToGrid w:val="0"/>
        </w:rPr>
        <w:tab/>
        <w:t>Subject to this section the mining registrar, the warden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spacing w:before="120"/>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thereof the subject of a special prospecting licence,</w:t>
      </w:r>
    </w:p>
    <w:p>
      <w:pPr>
        <w:pStyle w:val="Subsection"/>
        <w:spacing w:before="12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3 such special prospecting licences; or</w:t>
      </w:r>
    </w:p>
    <w:p>
      <w:pPr>
        <w:pStyle w:val="Indenta"/>
        <w:rPr>
          <w:snapToGrid w:val="0"/>
        </w:rPr>
      </w:pPr>
      <w:r>
        <w:rPr>
          <w:snapToGrid w:val="0"/>
        </w:rPr>
        <w:tab/>
        <w:t>(d)</w:t>
      </w:r>
      <w:r>
        <w:rPr>
          <w:snapToGrid w:val="0"/>
        </w:rPr>
        <w:tab/>
        <w:t>more than one such mining lease.</w:t>
      </w:r>
    </w:p>
    <w:p>
      <w:pPr>
        <w:pStyle w:val="Subsection"/>
        <w:spacing w:before="1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A special prospecting licence, or a mining lease in respect of the land or any part thereof which is the subject of a special prospecting licence, shall not be granted in respect of the primary tenement where the number of such licences or leases granted in respect of that primary tenement exceeds one for each 200 hectares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if — </w:t>
      </w:r>
    </w:p>
    <w:p>
      <w:pPr>
        <w:pStyle w:val="Indenta"/>
        <w:rPr>
          <w:snapToGrid w:val="0"/>
        </w:rPr>
      </w:pPr>
      <w:r>
        <w:rPr>
          <w:snapToGrid w:val="0"/>
        </w:rPr>
        <w:tab/>
        <w:t>(a)</w:t>
      </w:r>
      <w:r>
        <w:rPr>
          <w:snapToGrid w:val="0"/>
        </w:rPr>
        <w:tab/>
        <w:t xml:space="preserve">after being served with the prescribed notice of the application, the holder of the </w:t>
      </w:r>
      <w:r>
        <w:t>primary tenement</w:t>
      </w:r>
      <w:r>
        <w:rPr>
          <w:snapToGrid w:val="0"/>
        </w:rPr>
        <w:t xml:space="preserve"> does not lodge an objection against it; or</w:t>
      </w:r>
    </w:p>
    <w:p>
      <w:pPr>
        <w:pStyle w:val="Indenta"/>
        <w:rPr>
          <w:snapToGrid w:val="0"/>
        </w:rPr>
      </w:pPr>
      <w:r>
        <w:rPr>
          <w:snapToGrid w:val="0"/>
        </w:rPr>
        <w:tab/>
        <w:t>(b)</w:t>
      </w:r>
      <w:r>
        <w:rPr>
          <w:snapToGrid w:val="0"/>
        </w:rPr>
        <w:tab/>
        <w:t>it is proved to the satisfaction of the Minister by a report from the Director, Geological Survey that gold exists in payable quantities on or in the land to which the application relates,</w:t>
      </w:r>
    </w:p>
    <w:p>
      <w:pPr>
        <w:pStyle w:val="Subsection"/>
        <w:rPr>
          <w:snapToGrid w:val="0"/>
        </w:rPr>
      </w:pPr>
      <w:r>
        <w:rPr>
          <w:snapToGrid w:val="0"/>
        </w:rPr>
        <w:tab/>
      </w:r>
      <w:r>
        <w:rPr>
          <w:snapToGrid w:val="0"/>
        </w:rPr>
        <w:tab/>
        <w:t>the Minister may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70 amended by No. 100 of 1985 s. 49; No. 22 of 1990 s. 22; No. 21 of 1993 s. 45; No. 37 of 1993 s. 9, 10(2) and 27; No. 73 of 1994 s. 4; No. 58 of 1994 s. 21; No. 52 of 1995 s. 27; No. 54 of 1996 s. 10 and 23; No. 10 of 2001 s. 133; No. 15 of 2002 s. 15.] </w:t>
      </w:r>
    </w:p>
    <w:p>
      <w:pPr>
        <w:pStyle w:val="Heading3"/>
        <w:rPr>
          <w:snapToGrid w:val="0"/>
        </w:rPr>
      </w:pPr>
      <w:bookmarkStart w:id="527" w:name="_Toc87427617"/>
      <w:bookmarkStart w:id="528" w:name="_Toc87851192"/>
      <w:bookmarkStart w:id="529" w:name="_Toc88295415"/>
      <w:bookmarkStart w:id="530" w:name="_Toc89519074"/>
      <w:bookmarkStart w:id="531" w:name="_Toc90869199"/>
      <w:bookmarkStart w:id="532" w:name="_Toc91407971"/>
      <w:bookmarkStart w:id="533" w:name="_Toc92863715"/>
      <w:bookmarkStart w:id="534" w:name="_Toc95015083"/>
      <w:bookmarkStart w:id="535" w:name="_Toc95106790"/>
      <w:bookmarkStart w:id="536" w:name="_Toc97018590"/>
      <w:bookmarkStart w:id="537" w:name="_Toc101693543"/>
      <w:bookmarkStart w:id="538" w:name="_Toc103130413"/>
      <w:bookmarkStart w:id="539" w:name="_Toc104711063"/>
      <w:bookmarkStart w:id="540" w:name="_Toc121560048"/>
      <w:bookmarkStart w:id="541" w:name="_Toc122328489"/>
      <w:bookmarkStart w:id="542" w:name="_Toc124061108"/>
      <w:bookmarkStart w:id="543" w:name="_Toc124139963"/>
      <w:r>
        <w:rPr>
          <w:rStyle w:val="CharDivNo"/>
        </w:rPr>
        <w:t>Division 2A</w:t>
      </w:r>
      <w:r>
        <w:rPr>
          <w:snapToGrid w:val="0"/>
        </w:rPr>
        <w:t> — </w:t>
      </w:r>
      <w:r>
        <w:rPr>
          <w:rStyle w:val="CharDivText"/>
        </w:rPr>
        <w:t>Retention licence</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Footnoteheading"/>
        <w:rPr>
          <w:snapToGrid w:val="0"/>
        </w:rPr>
      </w:pPr>
      <w:r>
        <w:rPr>
          <w:snapToGrid w:val="0"/>
        </w:rPr>
        <w:t xml:space="preserve">[Heading inserted by No. 37 of 1993 s. 10(1).] </w:t>
      </w:r>
    </w:p>
    <w:p>
      <w:pPr>
        <w:pStyle w:val="Heading5"/>
        <w:rPr>
          <w:snapToGrid w:val="0"/>
        </w:rPr>
      </w:pPr>
      <w:bookmarkStart w:id="544" w:name="_Toc520087954"/>
      <w:bookmarkStart w:id="545" w:name="_Toc523620589"/>
      <w:bookmarkStart w:id="546" w:name="_Toc38853741"/>
      <w:bookmarkStart w:id="547" w:name="_Toc124061109"/>
      <w:bookmarkStart w:id="548" w:name="_Toc124139964"/>
      <w:r>
        <w:rPr>
          <w:rStyle w:val="CharSectno"/>
        </w:rPr>
        <w:t>70A</w:t>
      </w:r>
      <w:r>
        <w:rPr>
          <w:snapToGrid w:val="0"/>
        </w:rPr>
        <w:t>.</w:t>
      </w:r>
      <w:r>
        <w:rPr>
          <w:snapToGrid w:val="0"/>
        </w:rPr>
        <w:tab/>
        <w:t>Definitions</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primary tenement</w:t>
      </w:r>
      <w:r>
        <w:rPr>
          <w:b/>
        </w:rPr>
        <w:t>”</w:t>
      </w:r>
      <w:r>
        <w:t xml:space="preserve"> means a prospecting licence, an exploration licence or a mining lease.</w:t>
      </w:r>
    </w:p>
    <w:p>
      <w:pPr>
        <w:pStyle w:val="Footnotesection"/>
      </w:pPr>
      <w:r>
        <w:tab/>
        <w:t xml:space="preserve">[Section 70A inserted by No. 37 of 1993 s. 10(1).] </w:t>
      </w:r>
    </w:p>
    <w:p>
      <w:pPr>
        <w:pStyle w:val="Heading5"/>
        <w:rPr>
          <w:snapToGrid w:val="0"/>
        </w:rPr>
      </w:pPr>
      <w:bookmarkStart w:id="549" w:name="_Toc520087955"/>
      <w:bookmarkStart w:id="550" w:name="_Toc523620590"/>
      <w:bookmarkStart w:id="551" w:name="_Toc38853742"/>
      <w:bookmarkStart w:id="552" w:name="_Toc124061110"/>
      <w:bookmarkStart w:id="553" w:name="_Toc124139965"/>
      <w:r>
        <w:rPr>
          <w:rStyle w:val="CharSectno"/>
        </w:rPr>
        <w:t>70B</w:t>
      </w:r>
      <w:r>
        <w:rPr>
          <w:snapToGrid w:val="0"/>
        </w:rPr>
        <w:t>.</w:t>
      </w:r>
      <w:r>
        <w:rPr>
          <w:snapToGrid w:val="0"/>
        </w:rPr>
        <w:tab/>
        <w:t xml:space="preserve">Grant of retention </w:t>
      </w:r>
      <w:bookmarkEnd w:id="549"/>
      <w:r>
        <w:rPr>
          <w:snapToGrid w:val="0"/>
        </w:rPr>
        <w:t>licence</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spacing w:before="100"/>
        <w:ind w:left="890" w:hanging="890"/>
      </w:pPr>
      <w:r>
        <w:tab/>
        <w:t xml:space="preserve">[Section 70B inserted by No. 37 of 1993 s. 10(1); amended by No. 58 of 1994 s. 24(2).] </w:t>
      </w:r>
    </w:p>
    <w:p>
      <w:pPr>
        <w:pStyle w:val="Heading5"/>
        <w:spacing w:before="120"/>
        <w:rPr>
          <w:snapToGrid w:val="0"/>
        </w:rPr>
      </w:pPr>
      <w:bookmarkStart w:id="554" w:name="_Toc520087956"/>
      <w:bookmarkStart w:id="555" w:name="_Toc523620591"/>
      <w:bookmarkStart w:id="556" w:name="_Toc38853743"/>
      <w:bookmarkStart w:id="557" w:name="_Toc124061111"/>
      <w:bookmarkStart w:id="558" w:name="_Toc124139966"/>
      <w:r>
        <w:rPr>
          <w:rStyle w:val="CharSectno"/>
        </w:rPr>
        <w:t>70C</w:t>
      </w:r>
      <w:r>
        <w:rPr>
          <w:snapToGrid w:val="0"/>
        </w:rPr>
        <w:t>.</w:t>
      </w:r>
      <w:r>
        <w:rPr>
          <w:snapToGrid w:val="0"/>
        </w:rPr>
        <w:tab/>
        <w:t xml:space="preserve">Application for retention </w:t>
      </w:r>
      <w:bookmarkEnd w:id="554"/>
      <w:r>
        <w:rPr>
          <w:snapToGrid w:val="0"/>
        </w:rPr>
        <w:t>licence</w:t>
      </w:r>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keepNext/>
        <w:rPr>
          <w:snapToGrid w:val="0"/>
        </w:rPr>
      </w:pPr>
      <w:r>
        <w:rPr>
          <w:snapToGrid w:val="0"/>
        </w:rPr>
        <w:tab/>
        <w:t>(c)</w:t>
      </w:r>
      <w:r>
        <w:rPr>
          <w:snapToGrid w:val="0"/>
        </w:rPr>
        <w:tab/>
        <w:t>shall be accompanied by the prescribed application fee;</w:t>
      </w:r>
    </w:p>
    <w:p>
      <w:pPr>
        <w:pStyle w:val="Indenta"/>
        <w:keepNext/>
        <w:rPr>
          <w:snapToGrid w:val="0"/>
        </w:rPr>
      </w:pPr>
      <w:r>
        <w:rPr>
          <w:snapToGrid w:val="0"/>
        </w:rPr>
        <w:tab/>
        <w:t>(d)</w:t>
      </w:r>
      <w:r>
        <w:rPr>
          <w:snapToGrid w:val="0"/>
        </w:rPr>
        <w:tab/>
        <w:t>shall be lodged at the office of the mining registrar;</w:t>
      </w:r>
    </w:p>
    <w:p>
      <w:pPr>
        <w:pStyle w:val="Indenta"/>
        <w:keepNext/>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spacing w:before="1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spacing w:before="100"/>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spacing w:before="100"/>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No. 58 of 1994 s. 23; No. 17 of 1999 s. 10.] </w:t>
      </w:r>
    </w:p>
    <w:p>
      <w:pPr>
        <w:pStyle w:val="Heading5"/>
        <w:rPr>
          <w:snapToGrid w:val="0"/>
        </w:rPr>
      </w:pPr>
      <w:bookmarkStart w:id="559" w:name="_Toc520087957"/>
      <w:bookmarkStart w:id="560" w:name="_Toc523620592"/>
      <w:bookmarkStart w:id="561" w:name="_Toc38853744"/>
      <w:bookmarkStart w:id="562" w:name="_Toc124061112"/>
      <w:bookmarkStart w:id="563" w:name="_Toc124139967"/>
      <w:r>
        <w:rPr>
          <w:rStyle w:val="CharSectno"/>
        </w:rPr>
        <w:t>70D</w:t>
      </w:r>
      <w:r>
        <w:rPr>
          <w:snapToGrid w:val="0"/>
        </w:rPr>
        <w:t>.</w:t>
      </w:r>
      <w:r>
        <w:rPr>
          <w:snapToGrid w:val="0"/>
        </w:rPr>
        <w:tab/>
        <w:t xml:space="preserve">Determination of application for retention </w:t>
      </w:r>
      <w:bookmarkEnd w:id="559"/>
      <w:r>
        <w:rPr>
          <w:snapToGrid w:val="0"/>
        </w:rPr>
        <w:t>licence</w:t>
      </w:r>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spacing w:before="8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spacing w:before="80"/>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80"/>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spacing w:before="80"/>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pPr>
      <w:r>
        <w:tab/>
        <w:t xml:space="preserve">[Section 70D inserted by No. 58 of 1994 s. 24(1).] </w:t>
      </w:r>
    </w:p>
    <w:p>
      <w:pPr>
        <w:pStyle w:val="Heading5"/>
        <w:rPr>
          <w:snapToGrid w:val="0"/>
        </w:rPr>
      </w:pPr>
      <w:bookmarkStart w:id="564" w:name="_Toc520087958"/>
      <w:bookmarkStart w:id="565" w:name="_Toc523620593"/>
      <w:bookmarkStart w:id="566" w:name="_Toc38853745"/>
      <w:bookmarkStart w:id="567" w:name="_Toc124061113"/>
      <w:bookmarkStart w:id="568" w:name="_Toc124139968"/>
      <w:r>
        <w:rPr>
          <w:rStyle w:val="CharSectno"/>
        </w:rPr>
        <w:t>70E</w:t>
      </w:r>
      <w:r>
        <w:rPr>
          <w:snapToGrid w:val="0"/>
        </w:rPr>
        <w:t>.</w:t>
      </w:r>
      <w:r>
        <w:rPr>
          <w:snapToGrid w:val="0"/>
        </w:rPr>
        <w:tab/>
        <w:t>Term of retention licence and renewal</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rPr>
          <w:snapToGrid w:val="0"/>
        </w:rPr>
      </w:pPr>
      <w:bookmarkStart w:id="569" w:name="_Toc520087959"/>
      <w:bookmarkStart w:id="570" w:name="_Toc523620594"/>
      <w:bookmarkStart w:id="571" w:name="_Toc38853746"/>
      <w:bookmarkStart w:id="572" w:name="_Toc124061114"/>
      <w:bookmarkStart w:id="573" w:name="_Toc124139969"/>
      <w:r>
        <w:rPr>
          <w:rStyle w:val="CharSectno"/>
        </w:rPr>
        <w:t>70F</w:t>
      </w:r>
      <w:r>
        <w:rPr>
          <w:snapToGrid w:val="0"/>
        </w:rPr>
        <w:t>.</w:t>
      </w:r>
      <w:r>
        <w:rPr>
          <w:snapToGrid w:val="0"/>
        </w:rPr>
        <w:tab/>
        <w:t xml:space="preserve">Security relating to retention </w:t>
      </w:r>
      <w:bookmarkEnd w:id="569"/>
      <w:r>
        <w:rPr>
          <w:snapToGrid w:val="0"/>
        </w:rPr>
        <w:t>licence</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Minister may require the applicant for a retention licence or the holder of a retention licence to lodge at the office of the mining registrar, within such period as the Minister specifies in writing, a security for compliance with — </w:t>
      </w:r>
    </w:p>
    <w:p>
      <w:pPr>
        <w:pStyle w:val="Indenta"/>
        <w:rPr>
          <w:snapToGrid w:val="0"/>
        </w:rPr>
      </w:pPr>
      <w:r>
        <w:rPr>
          <w:snapToGrid w:val="0"/>
        </w:rPr>
        <w:tab/>
        <w:t>(a)</w:t>
      </w:r>
      <w:r>
        <w:rPr>
          <w:snapToGrid w:val="0"/>
        </w:rPr>
        <w:tab/>
        <w:t>the conditions to which the retention licence is or will, if granted, from time to time be subject; and</w:t>
      </w:r>
    </w:p>
    <w:p>
      <w:pPr>
        <w:pStyle w:val="Indenta"/>
        <w:rPr>
          <w:snapToGrid w:val="0"/>
        </w:rPr>
      </w:pPr>
      <w:r>
        <w:rPr>
          <w:snapToGrid w:val="0"/>
        </w:rPr>
        <w:tab/>
        <w:t>(b)</w:t>
      </w:r>
      <w:r>
        <w:rPr>
          <w:snapToGrid w:val="0"/>
        </w:rPr>
        <w:tab/>
        <w:t>the provisions of this Part and the regulations.</w:t>
      </w:r>
    </w:p>
    <w:p>
      <w:pPr>
        <w:pStyle w:val="Subsection"/>
        <w:spacing w:before="120"/>
        <w:rPr>
          <w:snapToGrid w:val="0"/>
        </w:rPr>
      </w:pPr>
      <w:r>
        <w:rPr>
          <w:snapToGrid w:val="0"/>
        </w:rPr>
        <w:tab/>
        <w:t>(2)</w:t>
      </w:r>
      <w:r>
        <w:rPr>
          <w:snapToGrid w:val="0"/>
        </w:rPr>
        <w:tab/>
        <w:t>A security referred to in subsection (1) shall be in accordance with and subject to the provisions of section 126.</w:t>
      </w:r>
    </w:p>
    <w:p>
      <w:pPr>
        <w:pStyle w:val="Subsection"/>
        <w:spacing w:before="120"/>
        <w:rPr>
          <w:snapToGrid w:val="0"/>
        </w:rPr>
      </w:pPr>
      <w:r>
        <w:rPr>
          <w:snapToGrid w:val="0"/>
        </w:rPr>
        <w:tab/>
        <w:t>(3)</w:t>
      </w:r>
      <w:r>
        <w:rPr>
          <w:snapToGrid w:val="0"/>
        </w:rPr>
        <w:tab/>
        <w:t>Where the applicant for a retention licence is required to lodge a security under subsection (1), the retention licence shall not be granted unless a security is lodged in accordance with that requirement.</w:t>
      </w:r>
    </w:p>
    <w:p>
      <w:pPr>
        <w:pStyle w:val="Footnotesection"/>
      </w:pPr>
      <w:r>
        <w:tab/>
        <w:t xml:space="preserve">[Section 70F inserted by No. 37 of 1993 s. 10(1); amended by No. 58 of 1994 s. 25.] </w:t>
      </w:r>
    </w:p>
    <w:p>
      <w:pPr>
        <w:pStyle w:val="Heading5"/>
        <w:spacing w:before="120"/>
        <w:rPr>
          <w:snapToGrid w:val="0"/>
        </w:rPr>
      </w:pPr>
      <w:bookmarkStart w:id="574" w:name="_Toc520087960"/>
      <w:bookmarkStart w:id="575" w:name="_Toc523620595"/>
      <w:bookmarkStart w:id="576" w:name="_Toc38853747"/>
      <w:bookmarkStart w:id="577" w:name="_Toc124061115"/>
      <w:bookmarkStart w:id="578" w:name="_Toc124139970"/>
      <w:r>
        <w:rPr>
          <w:rStyle w:val="CharSectno"/>
        </w:rPr>
        <w:t>70G</w:t>
      </w:r>
      <w:r>
        <w:rPr>
          <w:snapToGrid w:val="0"/>
        </w:rPr>
        <w:t>.</w:t>
      </w:r>
      <w:r>
        <w:rPr>
          <w:snapToGrid w:val="0"/>
        </w:rPr>
        <w:tab/>
        <w:t>Survey of area of retention licence not required in first instance</w:t>
      </w:r>
      <w:bookmarkEnd w:id="574"/>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spacing w:before="120"/>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70G inserted by No. 37 of 1993 s. 10(1).] </w:t>
      </w:r>
    </w:p>
    <w:p>
      <w:pPr>
        <w:pStyle w:val="Heading5"/>
        <w:spacing w:before="120"/>
        <w:rPr>
          <w:snapToGrid w:val="0"/>
        </w:rPr>
      </w:pPr>
      <w:bookmarkStart w:id="579" w:name="_Toc520087961"/>
      <w:bookmarkStart w:id="580" w:name="_Toc523620596"/>
      <w:bookmarkStart w:id="581" w:name="_Toc38853748"/>
      <w:bookmarkStart w:id="582" w:name="_Toc124061116"/>
      <w:bookmarkStart w:id="583" w:name="_Toc124139971"/>
      <w:r>
        <w:rPr>
          <w:rStyle w:val="CharSectno"/>
        </w:rPr>
        <w:t>70H</w:t>
      </w:r>
      <w:r>
        <w:rPr>
          <w:snapToGrid w:val="0"/>
        </w:rPr>
        <w:t>.</w:t>
      </w:r>
      <w:r>
        <w:rPr>
          <w:snapToGrid w:val="0"/>
        </w:rPr>
        <w:tab/>
        <w:t xml:space="preserve">Conditions attached to retention </w:t>
      </w:r>
      <w:bookmarkEnd w:id="579"/>
      <w:r>
        <w:rPr>
          <w:snapToGrid w:val="0"/>
        </w:rPr>
        <w:t>licence</w:t>
      </w:r>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Every retention licence shall be deemed to be granted subject to the conditions that the holder of the licence shall — </w:t>
      </w:r>
    </w:p>
    <w:p>
      <w:pPr>
        <w:pStyle w:val="Indenta"/>
        <w:rPr>
          <w:snapToGrid w:val="0"/>
        </w:rPr>
      </w:pPr>
      <w:r>
        <w:rPr>
          <w:snapToGrid w:val="0"/>
        </w:rPr>
        <w:tab/>
        <w:t>(a)</w:t>
      </w:r>
      <w:r>
        <w:rPr>
          <w:snapToGrid w:val="0"/>
        </w:rPr>
        <w:tab/>
        <w:t xml:space="preserve">fill in or otherwise make safe to the satisfaction of the State Mining Engineer </w:t>
      </w:r>
      <w:r>
        <w:rPr>
          <w:snapToGrid w:val="0"/>
          <w:vertAlign w:val="superscript"/>
        </w:rPr>
        <w:t>5</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 xml:space="preserve">in the opinion of the State Mining Engineer </w:t>
      </w:r>
      <w:r>
        <w:rPr>
          <w:snapToGrid w:val="0"/>
          <w:vertAlign w:val="superscript"/>
        </w:rPr>
        <w:t>5</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assign, underlet or part with possession of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t>lodge with the Department at Perth such periodical reports and returns as may be prescribed.</w:t>
      </w:r>
    </w:p>
    <w:p>
      <w:pPr>
        <w:pStyle w:val="Subsection"/>
        <w:rPr>
          <w:snapToGrid w:val="0"/>
        </w:rPr>
      </w:pPr>
      <w:r>
        <w:rPr>
          <w:snapToGrid w:val="0"/>
        </w:rPr>
        <w:tab/>
        <w:t>(2)</w:t>
      </w:r>
      <w:r>
        <w:rPr>
          <w:snapToGrid w:val="0"/>
        </w:rPr>
        <w:tab/>
        <w:t>The Minister may at any time cancel or vary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pPr>
      <w:r>
        <w:tab/>
        <w:t xml:space="preserve">[Section 70H inserted by No. 37 of 1993 s. 10(1); amended by No. 17 of 1999 s. 12(2) and (3).] </w:t>
      </w:r>
    </w:p>
    <w:p>
      <w:pPr>
        <w:pStyle w:val="Heading5"/>
        <w:rPr>
          <w:snapToGrid w:val="0"/>
        </w:rPr>
      </w:pPr>
      <w:bookmarkStart w:id="584" w:name="_Toc520087962"/>
      <w:bookmarkStart w:id="585" w:name="_Toc523620597"/>
      <w:bookmarkStart w:id="586" w:name="_Toc38853749"/>
      <w:bookmarkStart w:id="587" w:name="_Toc124061117"/>
      <w:bookmarkStart w:id="588" w:name="_Toc124139972"/>
      <w:r>
        <w:rPr>
          <w:rStyle w:val="CharSectno"/>
        </w:rPr>
        <w:t>70I</w:t>
      </w:r>
      <w:r>
        <w:rPr>
          <w:snapToGrid w:val="0"/>
        </w:rPr>
        <w:t>.</w:t>
      </w:r>
      <w:r>
        <w:rPr>
          <w:snapToGrid w:val="0"/>
        </w:rPr>
        <w:tab/>
        <w:t>Conditions for prevention or reduction of injury to land</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70I inserted by No. 37 of 1993 s. 10(1).] </w:t>
      </w:r>
    </w:p>
    <w:p>
      <w:pPr>
        <w:pStyle w:val="Heading5"/>
        <w:spacing w:before="120"/>
        <w:rPr>
          <w:snapToGrid w:val="0"/>
        </w:rPr>
      </w:pPr>
      <w:bookmarkStart w:id="589" w:name="_Toc520087963"/>
      <w:bookmarkStart w:id="590" w:name="_Toc523620598"/>
      <w:bookmarkStart w:id="591" w:name="_Toc38853750"/>
      <w:bookmarkStart w:id="592" w:name="_Toc124061118"/>
      <w:bookmarkStart w:id="593" w:name="_Toc124139973"/>
      <w:r>
        <w:rPr>
          <w:rStyle w:val="CharSectno"/>
        </w:rPr>
        <w:t>70IA</w:t>
      </w:r>
      <w:r>
        <w:rPr>
          <w:snapToGrid w:val="0"/>
        </w:rPr>
        <w:t>.</w:t>
      </w:r>
      <w:r>
        <w:rPr>
          <w:snapToGrid w:val="0"/>
        </w:rPr>
        <w:tab/>
        <w:t>Programme of work</w:t>
      </w:r>
      <w:bookmarkEnd w:id="589"/>
      <w:bookmarkEnd w:id="590"/>
      <w:bookmarkEnd w:id="591"/>
      <w:bookmarkEnd w:id="592"/>
      <w:bookmarkEnd w:id="593"/>
    </w:p>
    <w:p>
      <w:pPr>
        <w:pStyle w:val="Subsection"/>
        <w:spacing w:before="120"/>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spacing w:before="120"/>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spacing w:before="120"/>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spacing w:before="120"/>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pPr>
      <w:r>
        <w:tab/>
        <w:t>[Section 70IA inserted by No. 17 of 1999 s. 12(1).]</w:t>
      </w:r>
    </w:p>
    <w:p>
      <w:pPr>
        <w:pStyle w:val="Heading5"/>
        <w:spacing w:before="120"/>
        <w:rPr>
          <w:snapToGrid w:val="0"/>
        </w:rPr>
      </w:pPr>
      <w:bookmarkStart w:id="594" w:name="_Toc520087964"/>
      <w:bookmarkStart w:id="595" w:name="_Toc523620599"/>
      <w:bookmarkStart w:id="596" w:name="_Toc38853751"/>
      <w:bookmarkStart w:id="597" w:name="_Toc124061119"/>
      <w:bookmarkStart w:id="598" w:name="_Toc124139974"/>
      <w:r>
        <w:rPr>
          <w:rStyle w:val="CharSectno"/>
        </w:rPr>
        <w:t>70J</w:t>
      </w:r>
      <w:r>
        <w:rPr>
          <w:snapToGrid w:val="0"/>
        </w:rPr>
        <w:t>.</w:t>
      </w:r>
      <w:r>
        <w:rPr>
          <w:snapToGrid w:val="0"/>
        </w:rPr>
        <w:tab/>
        <w:t xml:space="preserve">Rights conferred by retention </w:t>
      </w:r>
      <w:bookmarkEnd w:id="594"/>
      <w:r>
        <w:rPr>
          <w:snapToGrid w:val="0"/>
        </w:rPr>
        <w:t>licence</w:t>
      </w:r>
      <w:bookmarkEnd w:id="595"/>
      <w:bookmarkEnd w:id="596"/>
      <w:bookmarkEnd w:id="597"/>
      <w:bookmarkEnd w:id="598"/>
      <w:r>
        <w:rPr>
          <w:snapToGrid w:val="0"/>
        </w:rPr>
        <w:t xml:space="preserve"> </w:t>
      </w:r>
    </w:p>
    <w:p>
      <w:pPr>
        <w:pStyle w:val="Subsection"/>
        <w:spacing w:before="120"/>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pPr>
      <w:r>
        <w:tab/>
        <w:t xml:space="preserve">[Section 70J inserted by No. 37 of 1993 s. 10(1); amended by No. 5 of 1997 s. 41(2).] </w:t>
      </w:r>
    </w:p>
    <w:p>
      <w:pPr>
        <w:pStyle w:val="Heading5"/>
        <w:rPr>
          <w:snapToGrid w:val="0"/>
        </w:rPr>
      </w:pPr>
      <w:bookmarkStart w:id="599" w:name="_Toc520087965"/>
      <w:bookmarkStart w:id="600" w:name="_Toc523620600"/>
      <w:bookmarkStart w:id="601" w:name="_Toc38853752"/>
      <w:bookmarkStart w:id="602" w:name="_Toc124061120"/>
      <w:bookmarkStart w:id="603" w:name="_Toc124139975"/>
      <w:r>
        <w:rPr>
          <w:rStyle w:val="CharSectno"/>
        </w:rPr>
        <w:t>70K</w:t>
      </w:r>
      <w:r>
        <w:rPr>
          <w:snapToGrid w:val="0"/>
        </w:rPr>
        <w:t>.</w:t>
      </w:r>
      <w:r>
        <w:rPr>
          <w:snapToGrid w:val="0"/>
        </w:rPr>
        <w:tab/>
        <w:t>When retention licence liable to forfeiture</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70F(1) to lodge a security;</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w:t>
      </w:r>
    </w:p>
    <w:p>
      <w:pPr>
        <w:pStyle w:val="Footnotesection"/>
      </w:pPr>
      <w:r>
        <w:tab/>
        <w:t xml:space="preserve">[Section 70K inserted by No. 37 of 1993 s. 10(1); amended by No. 58 of 1994 s. 26; No. 17 of 1999 s. 12(4).] </w:t>
      </w:r>
    </w:p>
    <w:p>
      <w:pPr>
        <w:pStyle w:val="Heading5"/>
        <w:rPr>
          <w:snapToGrid w:val="0"/>
        </w:rPr>
      </w:pPr>
      <w:bookmarkStart w:id="604" w:name="_Toc520087966"/>
      <w:bookmarkStart w:id="605" w:name="_Toc523620601"/>
      <w:bookmarkStart w:id="606" w:name="_Toc38853753"/>
      <w:bookmarkStart w:id="607" w:name="_Toc124061121"/>
      <w:bookmarkStart w:id="608" w:name="_Toc124139976"/>
      <w:r>
        <w:rPr>
          <w:rStyle w:val="CharSectno"/>
        </w:rPr>
        <w:t>70L</w:t>
      </w:r>
      <w:r>
        <w:rPr>
          <w:snapToGrid w:val="0"/>
        </w:rPr>
        <w:t>.</w:t>
      </w:r>
      <w:r>
        <w:rPr>
          <w:snapToGrid w:val="0"/>
        </w:rPr>
        <w:tab/>
        <w:t>Holder of retention licence to have priority for grant of mining lease or general purpose lease</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70L inserted by No. 37 of 1993 s. 10(1); amended by No. 58 of 1994 s. 29(3); No. 17 of 1999 s. 12(5) and 13.] </w:t>
      </w:r>
    </w:p>
    <w:p>
      <w:pPr>
        <w:pStyle w:val="Heading5"/>
        <w:rPr>
          <w:snapToGrid w:val="0"/>
        </w:rPr>
      </w:pPr>
      <w:bookmarkStart w:id="609" w:name="_Toc520087967"/>
      <w:bookmarkStart w:id="610" w:name="_Toc523620602"/>
      <w:bookmarkStart w:id="611" w:name="_Toc38853754"/>
      <w:bookmarkStart w:id="612" w:name="_Toc124061122"/>
      <w:bookmarkStart w:id="613" w:name="_Toc124139977"/>
      <w:r>
        <w:rPr>
          <w:rStyle w:val="CharSectno"/>
        </w:rPr>
        <w:t>70M</w:t>
      </w:r>
      <w:r>
        <w:rPr>
          <w:snapToGrid w:val="0"/>
        </w:rPr>
        <w:t>.</w:t>
      </w:r>
      <w:r>
        <w:rPr>
          <w:snapToGrid w:val="0"/>
        </w:rPr>
        <w:tab/>
        <w:t>Holder of retention licence to show cause why mining lease should not be applied for</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pPr>
      <w:r>
        <w:tab/>
        <w:t xml:space="preserve">[Section 70M inserted by No. 37 of 1993 s. 10(1).] </w:t>
      </w:r>
    </w:p>
    <w:p>
      <w:pPr>
        <w:pStyle w:val="Heading5"/>
        <w:rPr>
          <w:snapToGrid w:val="0"/>
        </w:rPr>
      </w:pPr>
      <w:bookmarkStart w:id="614" w:name="_Toc520087968"/>
      <w:bookmarkStart w:id="615" w:name="_Toc523620603"/>
      <w:bookmarkStart w:id="616" w:name="_Toc38853755"/>
      <w:bookmarkStart w:id="617" w:name="_Toc124061123"/>
      <w:bookmarkStart w:id="618" w:name="_Toc124139978"/>
      <w:r>
        <w:rPr>
          <w:rStyle w:val="CharSectno"/>
        </w:rPr>
        <w:t>70N</w:t>
      </w:r>
      <w:r>
        <w:rPr>
          <w:snapToGrid w:val="0"/>
        </w:rPr>
        <w:t>.</w:t>
      </w:r>
      <w:r>
        <w:rPr>
          <w:snapToGrid w:val="0"/>
        </w:rPr>
        <w:tab/>
        <w:t>Land the subject of retention licence not to be again marked out for a certain period</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619" w:name="_Toc87427633"/>
      <w:bookmarkStart w:id="620" w:name="_Toc87851208"/>
      <w:bookmarkStart w:id="621" w:name="_Toc88295431"/>
      <w:bookmarkStart w:id="622" w:name="_Toc89519090"/>
      <w:bookmarkStart w:id="623" w:name="_Toc90869215"/>
      <w:bookmarkStart w:id="624" w:name="_Toc91407987"/>
      <w:bookmarkStart w:id="625" w:name="_Toc92863731"/>
      <w:bookmarkStart w:id="626" w:name="_Toc95015099"/>
      <w:bookmarkStart w:id="627" w:name="_Toc95106806"/>
      <w:bookmarkStart w:id="628" w:name="_Toc97018606"/>
      <w:bookmarkStart w:id="629" w:name="_Toc101693559"/>
      <w:bookmarkStart w:id="630" w:name="_Toc103130429"/>
      <w:bookmarkStart w:id="631" w:name="_Toc104711079"/>
      <w:bookmarkStart w:id="632" w:name="_Toc121560064"/>
      <w:bookmarkStart w:id="633" w:name="_Toc122328505"/>
      <w:bookmarkStart w:id="634" w:name="_Toc124061124"/>
      <w:bookmarkStart w:id="635" w:name="_Toc124139979"/>
      <w:r>
        <w:rPr>
          <w:rStyle w:val="CharDivNo"/>
        </w:rPr>
        <w:t>Division 3</w:t>
      </w:r>
      <w:r>
        <w:rPr>
          <w:snapToGrid w:val="0"/>
        </w:rPr>
        <w:t> — </w:t>
      </w:r>
      <w:r>
        <w:rPr>
          <w:rStyle w:val="CharDivText"/>
        </w:rPr>
        <w:t>Mining lease</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Ednotesection"/>
      </w:pPr>
      <w:r>
        <w:t>[</w:t>
      </w:r>
      <w:r>
        <w:rPr>
          <w:b/>
        </w:rPr>
        <w:t>70O.</w:t>
      </w:r>
      <w:r>
        <w:t xml:space="preserve"> </w:t>
      </w:r>
      <w:r>
        <w:tab/>
        <w:t xml:space="preserve">Repealed by No. 52 of 1995 s. 28.] </w:t>
      </w:r>
    </w:p>
    <w:p>
      <w:pPr>
        <w:pStyle w:val="Heading5"/>
        <w:rPr>
          <w:snapToGrid w:val="0"/>
        </w:rPr>
      </w:pPr>
      <w:bookmarkStart w:id="636" w:name="_Toc520087969"/>
      <w:bookmarkStart w:id="637" w:name="_Toc523620604"/>
      <w:bookmarkStart w:id="638" w:name="_Toc38853756"/>
      <w:bookmarkStart w:id="639" w:name="_Toc124061125"/>
      <w:bookmarkStart w:id="640" w:name="_Toc124139980"/>
      <w:r>
        <w:rPr>
          <w:rStyle w:val="CharSectno"/>
        </w:rPr>
        <w:t>71</w:t>
      </w:r>
      <w:r>
        <w:rPr>
          <w:snapToGrid w:val="0"/>
        </w:rPr>
        <w:t>.</w:t>
      </w:r>
      <w:r>
        <w:rPr>
          <w:snapToGrid w:val="0"/>
        </w:rPr>
        <w:tab/>
        <w:t>Grant of mining lease</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641" w:name="_Toc520087970"/>
      <w:bookmarkStart w:id="642" w:name="_Toc523620605"/>
      <w:bookmarkStart w:id="643" w:name="_Toc38853757"/>
      <w:bookmarkStart w:id="644" w:name="_Toc124061126"/>
      <w:bookmarkStart w:id="645" w:name="_Toc124139981"/>
      <w:r>
        <w:rPr>
          <w:rStyle w:val="CharSectno"/>
        </w:rPr>
        <w:t>72</w:t>
      </w:r>
      <w:r>
        <w:rPr>
          <w:snapToGrid w:val="0"/>
        </w:rPr>
        <w:t>.</w:t>
      </w:r>
      <w:r>
        <w:rPr>
          <w:snapToGrid w:val="0"/>
        </w:rPr>
        <w:tab/>
        <w:t>Person may be granted more than one mining lease</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rPr>
          <w:snapToGrid w:val="0"/>
        </w:rPr>
      </w:pPr>
      <w:bookmarkStart w:id="646" w:name="_Toc520087971"/>
      <w:bookmarkStart w:id="647" w:name="_Toc523620606"/>
      <w:bookmarkStart w:id="648" w:name="_Toc38853758"/>
      <w:bookmarkStart w:id="649" w:name="_Toc124061127"/>
      <w:bookmarkStart w:id="650" w:name="_Toc124139982"/>
      <w:r>
        <w:rPr>
          <w:rStyle w:val="CharSectno"/>
        </w:rPr>
        <w:t>73</w:t>
      </w:r>
      <w:r>
        <w:rPr>
          <w:snapToGrid w:val="0"/>
        </w:rPr>
        <w:t>.</w:t>
      </w:r>
      <w:r>
        <w:rPr>
          <w:snapToGrid w:val="0"/>
        </w:rPr>
        <w:tab/>
        <w:t>Area of mining lease</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The area of land in respect of which any one mining lease may be granted shall not exceed 10 square kilometres.</w:t>
      </w:r>
    </w:p>
    <w:p>
      <w:pPr>
        <w:pStyle w:val="Heading5"/>
        <w:rPr>
          <w:snapToGrid w:val="0"/>
        </w:rPr>
      </w:pPr>
      <w:bookmarkStart w:id="651" w:name="_Toc520087972"/>
      <w:bookmarkStart w:id="652" w:name="_Toc523620607"/>
      <w:bookmarkStart w:id="653" w:name="_Toc38853759"/>
      <w:bookmarkStart w:id="654" w:name="_Toc124061128"/>
      <w:bookmarkStart w:id="655" w:name="_Toc124139983"/>
      <w:r>
        <w:rPr>
          <w:rStyle w:val="CharSectno"/>
        </w:rPr>
        <w:t>74</w:t>
      </w:r>
      <w:r>
        <w:rPr>
          <w:snapToGrid w:val="0"/>
        </w:rPr>
        <w:t>.</w:t>
      </w:r>
      <w:r>
        <w:rPr>
          <w:snapToGrid w:val="0"/>
        </w:rPr>
        <w:tab/>
        <w:t>Application for mining lease</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Footnotesection"/>
      </w:pPr>
      <w:r>
        <w:tab/>
        <w:t xml:space="preserve">[Section 74 amended by No. 100 of 1985 s. 50; No. 37 of 1993 s. 26 and 28(1); No. 58 of 1994 s. 28.] </w:t>
      </w:r>
    </w:p>
    <w:p>
      <w:pPr>
        <w:pStyle w:val="Heading5"/>
        <w:spacing w:before="120"/>
        <w:rPr>
          <w:snapToGrid w:val="0"/>
        </w:rPr>
      </w:pPr>
      <w:bookmarkStart w:id="656" w:name="_Toc520087973"/>
      <w:bookmarkStart w:id="657" w:name="_Toc523620608"/>
      <w:bookmarkStart w:id="658" w:name="_Toc38853760"/>
      <w:bookmarkStart w:id="659" w:name="_Toc124061129"/>
      <w:bookmarkStart w:id="660" w:name="_Toc124139984"/>
      <w:r>
        <w:rPr>
          <w:rStyle w:val="CharSectno"/>
        </w:rPr>
        <w:t>75</w:t>
      </w:r>
      <w:r>
        <w:rPr>
          <w:snapToGrid w:val="0"/>
        </w:rPr>
        <w:t>.</w:t>
      </w:r>
      <w:r>
        <w:rPr>
          <w:snapToGrid w:val="0"/>
        </w:rPr>
        <w:tab/>
        <w:t>Determination of application for mining lease</w:t>
      </w:r>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rPr>
          <w:snapToGrid w:val="0"/>
        </w:rPr>
      </w:pPr>
      <w:r>
        <w:rPr>
          <w:snapToGrid w:val="0"/>
        </w:rPr>
        <w:tab/>
      </w:r>
      <w:r>
        <w:rPr>
          <w:snapToGrid w:val="0"/>
        </w:rPr>
        <w:tab/>
        <w:t>the Minister shall, subject to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Ednotesubsection"/>
      </w:pPr>
      <w:r>
        <w:tab/>
        <w:t>[(8)</w:t>
      </w:r>
      <w:r>
        <w:tab/>
        <w:t xml:space="preserve">repealed] </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Footnotesection"/>
      </w:pPr>
      <w:r>
        <w:tab/>
        <w:t xml:space="preserve">[Section 75 inserted by No. 58 of 1994 s. 29(1); amended by No. 52 of 1995 s. 29; No. 5 of 1997 s. 41(2).] </w:t>
      </w:r>
    </w:p>
    <w:p>
      <w:pPr>
        <w:pStyle w:val="Heading5"/>
        <w:spacing w:before="120"/>
        <w:rPr>
          <w:snapToGrid w:val="0"/>
        </w:rPr>
      </w:pPr>
      <w:bookmarkStart w:id="661" w:name="_Toc520087974"/>
      <w:bookmarkStart w:id="662" w:name="_Toc523620609"/>
      <w:bookmarkStart w:id="663" w:name="_Toc38853761"/>
      <w:bookmarkStart w:id="664" w:name="_Toc124061130"/>
      <w:bookmarkStart w:id="665" w:name="_Toc124139985"/>
      <w:r>
        <w:rPr>
          <w:rStyle w:val="CharSectno"/>
        </w:rPr>
        <w:t>76</w:t>
      </w:r>
      <w:r>
        <w:rPr>
          <w:snapToGrid w:val="0"/>
        </w:rPr>
        <w:t>.</w:t>
      </w:r>
      <w:r>
        <w:rPr>
          <w:snapToGrid w:val="0"/>
        </w:rPr>
        <w:tab/>
        <w:t>Priorities as to mining tenements</w:t>
      </w:r>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pPr>
      <w:r>
        <w:tab/>
        <w:t xml:space="preserve">[Section 76 amended by No. 100 of 1985 s. 52; No. 22 of 1990 s. 23; No. 37 of 1993 s. 12(2).] </w:t>
      </w:r>
    </w:p>
    <w:p>
      <w:pPr>
        <w:pStyle w:val="Ednotesection"/>
        <w:spacing w:before="120"/>
        <w:ind w:left="890" w:hanging="890"/>
      </w:pPr>
      <w:r>
        <w:t>[</w:t>
      </w:r>
      <w:r>
        <w:rPr>
          <w:b/>
        </w:rPr>
        <w:t>77.</w:t>
      </w:r>
      <w:r>
        <w:t xml:space="preserve"> </w:t>
      </w:r>
      <w:r>
        <w:tab/>
      </w:r>
      <w:r>
        <w:tab/>
        <w:t xml:space="preserve">Repealed by No. 122 of 1982 s. 22.] </w:t>
      </w:r>
    </w:p>
    <w:p>
      <w:pPr>
        <w:pStyle w:val="Heading5"/>
        <w:spacing w:before="120"/>
        <w:rPr>
          <w:snapToGrid w:val="0"/>
        </w:rPr>
      </w:pPr>
      <w:bookmarkStart w:id="666" w:name="_Toc520087975"/>
      <w:bookmarkStart w:id="667" w:name="_Toc523620610"/>
      <w:bookmarkStart w:id="668" w:name="_Toc38853762"/>
      <w:bookmarkStart w:id="669" w:name="_Toc124061131"/>
      <w:bookmarkStart w:id="670" w:name="_Toc124139986"/>
      <w:r>
        <w:rPr>
          <w:rStyle w:val="CharSectno"/>
        </w:rPr>
        <w:t>78</w:t>
      </w:r>
      <w:r>
        <w:rPr>
          <w:snapToGrid w:val="0"/>
        </w:rPr>
        <w:t>.</w:t>
      </w:r>
      <w:r>
        <w:rPr>
          <w:snapToGrid w:val="0"/>
        </w:rPr>
        <w:tab/>
        <w:t>Term of leases, options and renewals</w:t>
      </w:r>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spacing w:before="240"/>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spacing w:before="120"/>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78 inserted by No. 100 of 1985 s. 53; amended by No. 1 of 1986 s. 5; No. 57 of 1997 s. 89(3); No. 17 of 1999 s. 14.] </w:t>
      </w:r>
    </w:p>
    <w:p>
      <w:pPr>
        <w:pStyle w:val="Heading5"/>
        <w:spacing w:before="120"/>
        <w:rPr>
          <w:snapToGrid w:val="0"/>
        </w:rPr>
      </w:pPr>
      <w:bookmarkStart w:id="671" w:name="_Toc520087976"/>
      <w:bookmarkStart w:id="672" w:name="_Toc523620611"/>
      <w:bookmarkStart w:id="673" w:name="_Toc38853763"/>
      <w:bookmarkStart w:id="674" w:name="_Toc124061132"/>
      <w:bookmarkStart w:id="675" w:name="_Toc124139987"/>
      <w:r>
        <w:rPr>
          <w:rStyle w:val="CharSectno"/>
        </w:rPr>
        <w:t>79</w:t>
      </w:r>
      <w:r>
        <w:rPr>
          <w:snapToGrid w:val="0"/>
        </w:rPr>
        <w:t>.</w:t>
      </w:r>
      <w:r>
        <w:rPr>
          <w:snapToGrid w:val="0"/>
        </w:rPr>
        <w:tab/>
        <w:t>Approval of application</w:t>
      </w:r>
      <w:bookmarkEnd w:id="671"/>
      <w:bookmarkEnd w:id="672"/>
      <w:bookmarkEnd w:id="673"/>
      <w:bookmarkEnd w:id="674"/>
      <w:bookmarkEnd w:id="675"/>
      <w:r>
        <w:rPr>
          <w:snapToGrid w:val="0"/>
        </w:rPr>
        <w:t xml:space="preserve"> </w:t>
      </w:r>
    </w:p>
    <w:p>
      <w:pPr>
        <w:pStyle w:val="Subsection"/>
        <w:spacing w:before="10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spacing w:before="100"/>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spacing w:before="120"/>
        <w:rPr>
          <w:snapToGrid w:val="0"/>
        </w:rPr>
      </w:pPr>
      <w:bookmarkStart w:id="676" w:name="_Toc520087977"/>
      <w:bookmarkStart w:id="677" w:name="_Toc523620612"/>
      <w:bookmarkStart w:id="678" w:name="_Toc38853764"/>
      <w:bookmarkStart w:id="679" w:name="_Toc124061133"/>
      <w:bookmarkStart w:id="680" w:name="_Toc124139988"/>
      <w:r>
        <w:rPr>
          <w:rStyle w:val="CharSectno"/>
        </w:rPr>
        <w:t>80</w:t>
      </w:r>
      <w:r>
        <w:rPr>
          <w:snapToGrid w:val="0"/>
        </w:rPr>
        <w:t>.</w:t>
      </w:r>
      <w:r>
        <w:rPr>
          <w:snapToGrid w:val="0"/>
        </w:rPr>
        <w:tab/>
        <w:t>Surveys of mining leases</w:t>
      </w:r>
      <w:bookmarkEnd w:id="676"/>
      <w:bookmarkEnd w:id="677"/>
      <w:bookmarkEnd w:id="678"/>
      <w:bookmarkEnd w:id="679"/>
      <w:bookmarkEnd w:id="680"/>
      <w:r>
        <w:rPr>
          <w:snapToGrid w:val="0"/>
        </w:rPr>
        <w:t xml:space="preserve"> </w:t>
      </w:r>
    </w:p>
    <w:p>
      <w:pPr>
        <w:pStyle w:val="Subsection"/>
        <w:spacing w:before="100"/>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pPr>
      <w:r>
        <w:tab/>
        <w:t xml:space="preserve">[Section 80 inserted by No. 100 of 1985 s. 54; amended by No. 37 of 1993 s. 28(1).] </w:t>
      </w:r>
    </w:p>
    <w:p>
      <w:pPr>
        <w:pStyle w:val="Ednotesection"/>
      </w:pPr>
      <w:r>
        <w:t>[</w:t>
      </w:r>
      <w:r>
        <w:rPr>
          <w:b/>
        </w:rPr>
        <w:t xml:space="preserve">81. </w:t>
      </w:r>
      <w:r>
        <w:rPr>
          <w:b/>
        </w:rPr>
        <w:tab/>
      </w:r>
      <w:r>
        <w:tab/>
        <w:t xml:space="preserve">Repealed by No. 100 of 1985 s. 55.] </w:t>
      </w:r>
    </w:p>
    <w:p>
      <w:pPr>
        <w:pStyle w:val="Heading5"/>
        <w:spacing w:before="120"/>
        <w:rPr>
          <w:snapToGrid w:val="0"/>
        </w:rPr>
      </w:pPr>
      <w:bookmarkStart w:id="681" w:name="_Toc520087978"/>
      <w:bookmarkStart w:id="682" w:name="_Toc523620613"/>
      <w:bookmarkStart w:id="683" w:name="_Toc38853765"/>
      <w:bookmarkStart w:id="684" w:name="_Toc124061134"/>
      <w:bookmarkStart w:id="685" w:name="_Toc124139989"/>
      <w:r>
        <w:rPr>
          <w:rStyle w:val="CharSectno"/>
        </w:rPr>
        <w:t>82</w:t>
      </w:r>
      <w:r>
        <w:rPr>
          <w:snapToGrid w:val="0"/>
        </w:rPr>
        <w:t>.</w:t>
      </w:r>
      <w:r>
        <w:rPr>
          <w:snapToGrid w:val="0"/>
        </w:rPr>
        <w:tab/>
        <w:t>Covenants and conditions of lease</w:t>
      </w:r>
      <w:bookmarkEnd w:id="681"/>
      <w:bookmarkEnd w:id="682"/>
      <w:bookmarkEnd w:id="683"/>
      <w:bookmarkEnd w:id="684"/>
      <w:bookmarkEnd w:id="685"/>
      <w:r>
        <w:rPr>
          <w:snapToGrid w:val="0"/>
        </w:rPr>
        <w:t xml:space="preserve"> </w:t>
      </w:r>
    </w:p>
    <w:p>
      <w:pPr>
        <w:pStyle w:val="Subsection"/>
        <w:spacing w:before="100"/>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spacing w:before="60"/>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spacing w:before="60"/>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spacing w:before="60"/>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spacing w:before="60"/>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60"/>
        <w:rPr>
          <w:snapToGrid w:val="0"/>
        </w:rPr>
      </w:pPr>
      <w:r>
        <w:rPr>
          <w:snapToGrid w:val="0"/>
        </w:rPr>
        <w:tab/>
        <w:t>(e)</w:t>
      </w:r>
      <w:r>
        <w:rPr>
          <w:snapToGrid w:val="0"/>
        </w:rPr>
        <w:tab/>
        <w:t>lodge with the Department at Perth such periodical reports and returns as may be prescribed;</w:t>
      </w:r>
    </w:p>
    <w:p>
      <w:pPr>
        <w:pStyle w:val="Indenta"/>
        <w:spacing w:before="6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84A(1) in relation to the lease or if a report required under paragraph (e) or section 115A in relation to the land the subject of the lease is not filed in accordance with this Act.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spacing w:before="120"/>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pPr>
      <w:r>
        <w:tab/>
        <w:t xml:space="preserve">[Section 82 amended by No. 100 of 1985 s. 56; No. 22 of 1990 s. 38; No. 37 of 1993 s. 28(1); No. 58 of 1994 s. 30; No. 17 of 1999 s. 15(2); No. 15 of 2002 s. 28.] </w:t>
      </w:r>
    </w:p>
    <w:p>
      <w:pPr>
        <w:pStyle w:val="Heading5"/>
        <w:spacing w:before="120"/>
        <w:rPr>
          <w:snapToGrid w:val="0"/>
        </w:rPr>
      </w:pPr>
      <w:bookmarkStart w:id="686" w:name="_Toc520087979"/>
      <w:bookmarkStart w:id="687" w:name="_Toc523620614"/>
      <w:bookmarkStart w:id="688" w:name="_Toc38853766"/>
      <w:bookmarkStart w:id="689" w:name="_Toc124061135"/>
      <w:bookmarkStart w:id="690" w:name="_Toc124139990"/>
      <w:r>
        <w:rPr>
          <w:rStyle w:val="CharSectno"/>
        </w:rPr>
        <w:t>83</w:t>
      </w:r>
      <w:r>
        <w:rPr>
          <w:snapToGrid w:val="0"/>
        </w:rPr>
        <w:t>.</w:t>
      </w:r>
      <w:r>
        <w:rPr>
          <w:snapToGrid w:val="0"/>
        </w:rPr>
        <w:tab/>
        <w:t>Issue of mining leases</w:t>
      </w:r>
      <w:bookmarkEnd w:id="686"/>
      <w:bookmarkEnd w:id="687"/>
      <w:bookmarkEnd w:id="688"/>
      <w:bookmarkEnd w:id="689"/>
      <w:bookmarkEnd w:id="690"/>
      <w:r>
        <w:rPr>
          <w:snapToGrid w:val="0"/>
        </w:rPr>
        <w:t xml:space="preserve"> </w:t>
      </w:r>
    </w:p>
    <w:p>
      <w:pPr>
        <w:pStyle w:val="Subsection"/>
        <w:keepNext/>
        <w:spacing w:before="120"/>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spacing w:before="120"/>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pPr>
      <w:r>
        <w:tab/>
        <w:t xml:space="preserve">[Section 83 amended by No. 37 of 1993 s. 11.] </w:t>
      </w:r>
    </w:p>
    <w:p>
      <w:pPr>
        <w:pStyle w:val="Heading5"/>
        <w:rPr>
          <w:snapToGrid w:val="0"/>
        </w:rPr>
      </w:pPr>
      <w:bookmarkStart w:id="691" w:name="_Toc520087980"/>
      <w:bookmarkStart w:id="692" w:name="_Toc523620615"/>
      <w:bookmarkStart w:id="693" w:name="_Toc38853767"/>
      <w:bookmarkStart w:id="694" w:name="_Toc124061136"/>
      <w:bookmarkStart w:id="695" w:name="_Toc124139991"/>
      <w:r>
        <w:rPr>
          <w:rStyle w:val="CharSectno"/>
        </w:rPr>
        <w:t>84</w:t>
      </w:r>
      <w:r>
        <w:rPr>
          <w:snapToGrid w:val="0"/>
        </w:rPr>
        <w:t>.</w:t>
      </w:r>
      <w:r>
        <w:rPr>
          <w:snapToGrid w:val="0"/>
        </w:rPr>
        <w:tab/>
        <w:t>Conditions for prevention or reduction of injury to land</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rPr>
          <w:snapToGrid w:val="0"/>
        </w:rPr>
      </w:pPr>
      <w:r>
        <w:rPr>
          <w:snapToGrid w:val="0"/>
        </w:rPr>
        <w:tab/>
        <w:t>(3)</w:t>
      </w:r>
      <w:r>
        <w:rPr>
          <w:snapToGrid w:val="0"/>
        </w:rPr>
        <w:tab/>
        <w:t>Any condition imposed under this section may at any time be cancelled by the Minister or from time to time varied by him.</w:t>
      </w:r>
    </w:p>
    <w:p>
      <w:pPr>
        <w:pStyle w:val="Subsection"/>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pPr>
      <w:r>
        <w:tab/>
        <w:t xml:space="preserve">[Section 84 amended by No. 100 of 1985 s. 57.] </w:t>
      </w:r>
    </w:p>
    <w:p>
      <w:pPr>
        <w:pStyle w:val="Heading5"/>
        <w:rPr>
          <w:snapToGrid w:val="0"/>
        </w:rPr>
      </w:pPr>
      <w:bookmarkStart w:id="696" w:name="_Toc520087981"/>
      <w:bookmarkStart w:id="697" w:name="_Toc523620616"/>
      <w:bookmarkStart w:id="698" w:name="_Toc38853768"/>
      <w:bookmarkStart w:id="699" w:name="_Toc124061137"/>
      <w:bookmarkStart w:id="700" w:name="_Toc124139992"/>
      <w:r>
        <w:rPr>
          <w:rStyle w:val="CharSectno"/>
        </w:rPr>
        <w:t>84A</w:t>
      </w:r>
      <w:r>
        <w:rPr>
          <w:snapToGrid w:val="0"/>
        </w:rPr>
        <w:t>.</w:t>
      </w:r>
      <w:r>
        <w:rPr>
          <w:snapToGrid w:val="0"/>
        </w:rPr>
        <w:tab/>
        <w:t>Security relating to mining lease</w:t>
      </w:r>
      <w:bookmarkEnd w:id="696"/>
      <w:bookmarkEnd w:id="697"/>
      <w:bookmarkEnd w:id="698"/>
      <w:bookmarkEnd w:id="699"/>
      <w:bookmarkEnd w:id="700"/>
    </w:p>
    <w:p>
      <w:pPr>
        <w:pStyle w:val="Subsection"/>
      </w:pPr>
      <w:r>
        <w:tab/>
        <w:t>(1)</w:t>
      </w:r>
      <w:r>
        <w:tab/>
        <w:t>The Minister may require the holder of a mining lease to lodge at the office of the mining registrar or the Department at Perth, within such period as the Minister specifies in writing, a security for compliance with conditions imposed in relation to the lease under section 84.</w:t>
      </w:r>
    </w:p>
    <w:p>
      <w:pPr>
        <w:pStyle w:val="Subsection"/>
      </w:pPr>
      <w:r>
        <w:tab/>
        <w:t>(2)</w:t>
      </w:r>
      <w:r>
        <w:tab/>
        <w:t>A security referred to in subsection (1) shall be in accordance with and subject to section 126.</w:t>
      </w:r>
    </w:p>
    <w:p>
      <w:pPr>
        <w:pStyle w:val="Footnotesection"/>
      </w:pPr>
      <w:r>
        <w:tab/>
        <w:t>[Section 84A inserted by No. 17 of 1999 s. 15(1).]</w:t>
      </w:r>
    </w:p>
    <w:p>
      <w:pPr>
        <w:pStyle w:val="Heading5"/>
        <w:rPr>
          <w:snapToGrid w:val="0"/>
        </w:rPr>
      </w:pPr>
      <w:bookmarkStart w:id="701" w:name="_Toc520087982"/>
      <w:bookmarkStart w:id="702" w:name="_Toc523620617"/>
      <w:bookmarkStart w:id="703" w:name="_Toc38853769"/>
      <w:bookmarkStart w:id="704" w:name="_Toc124061138"/>
      <w:bookmarkStart w:id="705" w:name="_Toc124139993"/>
      <w:r>
        <w:rPr>
          <w:rStyle w:val="CharSectno"/>
        </w:rPr>
        <w:t>85</w:t>
      </w:r>
      <w:r>
        <w:rPr>
          <w:snapToGrid w:val="0"/>
        </w:rPr>
        <w:t>.</w:t>
      </w:r>
      <w:r>
        <w:rPr>
          <w:snapToGrid w:val="0"/>
        </w:rPr>
        <w:tab/>
        <w:t>Rights of holder of mining lease</w:t>
      </w:r>
      <w:bookmarkEnd w:id="701"/>
      <w:bookmarkEnd w:id="702"/>
      <w:bookmarkEnd w:id="703"/>
      <w:bookmarkEnd w:id="704"/>
      <w:bookmarkEnd w:id="705"/>
      <w:r>
        <w:rPr>
          <w:snapToGrid w:val="0"/>
        </w:rPr>
        <w:t xml:space="preserve"> </w:t>
      </w:r>
    </w:p>
    <w:p>
      <w:pPr>
        <w:pStyle w:val="Subsection"/>
        <w:keepNext/>
        <w:rPr>
          <w:snapToGrid w:val="0"/>
        </w:rPr>
      </w:pPr>
      <w:r>
        <w:rPr>
          <w:snapToGrid w:val="0"/>
        </w:rPr>
        <w:tab/>
        <w:t>(1)</w:t>
      </w:r>
      <w:r>
        <w:rPr>
          <w:snapToGrid w:val="0"/>
        </w:rPr>
        <w:tab/>
        <w:t>Subject to this Act,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pPr>
      <w:r>
        <w:tab/>
        <w:t xml:space="preserve">[Section 85 amended by No. 100 of 1985 s. 58.] </w:t>
      </w:r>
    </w:p>
    <w:p>
      <w:pPr>
        <w:pStyle w:val="Heading5"/>
        <w:rPr>
          <w:snapToGrid w:val="0"/>
        </w:rPr>
      </w:pPr>
      <w:bookmarkStart w:id="706" w:name="_Toc520087983"/>
      <w:bookmarkStart w:id="707" w:name="_Toc523620618"/>
      <w:bookmarkStart w:id="708" w:name="_Toc38853770"/>
      <w:bookmarkStart w:id="709" w:name="_Toc124061139"/>
      <w:bookmarkStart w:id="710" w:name="_Toc124139994"/>
      <w:r>
        <w:rPr>
          <w:rStyle w:val="CharSectno"/>
        </w:rPr>
        <w:t>85A</w:t>
      </w:r>
      <w:r>
        <w:rPr>
          <w:snapToGrid w:val="0"/>
        </w:rPr>
        <w:t>.</w:t>
      </w:r>
      <w:r>
        <w:rPr>
          <w:snapToGrid w:val="0"/>
        </w:rPr>
        <w:tab/>
        <w:t>Land the subject of mining lease not to be again marked out for a certain period</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pPr>
      <w:r>
        <w:tab/>
        <w:t xml:space="preserve">[Section 85A inserted by No. 37 of 1993 s. 12(1); amended by No. 15 of 2002 s. 16.] </w:t>
      </w:r>
    </w:p>
    <w:p>
      <w:pPr>
        <w:pStyle w:val="Heading5"/>
        <w:rPr>
          <w:snapToGrid w:val="0"/>
        </w:rPr>
      </w:pPr>
      <w:bookmarkStart w:id="711" w:name="_Toc520087984"/>
      <w:bookmarkStart w:id="712" w:name="_Toc523620619"/>
      <w:bookmarkStart w:id="713" w:name="_Toc38853771"/>
      <w:bookmarkStart w:id="714" w:name="_Toc124061140"/>
      <w:bookmarkStart w:id="715" w:name="_Toc124139995"/>
      <w:r>
        <w:rPr>
          <w:rStyle w:val="CharSectno"/>
        </w:rPr>
        <w:t>85B</w:t>
      </w:r>
      <w:r>
        <w:rPr>
          <w:snapToGrid w:val="0"/>
        </w:rPr>
        <w:t>.</w:t>
      </w:r>
      <w:r>
        <w:rPr>
          <w:snapToGrid w:val="0"/>
          <w:vertAlign w:val="superscript"/>
        </w:rPr>
        <w:tab/>
      </w:r>
      <w:r>
        <w:rPr>
          <w:snapToGrid w:val="0"/>
        </w:rPr>
        <w:t>Special prospecting licence on a mining lease</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 </w:t>
      </w:r>
    </w:p>
    <w:p>
      <w:pPr>
        <w:pStyle w:val="Indenti"/>
        <w:spacing w:before="120"/>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spacing w:before="120"/>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spacing w:before="120"/>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spacing w:before="120"/>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rPr>
          <w:snapToGrid w:val="0"/>
        </w:rPr>
      </w:pPr>
      <w:r>
        <w:rPr>
          <w:snapToGrid w:val="0"/>
        </w:rPr>
        <w:tab/>
        <w:t>(5)</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of the land the subject of a special prospecting licence,</w:t>
      </w:r>
    </w:p>
    <w:p>
      <w:pPr>
        <w:pStyle w:val="Subsection"/>
        <w:spacing w:before="1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3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if — </w:t>
      </w:r>
    </w:p>
    <w:p>
      <w:pPr>
        <w:pStyle w:val="Indenta"/>
        <w:rPr>
          <w:snapToGrid w:val="0"/>
        </w:rPr>
      </w:pPr>
      <w:r>
        <w:rPr>
          <w:snapToGrid w:val="0"/>
        </w:rPr>
        <w:tab/>
        <w:t>(a)</w:t>
      </w:r>
      <w:r>
        <w:rPr>
          <w:snapToGrid w:val="0"/>
        </w:rPr>
        <w:tab/>
        <w:t>after being served with the prescribed notice of that application, the holder of the primary tenement does not lodge an objection against that application; or</w:t>
      </w:r>
    </w:p>
    <w:p>
      <w:pPr>
        <w:pStyle w:val="Indenta"/>
        <w:rPr>
          <w:snapToGrid w:val="0"/>
        </w:rPr>
      </w:pPr>
      <w:r>
        <w:rPr>
          <w:snapToGrid w:val="0"/>
        </w:rPr>
        <w:tab/>
        <w:t>(b)</w:t>
      </w:r>
      <w:r>
        <w:rPr>
          <w:snapToGrid w:val="0"/>
        </w:rPr>
        <w:tab/>
        <w:t>it is proved to the satisfaction of the Minister by a report from the Director, Geological Survey, that gold exists in payable quantities on or in the land to which that application relates,</w:t>
      </w:r>
    </w:p>
    <w:p>
      <w:pPr>
        <w:pStyle w:val="Subsection"/>
        <w:rPr>
          <w:snapToGrid w:val="0"/>
        </w:rPr>
      </w:pPr>
      <w:r>
        <w:rPr>
          <w:snapToGrid w:val="0"/>
        </w:rPr>
        <w:tab/>
      </w:r>
      <w:r>
        <w:rPr>
          <w:snapToGrid w:val="0"/>
        </w:rPr>
        <w:tab/>
        <w:t>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85B inserted by No. 37 of 1993 s. 12(1); amended by No. 58 of 1994 s. 31; No. 54 of 1996 s. 13 and 23; No. 10 of 2001 s. 134; No. 15 of 2002 s. 17.] </w:t>
      </w:r>
    </w:p>
    <w:p>
      <w:pPr>
        <w:pStyle w:val="Heading3"/>
        <w:rPr>
          <w:snapToGrid w:val="0"/>
        </w:rPr>
      </w:pPr>
      <w:bookmarkStart w:id="716" w:name="_Toc87427650"/>
      <w:bookmarkStart w:id="717" w:name="_Toc87851225"/>
      <w:bookmarkStart w:id="718" w:name="_Toc88295448"/>
      <w:bookmarkStart w:id="719" w:name="_Toc89519107"/>
      <w:bookmarkStart w:id="720" w:name="_Toc90869232"/>
      <w:bookmarkStart w:id="721" w:name="_Toc91408004"/>
      <w:bookmarkStart w:id="722" w:name="_Toc92863748"/>
      <w:bookmarkStart w:id="723" w:name="_Toc95015116"/>
      <w:bookmarkStart w:id="724" w:name="_Toc95106823"/>
      <w:bookmarkStart w:id="725" w:name="_Toc97018623"/>
      <w:bookmarkStart w:id="726" w:name="_Toc101693576"/>
      <w:bookmarkStart w:id="727" w:name="_Toc103130446"/>
      <w:bookmarkStart w:id="728" w:name="_Toc104711096"/>
      <w:bookmarkStart w:id="729" w:name="_Toc121560081"/>
      <w:bookmarkStart w:id="730" w:name="_Toc122328522"/>
      <w:bookmarkStart w:id="731" w:name="_Toc124061141"/>
      <w:bookmarkStart w:id="732" w:name="_Toc124139996"/>
      <w:r>
        <w:rPr>
          <w:rStyle w:val="CharDivNo"/>
        </w:rPr>
        <w:t>Division 4</w:t>
      </w:r>
      <w:r>
        <w:rPr>
          <w:snapToGrid w:val="0"/>
        </w:rPr>
        <w:t> — </w:t>
      </w:r>
      <w:r>
        <w:rPr>
          <w:rStyle w:val="CharDivText"/>
        </w:rPr>
        <w:t>General purpose lease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Ednotesection"/>
      </w:pPr>
      <w:r>
        <w:t>[</w:t>
      </w:r>
      <w:r>
        <w:rPr>
          <w:b/>
        </w:rPr>
        <w:t>85C.</w:t>
      </w:r>
      <w:r>
        <w:t xml:space="preserve"> </w:t>
      </w:r>
      <w:r>
        <w:tab/>
        <w:t xml:space="preserve">Repealed by No. 52 of 1995 s. 30.] </w:t>
      </w:r>
    </w:p>
    <w:p>
      <w:pPr>
        <w:pStyle w:val="Heading5"/>
        <w:rPr>
          <w:snapToGrid w:val="0"/>
        </w:rPr>
      </w:pPr>
      <w:bookmarkStart w:id="733" w:name="_Toc520087985"/>
      <w:bookmarkStart w:id="734" w:name="_Toc523620620"/>
      <w:bookmarkStart w:id="735" w:name="_Toc38853772"/>
      <w:bookmarkStart w:id="736" w:name="_Toc124061142"/>
      <w:bookmarkStart w:id="737" w:name="_Toc124139997"/>
      <w:r>
        <w:rPr>
          <w:rStyle w:val="CharSectno"/>
        </w:rPr>
        <w:t>86</w:t>
      </w:r>
      <w:r>
        <w:rPr>
          <w:snapToGrid w:val="0"/>
        </w:rPr>
        <w:t>.</w:t>
      </w:r>
      <w:r>
        <w:rPr>
          <w:snapToGrid w:val="0"/>
        </w:rPr>
        <w:tab/>
        <w:t>Grant of general purpose lease</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keepNext/>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pPr>
      <w:r>
        <w:tab/>
        <w:t xml:space="preserve">[Section 86 amended by No. 100 of 1985 s. 59; No. 58 of 1994 s. 32; No. 17 of 1999 s. 16.] </w:t>
      </w:r>
    </w:p>
    <w:p>
      <w:pPr>
        <w:pStyle w:val="Heading5"/>
        <w:rPr>
          <w:snapToGrid w:val="0"/>
        </w:rPr>
      </w:pPr>
      <w:bookmarkStart w:id="738" w:name="_Toc520087986"/>
      <w:bookmarkStart w:id="739" w:name="_Toc523620621"/>
      <w:bookmarkStart w:id="740" w:name="_Toc38853773"/>
      <w:bookmarkStart w:id="741" w:name="_Toc124061143"/>
      <w:bookmarkStart w:id="742" w:name="_Toc124139998"/>
      <w:r>
        <w:rPr>
          <w:rStyle w:val="CharSectno"/>
        </w:rPr>
        <w:t>87</w:t>
      </w:r>
      <w:r>
        <w:rPr>
          <w:snapToGrid w:val="0"/>
        </w:rPr>
        <w:t>.</w:t>
      </w:r>
      <w:r>
        <w:rPr>
          <w:snapToGrid w:val="0"/>
        </w:rPr>
        <w:tab/>
        <w:t>Purposes for which general purpose lease may be granted</w:t>
      </w:r>
      <w:bookmarkEnd w:id="738"/>
      <w:bookmarkEnd w:id="739"/>
      <w:bookmarkEnd w:id="740"/>
      <w:bookmarkEnd w:id="741"/>
      <w:bookmarkEnd w:id="742"/>
      <w:r>
        <w:rPr>
          <w:snapToGrid w:val="0"/>
        </w:rPr>
        <w:t xml:space="preserve"> </w:t>
      </w:r>
    </w:p>
    <w:p>
      <w:pPr>
        <w:pStyle w:val="Subsection"/>
        <w:spacing w:before="120"/>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spacing w:before="120"/>
        <w:rPr>
          <w:snapToGrid w:val="0"/>
        </w:rPr>
      </w:pPr>
      <w:r>
        <w:rPr>
          <w:snapToGrid w:val="0"/>
        </w:rPr>
        <w:tab/>
        <w:t>(2)</w:t>
      </w:r>
      <w:r>
        <w:rPr>
          <w:snapToGrid w:val="0"/>
        </w:rPr>
        <w:tab/>
        <w:t>The purpose or purposes for which a general purpose lease is granted shall be specified in the lease.</w:t>
      </w:r>
    </w:p>
    <w:p>
      <w:pPr>
        <w:pStyle w:val="Footnotesection"/>
      </w:pPr>
      <w:r>
        <w:tab/>
        <w:t xml:space="preserve">[Section 87 amended by No. 100 of 1985 s. 60.] </w:t>
      </w:r>
    </w:p>
    <w:p>
      <w:pPr>
        <w:pStyle w:val="Heading5"/>
        <w:spacing w:before="120"/>
        <w:rPr>
          <w:snapToGrid w:val="0"/>
        </w:rPr>
      </w:pPr>
      <w:bookmarkStart w:id="743" w:name="_Toc520087987"/>
      <w:bookmarkStart w:id="744" w:name="_Toc523620622"/>
      <w:bookmarkStart w:id="745" w:name="_Toc38853774"/>
      <w:bookmarkStart w:id="746" w:name="_Toc124061144"/>
      <w:bookmarkStart w:id="747" w:name="_Toc124139999"/>
      <w:r>
        <w:rPr>
          <w:rStyle w:val="CharSectno"/>
        </w:rPr>
        <w:t>88</w:t>
      </w:r>
      <w:r>
        <w:rPr>
          <w:snapToGrid w:val="0"/>
        </w:rPr>
        <w:t>.</w:t>
      </w:r>
      <w:r>
        <w:rPr>
          <w:snapToGrid w:val="0"/>
        </w:rPr>
        <w:tab/>
        <w:t>Term of general purpose lease</w:t>
      </w:r>
      <w:bookmarkEnd w:id="743"/>
      <w:bookmarkEnd w:id="744"/>
      <w:bookmarkEnd w:id="745"/>
      <w:bookmarkEnd w:id="746"/>
      <w:bookmarkEnd w:id="747"/>
      <w:r>
        <w:rPr>
          <w:snapToGrid w:val="0"/>
        </w:rPr>
        <w:t xml:space="preserve"> </w:t>
      </w:r>
    </w:p>
    <w:p>
      <w:pPr>
        <w:pStyle w:val="Subsection"/>
        <w:keepNext/>
        <w:spacing w:before="120"/>
        <w:rPr>
          <w:snapToGrid w:val="0"/>
        </w:rPr>
      </w:pPr>
      <w:r>
        <w:rPr>
          <w:snapToGrid w:val="0"/>
        </w:rPr>
        <w:tab/>
        <w:t>(1)</w:t>
      </w:r>
      <w:r>
        <w:rPr>
          <w:snapToGrid w:val="0"/>
        </w:rPr>
        <w:tab/>
        <w:t>Subject to this Act, a general purpose lease remains in force — </w:t>
      </w:r>
    </w:p>
    <w:p>
      <w:pPr>
        <w:pStyle w:val="Indenta"/>
        <w:spacing w:before="60"/>
        <w:rPr>
          <w:snapToGrid w:val="0"/>
        </w:rPr>
      </w:pPr>
      <w:r>
        <w:rPr>
          <w:snapToGrid w:val="0"/>
        </w:rPr>
        <w:tab/>
        <w:t>(a)</w:t>
      </w:r>
      <w:r>
        <w:rPr>
          <w:snapToGrid w:val="0"/>
        </w:rPr>
        <w:tab/>
        <w:t>where it is granted in relation to a particular mining lease and contains no other provision for expiry, until —</w:t>
      </w:r>
    </w:p>
    <w:p>
      <w:pPr>
        <w:pStyle w:val="Indenti"/>
        <w:spacing w:before="60"/>
        <w:rPr>
          <w:snapToGrid w:val="0"/>
        </w:rPr>
      </w:pPr>
      <w:r>
        <w:rPr>
          <w:snapToGrid w:val="0"/>
        </w:rPr>
        <w:tab/>
        <w:t>(i)</w:t>
      </w:r>
      <w:r>
        <w:rPr>
          <w:snapToGrid w:val="0"/>
        </w:rPr>
        <w:tab/>
        <w:t>it is surrendered or forfeited; or</w:t>
      </w:r>
    </w:p>
    <w:p>
      <w:pPr>
        <w:pStyle w:val="Indenti"/>
        <w:spacing w:before="60"/>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88 inserted by No. 100 of 1985 s. 61; amended by No. 105 of 1986 s. 11; No. 12 of 1987 s. 6; No. 17 of 1999 s. 17.] </w:t>
      </w:r>
    </w:p>
    <w:p>
      <w:pPr>
        <w:pStyle w:val="Heading5"/>
        <w:rPr>
          <w:snapToGrid w:val="0"/>
        </w:rPr>
      </w:pPr>
      <w:bookmarkStart w:id="748" w:name="_Toc520087988"/>
      <w:bookmarkStart w:id="749" w:name="_Toc523620623"/>
      <w:bookmarkStart w:id="750" w:name="_Toc38853775"/>
      <w:bookmarkStart w:id="751" w:name="_Toc124061145"/>
      <w:bookmarkStart w:id="752" w:name="_Toc124140000"/>
      <w:r>
        <w:rPr>
          <w:rStyle w:val="CharSectno"/>
        </w:rPr>
        <w:t>89</w:t>
      </w:r>
      <w:r>
        <w:rPr>
          <w:snapToGrid w:val="0"/>
        </w:rPr>
        <w:t>.</w:t>
      </w:r>
      <w:r>
        <w:rPr>
          <w:snapToGrid w:val="0"/>
        </w:rPr>
        <w:tab/>
        <w:t>Form of general purpose lease</w:t>
      </w:r>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rPr>
          <w:snapToGrid w:val="0"/>
        </w:rPr>
      </w:pPr>
      <w:bookmarkStart w:id="753" w:name="_Toc520087989"/>
      <w:bookmarkStart w:id="754" w:name="_Toc523620624"/>
      <w:bookmarkStart w:id="755" w:name="_Toc38853776"/>
      <w:bookmarkStart w:id="756" w:name="_Toc124061146"/>
      <w:bookmarkStart w:id="757" w:name="_Toc124140001"/>
      <w:r>
        <w:rPr>
          <w:rStyle w:val="CharSectno"/>
        </w:rPr>
        <w:t>90</w:t>
      </w:r>
      <w:r>
        <w:rPr>
          <w:snapToGrid w:val="0"/>
        </w:rPr>
        <w:t>.</w:t>
      </w:r>
      <w:r>
        <w:rPr>
          <w:snapToGrid w:val="0"/>
        </w:rPr>
        <w:tab/>
        <w:t>Certain provisions apply to general purpose leases</w:t>
      </w:r>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The provisions of sections 74, 75, 76, 79, 80, 83, 84, 84A, 104 and 105, with such modifications as the circumstances require, apply to and in relation to a general purpose lease.</w:t>
      </w:r>
    </w:p>
    <w:p>
      <w:pPr>
        <w:pStyle w:val="Footnotesection"/>
      </w:pPr>
      <w:r>
        <w:tab/>
        <w:t xml:space="preserve">[Section 90 amended by No. 52 of 1983 s. 4; No. 54 of 1996 s. 23; No. 17 of 1999 s. 18.] </w:t>
      </w:r>
    </w:p>
    <w:p>
      <w:pPr>
        <w:pStyle w:val="Heading3"/>
        <w:rPr>
          <w:snapToGrid w:val="0"/>
        </w:rPr>
      </w:pPr>
      <w:bookmarkStart w:id="758" w:name="_Toc87427656"/>
      <w:bookmarkStart w:id="759" w:name="_Toc87851231"/>
      <w:bookmarkStart w:id="760" w:name="_Toc88295454"/>
      <w:bookmarkStart w:id="761" w:name="_Toc89519113"/>
      <w:bookmarkStart w:id="762" w:name="_Toc90869238"/>
      <w:bookmarkStart w:id="763" w:name="_Toc91408010"/>
      <w:bookmarkStart w:id="764" w:name="_Toc92863754"/>
      <w:bookmarkStart w:id="765" w:name="_Toc95015122"/>
      <w:bookmarkStart w:id="766" w:name="_Toc95106829"/>
      <w:bookmarkStart w:id="767" w:name="_Toc97018629"/>
      <w:bookmarkStart w:id="768" w:name="_Toc101693582"/>
      <w:bookmarkStart w:id="769" w:name="_Toc103130452"/>
      <w:bookmarkStart w:id="770" w:name="_Toc104711102"/>
      <w:bookmarkStart w:id="771" w:name="_Toc121560087"/>
      <w:bookmarkStart w:id="772" w:name="_Toc122328528"/>
      <w:bookmarkStart w:id="773" w:name="_Toc124061147"/>
      <w:bookmarkStart w:id="774" w:name="_Toc124140002"/>
      <w:r>
        <w:rPr>
          <w:rStyle w:val="CharDivNo"/>
        </w:rPr>
        <w:t>Division 5</w:t>
      </w:r>
      <w:r>
        <w:rPr>
          <w:snapToGrid w:val="0"/>
        </w:rPr>
        <w:t> — </w:t>
      </w:r>
      <w:r>
        <w:rPr>
          <w:rStyle w:val="CharDivText"/>
        </w:rPr>
        <w:t>Miscellaneous licences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Ednotesection"/>
      </w:pPr>
      <w:r>
        <w:t>[</w:t>
      </w:r>
      <w:r>
        <w:rPr>
          <w:b/>
        </w:rPr>
        <w:t xml:space="preserve">90A. </w:t>
      </w:r>
      <w:r>
        <w:rPr>
          <w:b/>
        </w:rPr>
        <w:tab/>
      </w:r>
      <w:r>
        <w:t xml:space="preserve">Repealed by No. 52 of 1995 s. 31.] </w:t>
      </w:r>
    </w:p>
    <w:p>
      <w:pPr>
        <w:pStyle w:val="Heading5"/>
        <w:rPr>
          <w:snapToGrid w:val="0"/>
        </w:rPr>
      </w:pPr>
      <w:bookmarkStart w:id="775" w:name="_Toc520087990"/>
      <w:bookmarkStart w:id="776" w:name="_Toc523620625"/>
      <w:bookmarkStart w:id="777" w:name="_Toc38853777"/>
      <w:bookmarkStart w:id="778" w:name="_Toc124061148"/>
      <w:bookmarkStart w:id="779" w:name="_Toc124140003"/>
      <w:r>
        <w:rPr>
          <w:rStyle w:val="CharSectno"/>
        </w:rPr>
        <w:t>91</w:t>
      </w:r>
      <w:r>
        <w:rPr>
          <w:snapToGrid w:val="0"/>
        </w:rPr>
        <w:t>.</w:t>
      </w:r>
      <w:r>
        <w:rPr>
          <w:snapToGrid w:val="0"/>
        </w:rPr>
        <w:tab/>
        <w:t xml:space="preserve">Grant of miscellaneous </w:t>
      </w:r>
      <w:bookmarkEnd w:id="775"/>
      <w:r>
        <w:rPr>
          <w:snapToGrid w:val="0"/>
        </w:rPr>
        <w:t>licence</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Subject to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A person may be granted more than one miscellaneous licence.</w:t>
      </w:r>
    </w:p>
    <w:p>
      <w:pPr>
        <w:pStyle w:val="Subsection"/>
        <w:rPr>
          <w:snapToGrid w:val="0"/>
        </w:rPr>
      </w:pPr>
      <w:r>
        <w:rPr>
          <w:snapToGrid w:val="0"/>
        </w:rPr>
        <w:tab/>
        <w:t>(3)</w:t>
      </w:r>
      <w:r>
        <w:rPr>
          <w:snapToGrid w:val="0"/>
        </w:rPr>
        <w:tab/>
        <w:t>A miscellaneous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tabs>
          <w:tab w:val="clear" w:pos="595"/>
          <w:tab w:val="clear" w:pos="879"/>
          <w:tab w:val="left" w:pos="284"/>
        </w:tabs>
      </w:pPr>
      <w:r>
        <w:tab/>
        <w:t>[(4) and (5)   repealed]</w:t>
      </w:r>
    </w:p>
    <w:p>
      <w:pPr>
        <w:pStyle w:val="Subsection"/>
        <w:spacing w:before="120"/>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spacing w:before="120"/>
        <w:rPr>
          <w:snapToGrid w:val="0"/>
        </w:rPr>
      </w:pPr>
      <w:r>
        <w:rPr>
          <w:snapToGrid w:val="0"/>
        </w:rPr>
        <w:tab/>
        <w:t>(7)</w:t>
      </w:r>
      <w:r>
        <w:rPr>
          <w:snapToGrid w:val="0"/>
        </w:rPr>
        <w:tab/>
        <w:t>Sections 18, 23 and 27 do not prevent a miscellaneous licence from being applied for or granted in respect of land that is the subject of another mining tenement.</w:t>
      </w:r>
    </w:p>
    <w:p>
      <w:pPr>
        <w:pStyle w:val="Subsection"/>
        <w:spacing w:before="120"/>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spacing w:before="120"/>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spacing w:before="120"/>
        <w:rPr>
          <w:snapToGrid w:val="0"/>
        </w:rPr>
      </w:pPr>
      <w:r>
        <w:rPr>
          <w:snapToGrid w:val="0"/>
        </w:rPr>
        <w:tab/>
        <w:t>(10)</w:t>
      </w:r>
      <w:r>
        <w:rPr>
          <w:snapToGrid w:val="0"/>
        </w:rPr>
        <w:tab/>
        <w:t>The local government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780" w:name="_Toc520087991"/>
      <w:bookmarkStart w:id="781" w:name="_Toc523620626"/>
      <w:bookmarkStart w:id="782" w:name="_Toc38853778"/>
      <w:bookmarkStart w:id="783" w:name="_Toc124061149"/>
      <w:bookmarkStart w:id="784" w:name="_Toc124140004"/>
      <w:r>
        <w:rPr>
          <w:rStyle w:val="CharSectno"/>
        </w:rPr>
        <w:t>91A</w:t>
      </w:r>
      <w:r>
        <w:rPr>
          <w:snapToGrid w:val="0"/>
        </w:rPr>
        <w:t>.</w:t>
      </w:r>
      <w:r>
        <w:rPr>
          <w:snapToGrid w:val="0"/>
        </w:rPr>
        <w:tab/>
        <w:t>Term and renewal of existing licence or licence granted in respect of existing application</w:t>
      </w:r>
      <w:bookmarkEnd w:id="780"/>
      <w:bookmarkEnd w:id="781"/>
      <w:bookmarkEnd w:id="782"/>
      <w:bookmarkEnd w:id="783"/>
      <w:bookmarkEnd w:id="784"/>
      <w:r>
        <w:rPr>
          <w:snapToGrid w:val="0"/>
        </w:rPr>
        <w:t xml:space="preserve"> </w:t>
      </w:r>
    </w:p>
    <w:p>
      <w:pPr>
        <w:pStyle w:val="Subsection"/>
        <w:spacing w:before="120"/>
        <w:rPr>
          <w:snapToGrid w:val="0"/>
        </w:rPr>
      </w:pPr>
      <w:r>
        <w:rPr>
          <w:snapToGrid w:val="0"/>
        </w:rPr>
        <w:tab/>
        <w:t>(1)</w:t>
      </w:r>
      <w:r>
        <w:rPr>
          <w:snapToGrid w:val="0"/>
        </w:rPr>
        <w:tab/>
        <w:t xml:space="preserve">This section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spacing w:before="120"/>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spacing w:before="240"/>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may renew the term of the licence as to the whole or any part of the land the subject of the licence — </w:t>
      </w:r>
    </w:p>
    <w:p>
      <w:pPr>
        <w:pStyle w:val="Indenti"/>
        <w:spacing w:before="120"/>
        <w:rPr>
          <w:snapToGrid w:val="0"/>
        </w:rPr>
      </w:pPr>
      <w:r>
        <w:rPr>
          <w:snapToGrid w:val="0"/>
        </w:rPr>
        <w:tab/>
        <w:t>(i)</w:t>
      </w:r>
      <w:r>
        <w:rPr>
          <w:snapToGrid w:val="0"/>
        </w:rPr>
        <w:tab/>
        <w:t>for one further period not exceeding 5 years; and</w:t>
      </w:r>
    </w:p>
    <w:p>
      <w:pPr>
        <w:pStyle w:val="Indenti"/>
        <w:spacing w:before="120"/>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spacing w:before="120"/>
        <w:rPr>
          <w:snapToGrid w:val="0"/>
        </w:rPr>
      </w:pPr>
      <w:r>
        <w:rPr>
          <w:snapToGrid w:val="0"/>
        </w:rPr>
        <w:tab/>
        <w:t>(i)</w:t>
      </w:r>
      <w:r>
        <w:rPr>
          <w:snapToGrid w:val="0"/>
        </w:rPr>
        <w:tab/>
        <w:t>for a period that is the same as the period for which the licence was renewed under paragraph (a);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spacing w:before="120"/>
        <w:rPr>
          <w:snapToGrid w:val="0"/>
        </w:rPr>
      </w:pPr>
      <w:r>
        <w:rPr>
          <w:snapToGrid w:val="0"/>
        </w:rPr>
        <w:tab/>
        <w:t>(6)</w:t>
      </w:r>
      <w:r>
        <w:rPr>
          <w:snapToGrid w:val="0"/>
        </w:rPr>
        <w:tab/>
        <w:t xml:space="preserve">In this section and section 91B — </w:t>
      </w:r>
    </w:p>
    <w:p>
      <w:pPr>
        <w:pStyle w:val="Defstart"/>
        <w:keepNex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spacing w:before="80"/>
        <w:ind w:left="890" w:hanging="890"/>
      </w:pPr>
      <w:r>
        <w:tab/>
        <w:t>[Section 91A inserted by No. 35 of 1998 s. 5.]</w:t>
      </w:r>
    </w:p>
    <w:p>
      <w:pPr>
        <w:pStyle w:val="Heading5"/>
        <w:rPr>
          <w:snapToGrid w:val="0"/>
        </w:rPr>
      </w:pPr>
      <w:bookmarkStart w:id="785" w:name="_Toc520087992"/>
      <w:bookmarkStart w:id="786" w:name="_Toc523620627"/>
      <w:bookmarkStart w:id="787" w:name="_Toc38853779"/>
      <w:bookmarkStart w:id="788" w:name="_Toc124061150"/>
      <w:bookmarkStart w:id="789" w:name="_Toc124140005"/>
      <w:r>
        <w:rPr>
          <w:rStyle w:val="CharSectno"/>
        </w:rPr>
        <w:t>91B</w:t>
      </w:r>
      <w:r>
        <w:rPr>
          <w:snapToGrid w:val="0"/>
        </w:rPr>
        <w:t>.</w:t>
      </w:r>
      <w:r>
        <w:rPr>
          <w:snapToGrid w:val="0"/>
        </w:rPr>
        <w:tab/>
        <w:t>Term and renewal of licence granted in respect of new application</w:t>
      </w:r>
      <w:bookmarkEnd w:id="785"/>
      <w:bookmarkEnd w:id="786"/>
      <w:bookmarkEnd w:id="787"/>
      <w:bookmarkEnd w:id="788"/>
      <w:bookmarkEnd w:id="789"/>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shall renew the term of the licence as to the whole of the land the subject of the licence — </w:t>
      </w:r>
    </w:p>
    <w:p>
      <w:pPr>
        <w:pStyle w:val="Indenti"/>
        <w:spacing w:before="120"/>
        <w:rPr>
          <w:snapToGrid w:val="0"/>
        </w:rPr>
      </w:pPr>
      <w:r>
        <w:rPr>
          <w:snapToGrid w:val="0"/>
        </w:rPr>
        <w:tab/>
        <w:t>(i)</w:t>
      </w:r>
      <w:r>
        <w:rPr>
          <w:snapToGrid w:val="0"/>
        </w:rPr>
        <w:tab/>
        <w:t>for one further period of 21 years;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spacing w:before="120"/>
        <w:rPr>
          <w:snapToGrid w:val="0"/>
        </w:rPr>
      </w:pPr>
      <w:r>
        <w:rPr>
          <w:snapToGrid w:val="0"/>
        </w:rPr>
        <w:tab/>
        <w:t>(i)</w:t>
      </w:r>
      <w:r>
        <w:rPr>
          <w:snapToGrid w:val="0"/>
        </w:rPr>
        <w:tab/>
        <w:t>for a period not exceeding 21 years; and</w:t>
      </w:r>
    </w:p>
    <w:p>
      <w:pPr>
        <w:pStyle w:val="Indenti"/>
        <w:spacing w:before="120"/>
        <w:rPr>
          <w:snapToGrid w:val="0"/>
        </w:rPr>
      </w:pPr>
      <w:r>
        <w:rPr>
          <w:snapToGrid w:val="0"/>
        </w:rPr>
        <w:tab/>
        <w:t>(ii)</w:t>
      </w:r>
      <w:r>
        <w:rPr>
          <w:snapToGrid w:val="0"/>
        </w:rPr>
        <w:tab/>
        <w:t>on such terms and conditions as the Minister thinks fit.</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Footnotesection"/>
      </w:pPr>
      <w:r>
        <w:tab/>
        <w:t>[Section 91B inserted by No. 35 of 1998 s. 5.]</w:t>
      </w:r>
    </w:p>
    <w:p>
      <w:pPr>
        <w:pStyle w:val="Heading5"/>
        <w:spacing w:before="120"/>
        <w:ind w:left="0" w:firstLine="0"/>
        <w:rPr>
          <w:snapToGrid w:val="0"/>
        </w:rPr>
      </w:pPr>
      <w:bookmarkStart w:id="790" w:name="_Toc520087993"/>
      <w:bookmarkStart w:id="791" w:name="_Toc523620628"/>
      <w:bookmarkStart w:id="792" w:name="_Toc38853780"/>
      <w:bookmarkStart w:id="793" w:name="_Toc124061151"/>
      <w:bookmarkStart w:id="794" w:name="_Toc124140006"/>
      <w:r>
        <w:rPr>
          <w:rStyle w:val="CharSectno"/>
        </w:rPr>
        <w:t>92</w:t>
      </w:r>
      <w:r>
        <w:rPr>
          <w:snapToGrid w:val="0"/>
        </w:rPr>
        <w:t>.</w:t>
      </w:r>
      <w:r>
        <w:rPr>
          <w:snapToGrid w:val="0"/>
        </w:rPr>
        <w:tab/>
        <w:t>Provisions applying to all miscellaneous licences</w:t>
      </w:r>
      <w:bookmarkEnd w:id="790"/>
      <w:bookmarkEnd w:id="791"/>
      <w:bookmarkEnd w:id="792"/>
      <w:bookmarkEnd w:id="793"/>
      <w:bookmarkEnd w:id="794"/>
      <w:r>
        <w:rPr>
          <w:snapToGrid w:val="0"/>
        </w:rPr>
        <w:t xml:space="preserve"> </w:t>
      </w:r>
    </w:p>
    <w:p>
      <w:pPr>
        <w:pStyle w:val="Subsection"/>
        <w:spacing w:before="120"/>
        <w:rPr>
          <w:snapToGrid w:val="0"/>
        </w:rPr>
      </w:pPr>
      <w:r>
        <w:rPr>
          <w:snapToGrid w:val="0"/>
        </w:rPr>
        <w:tab/>
      </w:r>
      <w:r>
        <w:rPr>
          <w:snapToGrid w:val="0"/>
        </w:rPr>
        <w:tab/>
        <w:t>Sections 41, 42, 44, 46, 46A, 47 and 52(1a) apply, with such modifications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w:t>
      </w:r>
    </w:p>
    <w:p>
      <w:pPr>
        <w:pStyle w:val="Heading5"/>
        <w:spacing w:before="120"/>
        <w:rPr>
          <w:snapToGrid w:val="0"/>
        </w:rPr>
      </w:pPr>
      <w:bookmarkStart w:id="795" w:name="_Toc520087994"/>
      <w:bookmarkStart w:id="796" w:name="_Toc523620629"/>
      <w:bookmarkStart w:id="797" w:name="_Toc38853781"/>
      <w:bookmarkStart w:id="798" w:name="_Toc124061152"/>
      <w:bookmarkStart w:id="799" w:name="_Toc124140007"/>
      <w:r>
        <w:rPr>
          <w:rStyle w:val="CharSectno"/>
        </w:rPr>
        <w:t>93</w:t>
      </w:r>
      <w:r>
        <w:rPr>
          <w:snapToGrid w:val="0"/>
        </w:rPr>
        <w:t>.</w:t>
      </w:r>
      <w:r>
        <w:rPr>
          <w:snapToGrid w:val="0"/>
        </w:rPr>
        <w:tab/>
        <w:t>Map to accompany plan</w:t>
      </w:r>
      <w:bookmarkEnd w:id="795"/>
      <w:bookmarkEnd w:id="796"/>
      <w:bookmarkEnd w:id="797"/>
      <w:bookmarkEnd w:id="798"/>
      <w:bookmarkEnd w:id="799"/>
      <w:r>
        <w:rPr>
          <w:snapToGrid w:val="0"/>
        </w:rPr>
        <w:t xml:space="preserve"> </w:t>
      </w:r>
    </w:p>
    <w:p>
      <w:pPr>
        <w:pStyle w:val="Subsection"/>
        <w:spacing w:before="120"/>
        <w:rPr>
          <w:snapToGrid w:val="0"/>
        </w:rPr>
      </w:pPr>
      <w:r>
        <w:rPr>
          <w:snapToGrid w:val="0"/>
        </w:rPr>
        <w:tab/>
        <w:t>(1)</w:t>
      </w:r>
      <w:r>
        <w:rPr>
          <w:snapToGrid w:val="0"/>
        </w:rPr>
        <w:tab/>
        <w:t>Before making an application for the grant of a miscellaneous licence the applicant shall mark out in the prescribed manner the land in respect of which the licence is sought.</w:t>
      </w:r>
    </w:p>
    <w:p>
      <w:pPr>
        <w:pStyle w:val="Subsection"/>
        <w:spacing w:before="120"/>
        <w:rPr>
          <w:snapToGrid w:val="0"/>
        </w:rPr>
      </w:pPr>
      <w:r>
        <w:rPr>
          <w:snapToGrid w:val="0"/>
        </w:rPr>
        <w:tab/>
        <w:t>(2)</w:t>
      </w:r>
      <w:r>
        <w:rPr>
          <w:snapToGrid w:val="0"/>
        </w:rPr>
        <w:tab/>
        <w:t>The application for the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240"/>
        <w:rPr>
          <w:snapToGrid w:val="0"/>
        </w:rPr>
      </w:pPr>
      <w:bookmarkStart w:id="800" w:name="_Toc520087995"/>
      <w:bookmarkStart w:id="801" w:name="_Toc523620630"/>
      <w:bookmarkStart w:id="802" w:name="_Toc38853782"/>
      <w:bookmarkStart w:id="803" w:name="_Toc124061153"/>
      <w:bookmarkStart w:id="804" w:name="_Toc124140008"/>
      <w:r>
        <w:rPr>
          <w:rStyle w:val="CharSectno"/>
        </w:rPr>
        <w:t>94</w:t>
      </w:r>
      <w:r>
        <w:rPr>
          <w:snapToGrid w:val="0"/>
        </w:rPr>
        <w:t>.</w:t>
      </w:r>
      <w:r>
        <w:rPr>
          <w:snapToGrid w:val="0"/>
        </w:rPr>
        <w:tab/>
        <w:t>Terms and conditions</w:t>
      </w:r>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0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pPr>
      <w:r>
        <w:tab/>
        <w:t xml:space="preserve">[Section 94 amended by No. 100 of 1985 s. 66; No. 21 of 1993 s. 45; No. 58 of 1994 s. 36; No. 52 of 1995 s. 32.] </w:t>
      </w:r>
    </w:p>
    <w:p>
      <w:pPr>
        <w:pStyle w:val="Heading5"/>
        <w:spacing w:before="120"/>
        <w:rPr>
          <w:snapToGrid w:val="0"/>
        </w:rPr>
      </w:pPr>
      <w:bookmarkStart w:id="805" w:name="_Toc520087996"/>
      <w:bookmarkStart w:id="806" w:name="_Toc523620631"/>
      <w:bookmarkStart w:id="807" w:name="_Toc38853783"/>
      <w:bookmarkStart w:id="808" w:name="_Toc124061154"/>
      <w:bookmarkStart w:id="809" w:name="_Toc124140009"/>
      <w:r>
        <w:rPr>
          <w:rStyle w:val="CharSectno"/>
        </w:rPr>
        <w:t>94A</w:t>
      </w:r>
      <w:r>
        <w:rPr>
          <w:snapToGrid w:val="0"/>
        </w:rPr>
        <w:t>.</w:t>
      </w:r>
      <w:r>
        <w:rPr>
          <w:snapToGrid w:val="0"/>
        </w:rPr>
        <w:tab/>
        <w:t xml:space="preserve">Grant of mining tenement on land in a miscellaneous </w:t>
      </w:r>
      <w:bookmarkEnd w:id="805"/>
      <w:r>
        <w:rPr>
          <w:snapToGrid w:val="0"/>
        </w:rPr>
        <w:t>licence</w:t>
      </w:r>
      <w:bookmarkEnd w:id="806"/>
      <w:bookmarkEnd w:id="807"/>
      <w:bookmarkEnd w:id="808"/>
      <w:bookmarkEnd w:id="809"/>
      <w:r>
        <w:rPr>
          <w:snapToGrid w:val="0"/>
        </w:rPr>
        <w:t xml:space="preserve"> </w:t>
      </w:r>
    </w:p>
    <w:p>
      <w:pPr>
        <w:pStyle w:val="Subsection"/>
        <w:spacing w:before="100"/>
        <w:rPr>
          <w:snapToGrid w:val="0"/>
        </w:rPr>
      </w:pPr>
      <w:r>
        <w:rPr>
          <w:snapToGrid w:val="0"/>
        </w:rPr>
        <w:tab/>
        <w:t>(1)</w:t>
      </w:r>
      <w:r>
        <w:rPr>
          <w:snapToGrid w:val="0"/>
        </w:rPr>
        <w:tab/>
        <w:t>Sections 18, 23, 27</w:t>
      </w:r>
      <w:r>
        <w:t>, 43</w:t>
      </w:r>
      <w:r>
        <w:rPr>
          <w:snapToGrid w:val="0"/>
        </w:rPr>
        <w:t xml:space="preserve"> and 76 do not prevent another mining tenement from being marked out, applied for or granted in respect of land that is the subject of a miscellaneous licence.</w:t>
      </w:r>
    </w:p>
    <w:p>
      <w:pPr>
        <w:pStyle w:val="Subsection"/>
        <w:spacing w:before="100"/>
        <w:rPr>
          <w:snapToGrid w:val="0"/>
        </w:rPr>
      </w:pPr>
      <w:r>
        <w:rPr>
          <w:snapToGrid w:val="0"/>
        </w:rPr>
        <w:tab/>
        <w:t>(2)</w:t>
      </w:r>
      <w:r>
        <w:rPr>
          <w:snapToGrid w:val="0"/>
        </w:rPr>
        <w:tab/>
        <w:t>Notwithstanding section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pPr>
      <w:r>
        <w:tab/>
        <w:t xml:space="preserve">[Section 94A inserted by No. 22 of 1990 s. 26; amended by No. 15 of 2002 s. 19.] </w:t>
      </w:r>
    </w:p>
    <w:p>
      <w:pPr>
        <w:pStyle w:val="Heading5"/>
        <w:rPr>
          <w:snapToGrid w:val="0"/>
        </w:rPr>
      </w:pPr>
      <w:bookmarkStart w:id="810" w:name="_Toc520087997"/>
      <w:bookmarkStart w:id="811" w:name="_Toc523620632"/>
      <w:bookmarkStart w:id="812" w:name="_Toc38853784"/>
      <w:bookmarkStart w:id="813" w:name="_Toc124061155"/>
      <w:bookmarkStart w:id="814" w:name="_Toc124140010"/>
      <w:r>
        <w:rPr>
          <w:rStyle w:val="CharSectno"/>
        </w:rPr>
        <w:t>94B</w:t>
      </w:r>
      <w:r>
        <w:rPr>
          <w:snapToGrid w:val="0"/>
        </w:rPr>
        <w:t>.</w:t>
      </w:r>
      <w:r>
        <w:rPr>
          <w:snapToGrid w:val="0"/>
        </w:rPr>
        <w:tab/>
        <w:t>Surrender etc., of concurrent tenement</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Subject to this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pPr>
      <w:r>
        <w:tab/>
        <w:t xml:space="preserve">[Section 94B inserted by No. 22 of 1990 s. 26; amended by No. 58 of 1994 s. 37.] </w:t>
      </w:r>
    </w:p>
    <w:p>
      <w:pPr>
        <w:pStyle w:val="Ednotesection"/>
        <w:spacing w:before="480"/>
        <w:ind w:left="890" w:hanging="890"/>
      </w:pPr>
      <w:r>
        <w:t>[Division 5A (sections 94C</w:t>
      </w:r>
      <w:r>
        <w:noBreakHyphen/>
        <w:t>94P) repealed by No. 52 of 1995 s. 33.]</w:t>
      </w:r>
    </w:p>
    <w:p>
      <w:pPr>
        <w:pStyle w:val="Heading3"/>
        <w:rPr>
          <w:snapToGrid w:val="0"/>
        </w:rPr>
      </w:pPr>
      <w:bookmarkStart w:id="815" w:name="_Toc87427665"/>
      <w:bookmarkStart w:id="816" w:name="_Toc87851240"/>
      <w:bookmarkStart w:id="817" w:name="_Toc88295463"/>
      <w:bookmarkStart w:id="818" w:name="_Toc89519122"/>
      <w:bookmarkStart w:id="819" w:name="_Toc90869247"/>
      <w:bookmarkStart w:id="820" w:name="_Toc91408019"/>
      <w:bookmarkStart w:id="821" w:name="_Toc92863763"/>
      <w:bookmarkStart w:id="822" w:name="_Toc95015131"/>
      <w:bookmarkStart w:id="823" w:name="_Toc95106838"/>
      <w:bookmarkStart w:id="824" w:name="_Toc97018638"/>
      <w:bookmarkStart w:id="825" w:name="_Toc101693591"/>
      <w:bookmarkStart w:id="826" w:name="_Toc103130461"/>
      <w:bookmarkStart w:id="827" w:name="_Toc104711111"/>
      <w:bookmarkStart w:id="828" w:name="_Toc121560096"/>
      <w:bookmarkStart w:id="829" w:name="_Toc122328537"/>
      <w:bookmarkStart w:id="830" w:name="_Toc124061156"/>
      <w:bookmarkStart w:id="831" w:name="_Toc124140011"/>
      <w:r>
        <w:rPr>
          <w:rStyle w:val="CharDivNo"/>
        </w:rPr>
        <w:t>Division 6</w:t>
      </w:r>
      <w:r>
        <w:rPr>
          <w:snapToGrid w:val="0"/>
        </w:rPr>
        <w:t> — </w:t>
      </w:r>
      <w:r>
        <w:rPr>
          <w:rStyle w:val="CharDivText"/>
        </w:rPr>
        <w:t>Surrender and forfeiture of mining tenements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rPr>
          <w:snapToGrid w:val="0"/>
        </w:rPr>
      </w:pPr>
      <w:bookmarkStart w:id="832" w:name="_Toc520087998"/>
      <w:bookmarkStart w:id="833" w:name="_Toc523620633"/>
      <w:bookmarkStart w:id="834" w:name="_Toc38853785"/>
      <w:bookmarkStart w:id="835" w:name="_Toc124061157"/>
      <w:bookmarkStart w:id="836" w:name="_Toc124140012"/>
      <w:r>
        <w:rPr>
          <w:rStyle w:val="CharSectno"/>
        </w:rPr>
        <w:t>95</w:t>
      </w:r>
      <w:r>
        <w:rPr>
          <w:snapToGrid w:val="0"/>
        </w:rPr>
        <w:t>.</w:t>
      </w:r>
      <w:r>
        <w:rPr>
          <w:snapToGrid w:val="0"/>
        </w:rPr>
        <w:tab/>
        <w:t>Surrender of mining tenement</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Subject to this Act the holder of any mining tenement may, in the prescribed manner and on payment of the prescribed fees, surrender the tenement in whole or in part.</w:t>
      </w:r>
    </w:p>
    <w:p>
      <w:pPr>
        <w:pStyle w:val="Subsection"/>
        <w:rPr>
          <w:snapToGrid w:val="0"/>
        </w:rPr>
      </w:pPr>
      <w:r>
        <w:rPr>
          <w:snapToGrid w:val="0"/>
        </w:rPr>
        <w:tab/>
        <w:t>(2)</w:t>
      </w:r>
      <w:r>
        <w:rPr>
          <w:snapToGrid w:val="0"/>
        </w:rPr>
        <w:tab/>
        <w:t>When the holder of a mining tenement surrenders it pursuant to subsection (1) the liability of the holder — </w:t>
      </w:r>
    </w:p>
    <w:p>
      <w:pPr>
        <w:pStyle w:val="Indenta"/>
        <w:rPr>
          <w:snapToGrid w:val="0"/>
        </w:rPr>
      </w:pPr>
      <w:r>
        <w:rPr>
          <w:snapToGrid w:val="0"/>
        </w:rPr>
        <w:tab/>
        <w:t>(a)</w:t>
      </w:r>
      <w:r>
        <w:rPr>
          <w:snapToGrid w:val="0"/>
        </w:rPr>
        <w:tab/>
        <w:t>to pay any rent, fee, royalty, penalty or other money on any other account, that is payable on or before the date of surrender;</w:t>
      </w:r>
    </w:p>
    <w:p>
      <w:pPr>
        <w:pStyle w:val="Indenta"/>
        <w:rPr>
          <w:snapToGrid w:val="0"/>
        </w:rPr>
      </w:pPr>
      <w:r>
        <w:rPr>
          <w:snapToGrid w:val="0"/>
        </w:rPr>
        <w:tab/>
        <w:t>(b)</w:t>
      </w:r>
      <w:r>
        <w:rPr>
          <w:snapToGrid w:val="0"/>
        </w:rPr>
        <w:tab/>
        <w:t>to perform any obligation required to be performed on or before that date;</w:t>
      </w:r>
    </w:p>
    <w:p>
      <w:pPr>
        <w:pStyle w:val="Indenta"/>
        <w:rPr>
          <w:snapToGrid w:val="0"/>
        </w:rPr>
      </w:pPr>
      <w:r>
        <w:rPr>
          <w:snapToGrid w:val="0"/>
        </w:rPr>
        <w:tab/>
        <w:t>(c)</w:t>
      </w:r>
      <w:r>
        <w:rPr>
          <w:snapToGrid w:val="0"/>
        </w:rPr>
        <w:tab/>
        <w:t>for any act done or default made on or before that date,</w:t>
      </w:r>
    </w:p>
    <w:p>
      <w:pPr>
        <w:pStyle w:val="Subsection"/>
        <w:rPr>
          <w:snapToGrid w:val="0"/>
        </w:rPr>
      </w:pPr>
      <w:r>
        <w:rPr>
          <w:snapToGrid w:val="0"/>
        </w:rPr>
        <w:tab/>
      </w:r>
      <w:r>
        <w:rPr>
          <w:snapToGrid w:val="0"/>
        </w:rPr>
        <w:tab/>
        <w:t>that is payable under, in respect of, or arises out of or in relation to that mining tenement, is not affected.</w:t>
      </w:r>
    </w:p>
    <w:p>
      <w:pPr>
        <w:pStyle w:val="Ednotesubsection"/>
      </w:pPr>
      <w:r>
        <w:tab/>
        <w:t>[(3)</w:t>
      </w:r>
      <w:r>
        <w:tab/>
        <w:t xml:space="preserve">repealed] </w:t>
      </w:r>
    </w:p>
    <w:p>
      <w:pPr>
        <w:pStyle w:val="Subsection"/>
        <w:rPr>
          <w:snapToGrid w:val="0"/>
        </w:rPr>
      </w:pPr>
      <w:r>
        <w:rPr>
          <w:snapToGrid w:val="0"/>
        </w:rPr>
        <w:tab/>
        <w:t>(4)</w:t>
      </w:r>
      <w:r>
        <w:rPr>
          <w:snapToGrid w:val="0"/>
        </w:rPr>
        <w:tab/>
        <w:t>Where a mining tenement is being surrendered as to part only, the form of surrender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t>Notwithstanding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w:t>
      </w:r>
    </w:p>
    <w:p>
      <w:pPr>
        <w:pStyle w:val="Heading5"/>
      </w:pPr>
      <w:bookmarkStart w:id="837" w:name="_Toc38853786"/>
      <w:bookmarkStart w:id="838" w:name="_Toc124061158"/>
      <w:bookmarkStart w:id="839" w:name="_Toc124140013"/>
      <w:bookmarkStart w:id="840" w:name="_Toc520087999"/>
      <w:bookmarkStart w:id="841" w:name="_Toc523620634"/>
      <w:r>
        <w:rPr>
          <w:rStyle w:val="CharSectno"/>
        </w:rPr>
        <w:t>95A</w:t>
      </w:r>
      <w:r>
        <w:t>.</w:t>
      </w:r>
      <w:r>
        <w:tab/>
        <w:t>Exploration licence – surrender of part of block</w:t>
      </w:r>
      <w:bookmarkEnd w:id="837"/>
      <w:bookmarkEnd w:id="838"/>
      <w:bookmarkEnd w:id="839"/>
    </w:p>
    <w:p>
      <w:pPr>
        <w:pStyle w:val="Subsection"/>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842" w:name="_Toc38853787"/>
      <w:bookmarkStart w:id="843" w:name="_Toc124061159"/>
      <w:bookmarkStart w:id="844" w:name="_Toc124140014"/>
      <w:r>
        <w:rPr>
          <w:rStyle w:val="CharSectno"/>
        </w:rPr>
        <w:t>96</w:t>
      </w:r>
      <w:r>
        <w:rPr>
          <w:snapToGrid w:val="0"/>
        </w:rPr>
        <w:t>.</w:t>
      </w:r>
      <w:r>
        <w:rPr>
          <w:snapToGrid w:val="0"/>
        </w:rPr>
        <w:tab/>
        <w:t>Forfeiture of certain mining tenements</w:t>
      </w:r>
      <w:bookmarkEnd w:id="840"/>
      <w:bookmarkEnd w:id="841"/>
      <w:bookmarkEnd w:id="842"/>
      <w:bookmarkEnd w:id="843"/>
      <w:bookmarkEnd w:id="844"/>
      <w:r>
        <w:rPr>
          <w:snapToGrid w:val="0"/>
        </w:rPr>
        <w:t xml:space="preserve"> </w:t>
      </w:r>
    </w:p>
    <w:p>
      <w:pPr>
        <w:pStyle w:val="Subsection"/>
        <w:keepNext/>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spacing w:before="60"/>
        <w:rPr>
          <w:snapToGrid w:val="0"/>
        </w:rPr>
      </w:pPr>
      <w:r>
        <w:rPr>
          <w:snapToGrid w:val="0"/>
        </w:rPr>
        <w:tab/>
        <w:t>(a)</w:t>
      </w:r>
      <w:r>
        <w:rPr>
          <w:snapToGrid w:val="0"/>
        </w:rPr>
        <w:tab/>
        <w:t>the prescribed rent or royalty in respect thereof is not paid in accordance with this Act;</w:t>
      </w:r>
    </w:p>
    <w:p>
      <w:pPr>
        <w:pStyle w:val="Indenta"/>
        <w:spacing w:before="60"/>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spacing w:before="60"/>
        <w:rPr>
          <w:snapToGrid w:val="0"/>
        </w:rPr>
      </w:pPr>
      <w:r>
        <w:rPr>
          <w:snapToGrid w:val="0"/>
        </w:rPr>
        <w:tab/>
        <w:t>(ba)</w:t>
      </w:r>
      <w:r>
        <w:rPr>
          <w:snapToGrid w:val="0"/>
        </w:rPr>
        <w:tab/>
        <w:t>a report required under section 51 or 115A in relation to the mining tenement is not filed in accordance with this Act;</w:t>
      </w:r>
    </w:p>
    <w:p>
      <w:pPr>
        <w:pStyle w:val="Indenta"/>
        <w:spacing w:before="60"/>
        <w:rPr>
          <w:snapToGrid w:val="0"/>
        </w:rPr>
      </w:pPr>
      <w:r>
        <w:rPr>
          <w:snapToGrid w:val="0"/>
        </w:rPr>
        <w:tab/>
        <w:t>(bb)</w:t>
      </w:r>
      <w:r>
        <w:rPr>
          <w:snapToGrid w:val="0"/>
        </w:rPr>
        <w:tab/>
        <w:t>any requirement under section 52(1a) is not complied with; or</w:t>
      </w:r>
    </w:p>
    <w:p>
      <w:pPr>
        <w:pStyle w:val="Indenta"/>
        <w:spacing w:before="60"/>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spacing w:before="120"/>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pPr>
      <w:r>
        <w:tab/>
        <w:t xml:space="preserve">[Section 96 amended by No. 69 of 1981 s. 21; No. 100 of 1985 s. 68; No. 105 of 1986 s. 13; No. 22 of 1990 s. 28 and 38; No. 37 of 1993 s. 13; No. 58 of 1994 s. 41; No. 54 of 1996 s. 23; No. 17 of 1999 s. 6(4); No. 15 of 2002 s. 21 and 28.] </w:t>
      </w:r>
    </w:p>
    <w:p>
      <w:pPr>
        <w:pStyle w:val="Heading5"/>
        <w:spacing w:before="120"/>
        <w:rPr>
          <w:snapToGrid w:val="0"/>
        </w:rPr>
      </w:pPr>
      <w:bookmarkStart w:id="845" w:name="_Toc520088000"/>
      <w:bookmarkStart w:id="846" w:name="_Toc523620635"/>
      <w:bookmarkStart w:id="847" w:name="_Toc38853788"/>
      <w:bookmarkStart w:id="848" w:name="_Toc124061160"/>
      <w:bookmarkStart w:id="849" w:name="_Toc124140015"/>
      <w:r>
        <w:rPr>
          <w:rStyle w:val="CharSectno"/>
        </w:rPr>
        <w:t>96A</w:t>
      </w:r>
      <w:r>
        <w:rPr>
          <w:snapToGrid w:val="0"/>
        </w:rPr>
        <w:t>.</w:t>
      </w:r>
      <w:r>
        <w:rPr>
          <w:snapToGrid w:val="0"/>
        </w:rPr>
        <w:tab/>
        <w:t xml:space="preserve">Forfeiture of exploration licence or retention </w:t>
      </w:r>
      <w:bookmarkEnd w:id="845"/>
      <w:r>
        <w:rPr>
          <w:snapToGrid w:val="0"/>
        </w:rPr>
        <w:t>licence</w:t>
      </w:r>
      <w:bookmarkEnd w:id="846"/>
      <w:bookmarkEnd w:id="847"/>
      <w:bookmarkEnd w:id="848"/>
      <w:bookmarkEnd w:id="849"/>
      <w:r>
        <w:rPr>
          <w:snapToGrid w:val="0"/>
        </w:rPr>
        <w:t xml:space="preserve"> </w:t>
      </w:r>
    </w:p>
    <w:p>
      <w:pPr>
        <w:pStyle w:val="Subsection"/>
        <w:spacing w:before="100"/>
        <w:rPr>
          <w:snapToGrid w:val="0"/>
        </w:rPr>
      </w:pPr>
      <w:r>
        <w:rPr>
          <w:snapToGrid w:val="0"/>
        </w:rPr>
        <w:tab/>
        <w:t>(1)</w:t>
      </w:r>
      <w:r>
        <w:rPr>
          <w:snapToGrid w:val="0"/>
        </w:rPr>
        <w:tab/>
        <w:t>When — </w:t>
      </w:r>
    </w:p>
    <w:p>
      <w:pPr>
        <w:pStyle w:val="Indenta"/>
        <w:spacing w:before="60"/>
        <w:rPr>
          <w:snapToGrid w:val="0"/>
        </w:rPr>
      </w:pPr>
      <w:r>
        <w:rPr>
          <w:snapToGrid w:val="0"/>
        </w:rPr>
        <w:tab/>
        <w:t>(a)</w:t>
      </w:r>
      <w:r>
        <w:rPr>
          <w:snapToGrid w:val="0"/>
        </w:rPr>
        <w:tab/>
        <w:t>an exploration licence is liable to forfeiture by virtue of section 63A; or</w:t>
      </w:r>
    </w:p>
    <w:p>
      <w:pPr>
        <w:pStyle w:val="Indenta"/>
        <w:spacing w:before="60"/>
        <w:rPr>
          <w:snapToGrid w:val="0"/>
        </w:rPr>
      </w:pPr>
      <w:r>
        <w:rPr>
          <w:snapToGrid w:val="0"/>
        </w:rPr>
        <w:tab/>
        <w:t>(b)</w:t>
      </w:r>
      <w:r>
        <w:rPr>
          <w:snapToGrid w:val="0"/>
        </w:rPr>
        <w:tab/>
        <w:t>a retention licence is liable to forfeiture by virtue of section 70K,</w:t>
      </w:r>
    </w:p>
    <w:p>
      <w:pPr>
        <w:pStyle w:val="Subsection"/>
        <w:spacing w:before="100"/>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pPr>
      <w:r>
        <w:tab/>
        <w:t xml:space="preserve">[Section 96A inserted by No. 69 of 1981 s. 22; amended by No. 100 of 1985 s. 69; No. 22 of 1990 s. 38; No. 37 of 1993 s. 10(2); No. 15 of 2002 s. 28.] </w:t>
      </w:r>
    </w:p>
    <w:p>
      <w:pPr>
        <w:pStyle w:val="Heading5"/>
        <w:rPr>
          <w:snapToGrid w:val="0"/>
        </w:rPr>
      </w:pPr>
      <w:bookmarkStart w:id="850" w:name="_Toc520088001"/>
      <w:bookmarkStart w:id="851" w:name="_Toc523620636"/>
      <w:bookmarkStart w:id="852" w:name="_Toc38853789"/>
      <w:bookmarkStart w:id="853" w:name="_Toc124061161"/>
      <w:bookmarkStart w:id="854" w:name="_Toc124140016"/>
      <w:r>
        <w:rPr>
          <w:rStyle w:val="CharSectno"/>
        </w:rPr>
        <w:t>97</w:t>
      </w:r>
      <w:r>
        <w:rPr>
          <w:snapToGrid w:val="0"/>
        </w:rPr>
        <w:t>.</w:t>
      </w:r>
      <w:r>
        <w:rPr>
          <w:snapToGrid w:val="0"/>
        </w:rPr>
        <w:tab/>
        <w:t>Forfeiture of mining lease or general purpose lease</w:t>
      </w:r>
      <w:bookmarkEnd w:id="850"/>
      <w:bookmarkEnd w:id="851"/>
      <w:bookmarkEnd w:id="852"/>
      <w:bookmarkEnd w:id="853"/>
      <w:bookmarkEnd w:id="854"/>
      <w:r>
        <w:rPr>
          <w:snapToGrid w:val="0"/>
        </w:rPr>
        <w:t xml:space="preserve"> </w:t>
      </w:r>
    </w:p>
    <w:p>
      <w:pPr>
        <w:pStyle w:val="Subsection"/>
        <w:spacing w:before="180"/>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spacing w:before="18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spacing w:before="180"/>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spacing w:before="140"/>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spacing w:before="180"/>
        <w:rPr>
          <w:snapToGrid w:val="0"/>
        </w:rPr>
      </w:pPr>
      <w:r>
        <w:rPr>
          <w:snapToGrid w:val="0"/>
        </w:rPr>
        <w:tab/>
        <w:t>(5)</w:t>
      </w:r>
      <w:r>
        <w:rPr>
          <w:snapToGrid w:val="0"/>
        </w:rPr>
        <w:tab/>
        <w:t>The Minister, as he thinks fit in the circumstances of the case, as an alternative to declaring the lease forfeited, may — </w:t>
      </w:r>
    </w:p>
    <w:p>
      <w:pPr>
        <w:pStyle w:val="Indenta"/>
        <w:spacing w:before="120"/>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spacing w:before="120"/>
        <w:rPr>
          <w:snapToGrid w:val="0"/>
        </w:rPr>
      </w:pPr>
      <w:r>
        <w:rPr>
          <w:snapToGrid w:val="0"/>
        </w:rPr>
        <w:tab/>
        <w:t>(b)</w:t>
      </w:r>
      <w:r>
        <w:rPr>
          <w:snapToGrid w:val="0"/>
        </w:rPr>
        <w:tab/>
        <w:t>award the whole or any part of the amount of any such penalty to any person, other than an officer of the Department; or</w:t>
      </w:r>
    </w:p>
    <w:p>
      <w:pPr>
        <w:pStyle w:val="Indenta"/>
        <w:spacing w:before="120"/>
        <w:rPr>
          <w:snapToGrid w:val="0"/>
        </w:rPr>
      </w:pPr>
      <w:r>
        <w:rPr>
          <w:snapToGrid w:val="0"/>
        </w:rPr>
        <w:tab/>
        <w:t>(c)</w:t>
      </w:r>
      <w:r>
        <w:rPr>
          <w:snapToGrid w:val="0"/>
        </w:rPr>
        <w:tab/>
        <w:t>impose no penalty on the lessee.</w:t>
      </w:r>
    </w:p>
    <w:p>
      <w:pPr>
        <w:pStyle w:val="Subsection"/>
        <w:spacing w:before="180"/>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keepLines w:val="0"/>
        <w:spacing w:before="60"/>
        <w:ind w:left="890" w:hanging="890"/>
      </w:pPr>
      <w:r>
        <w:tab/>
        <w:t xml:space="preserve">[Section 97 amended by No. 100 of 1985 s. 70; No. 22 of 1990 s. 29 and 38; No. 15 of 2002 s. 28.] </w:t>
      </w:r>
    </w:p>
    <w:p>
      <w:pPr>
        <w:pStyle w:val="Heading5"/>
        <w:rPr>
          <w:snapToGrid w:val="0"/>
        </w:rPr>
      </w:pPr>
      <w:bookmarkStart w:id="855" w:name="_Toc520088002"/>
      <w:bookmarkStart w:id="856" w:name="_Toc523620637"/>
      <w:bookmarkStart w:id="857" w:name="_Toc38853790"/>
      <w:bookmarkStart w:id="858" w:name="_Toc124061162"/>
      <w:bookmarkStart w:id="859" w:name="_Toc124140017"/>
      <w:r>
        <w:rPr>
          <w:rStyle w:val="CharSectno"/>
        </w:rPr>
        <w:t>97A</w:t>
      </w:r>
      <w:r>
        <w:rPr>
          <w:snapToGrid w:val="0"/>
        </w:rPr>
        <w:t>.</w:t>
      </w:r>
      <w:r>
        <w:rPr>
          <w:snapToGrid w:val="0"/>
        </w:rPr>
        <w:tab/>
        <w:t>Appeals against cancellation of forfeiture</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spacing w:before="120"/>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spacing w:before="120"/>
        <w:rPr>
          <w:snapToGrid w:val="0"/>
        </w:rPr>
      </w:pPr>
      <w:r>
        <w:rPr>
          <w:snapToGrid w:val="0"/>
        </w:rPr>
        <w:tab/>
        <w:t>(a)</w:t>
      </w:r>
      <w:r>
        <w:rPr>
          <w:snapToGrid w:val="0"/>
        </w:rPr>
        <w:tab/>
        <w:t>in a case to which section 96 applies, shall determine the application and make such order as he thinks fit and may — </w:t>
      </w:r>
    </w:p>
    <w:p>
      <w:pPr>
        <w:pStyle w:val="Indenti"/>
        <w:spacing w:before="120"/>
        <w:rPr>
          <w:snapToGrid w:val="0"/>
        </w:rPr>
      </w:pPr>
      <w:r>
        <w:rPr>
          <w:snapToGrid w:val="0"/>
        </w:rPr>
        <w:tab/>
        <w:t>(i)</w:t>
      </w:r>
      <w:r>
        <w:rPr>
          <w:snapToGrid w:val="0"/>
        </w:rPr>
        <w:tab/>
        <w:t>grant the application and restore the mining tenement to the former holder;</w:t>
      </w:r>
    </w:p>
    <w:p>
      <w:pPr>
        <w:pStyle w:val="Indenti"/>
        <w:spacing w:before="120"/>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spacing w:before="120"/>
        <w:rPr>
          <w:snapToGrid w:val="0"/>
        </w:rPr>
      </w:pPr>
      <w:r>
        <w:rPr>
          <w:snapToGrid w:val="0"/>
        </w:rPr>
        <w:tab/>
        <w:t>(iii)</w:t>
      </w:r>
      <w:r>
        <w:rPr>
          <w:snapToGrid w:val="0"/>
        </w:rPr>
        <w:tab/>
        <w:t>refuse the application;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keepLines w:val="0"/>
      </w:pPr>
      <w:r>
        <w:tab/>
        <w:t xml:space="preserve">[Section 97A inserted by No. 100 of 1985 s. 71; amended by No. 37 of 1993 s. 26.] </w:t>
      </w:r>
    </w:p>
    <w:p>
      <w:pPr>
        <w:pStyle w:val="Heading5"/>
        <w:rPr>
          <w:snapToGrid w:val="0"/>
        </w:rPr>
      </w:pPr>
      <w:bookmarkStart w:id="860" w:name="_Toc520088003"/>
      <w:bookmarkStart w:id="861" w:name="_Toc523620638"/>
      <w:bookmarkStart w:id="862" w:name="_Toc38853791"/>
      <w:bookmarkStart w:id="863" w:name="_Toc124061163"/>
      <w:bookmarkStart w:id="864" w:name="_Toc124140018"/>
      <w:r>
        <w:rPr>
          <w:rStyle w:val="CharSectno"/>
        </w:rPr>
        <w:t>98</w:t>
      </w:r>
      <w:r>
        <w:rPr>
          <w:snapToGrid w:val="0"/>
        </w:rPr>
        <w:t>.</w:t>
      </w:r>
      <w:r>
        <w:rPr>
          <w:snapToGrid w:val="0"/>
        </w:rPr>
        <w:tab/>
        <w:t>Application for forfeiture on other grounds</w:t>
      </w:r>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rPr>
          <w:snapToGrid w:val="0"/>
        </w:rPr>
      </w:pPr>
      <w:r>
        <w:rPr>
          <w:snapToGrid w:val="0"/>
        </w:rPr>
        <w:tab/>
        <w:t>(2)</w:t>
      </w:r>
      <w:r>
        <w:rPr>
          <w:snapToGrid w:val="0"/>
        </w:rPr>
        <w:tab/>
        <w:t>An application for forfeiture under this section shall be made, during the expenditure year in relation to which the requirement is not complied with or within 8 months thereafter, in such form and manner as may be prescribed and shall be accompanied by the prescribed fee.</w:t>
      </w:r>
    </w:p>
    <w:p>
      <w:pPr>
        <w:pStyle w:val="Subsection"/>
        <w:rPr>
          <w:snapToGrid w:val="0"/>
        </w:rPr>
      </w:pPr>
      <w:r>
        <w:rPr>
          <w:snapToGrid w:val="0"/>
        </w:rPr>
        <w:tab/>
        <w:t>(3)</w:t>
      </w:r>
      <w:r>
        <w:rPr>
          <w:snapToGrid w:val="0"/>
        </w:rPr>
        <w:tab/>
        <w:t>The application for forfeiture shall be heard in open court by the warden.</w:t>
      </w:r>
    </w:p>
    <w:p>
      <w:pPr>
        <w:pStyle w:val="Indenta"/>
        <w:tabs>
          <w:tab w:val="left" w:pos="284"/>
        </w:tabs>
        <w:rPr>
          <w:snapToGrid w:val="0"/>
        </w:rPr>
      </w:pPr>
      <w:r>
        <w:rPr>
          <w:snapToGrid w:val="0"/>
        </w:rPr>
        <w:tab/>
        <w:t>(4)</w:t>
      </w:r>
      <w:r>
        <w:rPr>
          <w:snapToGrid w:val="0"/>
        </w:rPr>
        <w:tab/>
        <w:t>(a)</w:t>
      </w:r>
      <w:r>
        <w:rPr>
          <w:snapToGrid w:val="0"/>
        </w:rPr>
        <w:tab/>
        <w:t xml:space="preserve">When the warden finds that the holder of an exploration licence or lessee of the mining lease has failed to comply with such requirements as are mentioned in subsection (1), the warden may recommend the forfeiture of such licence or lease, or impose a penalty not exceeding </w:t>
      </w:r>
      <w:r>
        <w:t>$10 000</w:t>
      </w:r>
      <w:r>
        <w:rPr>
          <w:snapToGrid w:val="0"/>
        </w:rPr>
        <w:t xml:space="preserve"> as an alternative to the forfeiture or dismiss the application.</w:t>
      </w:r>
    </w:p>
    <w:p>
      <w:pPr>
        <w:pStyle w:val="Indenta"/>
        <w:rPr>
          <w:snapToGrid w:val="0"/>
        </w:rPr>
      </w:pPr>
      <w:r>
        <w:rPr>
          <w:snapToGrid w:val="0"/>
        </w:rPr>
        <w:tab/>
        <w:t>(b)</w:t>
      </w:r>
      <w:r>
        <w:rPr>
          <w:snapToGrid w:val="0"/>
        </w:rPr>
        <w:tab/>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pPr>
      <w:r>
        <w:tab/>
        <w:t xml:space="preserve">[Section 98 amended by No. 100 of 1985 s. 72; No. 22 of 1990 s. 30 and 38; No. 15 of 2002 s. 28.] </w:t>
      </w:r>
    </w:p>
    <w:p>
      <w:pPr>
        <w:pStyle w:val="Heading5"/>
        <w:rPr>
          <w:snapToGrid w:val="0"/>
        </w:rPr>
      </w:pPr>
      <w:bookmarkStart w:id="865" w:name="_Toc520088004"/>
      <w:bookmarkStart w:id="866" w:name="_Toc523620639"/>
      <w:bookmarkStart w:id="867" w:name="_Toc38853792"/>
      <w:bookmarkStart w:id="868" w:name="_Toc124061164"/>
      <w:bookmarkStart w:id="869" w:name="_Toc124140019"/>
      <w:r>
        <w:rPr>
          <w:rStyle w:val="CharSectno"/>
        </w:rPr>
        <w:t>99</w:t>
      </w:r>
      <w:r>
        <w:rPr>
          <w:snapToGrid w:val="0"/>
        </w:rPr>
        <w:t>.</w:t>
      </w:r>
      <w:r>
        <w:rPr>
          <w:snapToGrid w:val="0"/>
        </w:rPr>
        <w:tab/>
        <w:t>Proceedings by Minister on recommendation</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870" w:name="_Toc520088005"/>
      <w:bookmarkStart w:id="871" w:name="_Toc523620640"/>
      <w:bookmarkStart w:id="872" w:name="_Toc38853793"/>
      <w:bookmarkStart w:id="873" w:name="_Toc124061165"/>
      <w:bookmarkStart w:id="874" w:name="_Toc124140020"/>
      <w:r>
        <w:rPr>
          <w:rStyle w:val="CharSectno"/>
        </w:rPr>
        <w:t>100</w:t>
      </w:r>
      <w:r>
        <w:rPr>
          <w:snapToGrid w:val="0"/>
        </w:rPr>
        <w:t>.</w:t>
      </w:r>
      <w:r>
        <w:rPr>
          <w:snapToGrid w:val="0"/>
        </w:rPr>
        <w:tab/>
        <w:t>Applicant to have priority for marking out and applying for surrendered or forfeited licence or lease</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pPr>
      <w:r>
        <w:tab/>
        <w:t xml:space="preserve">[Section 100 inserted by No. 37 of 1993 s. 14(1); amended by No. 15 of 2002 s. 22.] </w:t>
      </w:r>
    </w:p>
    <w:p>
      <w:pPr>
        <w:pStyle w:val="Heading5"/>
        <w:rPr>
          <w:snapToGrid w:val="0"/>
        </w:rPr>
      </w:pPr>
      <w:bookmarkStart w:id="875" w:name="_Toc520088006"/>
      <w:bookmarkStart w:id="876" w:name="_Toc523620641"/>
      <w:bookmarkStart w:id="877" w:name="_Toc38853794"/>
      <w:bookmarkStart w:id="878" w:name="_Toc124061166"/>
      <w:bookmarkStart w:id="879" w:name="_Toc124140021"/>
      <w:r>
        <w:rPr>
          <w:rStyle w:val="CharSectno"/>
        </w:rPr>
        <w:t>101</w:t>
      </w:r>
      <w:r>
        <w:rPr>
          <w:snapToGrid w:val="0"/>
        </w:rPr>
        <w:t>.</w:t>
      </w:r>
      <w:r>
        <w:rPr>
          <w:snapToGrid w:val="0"/>
        </w:rPr>
        <w:tab/>
        <w:t>Application for forfeiture of mining tenement while holder is a company in process of winding up</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pPr>
      <w:r>
        <w:tab/>
        <w:t xml:space="preserve">[Section 101 amended by No. 10 of 1982 s. 28; No. 100 of 1985 s. 75; No. 37 of 1993 s. 27; No. 10 of 2001 s. 135; No. 15 of 2002 s. 23.] </w:t>
      </w:r>
    </w:p>
    <w:p>
      <w:pPr>
        <w:pStyle w:val="Heading3"/>
        <w:rPr>
          <w:snapToGrid w:val="0"/>
        </w:rPr>
      </w:pPr>
      <w:bookmarkStart w:id="880" w:name="_Toc87427676"/>
      <w:bookmarkStart w:id="881" w:name="_Toc87851251"/>
      <w:bookmarkStart w:id="882" w:name="_Toc88295474"/>
      <w:bookmarkStart w:id="883" w:name="_Toc89519133"/>
      <w:bookmarkStart w:id="884" w:name="_Toc90869258"/>
      <w:bookmarkStart w:id="885" w:name="_Toc91408030"/>
      <w:bookmarkStart w:id="886" w:name="_Toc92863774"/>
      <w:bookmarkStart w:id="887" w:name="_Toc95015142"/>
      <w:bookmarkStart w:id="888" w:name="_Toc95106849"/>
      <w:bookmarkStart w:id="889" w:name="_Toc97018649"/>
      <w:bookmarkStart w:id="890" w:name="_Toc101693602"/>
      <w:bookmarkStart w:id="891" w:name="_Toc103130472"/>
      <w:bookmarkStart w:id="892" w:name="_Toc104711122"/>
      <w:bookmarkStart w:id="893" w:name="_Toc121560107"/>
      <w:bookmarkStart w:id="894" w:name="_Toc122328548"/>
      <w:bookmarkStart w:id="895" w:name="_Toc124061167"/>
      <w:bookmarkStart w:id="896" w:name="_Toc124140022"/>
      <w:r>
        <w:rPr>
          <w:rStyle w:val="CharDivNo"/>
        </w:rPr>
        <w:t>Division 7</w:t>
      </w:r>
      <w:r>
        <w:rPr>
          <w:snapToGrid w:val="0"/>
        </w:rPr>
        <w:t> — </w:t>
      </w:r>
      <w:r>
        <w:rPr>
          <w:rStyle w:val="CharDivText"/>
        </w:rPr>
        <w:t>Exemption from expenditure conditions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rPr>
          <w:snapToGrid w:val="0"/>
        </w:rPr>
      </w:pPr>
      <w:bookmarkStart w:id="897" w:name="_Toc520088007"/>
      <w:bookmarkStart w:id="898" w:name="_Toc523620642"/>
      <w:bookmarkStart w:id="899" w:name="_Toc38853795"/>
      <w:bookmarkStart w:id="900" w:name="_Toc124061168"/>
      <w:bookmarkStart w:id="901" w:name="_Toc124140023"/>
      <w:r>
        <w:rPr>
          <w:rStyle w:val="CharSectno"/>
        </w:rPr>
        <w:t>102</w:t>
      </w:r>
      <w:r>
        <w:rPr>
          <w:snapToGrid w:val="0"/>
        </w:rPr>
        <w:t>.</w:t>
      </w:r>
      <w:r>
        <w:rPr>
          <w:snapToGrid w:val="0"/>
        </w:rPr>
        <w:tab/>
        <w:t>Exemption from expenditure conditions</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An application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rPr>
          <w:snapToGrid w:val="0"/>
        </w:rPr>
      </w:pPr>
      <w:r>
        <w:rPr>
          <w:snapToGrid w:val="0"/>
        </w:rPr>
        <w:tab/>
        <w:t>(h)</w:t>
      </w:r>
      <w:r>
        <w:rPr>
          <w:snapToGrid w:val="0"/>
        </w:rPr>
        <w:tab/>
        <w:t>that the mining tenement is comprised within a project involving more than one tenement, and that expenditure on a tenement or tenements comprised in that project would have been such as to satisfy the expenditure requirements in relation to the tenement concerned had that aggregate expenditure been apportioned in respect of the various tenements comprised in the project.</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w:t>
      </w:r>
    </w:p>
    <w:p>
      <w:pPr>
        <w:pStyle w:val="Heading5"/>
        <w:rPr>
          <w:snapToGrid w:val="0"/>
        </w:rPr>
      </w:pPr>
      <w:bookmarkStart w:id="902" w:name="_Toc520088008"/>
      <w:bookmarkStart w:id="903" w:name="_Toc523620643"/>
      <w:bookmarkStart w:id="904" w:name="_Toc38853796"/>
      <w:bookmarkStart w:id="905" w:name="_Toc124061169"/>
      <w:bookmarkStart w:id="906" w:name="_Toc124140024"/>
      <w:r>
        <w:rPr>
          <w:rStyle w:val="CharSectno"/>
        </w:rPr>
        <w:t>102A</w:t>
      </w:r>
      <w:r>
        <w:rPr>
          <w:snapToGrid w:val="0"/>
        </w:rPr>
        <w:t>.</w:t>
      </w:r>
      <w:r>
        <w:rPr>
          <w:snapToGrid w:val="0"/>
        </w:rPr>
        <w:tab/>
        <w:t>Exemption from expenditure conditions in respect of certain holders of exploration licences</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907" w:name="_Toc520088009"/>
      <w:bookmarkStart w:id="908" w:name="_Toc523620644"/>
      <w:bookmarkStart w:id="909" w:name="_Toc38853797"/>
      <w:bookmarkStart w:id="910" w:name="_Toc124061170"/>
      <w:bookmarkStart w:id="911" w:name="_Toc124140025"/>
      <w:r>
        <w:rPr>
          <w:rStyle w:val="CharSectno"/>
        </w:rPr>
        <w:t>103</w:t>
      </w:r>
      <w:r>
        <w:rPr>
          <w:snapToGrid w:val="0"/>
        </w:rPr>
        <w:t>.</w:t>
      </w:r>
      <w:r>
        <w:rPr>
          <w:snapToGrid w:val="0"/>
        </w:rPr>
        <w:tab/>
        <w:t>Effect of exemption</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Heading3"/>
        <w:rPr>
          <w:snapToGrid w:val="0"/>
        </w:rPr>
      </w:pPr>
      <w:bookmarkStart w:id="912" w:name="_Toc87427680"/>
      <w:bookmarkStart w:id="913" w:name="_Toc87851255"/>
      <w:bookmarkStart w:id="914" w:name="_Toc88295478"/>
      <w:bookmarkStart w:id="915" w:name="_Toc89519137"/>
      <w:bookmarkStart w:id="916" w:name="_Toc90869262"/>
      <w:bookmarkStart w:id="917" w:name="_Toc91408034"/>
      <w:bookmarkStart w:id="918" w:name="_Toc92863778"/>
      <w:bookmarkStart w:id="919" w:name="_Toc95015146"/>
      <w:bookmarkStart w:id="920" w:name="_Toc95106853"/>
      <w:bookmarkStart w:id="921" w:name="_Toc97018653"/>
      <w:bookmarkStart w:id="922" w:name="_Toc101693606"/>
      <w:bookmarkStart w:id="923" w:name="_Toc103130476"/>
      <w:bookmarkStart w:id="924" w:name="_Toc104711126"/>
      <w:bookmarkStart w:id="925" w:name="_Toc121560111"/>
      <w:bookmarkStart w:id="926" w:name="_Toc122328552"/>
      <w:bookmarkStart w:id="927" w:name="_Toc124061171"/>
      <w:bookmarkStart w:id="928" w:name="_Toc124140026"/>
      <w:r>
        <w:rPr>
          <w:rStyle w:val="CharDivNo"/>
        </w:rPr>
        <w:t>Division 8</w:t>
      </w:r>
      <w:r>
        <w:rPr>
          <w:snapToGrid w:val="0"/>
        </w:rPr>
        <w:t> — </w:t>
      </w:r>
      <w:r>
        <w:rPr>
          <w:rStyle w:val="CharDivText"/>
        </w:rPr>
        <w:t>Registration of documents affecting tenements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DivText"/>
        </w:rPr>
        <w:t xml:space="preserve"> </w:t>
      </w:r>
    </w:p>
    <w:p>
      <w:pPr>
        <w:pStyle w:val="Footnoteheading"/>
        <w:rPr>
          <w:snapToGrid w:val="0"/>
        </w:rPr>
      </w:pPr>
      <w:r>
        <w:rPr>
          <w:snapToGrid w:val="0"/>
        </w:rPr>
        <w:t xml:space="preserve">[Heading inserted by No. 105 of 1986 s. 15.] </w:t>
      </w:r>
    </w:p>
    <w:p>
      <w:pPr>
        <w:pStyle w:val="Heading5"/>
        <w:rPr>
          <w:snapToGrid w:val="0"/>
        </w:rPr>
      </w:pPr>
      <w:bookmarkStart w:id="929" w:name="_Toc520088010"/>
      <w:bookmarkStart w:id="930" w:name="_Toc523620645"/>
      <w:bookmarkStart w:id="931" w:name="_Toc38853798"/>
      <w:bookmarkStart w:id="932" w:name="_Toc124061172"/>
      <w:bookmarkStart w:id="933" w:name="_Toc124140027"/>
      <w:r>
        <w:rPr>
          <w:rStyle w:val="CharSectno"/>
        </w:rPr>
        <w:t>103A</w:t>
      </w:r>
      <w:r>
        <w:rPr>
          <w:snapToGrid w:val="0"/>
        </w:rPr>
        <w:t>.</w:t>
      </w:r>
      <w:r>
        <w:rPr>
          <w:snapToGrid w:val="0"/>
        </w:rPr>
        <w:tab/>
        <w:t>Time of lodgement to be taken as time of registration</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Where an instrument creating, assigning or surrendering a legal or equitable interest in a mining tenement or an instrument withdrawing an application for the grant of a mining tenement is required to be registered under this Act it shall be lodged for registration in such manner as may be prescribed in relation to an instrument of that kind, and, subject to section 122(3), the time and date of lodgement shall, unless subsection (3) applies or the regulations otherwise provide, be entered in the register as the time and date at which registration was effected.</w:t>
      </w:r>
    </w:p>
    <w:p>
      <w:pPr>
        <w:pStyle w:val="Subsection"/>
        <w:rPr>
          <w:snapToGrid w:val="0"/>
        </w:rPr>
      </w:pPr>
      <w:r>
        <w:rPr>
          <w:snapToGrid w:val="0"/>
        </w:rPr>
        <w:tab/>
        <w:t>(2)</w:t>
      </w:r>
      <w:r>
        <w:rPr>
          <w:snapToGrid w:val="0"/>
        </w:rPr>
        <w:tab/>
        <w:t>On and after the coming into operation of this section, no — </w:t>
      </w:r>
    </w:p>
    <w:p>
      <w:pPr>
        <w:pStyle w:val="Indenta"/>
        <w:rPr>
          <w:snapToGrid w:val="0"/>
        </w:rPr>
      </w:pPr>
      <w:r>
        <w:rPr>
          <w:snapToGrid w:val="0"/>
        </w:rPr>
        <w:tab/>
        <w:t>(a)</w:t>
      </w:r>
      <w:r>
        <w:rPr>
          <w:snapToGrid w:val="0"/>
        </w:rPr>
        <w:tab/>
        <w:t>mining tenement granted; or</w:t>
      </w:r>
    </w:p>
    <w:p>
      <w:pPr>
        <w:pStyle w:val="Indenta"/>
        <w:rPr>
          <w:snapToGrid w:val="0"/>
        </w:rPr>
      </w:pPr>
      <w:r>
        <w:rPr>
          <w:snapToGrid w:val="0"/>
        </w:rPr>
        <w:tab/>
        <w:t>(b)</w:t>
      </w:r>
      <w:r>
        <w:rPr>
          <w:snapToGrid w:val="0"/>
        </w:rPr>
        <w:tab/>
        <w:t>application for a mining tenement made or marked off, but not determined,</w:t>
      </w:r>
    </w:p>
    <w:p>
      <w:pPr>
        <w:pStyle w:val="Subsection"/>
        <w:rPr>
          <w:snapToGrid w:val="0"/>
        </w:rPr>
      </w:pPr>
      <w:r>
        <w:rPr>
          <w:snapToGrid w:val="0"/>
        </w:rPr>
        <w:tab/>
      </w:r>
      <w:r>
        <w:rPr>
          <w:snapToGrid w:val="0"/>
        </w:rPr>
        <w:tab/>
        <w:t>shall be taken to be, or to have been, invalid by reason only that the land in question was not open for mining where, had subsection (1) been enacted at that time, a surrender lodged in respect of that land would be deemed to have been registered and the land would have been open for mining.</w:t>
      </w:r>
    </w:p>
    <w:p>
      <w:pPr>
        <w:pStyle w:val="Subsection"/>
        <w:rPr>
          <w:snapToGrid w:val="0"/>
        </w:rPr>
      </w:pPr>
      <w:r>
        <w:rPr>
          <w:snapToGrid w:val="0"/>
        </w:rPr>
        <w:tab/>
        <w:t>(3)</w:t>
      </w:r>
      <w:r>
        <w:rPr>
          <w:snapToGrid w:val="0"/>
        </w:rPr>
        <w:tab/>
        <w:t>Where an instrument is lodged for registration and the document is, in the opinion of an authorised officer, erroneous or defective he may reject the lodgement but where he is of the opinion that the error or defect can be corrected he shall accept the instrument for provisional lodgement.</w:t>
      </w:r>
    </w:p>
    <w:p>
      <w:pPr>
        <w:pStyle w:val="Subsection"/>
        <w:rPr>
          <w:snapToGrid w:val="0"/>
        </w:rPr>
      </w:pPr>
      <w:r>
        <w:rPr>
          <w:snapToGrid w:val="0"/>
        </w:rPr>
        <w:tab/>
        <w:t>(4)</w:t>
      </w:r>
      <w:r>
        <w:rPr>
          <w:snapToGrid w:val="0"/>
        </w:rPr>
        <w:tab/>
        <w:t>Neither the Minister nor a person acting under his direction or authority is concerned with the effect any instrument lodged pursuant to this Act may have at law other than for the purposes of this Act, nor does the acceptance of any such instrument for registration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(5)</w:t>
      </w:r>
      <w:r>
        <w:rPr>
          <w:snapToGrid w:val="0"/>
        </w:rPr>
        <w:tab/>
        <w:t>Regulations under this Act may make provision in respect of the dating or effect to be given to the provisional lodgement for registration of an instrument.</w:t>
      </w:r>
    </w:p>
    <w:p>
      <w:pPr>
        <w:pStyle w:val="Footnotesection"/>
      </w:pPr>
      <w:r>
        <w:tab/>
        <w:t xml:space="preserve">[Section 103A inserted by No. 105 of 1986 s. 15; amended by No. 37 of 1993 s. 15.] </w:t>
      </w:r>
    </w:p>
    <w:p>
      <w:pPr>
        <w:pStyle w:val="Heading2"/>
      </w:pPr>
      <w:bookmarkStart w:id="934" w:name="_Toc87427682"/>
      <w:bookmarkStart w:id="935" w:name="_Toc87851257"/>
      <w:bookmarkStart w:id="936" w:name="_Toc88295480"/>
      <w:bookmarkStart w:id="937" w:name="_Toc89519139"/>
      <w:bookmarkStart w:id="938" w:name="_Toc90869264"/>
      <w:bookmarkStart w:id="939" w:name="_Toc91408036"/>
      <w:bookmarkStart w:id="940" w:name="_Toc92863780"/>
      <w:bookmarkStart w:id="941" w:name="_Toc95015148"/>
      <w:bookmarkStart w:id="942" w:name="_Toc95106855"/>
      <w:bookmarkStart w:id="943" w:name="_Toc97018655"/>
      <w:bookmarkStart w:id="944" w:name="_Toc101693608"/>
      <w:bookmarkStart w:id="945" w:name="_Toc103130478"/>
      <w:bookmarkStart w:id="946" w:name="_Toc104711128"/>
      <w:bookmarkStart w:id="947" w:name="_Toc121560113"/>
      <w:bookmarkStart w:id="948" w:name="_Toc122328554"/>
      <w:bookmarkStart w:id="949" w:name="_Toc124061173"/>
      <w:bookmarkStart w:id="950" w:name="_Toc124140028"/>
      <w:r>
        <w:rPr>
          <w:rStyle w:val="CharPartNo"/>
        </w:rPr>
        <w:t>Part V</w:t>
      </w:r>
      <w:r>
        <w:rPr>
          <w:rStyle w:val="CharDivNo"/>
        </w:rPr>
        <w:t> </w:t>
      </w:r>
      <w:r>
        <w:t>—</w:t>
      </w:r>
      <w:r>
        <w:rPr>
          <w:rStyle w:val="CharDivText"/>
        </w:rPr>
        <w:t> </w:t>
      </w:r>
      <w:r>
        <w:rPr>
          <w:rStyle w:val="CharPartText"/>
        </w:rPr>
        <w:t>General provisions relating to mining and mining tenements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PartText"/>
        </w:rPr>
        <w:t xml:space="preserve"> </w:t>
      </w:r>
    </w:p>
    <w:p>
      <w:pPr>
        <w:pStyle w:val="Heading5"/>
        <w:rPr>
          <w:snapToGrid w:val="0"/>
        </w:rPr>
      </w:pPr>
      <w:bookmarkStart w:id="951" w:name="_Toc520088011"/>
      <w:bookmarkStart w:id="952" w:name="_Toc523620646"/>
      <w:bookmarkStart w:id="953" w:name="_Toc38853799"/>
      <w:bookmarkStart w:id="954" w:name="_Toc124061174"/>
      <w:bookmarkStart w:id="955" w:name="_Toc124140029"/>
      <w:r>
        <w:rPr>
          <w:rStyle w:val="CharSectno"/>
        </w:rPr>
        <w:t>104</w:t>
      </w:r>
      <w:r>
        <w:rPr>
          <w:snapToGrid w:val="0"/>
        </w:rPr>
        <w:t>.</w:t>
      </w:r>
      <w:r>
        <w:rPr>
          <w:snapToGrid w:val="0"/>
        </w:rPr>
        <w:tab/>
        <w:t>Entry on land for purpose of marking out, etc.</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956" w:name="_Toc520088012"/>
      <w:bookmarkStart w:id="957" w:name="_Toc523620647"/>
      <w:bookmarkStart w:id="958" w:name="_Toc38853800"/>
      <w:bookmarkStart w:id="959" w:name="_Toc124061175"/>
      <w:bookmarkStart w:id="960" w:name="_Toc124140030"/>
      <w:r>
        <w:rPr>
          <w:rStyle w:val="CharSectno"/>
        </w:rPr>
        <w:t>105</w:t>
      </w:r>
      <w:r>
        <w:rPr>
          <w:snapToGrid w:val="0"/>
        </w:rPr>
        <w:t>.</w:t>
      </w:r>
      <w:r>
        <w:rPr>
          <w:snapToGrid w:val="0"/>
        </w:rPr>
        <w:tab/>
        <w:t>Marking out of mining tenement</w:t>
      </w:r>
      <w:bookmarkEnd w:id="956"/>
      <w:bookmarkEnd w:id="957"/>
      <w:bookmarkEnd w:id="958"/>
      <w:bookmarkEnd w:id="959"/>
      <w:bookmarkEnd w:id="960"/>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961" w:name="_Toc520088013"/>
      <w:bookmarkStart w:id="962" w:name="_Toc523620648"/>
      <w:bookmarkStart w:id="963" w:name="_Toc38853801"/>
      <w:bookmarkStart w:id="964" w:name="_Toc124061176"/>
      <w:bookmarkStart w:id="965" w:name="_Toc124140031"/>
      <w:r>
        <w:rPr>
          <w:rStyle w:val="CharSectno"/>
        </w:rPr>
        <w:t>105A</w:t>
      </w:r>
      <w:r>
        <w:rPr>
          <w:snapToGrid w:val="0"/>
        </w:rPr>
        <w:t>.</w:t>
      </w:r>
      <w:r>
        <w:rPr>
          <w:snapToGrid w:val="0"/>
        </w:rPr>
        <w:tab/>
        <w:t>Priorities between applicants for certain tenements</w:t>
      </w:r>
      <w:bookmarkEnd w:id="961"/>
      <w:bookmarkEnd w:id="962"/>
      <w:bookmarkEnd w:id="963"/>
      <w:bookmarkEnd w:id="964"/>
      <w:bookmarkEnd w:id="965"/>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(ii) or (iii) applies, to marking out the land concerned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w:t>
      </w:r>
    </w:p>
    <w:p>
      <w:pPr>
        <w:pStyle w:val="Heading5"/>
        <w:rPr>
          <w:snapToGrid w:val="0"/>
        </w:rPr>
      </w:pPr>
      <w:bookmarkStart w:id="966" w:name="_Toc520088014"/>
      <w:bookmarkStart w:id="967" w:name="_Toc523620649"/>
      <w:bookmarkStart w:id="968" w:name="_Toc38853802"/>
      <w:bookmarkStart w:id="969" w:name="_Toc124061177"/>
      <w:bookmarkStart w:id="970" w:name="_Toc124140032"/>
      <w:r>
        <w:rPr>
          <w:rStyle w:val="CharSectno"/>
        </w:rPr>
        <w:t>105B</w:t>
      </w:r>
      <w:r>
        <w:rPr>
          <w:snapToGrid w:val="0"/>
        </w:rPr>
        <w:t>.</w:t>
      </w:r>
      <w:r>
        <w:rPr>
          <w:snapToGrid w:val="0"/>
        </w:rPr>
        <w:tab/>
        <w:t>Grant of tenement subject to survey</w:t>
      </w:r>
      <w:bookmarkEnd w:id="966"/>
      <w:bookmarkEnd w:id="967"/>
      <w:bookmarkEnd w:id="968"/>
      <w:bookmarkEnd w:id="969"/>
      <w:bookmarkEnd w:id="970"/>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971" w:name="_Toc520088015"/>
      <w:bookmarkStart w:id="972" w:name="_Toc523620650"/>
      <w:bookmarkStart w:id="973" w:name="_Toc38853803"/>
      <w:bookmarkStart w:id="974" w:name="_Toc124061178"/>
      <w:bookmarkStart w:id="975" w:name="_Toc124140033"/>
      <w:r>
        <w:rPr>
          <w:rStyle w:val="CharSectno"/>
        </w:rPr>
        <w:t>106</w:t>
      </w:r>
      <w:r>
        <w:rPr>
          <w:snapToGrid w:val="0"/>
        </w:rPr>
        <w:t>.</w:t>
      </w:r>
      <w:r>
        <w:rPr>
          <w:snapToGrid w:val="0"/>
        </w:rPr>
        <w:tab/>
        <w:t>Offence of destroying marks or obstructing surveyor, etc.</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976" w:name="_Toc520088016"/>
      <w:bookmarkStart w:id="977" w:name="_Toc523620651"/>
      <w:bookmarkStart w:id="978" w:name="_Toc38853804"/>
      <w:bookmarkStart w:id="979" w:name="_Toc124061179"/>
      <w:bookmarkStart w:id="980" w:name="_Toc124140034"/>
      <w:r>
        <w:rPr>
          <w:rStyle w:val="CharSectno"/>
        </w:rPr>
        <w:t>107</w:t>
      </w:r>
      <w:r>
        <w:rPr>
          <w:snapToGrid w:val="0"/>
        </w:rPr>
        <w:t>.</w:t>
      </w:r>
      <w:r>
        <w:rPr>
          <w:snapToGrid w:val="0"/>
        </w:rPr>
        <w:tab/>
        <w:t>Areas covered by water not required to be marked out</w:t>
      </w:r>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981" w:name="_Toc520088017"/>
      <w:bookmarkStart w:id="982" w:name="_Toc523620652"/>
      <w:bookmarkStart w:id="983" w:name="_Toc38853805"/>
      <w:bookmarkStart w:id="984" w:name="_Toc124061180"/>
      <w:bookmarkStart w:id="985" w:name="_Toc124140035"/>
      <w:r>
        <w:rPr>
          <w:rStyle w:val="CharSectno"/>
        </w:rPr>
        <w:t>108</w:t>
      </w:r>
      <w:r>
        <w:rPr>
          <w:snapToGrid w:val="0"/>
        </w:rPr>
        <w:t>.</w:t>
      </w:r>
      <w:r>
        <w:rPr>
          <w:snapToGrid w:val="0"/>
        </w:rPr>
        <w:tab/>
        <w:t>Rent payable for mining tenement</w:t>
      </w:r>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986" w:name="_Toc520088018"/>
      <w:bookmarkStart w:id="987" w:name="_Toc523620653"/>
      <w:bookmarkStart w:id="988" w:name="_Toc38853806"/>
      <w:bookmarkStart w:id="989" w:name="_Toc124061181"/>
      <w:bookmarkStart w:id="990" w:name="_Toc124140036"/>
      <w:r>
        <w:rPr>
          <w:rStyle w:val="CharSectno"/>
        </w:rPr>
        <w:t>109</w:t>
      </w:r>
      <w:r>
        <w:rPr>
          <w:snapToGrid w:val="0"/>
        </w:rPr>
        <w:t>.</w:t>
      </w:r>
      <w:r>
        <w:rPr>
          <w:snapToGrid w:val="0"/>
        </w:rPr>
        <w:tab/>
        <w:t>Royalties</w:t>
      </w:r>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keepNext/>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991" w:name="_Toc520088019"/>
      <w:bookmarkStart w:id="992" w:name="_Toc523620654"/>
      <w:bookmarkStart w:id="993" w:name="_Toc38853807"/>
      <w:bookmarkStart w:id="994" w:name="_Toc124061182"/>
      <w:bookmarkStart w:id="995" w:name="_Toc124140037"/>
      <w:r>
        <w:rPr>
          <w:rStyle w:val="CharSectno"/>
        </w:rPr>
        <w:t>109A</w:t>
      </w:r>
      <w:r>
        <w:rPr>
          <w:snapToGrid w:val="0"/>
        </w:rPr>
        <w:t>.</w:t>
      </w:r>
      <w:r>
        <w:rPr>
          <w:snapToGrid w:val="0"/>
        </w:rPr>
        <w:tab/>
        <w:t>Verification of royalties payable</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keepNext/>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rPr>
          <w:snapToGrid w:val="0"/>
        </w:rPr>
      </w:pPr>
      <w:r>
        <w:rPr>
          <w:snapToGrid w:val="0"/>
        </w:rPr>
        <w:tab/>
        <w:t>(b)</w:t>
      </w:r>
      <w:r>
        <w:rPr>
          <w:snapToGrid w:val="0"/>
        </w:rPr>
        <w:tab/>
        <w:t>that person may by notice in writing be required to pay to the Minister —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pPr>
      <w:r>
        <w:tab/>
        <w:t xml:space="preserve">[Section 109A inserted by No. 22 of 1990 s. 35; amended by No. 37 of 1993 s. 27; No. 10 of 2001 s. 136.] </w:t>
      </w:r>
    </w:p>
    <w:p>
      <w:pPr>
        <w:pStyle w:val="Heading5"/>
        <w:rPr>
          <w:snapToGrid w:val="0"/>
        </w:rPr>
      </w:pPr>
      <w:bookmarkStart w:id="996" w:name="_Toc520088020"/>
      <w:bookmarkStart w:id="997" w:name="_Toc523620655"/>
      <w:bookmarkStart w:id="998" w:name="_Toc38853808"/>
      <w:bookmarkStart w:id="999" w:name="_Toc124061183"/>
      <w:bookmarkStart w:id="1000" w:name="_Toc124140038"/>
      <w:r>
        <w:rPr>
          <w:rStyle w:val="CharSectno"/>
        </w:rPr>
        <w:t>110</w:t>
      </w:r>
      <w:r>
        <w:rPr>
          <w:snapToGrid w:val="0"/>
        </w:rPr>
        <w:t>.</w:t>
      </w:r>
      <w:r>
        <w:rPr>
          <w:snapToGrid w:val="0"/>
        </w:rPr>
        <w:tab/>
        <w:t>Mining lease restricted to certain minerals</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pPr>
      <w:r>
        <w:tab/>
        <w:t>[Section 110 amended by No. 57 of 1997 s. 89(4).]</w:t>
      </w:r>
    </w:p>
    <w:p>
      <w:pPr>
        <w:pStyle w:val="Heading5"/>
        <w:rPr>
          <w:snapToGrid w:val="0"/>
        </w:rPr>
      </w:pPr>
      <w:bookmarkStart w:id="1001" w:name="_Toc520088021"/>
      <w:bookmarkStart w:id="1002" w:name="_Toc523620656"/>
      <w:bookmarkStart w:id="1003" w:name="_Toc38853809"/>
      <w:bookmarkStart w:id="1004" w:name="_Toc124061184"/>
      <w:bookmarkStart w:id="1005" w:name="_Toc124140039"/>
      <w:r>
        <w:rPr>
          <w:rStyle w:val="CharSectno"/>
        </w:rPr>
        <w:t>111</w:t>
      </w:r>
      <w:r>
        <w:rPr>
          <w:snapToGrid w:val="0"/>
        </w:rPr>
        <w:t>.</w:t>
      </w:r>
      <w:r>
        <w:rPr>
          <w:snapToGrid w:val="0"/>
        </w:rPr>
        <w:tab/>
        <w:t>Power of Minister to exclude mining for iron from mining tenements</w:t>
      </w:r>
      <w:bookmarkEnd w:id="1001"/>
      <w:bookmarkEnd w:id="1002"/>
      <w:bookmarkEnd w:id="1003"/>
      <w:bookmarkEnd w:id="1004"/>
      <w:bookmarkEnd w:id="1005"/>
      <w:r>
        <w:rPr>
          <w:snapToGrid w:val="0"/>
        </w:rPr>
        <w:t xml:space="preserve"> </w:t>
      </w:r>
    </w:p>
    <w:p>
      <w:pPr>
        <w:pStyle w:val="Subsection"/>
        <w:keepNext/>
        <w:rPr>
          <w:snapToGrid w:val="0"/>
        </w:rPr>
      </w:pPr>
      <w:r>
        <w:rPr>
          <w:snapToGrid w:val="0"/>
        </w:rPr>
        <w:tab/>
      </w:r>
      <w:r>
        <w:rPr>
          <w:snapToGrid w:val="0"/>
        </w:rPr>
        <w:tab/>
        <w:t>Notwithstanding the provisions of sections 48, 66, 70J and 85 — </w:t>
      </w:r>
    </w:p>
    <w:p>
      <w:pPr>
        <w:pStyle w:val="Indenta"/>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006" w:name="_Toc520088022"/>
      <w:bookmarkStart w:id="1007" w:name="_Toc523620657"/>
      <w:bookmarkStart w:id="1008" w:name="_Toc38853810"/>
      <w:bookmarkStart w:id="1009" w:name="_Toc124061185"/>
      <w:bookmarkStart w:id="1010" w:name="_Toc124140040"/>
      <w:r>
        <w:rPr>
          <w:rStyle w:val="CharSectno"/>
        </w:rPr>
        <w:t>111A</w:t>
      </w:r>
      <w:r>
        <w:rPr>
          <w:snapToGrid w:val="0"/>
        </w:rPr>
        <w:t>.</w:t>
      </w:r>
      <w:r>
        <w:rPr>
          <w:snapToGrid w:val="0"/>
        </w:rPr>
        <w:tab/>
        <w:t>Minister may terminate or summarily refuse certain applications</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spacing w:before="120"/>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spacing w:before="120"/>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spacing w:before="120"/>
        <w:rPr>
          <w:snapToGrid w:val="0"/>
        </w:rPr>
      </w:pPr>
      <w:r>
        <w:rPr>
          <w:snapToGrid w:val="0"/>
        </w:rPr>
        <w:tab/>
        <w:t>(4)</w:t>
      </w:r>
      <w:r>
        <w:rPr>
          <w:snapToGrid w:val="0"/>
        </w:rPr>
        <w:tab/>
        <w:t>The powers conferred by subsection (1) are in addition to any other powers of the Minister under this Act.</w:t>
      </w:r>
    </w:p>
    <w:p>
      <w:pPr>
        <w:pStyle w:val="Footnotesection"/>
      </w:pPr>
      <w:r>
        <w:tab/>
        <w:t xml:space="preserve">[Section 111A inserted by No. 58 of 1994 s. 44.] </w:t>
      </w:r>
    </w:p>
    <w:p>
      <w:pPr>
        <w:pStyle w:val="Heading5"/>
        <w:spacing w:before="120"/>
        <w:rPr>
          <w:snapToGrid w:val="0"/>
        </w:rPr>
      </w:pPr>
      <w:bookmarkStart w:id="1011" w:name="_Toc520088023"/>
      <w:bookmarkStart w:id="1012" w:name="_Toc523620658"/>
      <w:bookmarkStart w:id="1013" w:name="_Toc38853811"/>
      <w:bookmarkStart w:id="1014" w:name="_Toc124061186"/>
      <w:bookmarkStart w:id="1015" w:name="_Toc124140041"/>
      <w:r>
        <w:rPr>
          <w:rStyle w:val="CharSectno"/>
        </w:rPr>
        <w:t>112</w:t>
      </w:r>
      <w:r>
        <w:rPr>
          <w:snapToGrid w:val="0"/>
        </w:rPr>
        <w:t>.</w:t>
      </w:r>
      <w:r>
        <w:rPr>
          <w:snapToGrid w:val="0"/>
        </w:rPr>
        <w:tab/>
        <w:t>Reservation in favour of Crown on prospecting licence or exploration licence to take rock, etc.</w:t>
      </w:r>
      <w:bookmarkEnd w:id="1011"/>
      <w:bookmarkEnd w:id="1012"/>
      <w:bookmarkEnd w:id="1013"/>
      <w:bookmarkEnd w:id="1014"/>
      <w:bookmarkEnd w:id="1015"/>
      <w:r>
        <w:rPr>
          <w:snapToGrid w:val="0"/>
        </w:rPr>
        <w:t xml:space="preserve"> </w:t>
      </w:r>
    </w:p>
    <w:p>
      <w:pPr>
        <w:pStyle w:val="Subsection"/>
        <w:spacing w:before="120"/>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pPr>
      <w:r>
        <w:tab/>
        <w:t xml:space="preserve">[Section 112 amended by No. 69 of 1981 s. 26.] </w:t>
      </w:r>
    </w:p>
    <w:p>
      <w:pPr>
        <w:pStyle w:val="Heading5"/>
        <w:rPr>
          <w:snapToGrid w:val="0"/>
        </w:rPr>
      </w:pPr>
      <w:bookmarkStart w:id="1016" w:name="_Toc520088024"/>
      <w:bookmarkStart w:id="1017" w:name="_Toc523620659"/>
      <w:bookmarkStart w:id="1018" w:name="_Toc38853812"/>
      <w:bookmarkStart w:id="1019" w:name="_Toc124061187"/>
      <w:bookmarkStart w:id="1020" w:name="_Toc124140042"/>
      <w:r>
        <w:rPr>
          <w:rStyle w:val="CharSectno"/>
        </w:rPr>
        <w:t>113</w:t>
      </w:r>
      <w:r>
        <w:rPr>
          <w:snapToGrid w:val="0"/>
        </w:rPr>
        <w:t>.</w:t>
      </w:r>
      <w:r>
        <w:rPr>
          <w:snapToGrid w:val="0"/>
        </w:rPr>
        <w:tab/>
        <w:t>Repossession of land on expiry, etc., of mining tenement</w:t>
      </w:r>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rPr>
          <w:snapToGrid w:val="0"/>
        </w:rPr>
      </w:pPr>
      <w:bookmarkStart w:id="1021" w:name="_Toc520088025"/>
      <w:bookmarkStart w:id="1022" w:name="_Toc523620660"/>
      <w:bookmarkStart w:id="1023" w:name="_Toc38853813"/>
      <w:bookmarkStart w:id="1024" w:name="_Toc124061188"/>
      <w:bookmarkStart w:id="1025" w:name="_Toc124140043"/>
      <w:r>
        <w:rPr>
          <w:rStyle w:val="CharSectno"/>
        </w:rPr>
        <w:t>114</w:t>
      </w:r>
      <w:r>
        <w:rPr>
          <w:snapToGrid w:val="0"/>
        </w:rPr>
        <w:t>.</w:t>
      </w:r>
      <w:r>
        <w:rPr>
          <w:snapToGrid w:val="0"/>
        </w:rPr>
        <w:tab/>
        <w:t>Removal of buildings etc., on expiry etc., of mining tenement</w:t>
      </w:r>
      <w:bookmarkEnd w:id="1021"/>
      <w:bookmarkEnd w:id="1022"/>
      <w:bookmarkEnd w:id="1023"/>
      <w:bookmarkEnd w:id="1024"/>
      <w:bookmarkEnd w:id="102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spacing w:before="240"/>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spacing w:before="240"/>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spacing w:before="240"/>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spacing w:before="240"/>
        <w:rPr>
          <w:snapToGrid w:val="0"/>
        </w:rPr>
      </w:pPr>
      <w:r>
        <w:rPr>
          <w:snapToGrid w:val="0"/>
        </w:rPr>
        <w:tab/>
        <w:t>(7)</w:t>
      </w:r>
      <w:r>
        <w:rPr>
          <w:snapToGrid w:val="0"/>
        </w:rPr>
        <w:tab/>
        <w:t>Where — </w:t>
      </w:r>
    </w:p>
    <w:p>
      <w:pPr>
        <w:pStyle w:val="Indenta"/>
        <w:spacing w:before="160"/>
        <w:rPr>
          <w:snapToGrid w:val="0"/>
        </w:rPr>
      </w:pPr>
      <w:r>
        <w:rPr>
          <w:snapToGrid w:val="0"/>
        </w:rPr>
        <w:tab/>
        <w:t>(a)</w:t>
      </w:r>
      <w:r>
        <w:rPr>
          <w:snapToGrid w:val="0"/>
        </w:rPr>
        <w:tab/>
        <w:t>a mining tenement expires or is surrendered in whole or in part or forfeited; and</w:t>
      </w:r>
    </w:p>
    <w:p>
      <w:pPr>
        <w:pStyle w:val="Indenta"/>
        <w:spacing w:before="160"/>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12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spacing w:before="12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pPr>
      <w:r>
        <w:tab/>
        <w:t xml:space="preserve">[Section 114 amended by No. 37 of 1993 s. 18.] </w:t>
      </w:r>
    </w:p>
    <w:p>
      <w:pPr>
        <w:pStyle w:val="Heading5"/>
        <w:rPr>
          <w:snapToGrid w:val="0"/>
        </w:rPr>
      </w:pPr>
      <w:bookmarkStart w:id="1026" w:name="_Toc520088026"/>
      <w:bookmarkStart w:id="1027" w:name="_Toc523620661"/>
      <w:bookmarkStart w:id="1028" w:name="_Toc38853814"/>
      <w:bookmarkStart w:id="1029" w:name="_Toc124061189"/>
      <w:bookmarkStart w:id="1030" w:name="_Toc124140044"/>
      <w:r>
        <w:rPr>
          <w:rStyle w:val="CharSectno"/>
        </w:rPr>
        <w:t>114A</w:t>
      </w:r>
      <w:r>
        <w:rPr>
          <w:snapToGrid w:val="0"/>
        </w:rPr>
        <w:t>.</w:t>
      </w:r>
      <w:r>
        <w:rPr>
          <w:snapToGrid w:val="0"/>
          <w:vertAlign w:val="superscript"/>
        </w:rPr>
        <w:tab/>
      </w:r>
      <w:r>
        <w:rPr>
          <w:snapToGrid w:val="0"/>
        </w:rPr>
        <w:t>Rights conferred under mining tenement exercisable in respect of mining product belonging to Crown</w:t>
      </w:r>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rPr>
          <w:snapToGrid w:val="0"/>
        </w:rPr>
      </w:pPr>
      <w:r>
        <w:rPr>
          <w:snapToGrid w:val="0"/>
        </w:rPr>
        <w:tab/>
      </w:r>
      <w:r>
        <w:rPr>
          <w:snapToGrid w:val="0"/>
        </w:rPr>
        <w:tab/>
        <w:t>by virtue of section 114(7) or clause 7(5) of the Second Schedule.</w:t>
      </w:r>
    </w:p>
    <w:p>
      <w:pPr>
        <w:pStyle w:val="Footnotesection"/>
      </w:pPr>
      <w:r>
        <w:tab/>
        <w:t xml:space="preserve">[Section 114A inserted by No. 37 of 1993 s. 19(1).] </w:t>
      </w:r>
    </w:p>
    <w:p>
      <w:pPr>
        <w:pStyle w:val="Heading5"/>
        <w:rPr>
          <w:snapToGrid w:val="0"/>
        </w:rPr>
      </w:pPr>
      <w:bookmarkStart w:id="1031" w:name="_Toc520088027"/>
      <w:bookmarkStart w:id="1032" w:name="_Toc523620662"/>
      <w:bookmarkStart w:id="1033" w:name="_Toc38853815"/>
      <w:bookmarkStart w:id="1034" w:name="_Toc124061190"/>
      <w:bookmarkStart w:id="1035" w:name="_Toc124140045"/>
      <w:r>
        <w:rPr>
          <w:rStyle w:val="CharSectno"/>
        </w:rPr>
        <w:t>115</w:t>
      </w:r>
      <w:r>
        <w:rPr>
          <w:snapToGrid w:val="0"/>
        </w:rPr>
        <w:t>.</w:t>
      </w:r>
      <w:r>
        <w:rPr>
          <w:snapToGrid w:val="0"/>
        </w:rPr>
        <w:tab/>
        <w:t>Power to enter on land for geological etc., surveys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pPr>
      <w:r>
        <w:tab/>
        <w:t xml:space="preserve">[Section 115 amended by No. 100 of 1985 s. 84.] </w:t>
      </w:r>
    </w:p>
    <w:p>
      <w:pPr>
        <w:pStyle w:val="Heading5"/>
        <w:rPr>
          <w:snapToGrid w:val="0"/>
        </w:rPr>
      </w:pPr>
      <w:bookmarkStart w:id="1036" w:name="_Toc520088028"/>
      <w:bookmarkStart w:id="1037" w:name="_Toc523620663"/>
      <w:bookmarkStart w:id="1038" w:name="_Toc38853816"/>
      <w:bookmarkStart w:id="1039" w:name="_Toc124061191"/>
      <w:bookmarkStart w:id="1040" w:name="_Toc124140046"/>
      <w:r>
        <w:rPr>
          <w:rStyle w:val="CharSectno"/>
        </w:rPr>
        <w:t>115A</w:t>
      </w:r>
      <w:r>
        <w:rPr>
          <w:snapToGrid w:val="0"/>
        </w:rPr>
        <w:t xml:space="preserve">. </w:t>
      </w:r>
      <w:r>
        <w:rPr>
          <w:snapToGrid w:val="0"/>
        </w:rPr>
        <w:tab/>
        <w:t>Mineral exploration reports</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rPr>
          <w:snapToGrid w:val="0"/>
        </w:rPr>
      </w:pPr>
      <w:bookmarkStart w:id="1041" w:name="_Toc520088029"/>
      <w:bookmarkStart w:id="1042" w:name="_Toc523620664"/>
      <w:bookmarkStart w:id="1043" w:name="_Toc38853817"/>
      <w:bookmarkStart w:id="1044" w:name="_Toc124061192"/>
      <w:bookmarkStart w:id="1045" w:name="_Toc124140047"/>
      <w:r>
        <w:rPr>
          <w:rStyle w:val="CharSectno"/>
        </w:rPr>
        <w:t>116</w:t>
      </w:r>
      <w:r>
        <w:rPr>
          <w:snapToGrid w:val="0"/>
        </w:rPr>
        <w:t>.</w:t>
      </w:r>
      <w:r>
        <w:rPr>
          <w:snapToGrid w:val="0"/>
        </w:rPr>
        <w:tab/>
        <w:t>Instrument of licence or lease</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applicant, or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Footnotesection"/>
      </w:pPr>
      <w:r>
        <w:tab/>
        <w:t xml:space="preserve">[Section 116 amended by No. 100 of 1985 s. 85.] </w:t>
      </w:r>
    </w:p>
    <w:p>
      <w:pPr>
        <w:pStyle w:val="Heading5"/>
        <w:rPr>
          <w:snapToGrid w:val="0"/>
        </w:rPr>
      </w:pPr>
      <w:bookmarkStart w:id="1046" w:name="_Toc520088030"/>
      <w:bookmarkStart w:id="1047" w:name="_Toc523620665"/>
      <w:bookmarkStart w:id="1048" w:name="_Toc38853818"/>
      <w:bookmarkStart w:id="1049" w:name="_Toc124061193"/>
      <w:bookmarkStart w:id="1050" w:name="_Toc124140048"/>
      <w:r>
        <w:rPr>
          <w:rStyle w:val="CharSectno"/>
        </w:rPr>
        <w:t>117</w:t>
      </w:r>
      <w:r>
        <w:rPr>
          <w:snapToGrid w:val="0"/>
        </w:rPr>
        <w:t>.</w:t>
      </w:r>
      <w:r>
        <w:rPr>
          <w:snapToGrid w:val="0"/>
        </w:rPr>
        <w:tab/>
        <w:t>Mining tenements protected</w:t>
      </w:r>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pPr>
      <w:r>
        <w:tab/>
        <w:t xml:space="preserve">[Section 117 amended by No. 100 of 1985 s. 86; No. 37 of 1993 s. 12(2); No. 31 of 1997 s. 71(17) and (18).] </w:t>
      </w:r>
    </w:p>
    <w:p>
      <w:pPr>
        <w:pStyle w:val="Heading5"/>
        <w:rPr>
          <w:snapToGrid w:val="0"/>
        </w:rPr>
      </w:pPr>
      <w:bookmarkStart w:id="1051" w:name="_Toc520088031"/>
      <w:bookmarkStart w:id="1052" w:name="_Toc523620666"/>
      <w:bookmarkStart w:id="1053" w:name="_Toc38853819"/>
      <w:bookmarkStart w:id="1054" w:name="_Toc124061194"/>
      <w:bookmarkStart w:id="1055" w:name="_Toc124140049"/>
      <w:r>
        <w:rPr>
          <w:rStyle w:val="CharSectno"/>
        </w:rPr>
        <w:t>118</w:t>
      </w:r>
      <w:r>
        <w:rPr>
          <w:snapToGrid w:val="0"/>
        </w:rPr>
        <w:t>.</w:t>
      </w:r>
      <w:r>
        <w:rPr>
          <w:snapToGrid w:val="0"/>
        </w:rPr>
        <w:tab/>
        <w:t>Notice of application to be given to lessee of pastoral lease</w:t>
      </w:r>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rPr>
          <w:snapToGrid w:val="0"/>
        </w:rPr>
      </w:pPr>
      <w:bookmarkStart w:id="1056" w:name="_Toc520088032"/>
      <w:bookmarkStart w:id="1057" w:name="_Toc523620667"/>
      <w:bookmarkStart w:id="1058" w:name="_Toc38853820"/>
      <w:bookmarkStart w:id="1059" w:name="_Toc124061195"/>
      <w:bookmarkStart w:id="1060" w:name="_Toc124140050"/>
      <w:r>
        <w:rPr>
          <w:rStyle w:val="CharSectno"/>
        </w:rPr>
        <w:t>119</w:t>
      </w:r>
      <w:r>
        <w:rPr>
          <w:snapToGrid w:val="0"/>
        </w:rPr>
        <w:t>.</w:t>
      </w:r>
      <w:r>
        <w:rPr>
          <w:snapToGrid w:val="0"/>
        </w:rPr>
        <w:tab/>
        <w:t>Mining tenement may be sold, etc.</w:t>
      </w:r>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061" w:name="_Toc520088033"/>
      <w:bookmarkStart w:id="1062" w:name="_Toc523620668"/>
      <w:bookmarkStart w:id="1063" w:name="_Toc38853821"/>
      <w:bookmarkStart w:id="1064" w:name="_Toc124061196"/>
      <w:bookmarkStart w:id="1065" w:name="_Toc124140051"/>
      <w:r>
        <w:rPr>
          <w:rStyle w:val="CharSectno"/>
        </w:rPr>
        <w:t>119A</w:t>
      </w:r>
      <w:r>
        <w:rPr>
          <w:snapToGrid w:val="0"/>
        </w:rPr>
        <w:t>.</w:t>
      </w:r>
      <w:r>
        <w:rPr>
          <w:snapToGrid w:val="0"/>
        </w:rPr>
        <w:tab/>
        <w:t>Mortgages of mining tenements</w:t>
      </w:r>
      <w:bookmarkEnd w:id="1061"/>
      <w:bookmarkEnd w:id="1062"/>
      <w:bookmarkEnd w:id="1063"/>
      <w:bookmarkEnd w:id="1064"/>
      <w:bookmarkEnd w:id="1065"/>
    </w:p>
    <w:p>
      <w:pPr>
        <w:pStyle w:val="Subsection"/>
        <w:spacing w:before="100"/>
        <w:rPr>
          <w:snapToGrid w:val="0"/>
        </w:rPr>
      </w:pPr>
      <w:r>
        <w:rPr>
          <w:snapToGrid w:val="0"/>
        </w:rPr>
        <w:tab/>
      </w:r>
      <w:r>
        <w:rPr>
          <w:snapToGrid w:val="0"/>
        </w:rPr>
        <w:tab/>
        <w:t>Regulations made under section 162 may require that except as is otherwise specifically provided by the mortgage entered into by the parties, a mortgage shall be deemed to contain prescribed provisions.</w:t>
      </w:r>
    </w:p>
    <w:p>
      <w:pPr>
        <w:pStyle w:val="Footnotesection"/>
        <w:spacing w:before="80"/>
        <w:ind w:left="890" w:hanging="890"/>
      </w:pPr>
      <w:r>
        <w:tab/>
        <w:t xml:space="preserve">[Section 119A inserted by No. 100 of 1985 s. 89.] </w:t>
      </w:r>
    </w:p>
    <w:p>
      <w:pPr>
        <w:pStyle w:val="Heading5"/>
        <w:spacing w:before="120"/>
        <w:rPr>
          <w:snapToGrid w:val="0"/>
        </w:rPr>
      </w:pPr>
      <w:bookmarkStart w:id="1066" w:name="_Toc520088034"/>
      <w:bookmarkStart w:id="1067" w:name="_Toc523620669"/>
      <w:bookmarkStart w:id="1068" w:name="_Toc38853822"/>
      <w:bookmarkStart w:id="1069" w:name="_Toc124061197"/>
      <w:bookmarkStart w:id="1070" w:name="_Toc124140052"/>
      <w:r>
        <w:rPr>
          <w:rStyle w:val="CharSectno"/>
        </w:rPr>
        <w:t>120</w:t>
      </w:r>
      <w:r>
        <w:rPr>
          <w:snapToGrid w:val="0"/>
        </w:rPr>
        <w:t>.</w:t>
      </w:r>
      <w:r>
        <w:rPr>
          <w:snapToGrid w:val="0"/>
        </w:rPr>
        <w:tab/>
        <w:t>Town planning schemes and local laws to be considered but not to derogate from this Act</w:t>
      </w:r>
      <w:bookmarkEnd w:id="1066"/>
      <w:bookmarkEnd w:id="1067"/>
      <w:bookmarkEnd w:id="1068"/>
      <w:bookmarkEnd w:id="1069"/>
      <w:bookmarkEnd w:id="1070"/>
      <w:r>
        <w:rPr>
          <w:snapToGrid w:val="0"/>
        </w:rPr>
        <w:t xml:space="preserve"> </w:t>
      </w:r>
    </w:p>
    <w:p>
      <w:pPr>
        <w:pStyle w:val="Subsection"/>
        <w:spacing w:before="100"/>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town planning scheme in force under the </w:t>
      </w:r>
      <w:r>
        <w:rPr>
          <w:i/>
          <w:snapToGrid w:val="0"/>
          <w:spacing w:val="-4"/>
        </w:rPr>
        <w:t>Town Planning and Development Act 1928</w:t>
      </w:r>
      <w:r>
        <w:rPr>
          <w:snapToGrid w:val="0"/>
          <w:spacing w:val="-4"/>
        </w:rPr>
        <w:t xml:space="preserve"> or local laws in force under the </w:t>
      </w:r>
      <w:r>
        <w:rPr>
          <w:i/>
          <w:snapToGrid w:val="0"/>
          <w:spacing w:val="-4"/>
        </w:rPr>
        <w:t>Local Government Act 1995</w:t>
      </w:r>
      <w:r>
        <w:rPr>
          <w:snapToGrid w:val="0"/>
          <w:spacing w:val="-4"/>
        </w:rPr>
        <w:t xml:space="preserve"> affecting the use of the land concerned, but the provisions of any such scheme or local laws shall not operate to prohibit or affect the granting of a mining tenement or the carrying out of any mining operations authorised by this Act.</w:t>
      </w:r>
    </w:p>
    <w:p>
      <w:pPr>
        <w:pStyle w:val="Subsection"/>
        <w:spacing w:before="100"/>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has, in writing, informed the Minister and the Minister for the time being administering the </w:t>
      </w:r>
      <w:r>
        <w:rPr>
          <w:i/>
          <w:snapToGrid w:val="0"/>
        </w:rPr>
        <w:t>Town Planning and Development Act 1928</w:t>
      </w:r>
      <w:r>
        <w:rPr>
          <w:snapToGrid w:val="0"/>
        </w:rPr>
        <w:t>, that the mining lease or general purpose lease would, if granted, authorise the carrying on of mining operations contrary to the provisions of a town planning scheme or local laws referred to in subsection (1),</w:t>
      </w:r>
    </w:p>
    <w:p>
      <w:pPr>
        <w:pStyle w:val="Subsection"/>
        <w:spacing w:before="100"/>
        <w:rPr>
          <w:snapToGrid w:val="0"/>
        </w:rPr>
      </w:pPr>
      <w:r>
        <w:rPr>
          <w:snapToGrid w:val="0"/>
        </w:rPr>
        <w:tab/>
      </w:r>
      <w:r>
        <w:rPr>
          <w:snapToGrid w:val="0"/>
        </w:rPr>
        <w:tab/>
        <w:t xml:space="preserve">the Minister shall not dispose of the application until he has first consulted the Minister for the time being administering the </w:t>
      </w:r>
      <w:r>
        <w:rPr>
          <w:i/>
          <w:snapToGrid w:val="0"/>
        </w:rPr>
        <w:t>Town Planning and Development Act 1928</w:t>
      </w:r>
      <w:r>
        <w:rPr>
          <w:snapToGrid w:val="0"/>
        </w:rPr>
        <w:t xml:space="preserve"> and obtained his recommendation thereon.</w:t>
      </w:r>
    </w:p>
    <w:p>
      <w:pPr>
        <w:pStyle w:val="Footnotesection"/>
        <w:keepLines w:val="0"/>
        <w:spacing w:before="80"/>
        <w:ind w:left="890" w:hanging="890"/>
      </w:pPr>
      <w:r>
        <w:tab/>
        <w:t xml:space="preserve">[Section 120 amended by No. 58 of 1994 s. 47; No. 14 of 1996 s. 4; No. 24 of 2000 s. 26(2).] </w:t>
      </w:r>
    </w:p>
    <w:p>
      <w:pPr>
        <w:pStyle w:val="Heading2"/>
      </w:pPr>
      <w:bookmarkStart w:id="1071" w:name="_Toc87427707"/>
      <w:bookmarkStart w:id="1072" w:name="_Toc87851282"/>
      <w:bookmarkStart w:id="1073" w:name="_Toc88295505"/>
      <w:bookmarkStart w:id="1074" w:name="_Toc89519164"/>
      <w:bookmarkStart w:id="1075" w:name="_Toc90869289"/>
      <w:bookmarkStart w:id="1076" w:name="_Toc91408061"/>
      <w:bookmarkStart w:id="1077" w:name="_Toc92863805"/>
      <w:bookmarkStart w:id="1078" w:name="_Toc95015173"/>
      <w:bookmarkStart w:id="1079" w:name="_Toc95106880"/>
      <w:bookmarkStart w:id="1080" w:name="_Toc97018680"/>
      <w:bookmarkStart w:id="1081" w:name="_Toc101693633"/>
      <w:bookmarkStart w:id="1082" w:name="_Toc103130503"/>
      <w:bookmarkStart w:id="1083" w:name="_Toc104711153"/>
      <w:bookmarkStart w:id="1084" w:name="_Toc121560138"/>
      <w:bookmarkStart w:id="1085" w:name="_Toc122328579"/>
      <w:bookmarkStart w:id="1086" w:name="_Toc124061198"/>
      <w:bookmarkStart w:id="1087" w:name="_Toc124140053"/>
      <w:r>
        <w:rPr>
          <w:rStyle w:val="CharPartNo"/>
        </w:rPr>
        <w:t>Part VI</w:t>
      </w:r>
      <w:r>
        <w:rPr>
          <w:rStyle w:val="CharDivNo"/>
        </w:rPr>
        <w:t> </w:t>
      </w:r>
      <w:r>
        <w:t>—</w:t>
      </w:r>
      <w:r>
        <w:rPr>
          <w:rStyle w:val="CharDivText"/>
        </w:rPr>
        <w:t> </w:t>
      </w:r>
      <w:r>
        <w:rPr>
          <w:rStyle w:val="CharPartText"/>
        </w:rPr>
        <w:t>Caveats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 xml:space="preserve"> </w:t>
      </w:r>
    </w:p>
    <w:p>
      <w:pPr>
        <w:pStyle w:val="Heading5"/>
        <w:rPr>
          <w:snapToGrid w:val="0"/>
        </w:rPr>
      </w:pPr>
      <w:bookmarkStart w:id="1088" w:name="_Toc520088035"/>
      <w:bookmarkStart w:id="1089" w:name="_Toc523620670"/>
      <w:bookmarkStart w:id="1090" w:name="_Toc38853823"/>
      <w:bookmarkStart w:id="1091" w:name="_Toc124061199"/>
      <w:bookmarkStart w:id="1092" w:name="_Toc124140054"/>
      <w:r>
        <w:rPr>
          <w:rStyle w:val="CharSectno"/>
        </w:rPr>
        <w:t>120A</w:t>
      </w:r>
      <w:r>
        <w:rPr>
          <w:snapToGrid w:val="0"/>
        </w:rPr>
        <w:t>.</w:t>
      </w:r>
      <w:r>
        <w:rPr>
          <w:snapToGrid w:val="0"/>
        </w:rPr>
        <w:tab/>
        <w:t>Certain surrenders not affected by this Part</w:t>
      </w:r>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Nothing in this Part shall be taken to prevent the registration of a surrender under section 26A or 65 which affects the subject matter of a caveat.</w:t>
      </w:r>
    </w:p>
    <w:p>
      <w:pPr>
        <w:pStyle w:val="Subsection"/>
        <w:rPr>
          <w:snapToGrid w:val="0"/>
        </w:rPr>
      </w:pPr>
      <w:r>
        <w:rPr>
          <w:snapToGrid w:val="0"/>
        </w:rPr>
        <w:tab/>
        <w:t>(2)</w:t>
      </w:r>
      <w:r>
        <w:rPr>
          <w:snapToGrid w:val="0"/>
        </w:rPr>
        <w:tab/>
        <w:t>The notification requirement under section 122(1)(c) does not apply to an application for the registration of a surrender referred to in subsection (1), but notification of the registration of any such surrender shall be sent by or on behalf of the Minister in the prescribed manner to the relevant caveator.</w:t>
      </w:r>
    </w:p>
    <w:p>
      <w:pPr>
        <w:pStyle w:val="Footnotesection"/>
      </w:pPr>
      <w:r>
        <w:tab/>
        <w:t xml:space="preserve">[Section 120A inserted by No. 37 of 1993 s. 21.] </w:t>
      </w:r>
    </w:p>
    <w:p>
      <w:pPr>
        <w:pStyle w:val="Heading5"/>
        <w:rPr>
          <w:snapToGrid w:val="0"/>
        </w:rPr>
      </w:pPr>
      <w:bookmarkStart w:id="1093" w:name="_Toc520088036"/>
      <w:bookmarkStart w:id="1094" w:name="_Toc523620671"/>
      <w:bookmarkStart w:id="1095" w:name="_Toc38853824"/>
      <w:bookmarkStart w:id="1096" w:name="_Toc124061200"/>
      <w:bookmarkStart w:id="1097" w:name="_Toc124140055"/>
      <w:r>
        <w:rPr>
          <w:rStyle w:val="CharSectno"/>
        </w:rPr>
        <w:t>121</w:t>
      </w:r>
      <w:r>
        <w:rPr>
          <w:snapToGrid w:val="0"/>
        </w:rPr>
        <w:t>.</w:t>
      </w:r>
      <w:r>
        <w:rPr>
          <w:snapToGrid w:val="0"/>
        </w:rPr>
        <w:tab/>
        <w:t>Lodging of caveats</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Any person claiming any interest in a mining tenement may lodge in the Department at Perth or in the office of the mining registrar for the mineral field or district thereof where the mining tenement is, a caveat that complies with this section forbidding the registration of any transfer or other instrument affecting the mining tenement or interest.</w:t>
      </w:r>
    </w:p>
    <w:p>
      <w:pPr>
        <w:pStyle w:val="Subsection"/>
        <w:rPr>
          <w:snapToGrid w:val="0"/>
        </w:rPr>
      </w:pPr>
      <w:r>
        <w:rPr>
          <w:snapToGrid w:val="0"/>
        </w:rPr>
        <w:tab/>
        <w:t>(2)</w:t>
      </w:r>
      <w:r>
        <w:rPr>
          <w:snapToGrid w:val="0"/>
        </w:rPr>
        <w:tab/>
        <w:t>A caveat lodged under this section — </w:t>
      </w:r>
    </w:p>
    <w:p>
      <w:pPr>
        <w:pStyle w:val="Indenta"/>
        <w:rPr>
          <w:snapToGrid w:val="0"/>
        </w:rPr>
      </w:pPr>
      <w:r>
        <w:rPr>
          <w:snapToGrid w:val="0"/>
        </w:rPr>
        <w:tab/>
        <w:t>(a)</w:t>
      </w:r>
      <w:r>
        <w:rPr>
          <w:snapToGrid w:val="0"/>
        </w:rPr>
        <w:tab/>
        <w:t>shall be in the prescribed form and shall be accompanied by the prescribed fee;</w:t>
      </w:r>
    </w:p>
    <w:p>
      <w:pPr>
        <w:pStyle w:val="Indenta"/>
        <w:rPr>
          <w:snapToGrid w:val="0"/>
        </w:rPr>
      </w:pPr>
      <w:r>
        <w:rPr>
          <w:snapToGrid w:val="0"/>
        </w:rPr>
        <w:tab/>
        <w:t>(b)</w:t>
      </w:r>
      <w:r>
        <w:rPr>
          <w:snapToGrid w:val="0"/>
        </w:rPr>
        <w:tab/>
        <w:t>shall state the full name and address of the caveator;</w:t>
      </w:r>
    </w:p>
    <w:p>
      <w:pPr>
        <w:pStyle w:val="Indenta"/>
        <w:rPr>
          <w:snapToGrid w:val="0"/>
        </w:rPr>
      </w:pPr>
      <w:r>
        <w:rPr>
          <w:snapToGrid w:val="0"/>
        </w:rPr>
        <w:tab/>
        <w:t>(c)</w:t>
      </w:r>
      <w:r>
        <w:rPr>
          <w:snapToGrid w:val="0"/>
        </w:rPr>
        <w:tab/>
        <w:t>shall be signed by the caveator or his agent; and</w:t>
      </w:r>
    </w:p>
    <w:p>
      <w:pPr>
        <w:pStyle w:val="Indenta"/>
        <w:rPr>
          <w:snapToGrid w:val="0"/>
        </w:rPr>
      </w:pPr>
      <w:r>
        <w:rPr>
          <w:snapToGrid w:val="0"/>
        </w:rPr>
        <w:tab/>
        <w:t>(d)</w:t>
      </w:r>
      <w:r>
        <w:rPr>
          <w:snapToGrid w:val="0"/>
        </w:rPr>
        <w:tab/>
        <w:t>shall give an address within the State for the service of notices and proceedings in relation to the caveat.</w:t>
      </w:r>
    </w:p>
    <w:p>
      <w:pPr>
        <w:pStyle w:val="Subsection"/>
        <w:keepNext/>
        <w:rPr>
          <w:snapToGrid w:val="0"/>
        </w:rPr>
      </w:pPr>
      <w:r>
        <w:rPr>
          <w:snapToGrid w:val="0"/>
        </w:rPr>
        <w:tab/>
        <w:t>(3)</w:t>
      </w:r>
      <w:r>
        <w:rPr>
          <w:snapToGrid w:val="0"/>
        </w:rPr>
        <w:tab/>
        <w:t>Upon the lodging of the caveat — </w:t>
      </w:r>
    </w:p>
    <w:p>
      <w:pPr>
        <w:pStyle w:val="Indenta"/>
        <w:rPr>
          <w:snapToGrid w:val="0"/>
        </w:rPr>
      </w:pPr>
      <w:r>
        <w:rPr>
          <w:snapToGrid w:val="0"/>
        </w:rPr>
        <w:tab/>
        <w:t>(a)</w:t>
      </w:r>
      <w:r>
        <w:rPr>
          <w:snapToGrid w:val="0"/>
        </w:rPr>
        <w:tab/>
        <w:t>there shall be entered a memorial or copy of the caveat in the register kept in accordance with the regulations; and</w:t>
      </w:r>
    </w:p>
    <w:p>
      <w:pPr>
        <w:pStyle w:val="Indenta"/>
        <w:rPr>
          <w:snapToGrid w:val="0"/>
        </w:rPr>
      </w:pPr>
      <w:r>
        <w:rPr>
          <w:snapToGrid w:val="0"/>
        </w:rPr>
        <w:tab/>
        <w:t>(b)</w:t>
      </w:r>
      <w:r>
        <w:rPr>
          <w:snapToGrid w:val="0"/>
        </w:rPr>
        <w:tab/>
        <w:t>there shall be sent by registered post or certified mail to the holder of the mining tenement affected by the caveat, notice that the caveat has been so lodged.</w:t>
      </w:r>
    </w:p>
    <w:p>
      <w:pPr>
        <w:pStyle w:val="Subsection"/>
        <w:rPr>
          <w:snapToGrid w:val="0"/>
        </w:rPr>
      </w:pPr>
      <w:r>
        <w:rPr>
          <w:snapToGrid w:val="0"/>
        </w:rPr>
        <w:tab/>
        <w:t>(4)</w:t>
      </w:r>
      <w:r>
        <w:rPr>
          <w:snapToGrid w:val="0"/>
        </w:rPr>
        <w:tab/>
        <w:t>Successive caveats shall not be so lodged by, or on behalf of, the same person in respect of the same subject matter except by leave of the warden.</w:t>
      </w:r>
    </w:p>
    <w:p>
      <w:pPr>
        <w:pStyle w:val="Footnotesection"/>
      </w:pPr>
      <w:r>
        <w:tab/>
        <w:t xml:space="preserve">[Section 121 amended by No. 100 of 1985 s. 91.] </w:t>
      </w:r>
    </w:p>
    <w:p>
      <w:pPr>
        <w:pStyle w:val="Heading5"/>
        <w:rPr>
          <w:snapToGrid w:val="0"/>
        </w:rPr>
      </w:pPr>
      <w:bookmarkStart w:id="1098" w:name="_Toc520088037"/>
      <w:bookmarkStart w:id="1099" w:name="_Toc523620672"/>
      <w:bookmarkStart w:id="1100" w:name="_Toc38853825"/>
      <w:bookmarkStart w:id="1101" w:name="_Toc124061201"/>
      <w:bookmarkStart w:id="1102" w:name="_Toc124140056"/>
      <w:r>
        <w:rPr>
          <w:rStyle w:val="CharSectno"/>
        </w:rPr>
        <w:t>122</w:t>
      </w:r>
      <w:r>
        <w:rPr>
          <w:snapToGrid w:val="0"/>
        </w:rPr>
        <w:t>.</w:t>
      </w:r>
      <w:r>
        <w:rPr>
          <w:snapToGrid w:val="0"/>
        </w:rPr>
        <w:tab/>
        <w:t>Duration and effect of caveat</w:t>
      </w:r>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Except as provided in this section, a caveat shall lapse and cease to have effect upon — </w:t>
      </w:r>
    </w:p>
    <w:p>
      <w:pPr>
        <w:pStyle w:val="Indenta"/>
        <w:rPr>
          <w:snapToGrid w:val="0"/>
        </w:rPr>
      </w:pPr>
      <w:r>
        <w:rPr>
          <w:snapToGrid w:val="0"/>
        </w:rPr>
        <w:tab/>
        <w:t>(a)</w:t>
      </w:r>
      <w:r>
        <w:rPr>
          <w:snapToGrid w:val="0"/>
        </w:rPr>
        <w:tab/>
        <w:t>the order of a warden for the removal thereof;</w:t>
      </w:r>
    </w:p>
    <w:p>
      <w:pPr>
        <w:pStyle w:val="Indenta"/>
        <w:rPr>
          <w:snapToGrid w:val="0"/>
        </w:rPr>
      </w:pPr>
      <w:r>
        <w:rPr>
          <w:snapToGrid w:val="0"/>
        </w:rPr>
        <w:tab/>
        <w:t>(b)</w:t>
      </w:r>
      <w:r>
        <w:rPr>
          <w:snapToGrid w:val="0"/>
        </w:rPr>
        <w:tab/>
        <w:t>the withdrawal thereof by the caveator or his agent;</w:t>
      </w:r>
    </w:p>
    <w:p>
      <w:pPr>
        <w:pStyle w:val="Indenta"/>
        <w:rPr>
          <w:snapToGrid w:val="0"/>
        </w:rPr>
      </w:pPr>
      <w:r>
        <w:rPr>
          <w:snapToGrid w:val="0"/>
        </w:rPr>
        <w:tab/>
        <w:t>(c)</w:t>
      </w:r>
      <w:r>
        <w:rPr>
          <w:snapToGrid w:val="0"/>
        </w:rPr>
        <w:tab/>
        <w:t>the expiration of a period of 14 days after notification that application has been made for the registration of a transfer or other instrument affecting the subject matter of the caveat, has been sent by or on behalf of the Minister by registered post or certified mail to the caveator at the address for service given in the caveat, unless within that period the warden otherwise orders.</w:t>
      </w:r>
    </w:p>
    <w:p>
      <w:pPr>
        <w:pStyle w:val="Subsection"/>
        <w:rPr>
          <w:snapToGrid w:val="0"/>
        </w:rPr>
      </w:pPr>
      <w:r>
        <w:rPr>
          <w:snapToGrid w:val="0"/>
        </w:rPr>
        <w:tab/>
        <w:t>(2)</w:t>
      </w:r>
      <w:r>
        <w:rPr>
          <w:snapToGrid w:val="0"/>
        </w:rPr>
        <w:tab/>
        <w:t>Where the holder of any mining tenement has entered into an agreement with any person relating to the sale of his interest therein, if the agreement so provides, either party to the agreement may lodge a caveat in accordance with this Part, together with a copy of the agreement, and the caveat shall remain in force for such term as may be specified in the agreement, unless sooner withdrawn by consent of the parties to the agreement, or removed by order of the warden.</w:t>
      </w:r>
    </w:p>
    <w:p>
      <w:pPr>
        <w:pStyle w:val="Subsection"/>
        <w:rPr>
          <w:snapToGrid w:val="0"/>
        </w:rPr>
      </w:pPr>
      <w:r>
        <w:rPr>
          <w:snapToGrid w:val="0"/>
        </w:rPr>
        <w:tab/>
        <w:t>(3)</w:t>
      </w:r>
      <w:r>
        <w:rPr>
          <w:snapToGrid w:val="0"/>
        </w:rPr>
        <w:tab/>
        <w:t>No transfer or other instrument affecting the subject matter of a caveat shall be registered while the caveat remains in force, except upon the order of the warden.</w:t>
      </w:r>
    </w:p>
    <w:p>
      <w:pPr>
        <w:pStyle w:val="Subsection"/>
        <w:rPr>
          <w:snapToGrid w:val="0"/>
        </w:rPr>
      </w:pPr>
      <w:r>
        <w:rPr>
          <w:snapToGrid w:val="0"/>
        </w:rPr>
        <w:tab/>
        <w:t>(4)</w:t>
      </w:r>
      <w:r>
        <w:rPr>
          <w:snapToGrid w:val="0"/>
        </w:rPr>
        <w:tab/>
        <w:t>When a caveat lapses and ceases to have effect under this section there shall be entered in the register kept in accordance with the regulations a memorial of the fact.</w:t>
      </w:r>
    </w:p>
    <w:p>
      <w:pPr>
        <w:pStyle w:val="Footnotesection"/>
      </w:pPr>
      <w:r>
        <w:tab/>
        <w:t xml:space="preserve">[Section 122 amended by No. 100 of 1985 s. 92.] </w:t>
      </w:r>
    </w:p>
    <w:p>
      <w:pPr>
        <w:pStyle w:val="Heading2"/>
      </w:pPr>
      <w:bookmarkStart w:id="1103" w:name="_Toc87427711"/>
      <w:bookmarkStart w:id="1104" w:name="_Toc87851286"/>
      <w:bookmarkStart w:id="1105" w:name="_Toc88295509"/>
      <w:bookmarkStart w:id="1106" w:name="_Toc89519168"/>
      <w:bookmarkStart w:id="1107" w:name="_Toc90869293"/>
      <w:bookmarkStart w:id="1108" w:name="_Toc91408065"/>
      <w:bookmarkStart w:id="1109" w:name="_Toc92863809"/>
      <w:bookmarkStart w:id="1110" w:name="_Toc95015177"/>
      <w:bookmarkStart w:id="1111" w:name="_Toc95106884"/>
      <w:bookmarkStart w:id="1112" w:name="_Toc97018684"/>
      <w:bookmarkStart w:id="1113" w:name="_Toc101693637"/>
      <w:bookmarkStart w:id="1114" w:name="_Toc103130507"/>
      <w:bookmarkStart w:id="1115" w:name="_Toc104711157"/>
      <w:bookmarkStart w:id="1116" w:name="_Toc121560142"/>
      <w:bookmarkStart w:id="1117" w:name="_Toc122328583"/>
      <w:bookmarkStart w:id="1118" w:name="_Toc124061202"/>
      <w:bookmarkStart w:id="1119" w:name="_Toc124140057"/>
      <w:r>
        <w:rPr>
          <w:rStyle w:val="CharPartNo"/>
        </w:rPr>
        <w:t>Part VII</w:t>
      </w:r>
      <w:r>
        <w:rPr>
          <w:rStyle w:val="CharDivNo"/>
        </w:rPr>
        <w:t> </w:t>
      </w:r>
      <w:r>
        <w:t>—</w:t>
      </w:r>
      <w:r>
        <w:rPr>
          <w:rStyle w:val="CharDivText"/>
        </w:rPr>
        <w:t> </w:t>
      </w:r>
      <w:r>
        <w:rPr>
          <w:rStyle w:val="CharPartText"/>
        </w:rPr>
        <w:t>Compensation</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PartText"/>
        </w:rPr>
        <w:t xml:space="preserve"> </w:t>
      </w:r>
    </w:p>
    <w:p>
      <w:pPr>
        <w:pStyle w:val="Heading5"/>
        <w:rPr>
          <w:snapToGrid w:val="0"/>
        </w:rPr>
      </w:pPr>
      <w:bookmarkStart w:id="1120" w:name="_Toc520088038"/>
      <w:bookmarkStart w:id="1121" w:name="_Toc523620673"/>
      <w:bookmarkStart w:id="1122" w:name="_Toc38853826"/>
      <w:bookmarkStart w:id="1123" w:name="_Toc124061203"/>
      <w:bookmarkStart w:id="1124" w:name="_Toc124140058"/>
      <w:r>
        <w:rPr>
          <w:rStyle w:val="CharSectno"/>
        </w:rPr>
        <w:t>123</w:t>
      </w:r>
      <w:r>
        <w:rPr>
          <w:snapToGrid w:val="0"/>
        </w:rPr>
        <w:t>.</w:t>
      </w:r>
      <w:r>
        <w:rPr>
          <w:snapToGrid w:val="0"/>
        </w:rPr>
        <w:tab/>
        <w:t>Compensation in respect of mining</w:t>
      </w:r>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 xml:space="preserve">On and after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reference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12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spacing w:before="60"/>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spacing w:before="60"/>
        <w:rPr>
          <w:snapToGrid w:val="0"/>
        </w:rPr>
      </w:pPr>
      <w:r>
        <w:rPr>
          <w:snapToGrid w:val="0"/>
        </w:rPr>
        <w:tab/>
        <w:t>(b)</w:t>
      </w:r>
      <w:r>
        <w:rPr>
          <w:snapToGrid w:val="0"/>
        </w:rPr>
        <w:tab/>
        <w:t>damage to the natural surface of the land or any part of the land;</w:t>
      </w:r>
    </w:p>
    <w:p>
      <w:pPr>
        <w:pStyle w:val="Indenta"/>
        <w:spacing w:before="60"/>
        <w:rPr>
          <w:snapToGrid w:val="0"/>
        </w:rPr>
      </w:pPr>
      <w:r>
        <w:rPr>
          <w:snapToGrid w:val="0"/>
        </w:rPr>
        <w:tab/>
        <w:t>(c)</w:t>
      </w:r>
      <w:r>
        <w:rPr>
          <w:snapToGrid w:val="0"/>
        </w:rPr>
        <w:tab/>
        <w:t>severance of the land or any part of the land from other land of, or used by, that person;</w:t>
      </w:r>
    </w:p>
    <w:p>
      <w:pPr>
        <w:pStyle w:val="Indenta"/>
        <w:spacing w:before="60"/>
        <w:rPr>
          <w:snapToGrid w:val="0"/>
        </w:rPr>
      </w:pPr>
      <w:r>
        <w:rPr>
          <w:snapToGrid w:val="0"/>
        </w:rPr>
        <w:tab/>
        <w:t>(d)</w:t>
      </w:r>
      <w:r>
        <w:rPr>
          <w:snapToGrid w:val="0"/>
        </w:rPr>
        <w:tab/>
        <w:t>any loss or restriction of a right of way or other easement or right;</w:t>
      </w:r>
    </w:p>
    <w:p>
      <w:pPr>
        <w:pStyle w:val="Indenta"/>
        <w:spacing w:before="60"/>
        <w:rPr>
          <w:snapToGrid w:val="0"/>
        </w:rPr>
      </w:pPr>
      <w:r>
        <w:rPr>
          <w:snapToGrid w:val="0"/>
        </w:rPr>
        <w:tab/>
        <w:t>(e)</w:t>
      </w:r>
      <w:r>
        <w:rPr>
          <w:snapToGrid w:val="0"/>
        </w:rPr>
        <w:tab/>
        <w:t>the loss of, or damage to, improvements;</w:t>
      </w:r>
    </w:p>
    <w:p>
      <w:pPr>
        <w:pStyle w:val="Indenta"/>
        <w:spacing w:before="60"/>
        <w:rPr>
          <w:snapToGrid w:val="0"/>
        </w:rPr>
      </w:pPr>
      <w:r>
        <w:rPr>
          <w:snapToGrid w:val="0"/>
        </w:rPr>
        <w:tab/>
        <w:t>(f)</w:t>
      </w:r>
      <w:r>
        <w:rPr>
          <w:snapToGrid w:val="0"/>
        </w:rPr>
        <w:tab/>
        <w:t>social disruption;</w:t>
      </w:r>
    </w:p>
    <w:p>
      <w:pPr>
        <w:pStyle w:val="Indenta"/>
        <w:spacing w:before="6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spacing w:before="120"/>
        <w:rPr>
          <w:snapToGrid w:val="0"/>
        </w:rPr>
      </w:pPr>
      <w:r>
        <w:rPr>
          <w:snapToGrid w:val="0"/>
        </w:rPr>
        <w:tab/>
      </w:r>
      <w:r>
        <w:rPr>
          <w:snapToGrid w:val="0"/>
        </w:rPr>
        <w:tab/>
        <w:t>and where the use for mining purposes of aircraft over or in the vicinity of any land (whether or not private land) occasions damage that damage shall be deemed to have been occasioned by an entry on the land thereby affected.</w:t>
      </w:r>
    </w:p>
    <w:p>
      <w:pPr>
        <w:pStyle w:val="Subsection"/>
        <w:spacing w:before="120"/>
        <w:rPr>
          <w:snapToGrid w:val="0"/>
        </w:rPr>
      </w:pPr>
      <w:r>
        <w:rPr>
          <w:snapToGrid w:val="0"/>
        </w:rPr>
        <w:tab/>
        <w:t>(5)</w:t>
      </w:r>
      <w:r>
        <w:rPr>
          <w:snapToGrid w:val="0"/>
        </w:rPr>
        <w:tab/>
        <w:t>If any private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spacing w:before="120"/>
        <w:rPr>
          <w:snapToGrid w:val="0"/>
          <w:spacing w:val="-4"/>
        </w:rPr>
      </w:pPr>
      <w:r>
        <w:rPr>
          <w:snapToGrid w:val="0"/>
          <w:spacing w:val="-4"/>
        </w:rPr>
        <w:tab/>
        <w:t>(6)</w:t>
      </w:r>
      <w:r>
        <w:rPr>
          <w:snapToGrid w:val="0"/>
          <w:spacing w:val="-4"/>
        </w:rPr>
        <w:tab/>
        <w:t>Where mining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spacing w:before="120"/>
        <w:rPr>
          <w:snapToGrid w:val="0"/>
        </w:rPr>
      </w:pPr>
      <w:r>
        <w:rPr>
          <w:snapToGrid w:val="0"/>
        </w:rPr>
        <w:tab/>
        <w:t>(7)</w:t>
      </w:r>
      <w:r>
        <w:rPr>
          <w:snapToGrid w:val="0"/>
        </w:rPr>
        <w:tab/>
        <w:t>Subject to section 124, a person who holds any land — </w:t>
      </w:r>
    </w:p>
    <w:p>
      <w:pPr>
        <w:pStyle w:val="Indenta"/>
        <w:spacing w:before="60"/>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A determination made by the warden’s court under subsection (3) is, for the purposes of section 147(1), a final determination of the warden’s court.</w:t>
      </w:r>
    </w:p>
    <w:p>
      <w:pPr>
        <w:pStyle w:val="Footnotesection"/>
        <w:keepLines w:val="0"/>
      </w:pPr>
      <w:r>
        <w:tab/>
        <w:t xml:space="preserve">[Section 123 amended by No. 69 of 1981 s. 27; No. 100 of 1985 s. 93; No. 105 of 1986 s. 17 and 18; No. 37 of 1993 s. 26; No. 54 of 1996 s. 23; No. 31 of 1997 s. 141.] </w:t>
      </w:r>
    </w:p>
    <w:p>
      <w:pPr>
        <w:pStyle w:val="Heading5"/>
        <w:rPr>
          <w:snapToGrid w:val="0"/>
        </w:rPr>
      </w:pPr>
      <w:bookmarkStart w:id="1125" w:name="_Toc520088039"/>
      <w:bookmarkStart w:id="1126" w:name="_Toc523620674"/>
      <w:bookmarkStart w:id="1127" w:name="_Toc38853827"/>
      <w:bookmarkStart w:id="1128" w:name="_Toc124061204"/>
      <w:bookmarkStart w:id="1129" w:name="_Toc124140059"/>
      <w:r>
        <w:rPr>
          <w:rStyle w:val="CharSectno"/>
        </w:rPr>
        <w:t>124</w:t>
      </w:r>
      <w:r>
        <w:rPr>
          <w:snapToGrid w:val="0"/>
        </w:rPr>
        <w:t>.</w:t>
      </w:r>
      <w:r>
        <w:rPr>
          <w:snapToGrid w:val="0"/>
        </w:rPr>
        <w:tab/>
        <w:t>Powers of and matters to be considered and expected by warden’s court in determining compensation</w:t>
      </w:r>
      <w:bookmarkEnd w:id="1125"/>
      <w:bookmarkEnd w:id="1126"/>
      <w:bookmarkEnd w:id="1127"/>
      <w:bookmarkEnd w:id="1128"/>
      <w:bookmarkEnd w:id="1129"/>
      <w:r>
        <w:rPr>
          <w:snapToGrid w:val="0"/>
        </w:rPr>
        <w:t xml:space="preserve"> </w:t>
      </w:r>
    </w:p>
    <w:p>
      <w:pPr>
        <w:pStyle w:val="Subsection"/>
        <w:spacing w:before="220"/>
        <w:rPr>
          <w:snapToGrid w:val="0"/>
        </w:rPr>
      </w:pPr>
      <w:r>
        <w:rPr>
          <w:snapToGrid w:val="0"/>
        </w:rPr>
        <w:tab/>
        <w:t>(1)</w:t>
      </w:r>
      <w:r>
        <w:rPr>
          <w:snapToGrid w:val="0"/>
        </w:rPr>
        <w:tab/>
        <w:t>Without limiting or otherwise affecting the powers conferred on a warden’s court by this Act, a warden when considering matters relating to compensation under this Act, shall take into consideration — </w:t>
      </w:r>
    </w:p>
    <w:p>
      <w:pPr>
        <w:pStyle w:val="Indenta"/>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20"/>
        <w:rPr>
          <w:snapToGrid w:val="0"/>
        </w:rPr>
      </w:pPr>
      <w:r>
        <w:rPr>
          <w:snapToGrid w:val="0"/>
        </w:rPr>
        <w:tab/>
        <w:t>(2)</w:t>
      </w:r>
      <w:r>
        <w:rPr>
          <w:snapToGrid w:val="0"/>
        </w:rPr>
        <w:tab/>
        <w:t>Upon the hearing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20"/>
        <w:rPr>
          <w:snapToGrid w:val="0"/>
        </w:rPr>
      </w:pPr>
      <w:r>
        <w:rPr>
          <w:snapToGrid w:val="0"/>
        </w:rPr>
        <w:tab/>
        <w:t>(3)</w:t>
      </w:r>
      <w:r>
        <w:rPr>
          <w:snapToGrid w:val="0"/>
        </w:rPr>
        <w:tab/>
        <w:t>Before an order is made under subsection (2) consideration shall be given to the following matters — </w:t>
      </w:r>
    </w:p>
    <w:p>
      <w:pPr>
        <w:pStyle w:val="Indenta"/>
        <w:rPr>
          <w:snapToGrid w:val="0"/>
        </w:rPr>
      </w:pPr>
      <w:r>
        <w:rPr>
          <w:snapToGrid w:val="0"/>
        </w:rPr>
        <w:tab/>
        <w:t>(a)</w:t>
      </w:r>
      <w:r>
        <w:rPr>
          <w:snapToGrid w:val="0"/>
        </w:rPr>
        <w:tab/>
        <w:t>the geographical location of the land to which the claim for compensation relates and its environment;</w:t>
      </w:r>
    </w:p>
    <w:p>
      <w:pPr>
        <w:pStyle w:val="Indenta"/>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rPr>
          <w:snapToGrid w:val="0"/>
        </w:rPr>
      </w:pPr>
      <w:r>
        <w:rPr>
          <w:snapToGrid w:val="0"/>
        </w:rPr>
        <w:tab/>
        <w:t>(d)</w:t>
      </w:r>
      <w:r>
        <w:rPr>
          <w:snapToGrid w:val="0"/>
        </w:rPr>
        <w:tab/>
        <w:t>the practicability of restoring the surface of the land after such mining operations have ceased.</w:t>
      </w:r>
    </w:p>
    <w:p>
      <w:pPr>
        <w:pStyle w:val="Footnotesection"/>
        <w:keepLines w:val="0"/>
      </w:pPr>
      <w:r>
        <w:tab/>
        <w:t xml:space="preserve">[Section 124 amended by No. 69 of 1981 s. 28; No. 100 of 1985 s. 94.] </w:t>
      </w:r>
    </w:p>
    <w:p>
      <w:pPr>
        <w:pStyle w:val="Heading5"/>
        <w:rPr>
          <w:snapToGrid w:val="0"/>
        </w:rPr>
      </w:pPr>
      <w:bookmarkStart w:id="1130" w:name="_Toc520088040"/>
      <w:bookmarkStart w:id="1131" w:name="_Toc523620675"/>
      <w:bookmarkStart w:id="1132" w:name="_Toc38853828"/>
      <w:bookmarkStart w:id="1133" w:name="_Toc124061205"/>
      <w:bookmarkStart w:id="1134" w:name="_Toc124140060"/>
      <w:r>
        <w:rPr>
          <w:rStyle w:val="CharSectno"/>
        </w:rPr>
        <w:t>125</w:t>
      </w:r>
      <w:r>
        <w:rPr>
          <w:snapToGrid w:val="0"/>
        </w:rPr>
        <w:t>.</w:t>
      </w:r>
      <w:r>
        <w:rPr>
          <w:snapToGrid w:val="0"/>
        </w:rPr>
        <w:tab/>
        <w:t>Limitation on compensation</w:t>
      </w:r>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Except where and then only to the extent agreed upon by the parties concerned or authorised by the warden’s court, compensation is not payable under this Part to a person who is “the lessee”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135" w:name="_Toc520088041"/>
      <w:bookmarkStart w:id="1136" w:name="_Toc523620676"/>
      <w:bookmarkStart w:id="1137" w:name="_Toc38853829"/>
      <w:bookmarkStart w:id="1138" w:name="_Toc124061206"/>
      <w:bookmarkStart w:id="1139" w:name="_Toc124140061"/>
      <w:r>
        <w:rPr>
          <w:rStyle w:val="CharSectno"/>
        </w:rPr>
        <w:t>125A</w:t>
      </w:r>
      <w:r>
        <w:rPr>
          <w:snapToGrid w:val="0"/>
        </w:rPr>
        <w:t>.</w:t>
      </w:r>
      <w:r>
        <w:rPr>
          <w:snapToGrid w:val="0"/>
        </w:rPr>
        <w:tab/>
        <w:t>Liability for payment of compensation to native title holders</w:t>
      </w:r>
      <w:bookmarkEnd w:id="1135"/>
      <w:bookmarkEnd w:id="1136"/>
      <w:bookmarkEnd w:id="1137"/>
      <w:bookmarkEnd w:id="1138"/>
      <w:bookmarkEnd w:id="113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spacing w:before="120"/>
        <w:rPr>
          <w:snapToGrid w:val="0"/>
        </w:rPr>
      </w:pPr>
      <w:bookmarkStart w:id="1140" w:name="_Toc520088042"/>
      <w:bookmarkStart w:id="1141" w:name="_Toc523620677"/>
      <w:bookmarkStart w:id="1142" w:name="_Toc38853830"/>
      <w:bookmarkStart w:id="1143" w:name="_Toc124061207"/>
      <w:bookmarkStart w:id="1144" w:name="_Toc124140062"/>
      <w:r>
        <w:rPr>
          <w:rStyle w:val="CharSectno"/>
        </w:rPr>
        <w:t>126</w:t>
      </w:r>
      <w:r>
        <w:rPr>
          <w:snapToGrid w:val="0"/>
        </w:rPr>
        <w:t>.</w:t>
      </w:r>
      <w:r>
        <w:rPr>
          <w:snapToGrid w:val="0"/>
        </w:rPr>
        <w:tab/>
        <w:t>Securities</w:t>
      </w:r>
      <w:bookmarkEnd w:id="1140"/>
      <w:bookmarkEnd w:id="1141"/>
      <w:bookmarkEnd w:id="1142"/>
      <w:bookmarkEnd w:id="1143"/>
      <w:bookmarkEnd w:id="1144"/>
      <w:r>
        <w:rPr>
          <w:snapToGrid w:val="0"/>
        </w:rPr>
        <w:t xml:space="preserve"> </w:t>
      </w:r>
    </w:p>
    <w:p>
      <w:pPr>
        <w:pStyle w:val="Subsection"/>
        <w:spacing w:before="100"/>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in the case of a security referred to in section 26, 52(1a), 60(1a), 70F or 84A, as the Minister in a particular case approves (including any variation of that amount under subsection (1a)); or</w:t>
      </w:r>
    </w:p>
    <w:p>
      <w:pPr>
        <w:pStyle w:val="Indenti"/>
        <w:rPr>
          <w:snapToGrid w:val="0"/>
        </w:rPr>
      </w:pPr>
      <w:r>
        <w:rPr>
          <w:snapToGrid w:val="0"/>
        </w:rPr>
        <w:tab/>
        <w:t>(ii)</w:t>
      </w:r>
      <w:r>
        <w:rPr>
          <w:snapToGrid w:val="0"/>
        </w:rPr>
        <w:tab/>
        <w:t>in the case of a security referred to in section 52(1) or 60(1), as is prescribed or as the Minister in a particular case approves;</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spacing w:before="100"/>
        <w:rPr>
          <w:snapToGrid w:val="0"/>
        </w:rPr>
      </w:pPr>
      <w:r>
        <w:rPr>
          <w:snapToGrid w:val="0"/>
        </w:rPr>
        <w:tab/>
        <w:t>(1a)</w:t>
      </w:r>
      <w:r>
        <w:rPr>
          <w:snapToGrid w:val="0"/>
        </w:rPr>
        <w:tab/>
        <w:t>The Minister may by instrument in writing vary an amount approved under subsection (1)(a)(i).</w:t>
      </w:r>
    </w:p>
    <w:p>
      <w:pPr>
        <w:pStyle w:val="Subsection"/>
        <w:spacing w:before="100"/>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spacing w:before="100"/>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Footnotesection"/>
      </w:pPr>
      <w:r>
        <w:tab/>
        <w:t xml:space="preserve">[Section 126 amended by No. 100 of 1985 s. 96; No. 37 of 1993 s. 10(2); No. 17 of 1999 s. 19.] </w:t>
      </w:r>
    </w:p>
    <w:p>
      <w:pPr>
        <w:pStyle w:val="Heading2"/>
      </w:pPr>
      <w:bookmarkStart w:id="1145" w:name="_Toc87427717"/>
      <w:bookmarkStart w:id="1146" w:name="_Toc87851292"/>
      <w:bookmarkStart w:id="1147" w:name="_Toc88295515"/>
      <w:bookmarkStart w:id="1148" w:name="_Toc89519174"/>
      <w:bookmarkStart w:id="1149" w:name="_Toc90869299"/>
      <w:bookmarkStart w:id="1150" w:name="_Toc91408071"/>
      <w:bookmarkStart w:id="1151" w:name="_Toc92863815"/>
      <w:bookmarkStart w:id="1152" w:name="_Toc95015183"/>
      <w:bookmarkStart w:id="1153" w:name="_Toc95106890"/>
      <w:bookmarkStart w:id="1154" w:name="_Toc97018690"/>
      <w:bookmarkStart w:id="1155" w:name="_Toc101693643"/>
      <w:bookmarkStart w:id="1156" w:name="_Toc103130513"/>
      <w:bookmarkStart w:id="1157" w:name="_Toc104711163"/>
      <w:bookmarkStart w:id="1158" w:name="_Toc121560148"/>
      <w:bookmarkStart w:id="1159" w:name="_Toc122328589"/>
      <w:bookmarkStart w:id="1160" w:name="_Toc124061208"/>
      <w:bookmarkStart w:id="1161" w:name="_Toc124140063"/>
      <w:r>
        <w:rPr>
          <w:rStyle w:val="CharPartNo"/>
        </w:rPr>
        <w:t>Part VIII</w:t>
      </w:r>
      <w:r>
        <w:rPr>
          <w:rStyle w:val="CharDivNo"/>
        </w:rPr>
        <w:t> </w:t>
      </w:r>
      <w:r>
        <w:t>—</w:t>
      </w:r>
      <w:r>
        <w:rPr>
          <w:rStyle w:val="CharDivText"/>
        </w:rPr>
        <w:t> </w:t>
      </w:r>
      <w:r>
        <w:rPr>
          <w:rStyle w:val="CharPartText"/>
        </w:rPr>
        <w:t>Administration of justice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PartText"/>
        </w:rPr>
        <w:t xml:space="preserve"> </w:t>
      </w:r>
    </w:p>
    <w:p>
      <w:pPr>
        <w:pStyle w:val="Heading5"/>
        <w:rPr>
          <w:snapToGrid w:val="0"/>
        </w:rPr>
      </w:pPr>
      <w:bookmarkStart w:id="1162" w:name="_Toc520088043"/>
      <w:bookmarkStart w:id="1163" w:name="_Toc523620678"/>
      <w:bookmarkStart w:id="1164" w:name="_Toc38853831"/>
      <w:bookmarkStart w:id="1165" w:name="_Toc124061209"/>
      <w:bookmarkStart w:id="1166" w:name="_Toc124140064"/>
      <w:r>
        <w:rPr>
          <w:rStyle w:val="CharSectno"/>
        </w:rPr>
        <w:t>127</w:t>
      </w:r>
      <w:r>
        <w:rPr>
          <w:snapToGrid w:val="0"/>
        </w:rPr>
        <w:t>.</w:t>
      </w:r>
      <w:r>
        <w:rPr>
          <w:snapToGrid w:val="0"/>
        </w:rPr>
        <w:tab/>
        <w:t>Establishment of wardens’ courts</w:t>
      </w:r>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pPr>
      <w:r>
        <w:tab/>
        <w:t>[(3)</w:t>
      </w:r>
      <w:r>
        <w:tab/>
        <w:t>repealed]</w:t>
      </w:r>
    </w:p>
    <w:p>
      <w:pPr>
        <w:pStyle w:val="Footnotesection"/>
      </w:pPr>
      <w:r>
        <w:tab/>
        <w:t xml:space="preserve">[Section 127 amended by No. 100 of 1985 s. 97; No. 59 of 2004 s. 116.] </w:t>
      </w:r>
    </w:p>
    <w:p>
      <w:pPr>
        <w:pStyle w:val="Heading5"/>
        <w:rPr>
          <w:snapToGrid w:val="0"/>
        </w:rPr>
      </w:pPr>
      <w:bookmarkStart w:id="1167" w:name="_Toc520088044"/>
      <w:bookmarkStart w:id="1168" w:name="_Toc523620679"/>
      <w:bookmarkStart w:id="1169" w:name="_Toc38853832"/>
      <w:bookmarkStart w:id="1170" w:name="_Toc124061210"/>
      <w:bookmarkStart w:id="1171" w:name="_Toc124140065"/>
      <w:r>
        <w:rPr>
          <w:rStyle w:val="CharSectno"/>
        </w:rPr>
        <w:t>128</w:t>
      </w:r>
      <w:r>
        <w:rPr>
          <w:snapToGrid w:val="0"/>
        </w:rPr>
        <w:t>.</w:t>
      </w:r>
      <w:r>
        <w:rPr>
          <w:snapToGrid w:val="0"/>
        </w:rPr>
        <w:tab/>
        <w:t>Warden’s court to be court of record</w:t>
      </w:r>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172" w:name="_Toc520088045"/>
      <w:bookmarkStart w:id="1173" w:name="_Toc523620680"/>
      <w:bookmarkStart w:id="1174" w:name="_Toc38853833"/>
      <w:bookmarkStart w:id="1175" w:name="_Toc124061211"/>
      <w:bookmarkStart w:id="1176" w:name="_Toc124140066"/>
      <w:r>
        <w:rPr>
          <w:rStyle w:val="CharSectno"/>
        </w:rPr>
        <w:t>129</w:t>
      </w:r>
      <w:r>
        <w:rPr>
          <w:snapToGrid w:val="0"/>
        </w:rPr>
        <w:t>.</w:t>
      </w:r>
      <w:r>
        <w:rPr>
          <w:snapToGrid w:val="0"/>
        </w:rPr>
        <w:tab/>
        <w:t>Signing of process</w:t>
      </w:r>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177" w:name="_Toc520088046"/>
      <w:bookmarkStart w:id="1178" w:name="_Toc523620681"/>
      <w:bookmarkStart w:id="1179" w:name="_Toc38853834"/>
      <w:bookmarkStart w:id="1180" w:name="_Toc124061212"/>
      <w:bookmarkStart w:id="1181" w:name="_Toc124140067"/>
      <w:r>
        <w:rPr>
          <w:rStyle w:val="CharSectno"/>
        </w:rPr>
        <w:t>130</w:t>
      </w:r>
      <w:r>
        <w:rPr>
          <w:snapToGrid w:val="0"/>
        </w:rPr>
        <w:t>.</w:t>
      </w:r>
      <w:r>
        <w:rPr>
          <w:snapToGrid w:val="0"/>
        </w:rPr>
        <w:tab/>
        <w:t>Times for holding warden’s court</w:t>
      </w:r>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182" w:name="_Toc520088047"/>
      <w:bookmarkStart w:id="1183" w:name="_Toc523620682"/>
      <w:bookmarkStart w:id="1184" w:name="_Toc38853835"/>
      <w:bookmarkStart w:id="1185" w:name="_Toc124061213"/>
      <w:bookmarkStart w:id="1186" w:name="_Toc124140068"/>
      <w:r>
        <w:rPr>
          <w:rStyle w:val="CharSectno"/>
        </w:rPr>
        <w:t>131</w:t>
      </w:r>
      <w:r>
        <w:rPr>
          <w:snapToGrid w:val="0"/>
        </w:rPr>
        <w:t>.</w:t>
      </w:r>
      <w:r>
        <w:rPr>
          <w:snapToGrid w:val="0"/>
        </w:rPr>
        <w:tab/>
        <w:t>Power of a warden to act in absence of warden usually presiding</w:t>
      </w:r>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187" w:name="_Toc520088048"/>
      <w:bookmarkStart w:id="1188" w:name="_Toc523620683"/>
      <w:bookmarkStart w:id="1189" w:name="_Toc38853836"/>
      <w:bookmarkStart w:id="1190" w:name="_Toc124061214"/>
      <w:bookmarkStart w:id="1191" w:name="_Toc124140069"/>
      <w:r>
        <w:rPr>
          <w:rStyle w:val="CharSectno"/>
        </w:rPr>
        <w:t>132</w:t>
      </w:r>
      <w:r>
        <w:rPr>
          <w:snapToGrid w:val="0"/>
        </w:rPr>
        <w:t>.</w:t>
      </w:r>
      <w:r>
        <w:rPr>
          <w:snapToGrid w:val="0"/>
        </w:rPr>
        <w:tab/>
        <w:t>Jurisdiction of warden’s court</w:t>
      </w:r>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192" w:name="_Toc124061215"/>
      <w:bookmarkStart w:id="1193" w:name="_Toc124140070"/>
      <w:bookmarkStart w:id="1194" w:name="_Toc520088050"/>
      <w:bookmarkStart w:id="1195" w:name="_Toc523620685"/>
      <w:bookmarkStart w:id="1196" w:name="_Toc38853838"/>
      <w:r>
        <w:rPr>
          <w:rStyle w:val="CharSectno"/>
        </w:rPr>
        <w:t>133</w:t>
      </w:r>
      <w:r>
        <w:t>.</w:t>
      </w:r>
      <w:r>
        <w:tab/>
        <w:t>Offences to be dealt with by magistrate</w:t>
      </w:r>
      <w:bookmarkEnd w:id="1192"/>
      <w:bookmarkEnd w:id="1193"/>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197" w:name="_Toc124061216"/>
      <w:bookmarkStart w:id="1198" w:name="_Toc124140071"/>
      <w:r>
        <w:rPr>
          <w:rStyle w:val="CharSectno"/>
        </w:rPr>
        <w:t>134</w:t>
      </w:r>
      <w:r>
        <w:rPr>
          <w:snapToGrid w:val="0"/>
        </w:rPr>
        <w:t>.</w:t>
      </w:r>
      <w:r>
        <w:rPr>
          <w:snapToGrid w:val="0"/>
        </w:rPr>
        <w:tab/>
        <w:t>Powers of warden’s court</w:t>
      </w:r>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199" w:name="_Toc520088051"/>
      <w:bookmarkStart w:id="1200" w:name="_Toc523620686"/>
      <w:bookmarkStart w:id="1201" w:name="_Toc38853839"/>
      <w:bookmarkStart w:id="1202" w:name="_Toc124061217"/>
      <w:bookmarkStart w:id="1203" w:name="_Toc124140072"/>
      <w:r>
        <w:rPr>
          <w:rStyle w:val="CharSectno"/>
        </w:rPr>
        <w:t>135</w:t>
      </w:r>
      <w:r>
        <w:rPr>
          <w:snapToGrid w:val="0"/>
        </w:rPr>
        <w:t>.</w:t>
      </w:r>
      <w:r>
        <w:rPr>
          <w:snapToGrid w:val="0"/>
        </w:rPr>
        <w:tab/>
        <w:t>Summary determination by warden by consent</w:t>
      </w:r>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pPr>
      <w:r>
        <w:tab/>
        <w:t xml:space="preserve">[Section 135 amended by No. 100 of 1985 s. 100.] </w:t>
      </w:r>
    </w:p>
    <w:p>
      <w:pPr>
        <w:pStyle w:val="Heading5"/>
        <w:rPr>
          <w:snapToGrid w:val="0"/>
        </w:rPr>
      </w:pPr>
      <w:bookmarkStart w:id="1204" w:name="_Toc520088052"/>
      <w:bookmarkStart w:id="1205" w:name="_Toc523620687"/>
      <w:bookmarkStart w:id="1206" w:name="_Toc38853840"/>
      <w:bookmarkStart w:id="1207" w:name="_Toc124061218"/>
      <w:bookmarkStart w:id="1208" w:name="_Toc124140073"/>
      <w:r>
        <w:rPr>
          <w:rStyle w:val="CharSectno"/>
        </w:rPr>
        <w:t>136</w:t>
      </w:r>
      <w:r>
        <w:rPr>
          <w:snapToGrid w:val="0"/>
        </w:rPr>
        <w:t>.</w:t>
      </w:r>
      <w:r>
        <w:rPr>
          <w:snapToGrid w:val="0"/>
        </w:rPr>
        <w:tab/>
        <w:t>Practice and procedure in warden’s court</w:t>
      </w:r>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pPr>
      <w:r>
        <w:tab/>
        <w:t xml:space="preserve">[Section 136 amended by No. 105 of 1986 s. 21; No. 59 of 2004 s. 116.] </w:t>
      </w:r>
    </w:p>
    <w:p>
      <w:pPr>
        <w:pStyle w:val="Heading5"/>
        <w:rPr>
          <w:snapToGrid w:val="0"/>
        </w:rPr>
      </w:pPr>
      <w:bookmarkStart w:id="1209" w:name="_Toc520088053"/>
      <w:bookmarkStart w:id="1210" w:name="_Toc523620688"/>
      <w:bookmarkStart w:id="1211" w:name="_Toc38853841"/>
      <w:bookmarkStart w:id="1212" w:name="_Toc124061219"/>
      <w:bookmarkStart w:id="1213" w:name="_Toc124140074"/>
      <w:r>
        <w:rPr>
          <w:rStyle w:val="CharSectno"/>
        </w:rPr>
        <w:t>137</w:t>
      </w:r>
      <w:r>
        <w:rPr>
          <w:snapToGrid w:val="0"/>
        </w:rPr>
        <w:t>.</w:t>
      </w:r>
      <w:r>
        <w:rPr>
          <w:snapToGrid w:val="0"/>
        </w:rPr>
        <w:tab/>
        <w:t>Records of evidence</w:t>
      </w:r>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214" w:name="_Toc520088054"/>
      <w:bookmarkStart w:id="1215" w:name="_Toc523620689"/>
      <w:bookmarkStart w:id="1216" w:name="_Toc38853842"/>
      <w:bookmarkStart w:id="1217" w:name="_Toc124061220"/>
      <w:bookmarkStart w:id="1218" w:name="_Toc124140075"/>
      <w:r>
        <w:rPr>
          <w:rStyle w:val="CharSectno"/>
        </w:rPr>
        <w:t>138</w:t>
      </w:r>
      <w:r>
        <w:rPr>
          <w:snapToGrid w:val="0"/>
        </w:rPr>
        <w:t>.</w:t>
      </w:r>
      <w:r>
        <w:rPr>
          <w:snapToGrid w:val="0"/>
        </w:rPr>
        <w:tab/>
        <w:t>Mode of trial</w:t>
      </w:r>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219" w:name="_Toc520088055"/>
      <w:bookmarkStart w:id="1220" w:name="_Toc523620690"/>
      <w:bookmarkStart w:id="1221" w:name="_Toc38853843"/>
      <w:bookmarkStart w:id="1222" w:name="_Toc124061221"/>
      <w:bookmarkStart w:id="1223" w:name="_Toc124140076"/>
      <w:r>
        <w:rPr>
          <w:rStyle w:val="CharSectno"/>
        </w:rPr>
        <w:t>139</w:t>
      </w:r>
      <w:r>
        <w:rPr>
          <w:snapToGrid w:val="0"/>
        </w:rPr>
        <w:t>.</w:t>
      </w:r>
      <w:r>
        <w:rPr>
          <w:snapToGrid w:val="0"/>
        </w:rPr>
        <w:tab/>
        <w:t>Contempt of court</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224" w:name="_Toc124061222"/>
      <w:bookmarkStart w:id="1225" w:name="_Toc124140077"/>
      <w:r>
        <w:rPr>
          <w:rStyle w:val="CharSectno"/>
        </w:rPr>
        <w:t>140</w:t>
      </w:r>
      <w:r>
        <w:t>.</w:t>
      </w:r>
      <w:r>
        <w:tab/>
        <w:t>Judgments, enforcement of</w:t>
      </w:r>
      <w:bookmarkEnd w:id="1224"/>
      <w:bookmarkEnd w:id="122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r>
      <w:r>
        <w:tab/>
        <w:t>Repealed by No. 59 of 2004 s. 115.]</w:t>
      </w:r>
    </w:p>
    <w:p>
      <w:pPr>
        <w:pStyle w:val="Heading5"/>
        <w:rPr>
          <w:snapToGrid w:val="0"/>
        </w:rPr>
      </w:pPr>
      <w:bookmarkStart w:id="1226" w:name="_Toc520088058"/>
      <w:bookmarkStart w:id="1227" w:name="_Toc523620693"/>
      <w:bookmarkStart w:id="1228" w:name="_Toc38853846"/>
      <w:bookmarkStart w:id="1229" w:name="_Toc124061223"/>
      <w:bookmarkStart w:id="1230" w:name="_Toc124140078"/>
      <w:r>
        <w:rPr>
          <w:rStyle w:val="CharSectno"/>
        </w:rPr>
        <w:t>142</w:t>
      </w:r>
      <w:r>
        <w:rPr>
          <w:snapToGrid w:val="0"/>
        </w:rPr>
        <w:t>.</w:t>
      </w:r>
      <w:r>
        <w:rPr>
          <w:snapToGrid w:val="0"/>
        </w:rPr>
        <w:tab/>
        <w:t>Informality and amendment</w:t>
      </w:r>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spacing w:before="120"/>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spacing w:before="120"/>
        <w:rPr>
          <w:snapToGrid w:val="0"/>
        </w:rPr>
      </w:pPr>
      <w:bookmarkStart w:id="1231" w:name="_Toc520088059"/>
      <w:bookmarkStart w:id="1232" w:name="_Toc523620694"/>
      <w:bookmarkStart w:id="1233" w:name="_Toc38853847"/>
      <w:bookmarkStart w:id="1234" w:name="_Toc124061224"/>
      <w:bookmarkStart w:id="1235" w:name="_Toc124140079"/>
      <w:r>
        <w:rPr>
          <w:rStyle w:val="CharSectno"/>
        </w:rPr>
        <w:t>143</w:t>
      </w:r>
      <w:r>
        <w:rPr>
          <w:snapToGrid w:val="0"/>
        </w:rPr>
        <w:t>.</w:t>
      </w:r>
      <w:r>
        <w:rPr>
          <w:snapToGrid w:val="0"/>
        </w:rPr>
        <w:tab/>
        <w:t>Notice of injunction affecting mining tenement to be notified</w:t>
      </w:r>
      <w:bookmarkEnd w:id="1231"/>
      <w:bookmarkEnd w:id="1232"/>
      <w:bookmarkEnd w:id="1233"/>
      <w:bookmarkEnd w:id="1234"/>
      <w:bookmarkEnd w:id="1235"/>
      <w:r>
        <w:rPr>
          <w:snapToGrid w:val="0"/>
        </w:rPr>
        <w:t xml:space="preserve"> </w:t>
      </w:r>
    </w:p>
    <w:p>
      <w:pPr>
        <w:pStyle w:val="Subsection"/>
        <w:spacing w:before="120"/>
        <w:rPr>
          <w:snapToGrid w:val="0"/>
        </w:rPr>
      </w:pPr>
      <w:r>
        <w:rPr>
          <w:snapToGrid w:val="0"/>
        </w:rPr>
        <w:tab/>
      </w:r>
      <w:r>
        <w:rPr>
          <w:snapToGrid w:val="0"/>
        </w:rPr>
        <w:tab/>
        <w:t>Where a warden grants any injunction with respect to any mining tenement, the warden shall notify forthwith the Director General of Mines of the fact that the injunction has been granted and of the particulars thereof, and on receipt of such notification an entry of the particulars shall be made in the register kept in accordance with the regulations against the mining tenement to which the injunction relates.</w:t>
      </w:r>
    </w:p>
    <w:p>
      <w:pPr>
        <w:pStyle w:val="Footnotesection"/>
      </w:pPr>
      <w:r>
        <w:tab/>
        <w:t xml:space="preserve">[Section 143 amended by No. 100 of 1985 s. 103; No. 105 of 1986 s. 22.] </w:t>
      </w:r>
    </w:p>
    <w:p>
      <w:pPr>
        <w:pStyle w:val="Heading5"/>
        <w:rPr>
          <w:snapToGrid w:val="0"/>
        </w:rPr>
      </w:pPr>
      <w:bookmarkStart w:id="1236" w:name="_Toc520088060"/>
      <w:bookmarkStart w:id="1237" w:name="_Toc523620695"/>
      <w:bookmarkStart w:id="1238" w:name="_Toc38853848"/>
      <w:bookmarkStart w:id="1239" w:name="_Toc124061225"/>
      <w:bookmarkStart w:id="1240" w:name="_Toc124140080"/>
      <w:r>
        <w:rPr>
          <w:rStyle w:val="CharSectno"/>
        </w:rPr>
        <w:t>144</w:t>
      </w:r>
      <w:r>
        <w:rPr>
          <w:snapToGrid w:val="0"/>
        </w:rPr>
        <w:t>.</w:t>
      </w:r>
      <w:r>
        <w:rPr>
          <w:snapToGrid w:val="0"/>
        </w:rPr>
        <w:tab/>
        <w:t>Persons before whom affidavits may be sworn</w:t>
      </w:r>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1241" w:name="_Toc520088061"/>
      <w:bookmarkStart w:id="1242" w:name="_Toc523620696"/>
      <w:bookmarkStart w:id="1243" w:name="_Toc38853849"/>
      <w:bookmarkStart w:id="1244" w:name="_Toc124061226"/>
      <w:bookmarkStart w:id="1245" w:name="_Toc124140081"/>
      <w:r>
        <w:rPr>
          <w:rStyle w:val="CharSectno"/>
        </w:rPr>
        <w:t>145</w:t>
      </w:r>
      <w:r>
        <w:rPr>
          <w:snapToGrid w:val="0"/>
        </w:rPr>
        <w:t>.</w:t>
      </w:r>
      <w:r>
        <w:rPr>
          <w:snapToGrid w:val="0"/>
        </w:rPr>
        <w:tab/>
        <w:t>Proof of judgment, order or decision of warden</w:t>
      </w:r>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in accordance with the regulations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Heading5"/>
        <w:rPr>
          <w:snapToGrid w:val="0"/>
        </w:rPr>
      </w:pPr>
      <w:bookmarkStart w:id="1246" w:name="_Toc520088062"/>
      <w:bookmarkStart w:id="1247" w:name="_Toc523620697"/>
      <w:bookmarkStart w:id="1248" w:name="_Toc38853850"/>
      <w:bookmarkStart w:id="1249" w:name="_Toc124061227"/>
      <w:bookmarkStart w:id="1250" w:name="_Toc124140082"/>
      <w:r>
        <w:rPr>
          <w:rStyle w:val="CharSectno"/>
        </w:rPr>
        <w:t>146</w:t>
      </w:r>
      <w:r>
        <w:rPr>
          <w:snapToGrid w:val="0"/>
        </w:rPr>
        <w:t>.</w:t>
      </w:r>
      <w:r>
        <w:rPr>
          <w:snapToGrid w:val="0"/>
        </w:rPr>
        <w:tab/>
        <w:t>Reservation of questions of law: hearing and determination thereof</w:t>
      </w:r>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251" w:name="_Toc520088063"/>
      <w:bookmarkStart w:id="1252" w:name="_Toc523620698"/>
      <w:bookmarkStart w:id="1253" w:name="_Toc38853851"/>
      <w:bookmarkStart w:id="1254" w:name="_Toc124061228"/>
      <w:bookmarkStart w:id="1255" w:name="_Toc124140083"/>
      <w:r>
        <w:rPr>
          <w:rStyle w:val="CharSectno"/>
        </w:rPr>
        <w:t>147</w:t>
      </w:r>
      <w:r>
        <w:rPr>
          <w:snapToGrid w:val="0"/>
        </w:rPr>
        <w:t>.</w:t>
      </w:r>
      <w:r>
        <w:rPr>
          <w:snapToGrid w:val="0"/>
        </w:rPr>
        <w:tab/>
        <w:t>Appeal to the Supreme Court</w:t>
      </w:r>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256" w:name="_Toc520088064"/>
      <w:bookmarkStart w:id="1257" w:name="_Toc523620699"/>
      <w:bookmarkStart w:id="1258" w:name="_Toc38853852"/>
      <w:bookmarkStart w:id="1259" w:name="_Toc124061229"/>
      <w:bookmarkStart w:id="1260" w:name="_Toc124140084"/>
      <w:r>
        <w:rPr>
          <w:rStyle w:val="CharSectno"/>
        </w:rPr>
        <w:t>148</w:t>
      </w:r>
      <w:r>
        <w:rPr>
          <w:snapToGrid w:val="0"/>
        </w:rPr>
        <w:t>.</w:t>
      </w:r>
      <w:r>
        <w:rPr>
          <w:snapToGrid w:val="0"/>
        </w:rPr>
        <w:tab/>
        <w:t>Procedure on appeal</w:t>
      </w:r>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261" w:name="_Toc520088065"/>
      <w:bookmarkStart w:id="1262" w:name="_Toc523620700"/>
      <w:bookmarkStart w:id="1263" w:name="_Toc38853853"/>
      <w:bookmarkStart w:id="1264" w:name="_Toc124061230"/>
      <w:bookmarkStart w:id="1265" w:name="_Toc124140085"/>
      <w:r>
        <w:rPr>
          <w:rStyle w:val="CharSectno"/>
        </w:rPr>
        <w:t>149</w:t>
      </w:r>
      <w:r>
        <w:rPr>
          <w:snapToGrid w:val="0"/>
        </w:rPr>
        <w:t>.</w:t>
      </w:r>
      <w:r>
        <w:rPr>
          <w:snapToGrid w:val="0"/>
        </w:rPr>
        <w:tab/>
        <w:t>Power of Supreme Court on appeal</w:t>
      </w:r>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266" w:name="_Toc520088066"/>
      <w:bookmarkStart w:id="1267" w:name="_Toc523620701"/>
      <w:bookmarkStart w:id="1268" w:name="_Toc38853854"/>
      <w:bookmarkStart w:id="1269" w:name="_Toc124061231"/>
      <w:bookmarkStart w:id="1270" w:name="_Toc124140086"/>
      <w:r>
        <w:rPr>
          <w:rStyle w:val="CharSectno"/>
        </w:rPr>
        <w:t>150</w:t>
      </w:r>
      <w:r>
        <w:rPr>
          <w:snapToGrid w:val="0"/>
        </w:rPr>
        <w:t>.</w:t>
      </w:r>
      <w:r>
        <w:rPr>
          <w:snapToGrid w:val="0"/>
        </w:rPr>
        <w:tab/>
        <w:t>Withdrawal or failure to prosecute appeal</w:t>
      </w:r>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271" w:name="_Toc520088067"/>
      <w:bookmarkStart w:id="1272" w:name="_Toc523620702"/>
      <w:bookmarkStart w:id="1273" w:name="_Toc38853855"/>
      <w:bookmarkStart w:id="1274" w:name="_Toc124061232"/>
      <w:bookmarkStart w:id="1275" w:name="_Toc124140087"/>
      <w:r>
        <w:rPr>
          <w:rStyle w:val="CharSectno"/>
        </w:rPr>
        <w:t>151</w:t>
      </w:r>
      <w:r>
        <w:rPr>
          <w:snapToGrid w:val="0"/>
        </w:rPr>
        <w:t>.</w:t>
      </w:r>
      <w:r>
        <w:rPr>
          <w:snapToGrid w:val="0"/>
        </w:rPr>
        <w:tab/>
        <w:t>Limitation of right of appeal</w:t>
      </w:r>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276" w:name="_Toc87427743"/>
      <w:bookmarkStart w:id="1277" w:name="_Toc87851318"/>
      <w:bookmarkStart w:id="1278" w:name="_Toc88295541"/>
      <w:bookmarkStart w:id="1279" w:name="_Toc89519200"/>
      <w:bookmarkStart w:id="1280" w:name="_Toc90869325"/>
      <w:bookmarkStart w:id="1281" w:name="_Toc91408097"/>
      <w:bookmarkStart w:id="1282" w:name="_Toc92863841"/>
      <w:bookmarkStart w:id="1283" w:name="_Toc95015209"/>
      <w:bookmarkStart w:id="1284" w:name="_Toc95106916"/>
      <w:bookmarkStart w:id="1285" w:name="_Toc97018716"/>
      <w:bookmarkStart w:id="1286" w:name="_Toc101693671"/>
      <w:bookmarkStart w:id="1287" w:name="_Toc103130538"/>
      <w:bookmarkStart w:id="1288" w:name="_Toc104711188"/>
      <w:bookmarkStart w:id="1289" w:name="_Toc121560173"/>
      <w:bookmarkStart w:id="1290" w:name="_Toc122328614"/>
      <w:bookmarkStart w:id="1291" w:name="_Toc124061233"/>
      <w:bookmarkStart w:id="1292" w:name="_Toc124140088"/>
      <w:r>
        <w:rPr>
          <w:rStyle w:val="CharPartNo"/>
        </w:rPr>
        <w:t>Part IX</w:t>
      </w:r>
      <w:r>
        <w:rPr>
          <w:rStyle w:val="CharDivNo"/>
        </w:rPr>
        <w:t> </w:t>
      </w:r>
      <w:r>
        <w:t>—</w:t>
      </w:r>
      <w:r>
        <w:rPr>
          <w:rStyle w:val="CharDivText"/>
        </w:rPr>
        <w:t> </w:t>
      </w:r>
      <w:r>
        <w:rPr>
          <w:rStyle w:val="CharPartText"/>
        </w:rPr>
        <w:t>Miscellaneous and regulations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5"/>
        <w:rPr>
          <w:snapToGrid w:val="0"/>
        </w:rPr>
      </w:pPr>
      <w:bookmarkStart w:id="1293" w:name="_Toc520088068"/>
      <w:bookmarkStart w:id="1294" w:name="_Toc523620703"/>
      <w:bookmarkStart w:id="1295" w:name="_Toc38853856"/>
      <w:bookmarkStart w:id="1296" w:name="_Toc124061234"/>
      <w:bookmarkStart w:id="1297" w:name="_Toc124140089"/>
      <w:r>
        <w:rPr>
          <w:rStyle w:val="CharSectno"/>
        </w:rPr>
        <w:t>152</w:t>
      </w:r>
      <w:r>
        <w:rPr>
          <w:snapToGrid w:val="0"/>
        </w:rPr>
        <w:t>.</w:t>
      </w:r>
      <w:r>
        <w:rPr>
          <w:snapToGrid w:val="0"/>
        </w:rPr>
        <w:tab/>
        <w:t>Police to assist warden</w:t>
      </w:r>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298" w:name="_Toc520088069"/>
      <w:bookmarkStart w:id="1299" w:name="_Toc523620704"/>
      <w:bookmarkStart w:id="1300" w:name="_Toc38853857"/>
      <w:bookmarkStart w:id="1301" w:name="_Toc124061235"/>
      <w:bookmarkStart w:id="1302" w:name="_Toc124140090"/>
      <w:r>
        <w:rPr>
          <w:rStyle w:val="CharSectno"/>
        </w:rPr>
        <w:t>153</w:t>
      </w:r>
      <w:r>
        <w:rPr>
          <w:snapToGrid w:val="0"/>
        </w:rPr>
        <w:t>.</w:t>
      </w:r>
      <w:r>
        <w:rPr>
          <w:snapToGrid w:val="0"/>
        </w:rPr>
        <w:tab/>
        <w:t>Minor capable of being sued and of suing</w:t>
      </w:r>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303" w:name="_Toc520088070"/>
      <w:bookmarkStart w:id="1304" w:name="_Toc523620705"/>
      <w:bookmarkStart w:id="1305" w:name="_Toc38853858"/>
      <w:bookmarkStart w:id="1306" w:name="_Toc124061236"/>
      <w:bookmarkStart w:id="1307" w:name="_Toc124140091"/>
      <w:r>
        <w:rPr>
          <w:rStyle w:val="CharSectno"/>
        </w:rPr>
        <w:t>154</w:t>
      </w:r>
      <w:r>
        <w:rPr>
          <w:snapToGrid w:val="0"/>
        </w:rPr>
        <w:t>.</w:t>
      </w:r>
      <w:r>
        <w:rPr>
          <w:snapToGrid w:val="0"/>
        </w:rPr>
        <w:tab/>
        <w:t>General penalty</w:t>
      </w:r>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308" w:name="_Toc520088071"/>
      <w:bookmarkStart w:id="1309" w:name="_Toc523620706"/>
      <w:bookmarkStart w:id="1310" w:name="_Toc38853859"/>
      <w:bookmarkStart w:id="1311" w:name="_Toc124061237"/>
      <w:bookmarkStart w:id="1312" w:name="_Toc124140092"/>
      <w:r>
        <w:rPr>
          <w:rStyle w:val="CharSectno"/>
        </w:rPr>
        <w:t>155</w:t>
      </w:r>
      <w:r>
        <w:rPr>
          <w:snapToGrid w:val="0"/>
        </w:rPr>
        <w:t>.</w:t>
      </w:r>
      <w:r>
        <w:rPr>
          <w:snapToGrid w:val="0"/>
        </w:rPr>
        <w:tab/>
        <w:t>Offence of mining without authority</w:t>
      </w:r>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spacing w:val="-4"/>
        </w:rPr>
      </w:pPr>
      <w:r>
        <w:rPr>
          <w:snapToGrid w:val="0"/>
          <w:spacing w:val="-4"/>
        </w:rPr>
        <w:tab/>
        <w:t>(2)</w:t>
      </w:r>
      <w:r>
        <w:rPr>
          <w:snapToGrid w:val="0"/>
          <w:spacing w:val="-4"/>
        </w:rPr>
        <w:tab/>
        <w:t>Subsection (1) does not apply in respect of mining operations carried on on any private land with the consent of the owner of the land if he is the owner of the mineral being mined on the land.</w:t>
      </w:r>
    </w:p>
    <w:p>
      <w:pPr>
        <w:pStyle w:val="Subsection"/>
        <w:rPr>
          <w:snapToGrid w:val="0"/>
          <w:spacing w:val="-4"/>
        </w:rPr>
      </w:pPr>
      <w:r>
        <w:rPr>
          <w:snapToGrid w:val="0"/>
          <w:spacing w:val="-4"/>
        </w:rPr>
        <w:tab/>
        <w:t>(3)</w:t>
      </w:r>
      <w:r>
        <w:rPr>
          <w:snapToGrid w:val="0"/>
          <w:spacing w:val="-4"/>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pPr>
      <w:r>
        <w:tab/>
        <w:t xml:space="preserve">[Section 155 amended by No. 100 of 1985 s. 107; No. 105 of 1986 s. 23; No. 22 of 1990 s. 38; No. 78 of 1995 s. 147; No. 15 of 2002 s. 28.] </w:t>
      </w:r>
    </w:p>
    <w:p>
      <w:pPr>
        <w:pStyle w:val="Heading5"/>
        <w:rPr>
          <w:snapToGrid w:val="0"/>
        </w:rPr>
      </w:pPr>
      <w:bookmarkStart w:id="1313" w:name="_Toc520088072"/>
      <w:bookmarkStart w:id="1314" w:name="_Toc523620707"/>
      <w:bookmarkStart w:id="1315" w:name="_Toc38853860"/>
      <w:bookmarkStart w:id="1316" w:name="_Toc124061238"/>
      <w:bookmarkStart w:id="1317" w:name="_Toc124140093"/>
      <w:r>
        <w:rPr>
          <w:rStyle w:val="CharSectno"/>
        </w:rPr>
        <w:t>155A</w:t>
      </w:r>
      <w:r>
        <w:rPr>
          <w:snapToGrid w:val="0"/>
        </w:rPr>
        <w:t>.</w:t>
      </w:r>
      <w:r>
        <w:rPr>
          <w:snapToGrid w:val="0"/>
        </w:rPr>
        <w:tab/>
        <w:t>Aerial survey work</w:t>
      </w:r>
      <w:bookmarkEnd w:id="1313"/>
      <w:bookmarkEnd w:id="1314"/>
      <w:bookmarkEnd w:id="1315"/>
      <w:bookmarkEnd w:id="1316"/>
      <w:bookmarkEnd w:id="1317"/>
      <w:r>
        <w:rPr>
          <w:snapToGrid w:val="0"/>
        </w:rPr>
        <w:t xml:space="preserve"> </w:t>
      </w:r>
    </w:p>
    <w:p>
      <w:pPr>
        <w:pStyle w:val="Subsection"/>
        <w:spacing w:before="100"/>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pPr>
      <w:r>
        <w:tab/>
        <w:t xml:space="preserve">[Section 155A inserted by No. 58 of 1994 s. 50.] </w:t>
      </w:r>
    </w:p>
    <w:p>
      <w:pPr>
        <w:pStyle w:val="Heading5"/>
        <w:spacing w:before="120"/>
        <w:rPr>
          <w:snapToGrid w:val="0"/>
        </w:rPr>
      </w:pPr>
      <w:bookmarkStart w:id="1318" w:name="_Toc520088073"/>
      <w:bookmarkStart w:id="1319" w:name="_Toc523620708"/>
      <w:bookmarkStart w:id="1320" w:name="_Toc38853861"/>
      <w:bookmarkStart w:id="1321" w:name="_Toc124061239"/>
      <w:bookmarkStart w:id="1322" w:name="_Toc124140094"/>
      <w:r>
        <w:rPr>
          <w:rStyle w:val="CharSectno"/>
        </w:rPr>
        <w:t>156</w:t>
      </w:r>
      <w:r>
        <w:rPr>
          <w:snapToGrid w:val="0"/>
        </w:rPr>
        <w:t>.</w:t>
      </w:r>
      <w:r>
        <w:rPr>
          <w:snapToGrid w:val="0"/>
        </w:rPr>
        <w:tab/>
        <w:t>Offences</w:t>
      </w:r>
      <w:bookmarkEnd w:id="1318"/>
      <w:bookmarkEnd w:id="1319"/>
      <w:bookmarkEnd w:id="1320"/>
      <w:bookmarkEnd w:id="1321"/>
      <w:bookmarkEnd w:id="1322"/>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323" w:name="_Toc520088074"/>
      <w:bookmarkStart w:id="1324" w:name="_Toc523620709"/>
      <w:bookmarkStart w:id="1325" w:name="_Toc38853862"/>
      <w:bookmarkStart w:id="1326" w:name="_Toc124061240"/>
      <w:bookmarkStart w:id="1327" w:name="_Toc124140095"/>
      <w:r>
        <w:rPr>
          <w:rStyle w:val="CharSectno"/>
        </w:rPr>
        <w:t>157</w:t>
      </w:r>
      <w:r>
        <w:rPr>
          <w:snapToGrid w:val="0"/>
        </w:rPr>
        <w:t>.</w:t>
      </w:r>
      <w:r>
        <w:rPr>
          <w:snapToGrid w:val="0"/>
        </w:rPr>
        <w:tab/>
        <w:t>Obstruction of persons authorised to mine under this Act</w:t>
      </w:r>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328" w:name="_Toc520088075"/>
      <w:bookmarkStart w:id="1329" w:name="_Toc523620710"/>
      <w:bookmarkStart w:id="1330" w:name="_Toc38853863"/>
      <w:bookmarkStart w:id="1331" w:name="_Toc124061241"/>
      <w:bookmarkStart w:id="1332" w:name="_Toc124140096"/>
      <w:r>
        <w:rPr>
          <w:rStyle w:val="CharSectno"/>
        </w:rPr>
        <w:t>158</w:t>
      </w:r>
      <w:r>
        <w:rPr>
          <w:snapToGrid w:val="0"/>
        </w:rPr>
        <w:t>.</w:t>
      </w:r>
      <w:r>
        <w:rPr>
          <w:snapToGrid w:val="0"/>
        </w:rPr>
        <w:tab/>
        <w:t>Power to require information as to right to mine</w:t>
      </w:r>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333" w:name="_Toc520088076"/>
      <w:bookmarkStart w:id="1334" w:name="_Toc523620711"/>
      <w:bookmarkStart w:id="1335" w:name="_Toc38853864"/>
      <w:bookmarkStart w:id="1336" w:name="_Toc124061242"/>
      <w:bookmarkStart w:id="1337" w:name="_Toc124140097"/>
      <w:r>
        <w:rPr>
          <w:rStyle w:val="CharSectno"/>
        </w:rPr>
        <w:t>159</w:t>
      </w:r>
      <w:r>
        <w:rPr>
          <w:snapToGrid w:val="0"/>
        </w:rPr>
        <w:t>.</w:t>
      </w:r>
      <w:r>
        <w:rPr>
          <w:snapToGrid w:val="0"/>
        </w:rPr>
        <w:tab/>
        <w:t>Disputes between licensees and other persons</w:t>
      </w:r>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338" w:name="_Toc520088077"/>
      <w:bookmarkStart w:id="1339" w:name="_Toc523620712"/>
      <w:bookmarkStart w:id="1340" w:name="_Toc38853865"/>
      <w:bookmarkStart w:id="1341" w:name="_Toc124061243"/>
      <w:bookmarkStart w:id="1342" w:name="_Toc124140098"/>
      <w:r>
        <w:rPr>
          <w:rStyle w:val="CharSectno"/>
        </w:rPr>
        <w:t>160</w:t>
      </w:r>
      <w:r>
        <w:rPr>
          <w:snapToGrid w:val="0"/>
        </w:rPr>
        <w:t>.</w:t>
      </w:r>
      <w:r>
        <w:rPr>
          <w:snapToGrid w:val="0"/>
        </w:rPr>
        <w:tab/>
        <w:t>Saving of civil remedies</w:t>
      </w:r>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343" w:name="_Toc520088078"/>
      <w:bookmarkStart w:id="1344" w:name="_Toc523620713"/>
      <w:bookmarkStart w:id="1345" w:name="_Toc38853866"/>
      <w:bookmarkStart w:id="1346" w:name="_Toc124061244"/>
      <w:bookmarkStart w:id="1347" w:name="_Toc124140099"/>
      <w:r>
        <w:rPr>
          <w:rStyle w:val="CharSectno"/>
        </w:rPr>
        <w:t>160A</w:t>
      </w:r>
      <w:r>
        <w:rPr>
          <w:snapToGrid w:val="0"/>
        </w:rPr>
        <w:t>.</w:t>
      </w:r>
      <w:r>
        <w:rPr>
          <w:snapToGrid w:val="0"/>
        </w:rPr>
        <w:tab/>
        <w:t>Immunity of Minister and officials</w:t>
      </w:r>
      <w:bookmarkEnd w:id="1343"/>
      <w:bookmarkEnd w:id="1344"/>
      <w:bookmarkEnd w:id="1345"/>
      <w:bookmarkEnd w:id="1346"/>
      <w:bookmarkEnd w:id="1347"/>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348" w:name="_Toc520088079"/>
      <w:bookmarkStart w:id="1349" w:name="_Toc523620714"/>
      <w:bookmarkStart w:id="1350" w:name="_Toc38853867"/>
      <w:bookmarkStart w:id="1351" w:name="_Toc124061245"/>
      <w:bookmarkStart w:id="1352" w:name="_Toc124140100"/>
      <w:r>
        <w:rPr>
          <w:rStyle w:val="CharSectno"/>
        </w:rPr>
        <w:t>160B</w:t>
      </w:r>
      <w:r>
        <w:rPr>
          <w:snapToGrid w:val="0"/>
        </w:rPr>
        <w:t>.</w:t>
      </w:r>
      <w:r>
        <w:rPr>
          <w:snapToGrid w:val="0"/>
        </w:rPr>
        <w:tab/>
        <w:t>Time limit for prosecution action</w:t>
      </w:r>
      <w:bookmarkEnd w:id="1348"/>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353" w:name="_Toc520088080"/>
      <w:bookmarkStart w:id="1354" w:name="_Toc523620715"/>
      <w:bookmarkStart w:id="1355" w:name="_Toc38853868"/>
      <w:bookmarkStart w:id="1356" w:name="_Toc124061246"/>
      <w:bookmarkStart w:id="1357" w:name="_Toc124140101"/>
      <w:r>
        <w:rPr>
          <w:rStyle w:val="CharSectno"/>
        </w:rPr>
        <w:t>161</w:t>
      </w:r>
      <w:r>
        <w:rPr>
          <w:snapToGrid w:val="0"/>
        </w:rPr>
        <w:t>.</w:t>
      </w:r>
      <w:r>
        <w:rPr>
          <w:snapToGrid w:val="0"/>
        </w:rPr>
        <w:tab/>
        <w:t>Evidentiary provisions</w:t>
      </w:r>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mining registrar as a correct copy of an extract from the register kept in accordance with the regulations is evidence of the matter contained in that document.</w:t>
      </w:r>
    </w:p>
    <w:p>
      <w:pPr>
        <w:pStyle w:val="Footnotesection"/>
      </w:pPr>
      <w:r>
        <w:tab/>
        <w:t xml:space="preserve">[Section 161 amended by No. 122 of 1982 s. 29; No. 37 of 1993 s. 23; No. 5 of 1997 s. 41(2); No. 84 of 2004 s. 80.] </w:t>
      </w:r>
    </w:p>
    <w:p>
      <w:pPr>
        <w:pStyle w:val="Heading5"/>
        <w:rPr>
          <w:snapToGrid w:val="0"/>
        </w:rPr>
      </w:pPr>
      <w:bookmarkStart w:id="1358" w:name="_Toc520088081"/>
      <w:bookmarkStart w:id="1359" w:name="_Toc523620716"/>
      <w:bookmarkStart w:id="1360" w:name="_Toc38853869"/>
      <w:bookmarkStart w:id="1361" w:name="_Toc124061247"/>
      <w:bookmarkStart w:id="1362" w:name="_Toc124140102"/>
      <w:r>
        <w:rPr>
          <w:rStyle w:val="CharSectno"/>
        </w:rPr>
        <w:t>162</w:t>
      </w:r>
      <w:r>
        <w:rPr>
          <w:snapToGrid w:val="0"/>
        </w:rPr>
        <w:t>.</w:t>
      </w:r>
      <w:r>
        <w:rPr>
          <w:snapToGrid w:val="0"/>
        </w:rPr>
        <w:tab/>
        <w:t>Regulations</w:t>
      </w:r>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 and records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the registration of mining tenements and documents affecting them, the keeping by prescribed persons of a register of mining tenements and any register to be kept by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snapToGrid w:val="0"/>
        </w:rPr>
      </w:pPr>
      <w:r>
        <w:rPr>
          <w:snapToGrid w:val="0"/>
        </w:rPr>
        <w:tab/>
        <w:t>(s)</w:t>
      </w:r>
      <w:r>
        <w:rPr>
          <w:snapToGrid w:val="0"/>
        </w:rPr>
        <w:tab/>
        <w:t>regulate matters in connection with partnerships in mining;</w:t>
      </w:r>
    </w:p>
    <w:p>
      <w:pPr>
        <w:pStyle w:val="Indenta"/>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regulating the way in which drill cores obtained from mining tenements are to be stored and dealt with and imposing restrictions on the disposal or destruction of them;</w:t>
      </w:r>
    </w:p>
    <w:p>
      <w:pPr>
        <w:pStyle w:val="Indenta"/>
        <w:rPr>
          <w:snapToGrid w:val="0"/>
        </w:rPr>
      </w:pPr>
      <w:r>
        <w:rPr>
          <w:snapToGrid w:val="0"/>
        </w:rPr>
        <w:tab/>
        <w:t>(v)</w:t>
      </w:r>
      <w:r>
        <w:rPr>
          <w:snapToGrid w:val="0"/>
        </w:rPr>
        <w:tab/>
        <w:t>providing for the reporting of prescribed information as to aerial photography for mineral exploration and providing for the keeping of a register of such information;</w:t>
      </w:r>
    </w:p>
    <w:p>
      <w:pPr>
        <w:pStyle w:val="Indenta"/>
        <w:rPr>
          <w:snapToGrid w:val="0"/>
        </w:rPr>
      </w:pPr>
      <w:r>
        <w:rPr>
          <w:snapToGrid w:val="0"/>
        </w:rPr>
        <w:tab/>
        <w:t>(w)</w:t>
      </w:r>
      <w:r>
        <w:rPr>
          <w:snapToGrid w:val="0"/>
        </w:rPr>
        <w:tab/>
        <w:t>providing for the publication of guidelines in relation to mineral exploration reports referred to in section 115A;</w:t>
      </w:r>
    </w:p>
    <w:p>
      <w:pPr>
        <w:pStyle w:val="Indenta"/>
        <w:rPr>
          <w:snapToGrid w:val="0"/>
        </w:rPr>
      </w:pPr>
      <w:r>
        <w:rPr>
          <w:snapToGrid w:val="0"/>
        </w:rPr>
        <w:tab/>
        <w:t>(x)</w:t>
      </w:r>
      <w:r>
        <w:rPr>
          <w:snapToGrid w:val="0"/>
        </w:rPr>
        <w:tab/>
        <w:t>authorising and regulating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prescribing and regulating the responsibilities of the holders of mining tenements as to authorising, or obtaining authorisation for, the release of information contained in applications or reports under this Act.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pPr>
      <w:r>
        <w:tab/>
        <w:t>[(4)</w:t>
      </w:r>
      <w:r>
        <w:tab/>
        <w:t>repealed]</w:t>
      </w:r>
    </w:p>
    <w:p>
      <w:pPr>
        <w:pStyle w:val="Subsection"/>
        <w:rPr>
          <w:snapToGrid w:val="0"/>
        </w:rPr>
      </w:pPr>
      <w:r>
        <w:rPr>
          <w:snapToGrid w:val="0"/>
        </w:rPr>
        <w:tab/>
        <w:t>(5)</w:t>
      </w:r>
      <w:r>
        <w:rPr>
          <w:snapToGrid w:val="0"/>
        </w:rPr>
        <w:tab/>
        <w:t>A regulation may require any matter or thing to be verified by statutory declaration.</w:t>
      </w:r>
    </w:p>
    <w:p>
      <w:pPr>
        <w:pStyle w:val="Footnotesection"/>
      </w:pPr>
      <w:r>
        <w:tab/>
        <w:t xml:space="preserve">[Section 162 amended by No. 52 of 1983 s. 6; No. 100 of 1985 s. 109; No. 105 of 1986 s. 26; No. 65 of 1987 s. 40; No. 22 of 1990 s. 38; No. 37 of 1993 s. 24 and 28(1); No. 58 of 1994 s. 51; No. 49 of 2000 s. 86; No. 63 of 2000 s. 8; No. 15 of 2002 s. 28; No. 65 of 2003 s. 52.] </w:t>
      </w:r>
    </w:p>
    <w:p>
      <w:pPr>
        <w:pStyle w:val="Ednotesection"/>
      </w:pPr>
      <w:r>
        <w:t xml:space="preserve">[First Schedule omitted under the Reprints Act 1984 s. 7(4)(e).]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363" w:name="_Toc38853870"/>
      <w:bookmarkStart w:id="1364" w:name="_Toc121560188"/>
      <w:bookmarkStart w:id="1365" w:name="_Toc124061248"/>
      <w:bookmarkStart w:id="1366" w:name="_Toc124140103"/>
      <w:r>
        <w:rPr>
          <w:rStyle w:val="CharSchNo"/>
        </w:rPr>
        <w:t>Second Schedule</w:t>
      </w:r>
      <w:bookmarkEnd w:id="1363"/>
      <w:bookmarkEnd w:id="1364"/>
      <w:bookmarkEnd w:id="1365"/>
      <w:bookmarkEnd w:id="1366"/>
    </w:p>
    <w:p>
      <w:pPr>
        <w:pStyle w:val="yShoulderClause"/>
        <w:rPr>
          <w:snapToGrid w:val="0"/>
        </w:rPr>
      </w:pPr>
      <w:r>
        <w:rPr>
          <w:snapToGrid w:val="0"/>
        </w:rPr>
        <w:t>[S. 4.]</w:t>
      </w:r>
    </w:p>
    <w:p>
      <w:pPr>
        <w:pStyle w:val="yMiscellaneousHeading"/>
        <w:rPr>
          <w:b/>
          <w:snapToGrid w:val="0"/>
          <w:sz w:val="26"/>
        </w:rPr>
      </w:pPr>
      <w:r>
        <w:rPr>
          <w:b/>
          <w:snapToGrid w:val="0"/>
          <w:sz w:val="26"/>
        </w:rPr>
        <w:t>Transitional provisions</w:t>
      </w:r>
    </w:p>
    <w:p>
      <w:pPr>
        <w:pStyle w:val="yHeading5"/>
        <w:spacing w:before="120"/>
        <w:outlineLvl w:val="9"/>
        <w:rPr>
          <w:snapToGrid w:val="0"/>
        </w:rPr>
      </w:pPr>
      <w:bookmarkStart w:id="1367" w:name="_Toc523620717"/>
      <w:bookmarkStart w:id="1368" w:name="_Toc38853871"/>
      <w:bookmarkStart w:id="1369" w:name="_Toc124061249"/>
      <w:bookmarkStart w:id="1370" w:name="_Toc124140104"/>
      <w:r>
        <w:rPr>
          <w:snapToGrid w:val="0"/>
        </w:rPr>
        <w:t>1.</w:t>
      </w:r>
      <w:r>
        <w:rPr>
          <w:snapToGrid w:val="0"/>
        </w:rPr>
        <w:tab/>
        <w:t>Continuation of certain temporary reserves and rights of occupancy</w:t>
      </w:r>
      <w:bookmarkEnd w:id="1367"/>
      <w:bookmarkEnd w:id="1368"/>
      <w:bookmarkEnd w:id="1369"/>
      <w:bookmarkEnd w:id="1370"/>
      <w:r>
        <w:rPr>
          <w:snapToGrid w:val="0"/>
        </w:rPr>
        <w:t xml:space="preserve"> </w:t>
      </w:r>
    </w:p>
    <w:p>
      <w:pPr>
        <w:pStyle w:val="ySubsection"/>
        <w:spacing w:before="120"/>
        <w:rPr>
          <w:snapToGrid w:val="0"/>
        </w:rPr>
      </w:pPr>
      <w:r>
        <w:rPr>
          <w:snapToGrid w:val="0"/>
        </w:rPr>
        <w:tab/>
        <w:t>(1)</w:t>
      </w:r>
      <w:r>
        <w:rPr>
          <w:snapToGrid w:val="0"/>
        </w:rPr>
        <w:tab/>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spacing w:before="120"/>
        <w:rPr>
          <w:snapToGrid w:val="0"/>
          <w:spacing w:val="-4"/>
        </w:rPr>
      </w:pPr>
      <w:r>
        <w:rPr>
          <w:snapToGrid w:val="0"/>
          <w:spacing w:val="-4"/>
        </w:rPr>
        <w:tab/>
        <w:t>(2)</w:t>
      </w:r>
      <w:r>
        <w:rPr>
          <w:snapToGrid w:val="0"/>
          <w:spacing w:val="-4"/>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snapToGrid w:val="0"/>
        </w:rPr>
      </w:pPr>
      <w:r>
        <w:rPr>
          <w:snapToGrid w:val="0"/>
        </w:rPr>
        <w:tab/>
        <w:t>(a)</w:t>
      </w:r>
      <w:r>
        <w:rPr>
          <w:snapToGrid w:val="0"/>
        </w:rPr>
        <w:tab/>
        <w:t>the date on which such authority or right would have expired under the terms and conditions upon which it was granted; or</w:t>
      </w:r>
    </w:p>
    <w:p>
      <w:pPr>
        <w:pStyle w:val="yIndenta"/>
        <w:rPr>
          <w:snapToGrid w:val="0"/>
        </w:rPr>
      </w:pPr>
      <w:r>
        <w:rPr>
          <w:snapToGrid w:val="0"/>
        </w:rPr>
        <w:tab/>
        <w:t>(b)</w:t>
      </w:r>
      <w:r>
        <w:rPr>
          <w:snapToGrid w:val="0"/>
        </w:rPr>
        <w:tab/>
        <w:t>6 months after the commencing date,</w:t>
      </w:r>
    </w:p>
    <w:p>
      <w:pPr>
        <w:pStyle w:val="ySubsection"/>
        <w:spacing w:before="120"/>
        <w:rPr>
          <w:snapToGrid w:val="0"/>
        </w:rPr>
      </w:pPr>
      <w:r>
        <w:rPr>
          <w:snapToGrid w:val="0"/>
        </w:rPr>
        <w:tab/>
      </w:r>
      <w:r>
        <w:rPr>
          <w:snapToGrid w:val="0"/>
        </w:rPr>
        <w:tab/>
        <w:t>whichever date is the later.</w:t>
      </w:r>
    </w:p>
    <w:p>
      <w:pPr>
        <w:pStyle w:val="ySubsection"/>
        <w:spacing w:before="120"/>
        <w:rPr>
          <w:snapToGrid w:val="0"/>
        </w:rPr>
      </w:pPr>
      <w:r>
        <w:rPr>
          <w:snapToGrid w:val="0"/>
        </w:rPr>
        <w:tab/>
        <w:t>(3)</w:t>
      </w:r>
      <w:r>
        <w:rPr>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spacing w:before="120"/>
        <w:rPr>
          <w:snapToGrid w:val="0"/>
        </w:rPr>
      </w:pPr>
      <w:r>
        <w:rPr>
          <w:snapToGrid w:val="0"/>
        </w:rPr>
        <w:tab/>
        <w:t>(4)</w:t>
      </w:r>
      <w:r>
        <w:rPr>
          <w:snapToGrid w:val="0"/>
        </w:rPr>
        <w:tab/>
        <w:t>Notwithstanding anything in this Act, the Minister shall, on receiving an application made under subclause (3) or (5) and on being satisfied that the applicant has complied with the terms and conditions referred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spacing w:before="120"/>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spacing w:before="120"/>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120"/>
        <w:rPr>
          <w:snapToGrid w:val="0"/>
        </w:rPr>
      </w:pPr>
      <w:r>
        <w:rPr>
          <w:snapToGrid w:val="0"/>
        </w:rPr>
        <w:tab/>
      </w:r>
      <w:r>
        <w:rPr>
          <w:snapToGrid w:val="0"/>
        </w:rPr>
        <w:tab/>
        <w:t>at the time when that application is or was made.</w:t>
      </w:r>
    </w:p>
    <w:p>
      <w:pPr>
        <w:pStyle w:val="yHeading5"/>
        <w:spacing w:before="120"/>
        <w:outlineLvl w:val="9"/>
        <w:rPr>
          <w:snapToGrid w:val="0"/>
        </w:rPr>
      </w:pPr>
      <w:bookmarkStart w:id="1371" w:name="_Toc523620718"/>
      <w:bookmarkStart w:id="1372" w:name="_Toc38853872"/>
      <w:bookmarkStart w:id="1373" w:name="_Toc124061250"/>
      <w:bookmarkStart w:id="1374" w:name="_Toc124140105"/>
      <w:r>
        <w:rPr>
          <w:snapToGrid w:val="0"/>
        </w:rPr>
        <w:t>2.</w:t>
      </w:r>
      <w:r>
        <w:rPr>
          <w:snapToGrid w:val="0"/>
        </w:rPr>
        <w:tab/>
        <w:t>Certain gold mining leases, coal mining leases and mineral leases to become mining leases</w:t>
      </w:r>
      <w:bookmarkEnd w:id="1371"/>
      <w:bookmarkEnd w:id="1372"/>
      <w:bookmarkEnd w:id="1373"/>
      <w:bookmarkEnd w:id="1374"/>
      <w:r>
        <w:rPr>
          <w:snapToGrid w:val="0"/>
        </w:rPr>
        <w:t xml:space="preserve"> </w:t>
      </w:r>
    </w:p>
    <w:p>
      <w:pPr>
        <w:pStyle w:val="ySubsection"/>
        <w:spacing w:before="12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Heading5"/>
        <w:outlineLvl w:val="9"/>
        <w:rPr>
          <w:snapToGrid w:val="0"/>
        </w:rPr>
      </w:pPr>
      <w:bookmarkStart w:id="1375" w:name="_Toc523620719"/>
      <w:bookmarkStart w:id="1376" w:name="_Toc38853873"/>
      <w:bookmarkStart w:id="1377" w:name="_Toc124061251"/>
      <w:bookmarkStart w:id="1378" w:name="_Toc124140106"/>
      <w:r>
        <w:rPr>
          <w:snapToGrid w:val="0"/>
        </w:rPr>
        <w:t>3.</w:t>
      </w:r>
      <w:r>
        <w:rPr>
          <w:snapToGrid w:val="0"/>
        </w:rPr>
        <w:tab/>
        <w:t>Rights conferred on holders of certain mineral claims and dredging claims</w:t>
      </w:r>
      <w:bookmarkEnd w:id="1375"/>
      <w:bookmarkEnd w:id="1376"/>
      <w:bookmarkEnd w:id="1377"/>
      <w:bookmarkEnd w:id="1378"/>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Heading5"/>
        <w:outlineLvl w:val="9"/>
        <w:rPr>
          <w:snapToGrid w:val="0"/>
        </w:rPr>
      </w:pPr>
      <w:bookmarkStart w:id="1379" w:name="_Toc523620720"/>
      <w:bookmarkStart w:id="1380" w:name="_Toc38853874"/>
      <w:bookmarkStart w:id="1381" w:name="_Toc124061252"/>
      <w:bookmarkStart w:id="1382" w:name="_Toc124140107"/>
      <w:r>
        <w:rPr>
          <w:snapToGrid w:val="0"/>
        </w:rPr>
        <w:t>4.</w:t>
      </w:r>
      <w:r>
        <w:rPr>
          <w:snapToGrid w:val="0"/>
        </w:rPr>
        <w:tab/>
        <w:t>Rights conferred on holders of certain miners’ homestead leases, residential leases, residence areas, business areas and garden areas</w:t>
      </w:r>
      <w:bookmarkEnd w:id="1379"/>
      <w:bookmarkEnd w:id="1380"/>
      <w:bookmarkEnd w:id="1381"/>
      <w:bookmarkEnd w:id="1382"/>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6</w:t>
      </w:r>
      <w:r>
        <w:rPr>
          <w:snapToGrid w:val="0"/>
        </w:rPr>
        <w:t xml:space="preserve"> and on the Minister for Mines</w:t>
      </w:r>
      <w:r>
        <w:rPr>
          <w:snapToGrid w:val="0"/>
          <w:vertAlign w:val="superscript"/>
        </w:rPr>
        <w:t xml:space="preserve"> 6</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6</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7</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7</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ind w:left="2835" w:right="575"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7</w:t>
      </w:r>
      <w:r>
        <w:rPr>
          <w:snapToGrid w:val="0"/>
        </w:rPr>
        <w:t xml:space="preserve"> notwithstanding the land has not been declared open for selection under that Part.</w:t>
      </w:r>
    </w:p>
    <w:p>
      <w:pPr>
        <w:pStyle w:val="yHeading5"/>
        <w:outlineLvl w:val="9"/>
        <w:rPr>
          <w:snapToGrid w:val="0"/>
        </w:rPr>
      </w:pPr>
      <w:bookmarkStart w:id="1383" w:name="_Toc523620721"/>
      <w:bookmarkStart w:id="1384" w:name="_Toc38853875"/>
      <w:bookmarkStart w:id="1385" w:name="_Toc124061253"/>
      <w:bookmarkStart w:id="1386" w:name="_Toc124140108"/>
      <w:r>
        <w:rPr>
          <w:snapToGrid w:val="0"/>
        </w:rPr>
        <w:t>5.</w:t>
      </w:r>
      <w:r>
        <w:rPr>
          <w:snapToGrid w:val="0"/>
        </w:rPr>
        <w:tab/>
        <w:t>Continuation of mining tenements held by virtue of miners’ rights</w:t>
      </w:r>
      <w:bookmarkEnd w:id="1383"/>
      <w:bookmarkEnd w:id="1384"/>
      <w:bookmarkEnd w:id="1385"/>
      <w:bookmarkEnd w:id="1386"/>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Heading5"/>
        <w:outlineLvl w:val="9"/>
        <w:rPr>
          <w:snapToGrid w:val="0"/>
        </w:rPr>
      </w:pPr>
      <w:bookmarkStart w:id="1387" w:name="_Toc523620722"/>
      <w:bookmarkStart w:id="1388" w:name="_Toc38853876"/>
      <w:bookmarkStart w:id="1389" w:name="_Toc124061254"/>
      <w:bookmarkStart w:id="1390" w:name="_Toc124140109"/>
      <w:r>
        <w:rPr>
          <w:snapToGrid w:val="0"/>
        </w:rPr>
        <w:t>6.</w:t>
      </w:r>
      <w:r>
        <w:rPr>
          <w:snapToGrid w:val="0"/>
        </w:rPr>
        <w:tab/>
        <w:t>Temporary continuation of certain machinery areas, tailings areas, quarrying areas and water rights</w:t>
      </w:r>
      <w:bookmarkEnd w:id="1387"/>
      <w:bookmarkEnd w:id="1388"/>
      <w:bookmarkEnd w:id="1389"/>
      <w:bookmarkEnd w:id="1390"/>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Heading5"/>
        <w:outlineLvl w:val="9"/>
        <w:rPr>
          <w:snapToGrid w:val="0"/>
        </w:rPr>
      </w:pPr>
      <w:bookmarkStart w:id="1391" w:name="_Toc523620723"/>
      <w:bookmarkStart w:id="1392" w:name="_Toc38853877"/>
      <w:bookmarkStart w:id="1393" w:name="_Toc124061255"/>
      <w:bookmarkStart w:id="1394" w:name="_Toc124140110"/>
      <w:r>
        <w:rPr>
          <w:snapToGrid w:val="0"/>
        </w:rPr>
        <w:t>7.</w:t>
      </w:r>
      <w:r>
        <w:rPr>
          <w:snapToGrid w:val="0"/>
        </w:rPr>
        <w:tab/>
        <w:t>Continuation of certain licences</w:t>
      </w:r>
      <w:bookmarkEnd w:id="1391"/>
      <w:bookmarkEnd w:id="1392"/>
      <w:bookmarkEnd w:id="1393"/>
      <w:bookmarkEnd w:id="1394"/>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Heading5"/>
        <w:outlineLvl w:val="9"/>
        <w:rPr>
          <w:snapToGrid w:val="0"/>
        </w:rPr>
      </w:pPr>
      <w:bookmarkStart w:id="1395" w:name="_Toc523620724"/>
      <w:bookmarkStart w:id="1396" w:name="_Toc38853878"/>
      <w:bookmarkStart w:id="1397" w:name="_Toc124061256"/>
      <w:bookmarkStart w:id="1398" w:name="_Toc124140111"/>
      <w:r>
        <w:rPr>
          <w:snapToGrid w:val="0"/>
        </w:rPr>
        <w:t>8.</w:t>
      </w:r>
      <w:r>
        <w:rPr>
          <w:snapToGrid w:val="0"/>
        </w:rPr>
        <w:tab/>
        <w:t>Disposal of pending applications for mining tenements</w:t>
      </w:r>
      <w:bookmarkEnd w:id="1395"/>
      <w:bookmarkEnd w:id="1396"/>
      <w:bookmarkEnd w:id="1397"/>
      <w:bookmarkEnd w:id="1398"/>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Heading5"/>
        <w:outlineLvl w:val="9"/>
        <w:rPr>
          <w:snapToGrid w:val="0"/>
        </w:rPr>
      </w:pPr>
      <w:bookmarkStart w:id="1399" w:name="_Toc523620725"/>
      <w:bookmarkStart w:id="1400" w:name="_Toc38853879"/>
      <w:bookmarkStart w:id="1401" w:name="_Toc124061257"/>
      <w:bookmarkStart w:id="1402" w:name="_Toc124140112"/>
      <w:r>
        <w:rPr>
          <w:snapToGrid w:val="0"/>
        </w:rPr>
        <w:t>9.</w:t>
      </w:r>
      <w:r>
        <w:rPr>
          <w:snapToGrid w:val="0"/>
        </w:rPr>
        <w:tab/>
        <w:t>Rights of holders of certain prospecting areas</w:t>
      </w:r>
      <w:bookmarkEnd w:id="1399"/>
      <w:bookmarkEnd w:id="1400"/>
      <w:bookmarkEnd w:id="1401"/>
      <w:bookmarkEnd w:id="1402"/>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Heading5"/>
        <w:outlineLvl w:val="9"/>
        <w:rPr>
          <w:snapToGrid w:val="0"/>
        </w:rPr>
      </w:pPr>
      <w:bookmarkStart w:id="1403" w:name="_Toc523620726"/>
      <w:bookmarkStart w:id="1404" w:name="_Toc38853880"/>
      <w:bookmarkStart w:id="1405" w:name="_Toc124061258"/>
      <w:bookmarkStart w:id="1406" w:name="_Toc124140113"/>
      <w:r>
        <w:rPr>
          <w:snapToGrid w:val="0"/>
        </w:rPr>
        <w:t>10.</w:t>
      </w:r>
      <w:r>
        <w:rPr>
          <w:snapToGrid w:val="0"/>
        </w:rPr>
        <w:tab/>
        <w:t>Transitional provisions relating to mortgages</w:t>
      </w:r>
      <w:bookmarkEnd w:id="1403"/>
      <w:bookmarkEnd w:id="1404"/>
      <w:bookmarkEnd w:id="1405"/>
      <w:bookmarkEnd w:id="1406"/>
      <w:r>
        <w:rPr>
          <w:snapToGrid w:val="0"/>
        </w:rPr>
        <w:t xml:space="preserve"> </w:t>
      </w:r>
    </w:p>
    <w:p>
      <w:pPr>
        <w:pStyle w:val="ySubsection"/>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in the order in which they appeared so registered immediately before their expiry and they shall have priority accordingly.</w:t>
      </w:r>
    </w:p>
    <w:p>
      <w:pPr>
        <w:pStyle w:val="ySubsection"/>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Heading5"/>
        <w:outlineLvl w:val="9"/>
        <w:rPr>
          <w:snapToGrid w:val="0"/>
        </w:rPr>
      </w:pPr>
      <w:bookmarkStart w:id="1407" w:name="_Toc523620727"/>
      <w:bookmarkStart w:id="1408" w:name="_Toc38853881"/>
      <w:bookmarkStart w:id="1409" w:name="_Toc124061259"/>
      <w:bookmarkStart w:id="1410" w:name="_Toc124140114"/>
      <w:r>
        <w:rPr>
          <w:snapToGrid w:val="0"/>
        </w:rPr>
        <w:t>11.</w:t>
      </w:r>
      <w:r>
        <w:rPr>
          <w:snapToGrid w:val="0"/>
        </w:rPr>
        <w:tab/>
        <w:t>Officers</w:t>
      </w:r>
      <w:bookmarkEnd w:id="1407"/>
      <w:bookmarkEnd w:id="1408"/>
      <w:bookmarkEnd w:id="1409"/>
      <w:bookmarkEnd w:id="1410"/>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Heading5"/>
        <w:outlineLvl w:val="9"/>
        <w:rPr>
          <w:snapToGrid w:val="0"/>
        </w:rPr>
      </w:pPr>
      <w:bookmarkStart w:id="1411" w:name="_Toc523620728"/>
      <w:bookmarkStart w:id="1412" w:name="_Toc38853882"/>
      <w:bookmarkStart w:id="1413" w:name="_Toc124061260"/>
      <w:bookmarkStart w:id="1414" w:name="_Toc124140115"/>
      <w:r>
        <w:rPr>
          <w:snapToGrid w:val="0"/>
        </w:rPr>
        <w:t>12.</w:t>
      </w:r>
      <w:r>
        <w:rPr>
          <w:snapToGrid w:val="0"/>
        </w:rPr>
        <w:tab/>
        <w:t>Warden’s courts and warden’s offices</w:t>
      </w:r>
      <w:bookmarkEnd w:id="1411"/>
      <w:bookmarkEnd w:id="1412"/>
      <w:bookmarkEnd w:id="1413"/>
      <w:bookmarkEnd w:id="1414"/>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Heading5"/>
        <w:outlineLvl w:val="9"/>
        <w:rPr>
          <w:snapToGrid w:val="0"/>
        </w:rPr>
      </w:pPr>
      <w:bookmarkStart w:id="1415" w:name="_Toc523620729"/>
      <w:bookmarkStart w:id="1416" w:name="_Toc38853883"/>
      <w:bookmarkStart w:id="1417" w:name="_Toc124061261"/>
      <w:bookmarkStart w:id="1418" w:name="_Toc124140116"/>
      <w:r>
        <w:rPr>
          <w:snapToGrid w:val="0"/>
        </w:rPr>
        <w:t>13.</w:t>
      </w:r>
      <w:r>
        <w:rPr>
          <w:snapToGrid w:val="0"/>
        </w:rPr>
        <w:tab/>
        <w:t>Lodging of certain applications</w:t>
      </w:r>
      <w:bookmarkEnd w:id="1415"/>
      <w:bookmarkEnd w:id="1416"/>
      <w:bookmarkEnd w:id="1417"/>
      <w:bookmarkEnd w:id="1418"/>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Heading5"/>
        <w:outlineLvl w:val="9"/>
        <w:rPr>
          <w:snapToGrid w:val="0"/>
        </w:rPr>
      </w:pPr>
      <w:bookmarkStart w:id="1419" w:name="_Toc523620730"/>
      <w:bookmarkStart w:id="1420" w:name="_Toc38853884"/>
      <w:bookmarkStart w:id="1421" w:name="_Toc124061262"/>
      <w:bookmarkStart w:id="1422" w:name="_Toc124140117"/>
      <w:r>
        <w:rPr>
          <w:snapToGrid w:val="0"/>
        </w:rPr>
        <w:t>13A.</w:t>
      </w:r>
      <w:r>
        <w:rPr>
          <w:snapToGrid w:val="0"/>
        </w:rPr>
        <w:tab/>
        <w:t>Consents to follow the land</w:t>
      </w:r>
      <w:bookmarkEnd w:id="1419"/>
      <w:bookmarkEnd w:id="1420"/>
      <w:bookmarkEnd w:id="1421"/>
      <w:bookmarkEnd w:id="1422"/>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Heading5"/>
        <w:spacing w:before="120"/>
        <w:outlineLvl w:val="9"/>
        <w:rPr>
          <w:snapToGrid w:val="0"/>
        </w:rPr>
      </w:pPr>
      <w:bookmarkStart w:id="1423" w:name="_Toc523620731"/>
      <w:bookmarkStart w:id="1424" w:name="_Toc38853885"/>
      <w:bookmarkStart w:id="1425" w:name="_Toc124061263"/>
      <w:bookmarkStart w:id="1426" w:name="_Toc124140118"/>
      <w:r>
        <w:rPr>
          <w:snapToGrid w:val="0"/>
        </w:rPr>
        <w:t>14.</w:t>
      </w:r>
      <w:r>
        <w:rPr>
          <w:snapToGrid w:val="0"/>
        </w:rPr>
        <w:tab/>
        <w:t>References to repealed Act</w:t>
      </w:r>
      <w:bookmarkEnd w:id="1423"/>
      <w:bookmarkEnd w:id="1424"/>
      <w:bookmarkEnd w:id="1425"/>
      <w:bookmarkEnd w:id="1426"/>
      <w:r>
        <w:rPr>
          <w:snapToGrid w:val="0"/>
        </w:rPr>
        <w:t xml:space="preserve"> </w:t>
      </w:r>
    </w:p>
    <w:p>
      <w:pPr>
        <w:pStyle w:val="ySubsection"/>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Heading5"/>
        <w:spacing w:before="120"/>
        <w:outlineLvl w:val="9"/>
        <w:rPr>
          <w:snapToGrid w:val="0"/>
        </w:rPr>
      </w:pPr>
      <w:bookmarkStart w:id="1427" w:name="_Toc523620732"/>
      <w:bookmarkStart w:id="1428" w:name="_Toc38853886"/>
      <w:bookmarkStart w:id="1429" w:name="_Toc124061264"/>
      <w:bookmarkStart w:id="1430" w:name="_Toc124140119"/>
      <w:r>
        <w:rPr>
          <w:snapToGrid w:val="0"/>
        </w:rPr>
        <w:t>15.</w:t>
      </w:r>
      <w:r>
        <w:rPr>
          <w:snapToGrid w:val="0"/>
        </w:rPr>
        <w:tab/>
        <w:t>Prevention of anomalies during transitional period</w:t>
      </w:r>
      <w:bookmarkEnd w:id="1427"/>
      <w:bookmarkEnd w:id="1428"/>
      <w:bookmarkEnd w:id="1429"/>
      <w:bookmarkEnd w:id="1430"/>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[Second Schedule inserted by No. 69 of 1981 s. 29; amended by No. 122 of 1982 s. 30; No. 100 of 1985 s. 110; No. 105 of 1986 s. 27; No. 126 of 1987 s. 124; No. 37 of 1993 s. 25 and 26; modified in Gazette 18 Dec 1981 p. 5274; 16 Jul 1982 p. 2829; 15 May 1987 p. 2161</w:t>
      </w:r>
      <w:r>
        <w:noBreakHyphen/>
        <w:t xml:space="preserve">2; 20 Nov 1987 p. 4239.] </w:t>
      </w:r>
    </w:p>
    <w:p>
      <w:pPr>
        <w:pStyle w:val="yScheduleHeading"/>
      </w:pPr>
      <w:bookmarkStart w:id="1431" w:name="_Toc38853887"/>
      <w:bookmarkStart w:id="1432" w:name="_Toc121560205"/>
      <w:bookmarkStart w:id="1433" w:name="_Toc124061265"/>
      <w:bookmarkStart w:id="1434" w:name="_Toc124140120"/>
      <w:r>
        <w:rPr>
          <w:rStyle w:val="CharSchNo"/>
        </w:rPr>
        <w:t>Third Schedule</w:t>
      </w:r>
      <w:bookmarkEnd w:id="1431"/>
      <w:bookmarkEnd w:id="1432"/>
      <w:bookmarkEnd w:id="1433"/>
      <w:bookmarkEnd w:id="1434"/>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435" w:name="_Toc87427776"/>
      <w:bookmarkStart w:id="1436" w:name="_Toc87851351"/>
      <w:bookmarkStart w:id="1437" w:name="_Toc88295574"/>
      <w:bookmarkStart w:id="1438" w:name="_Toc89519233"/>
      <w:bookmarkStart w:id="1439" w:name="_Toc90869358"/>
      <w:bookmarkStart w:id="1440" w:name="_Toc91408130"/>
      <w:bookmarkStart w:id="1441" w:name="_Toc92863874"/>
      <w:bookmarkStart w:id="1442" w:name="_Toc95015242"/>
      <w:bookmarkStart w:id="1443" w:name="_Toc95106949"/>
      <w:bookmarkStart w:id="1444" w:name="_Toc97018749"/>
      <w:bookmarkStart w:id="1445" w:name="_Toc101693704"/>
      <w:bookmarkStart w:id="1446" w:name="_Toc103130571"/>
      <w:bookmarkStart w:id="1447" w:name="_Toc104711221"/>
      <w:bookmarkStart w:id="1448" w:name="_Toc121560206"/>
      <w:bookmarkStart w:id="1449" w:name="_Toc122328647"/>
      <w:bookmarkStart w:id="1450" w:name="_Toc124061266"/>
      <w:bookmarkStart w:id="1451" w:name="_Toc124140121"/>
      <w:r>
        <w:t>Notes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nSubsection"/>
        <w:rPr>
          <w:snapToGrid w:val="0"/>
        </w:rPr>
      </w:pPr>
      <w:r>
        <w:rPr>
          <w:snapToGrid w:val="0"/>
          <w:vertAlign w:val="superscript"/>
        </w:rPr>
        <w:t>1</w:t>
      </w:r>
      <w:r>
        <w:rPr>
          <w:snapToGrid w:val="0"/>
        </w:rPr>
        <w:tab/>
        <w:t xml:space="preserve">This is a compilation of the </w:t>
      </w:r>
      <w:r>
        <w:rPr>
          <w:i/>
          <w:snapToGrid w:val="0"/>
        </w:rPr>
        <w:t>Mining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w:t>
      </w:r>
    </w:p>
    <w:p>
      <w:pPr>
        <w:pStyle w:val="nHeading3"/>
        <w:rPr>
          <w:snapToGrid w:val="0"/>
        </w:rPr>
      </w:pPr>
      <w:bookmarkStart w:id="1452" w:name="_Toc38853888"/>
      <w:bookmarkStart w:id="1453" w:name="_Toc124061267"/>
      <w:bookmarkStart w:id="1454" w:name="_Toc124140122"/>
      <w:r>
        <w:rPr>
          <w:snapToGrid w:val="0"/>
        </w:rPr>
        <w:t>Compilation table</w:t>
      </w:r>
      <w:bookmarkEnd w:id="1452"/>
      <w:bookmarkEnd w:id="1453"/>
      <w:bookmarkEnd w:id="1454"/>
    </w:p>
    <w:tbl>
      <w:tblPr>
        <w:tblW w:w="7088" w:type="dxa"/>
        <w:tblInd w:w="56" w:type="dxa"/>
        <w:tblLayout w:type="fixed"/>
        <w:tblCellMar>
          <w:left w:w="56" w:type="dxa"/>
          <w:right w:w="56" w:type="dxa"/>
        </w:tblCellMar>
        <w:tblLook w:val="0000" w:firstRow="0" w:lastRow="0" w:firstColumn="0" w:lastColumn="0" w:noHBand="0" w:noVBand="0"/>
      </w:tblPr>
      <w:tblGrid>
        <w:gridCol w:w="2258"/>
        <w:gridCol w:w="1130"/>
        <w:gridCol w:w="1130"/>
        <w:gridCol w:w="2541"/>
        <w:gridCol w:w="29"/>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Mining Act 1978</w:t>
            </w:r>
          </w:p>
        </w:tc>
        <w:tc>
          <w:tcPr>
            <w:tcW w:w="1134" w:type="dxa"/>
          </w:tcPr>
          <w:p>
            <w:pPr>
              <w:pStyle w:val="nTable"/>
              <w:spacing w:before="120"/>
              <w:rPr>
                <w:sz w:val="19"/>
              </w:rPr>
            </w:pPr>
            <w:r>
              <w:rPr>
                <w:sz w:val="19"/>
              </w:rPr>
              <w:t>107 of 1978</w:t>
            </w:r>
          </w:p>
        </w:tc>
        <w:tc>
          <w:tcPr>
            <w:tcW w:w="1134" w:type="dxa"/>
          </w:tcPr>
          <w:p>
            <w:pPr>
              <w:pStyle w:val="nTable"/>
              <w:spacing w:before="120"/>
              <w:rPr>
                <w:sz w:val="19"/>
              </w:rPr>
            </w:pPr>
            <w:r>
              <w:rPr>
                <w:sz w:val="19"/>
              </w:rPr>
              <w:t>8 Dec 1978</w:t>
            </w:r>
          </w:p>
        </w:tc>
        <w:tc>
          <w:tcPr>
            <w:tcW w:w="2580" w:type="dxa"/>
            <w:gridSpan w:val="2"/>
          </w:tcPr>
          <w:p>
            <w:pPr>
              <w:pStyle w:val="nTable"/>
              <w:spacing w:before="12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40" w:type="dxa"/>
          </w:tcPr>
          <w:p>
            <w:pPr>
              <w:pStyle w:val="nTable"/>
              <w:spacing w:before="120"/>
              <w:ind w:right="113"/>
              <w:rPr>
                <w:sz w:val="19"/>
              </w:rPr>
            </w:pPr>
            <w:r>
              <w:rPr>
                <w:i/>
                <w:sz w:val="19"/>
              </w:rPr>
              <w:t xml:space="preserve">Acts Amendment (Mining) Act 1981 </w:t>
            </w:r>
            <w:r>
              <w:rPr>
                <w:sz w:val="19"/>
              </w:rPr>
              <w:t>Pt. II</w:t>
            </w:r>
          </w:p>
        </w:tc>
        <w:tc>
          <w:tcPr>
            <w:tcW w:w="1134" w:type="dxa"/>
          </w:tcPr>
          <w:p>
            <w:pPr>
              <w:pStyle w:val="nTable"/>
              <w:spacing w:before="120"/>
              <w:rPr>
                <w:sz w:val="19"/>
              </w:rPr>
            </w:pPr>
            <w:r>
              <w:rPr>
                <w:sz w:val="19"/>
              </w:rPr>
              <w:t>69 of 1981</w:t>
            </w:r>
          </w:p>
        </w:tc>
        <w:tc>
          <w:tcPr>
            <w:tcW w:w="1134" w:type="dxa"/>
          </w:tcPr>
          <w:p>
            <w:pPr>
              <w:pStyle w:val="nTable"/>
              <w:spacing w:before="120"/>
              <w:rPr>
                <w:sz w:val="19"/>
              </w:rPr>
            </w:pPr>
            <w:r>
              <w:rPr>
                <w:sz w:val="19"/>
              </w:rPr>
              <w:t>30 Oct 1981</w:t>
            </w:r>
          </w:p>
        </w:tc>
        <w:tc>
          <w:tcPr>
            <w:tcW w:w="2580" w:type="dxa"/>
            <w:gridSpan w:val="2"/>
          </w:tcPr>
          <w:p>
            <w:pPr>
              <w:pStyle w:val="nTable"/>
              <w:spacing w:before="120"/>
              <w:rPr>
                <w:sz w:val="19"/>
              </w:rPr>
            </w:pPr>
            <w:r>
              <w:rPr>
                <w:sz w:val="19"/>
              </w:rPr>
              <w:t>30 Oct 1981</w:t>
            </w:r>
          </w:p>
        </w:tc>
      </w:tr>
      <w:tr>
        <w:trPr>
          <w:cantSplit/>
        </w:trPr>
        <w:tc>
          <w:tcPr>
            <w:tcW w:w="7088" w:type="dxa"/>
            <w:gridSpan w:val="5"/>
          </w:tcPr>
          <w:p>
            <w:pPr>
              <w:pStyle w:val="nTable"/>
              <w:spacing w:before="12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08" w:type="dxa"/>
            <w:gridSpan w:val="3"/>
          </w:tcPr>
          <w:p>
            <w:pPr>
              <w:pStyle w:val="nTable"/>
              <w:spacing w:before="120"/>
            </w:pPr>
            <w:r>
              <w:rPr>
                <w:i/>
                <w:sz w:val="19"/>
              </w:rPr>
              <w:t>Mining (Anomalies Prevention) Order 1981</w:t>
            </w:r>
            <w:r>
              <w:rPr>
                <w:sz w:val="19"/>
              </w:rPr>
              <w:t xml:space="preserve"> </w:t>
            </w:r>
            <w:r>
              <w:rPr>
                <w:sz w:val="19"/>
              </w:rPr>
              <w:br/>
              <w:t xml:space="preserve">(see </w:t>
            </w:r>
            <w:r>
              <w:rPr>
                <w:i/>
                <w:sz w:val="19"/>
              </w:rPr>
              <w:t>Gazette</w:t>
            </w:r>
            <w:r>
              <w:rPr>
                <w:sz w:val="19"/>
              </w:rPr>
              <w:t xml:space="preserve"> 18</w:t>
            </w:r>
            <w:r>
              <w:t> Dec 1981 p. 5274)</w:t>
            </w:r>
          </w:p>
        </w:tc>
        <w:tc>
          <w:tcPr>
            <w:tcW w:w="2580" w:type="dxa"/>
            <w:gridSpan w:val="2"/>
          </w:tcPr>
          <w:p>
            <w:pPr>
              <w:pStyle w:val="nTable"/>
              <w:spacing w:before="120"/>
              <w:rPr>
                <w:sz w:val="19"/>
              </w:rPr>
            </w:pPr>
            <w:r>
              <w:rPr>
                <w:sz w:val="19"/>
              </w:rPr>
              <w:t>1 Jan 1982 (see cl. 3)</w:t>
            </w:r>
          </w:p>
        </w:tc>
      </w:tr>
      <w:tr>
        <w:trPr>
          <w:cantSplit/>
        </w:trPr>
        <w:tc>
          <w:tcPr>
            <w:tcW w:w="2240" w:type="dxa"/>
          </w:tcPr>
          <w:p>
            <w:pPr>
              <w:pStyle w:val="nTable"/>
              <w:spacing w:before="120"/>
              <w:ind w:right="113"/>
              <w:rPr>
                <w:sz w:val="19"/>
              </w:rPr>
            </w:pPr>
            <w:r>
              <w:rPr>
                <w:i/>
                <w:sz w:val="19"/>
              </w:rPr>
              <w:t xml:space="preserve">Companies (Consequential Amendments) Act 1982 </w:t>
            </w:r>
            <w:r>
              <w:rPr>
                <w:sz w:val="19"/>
              </w:rPr>
              <w:t>s. 28</w:t>
            </w:r>
          </w:p>
        </w:tc>
        <w:tc>
          <w:tcPr>
            <w:tcW w:w="1134" w:type="dxa"/>
          </w:tcPr>
          <w:p>
            <w:pPr>
              <w:pStyle w:val="nTable"/>
              <w:spacing w:before="120"/>
              <w:rPr>
                <w:sz w:val="19"/>
              </w:rPr>
            </w:pPr>
            <w:r>
              <w:rPr>
                <w:sz w:val="19"/>
              </w:rPr>
              <w:t>10 of 1982</w:t>
            </w:r>
          </w:p>
        </w:tc>
        <w:tc>
          <w:tcPr>
            <w:tcW w:w="1134" w:type="dxa"/>
          </w:tcPr>
          <w:p>
            <w:pPr>
              <w:pStyle w:val="nTable"/>
              <w:spacing w:before="120"/>
              <w:rPr>
                <w:sz w:val="19"/>
              </w:rPr>
            </w:pPr>
            <w:r>
              <w:rPr>
                <w:sz w:val="19"/>
              </w:rPr>
              <w:t>14 May 1982</w:t>
            </w:r>
          </w:p>
        </w:tc>
        <w:tc>
          <w:tcPr>
            <w:tcW w:w="2580" w:type="dxa"/>
            <w:gridSpan w:val="2"/>
          </w:tcPr>
          <w:p>
            <w:pPr>
              <w:pStyle w:val="nTable"/>
              <w:spacing w:before="120"/>
              <w:rPr>
                <w:sz w:val="19"/>
              </w:rPr>
            </w:pPr>
            <w:r>
              <w:rPr>
                <w:sz w:val="19"/>
              </w:rPr>
              <w:t xml:space="preserve">1 Jul 1982 (see s. 2(1) and </w:t>
            </w:r>
            <w:r>
              <w:rPr>
                <w:i/>
                <w:sz w:val="19"/>
              </w:rPr>
              <w:t>Gazette</w:t>
            </w:r>
            <w:r>
              <w:rPr>
                <w:sz w:val="19"/>
              </w:rPr>
              <w:t xml:space="preserve"> 25 June 1982 p. 2079)</w:t>
            </w:r>
          </w:p>
        </w:tc>
      </w:tr>
      <w:tr>
        <w:trPr>
          <w:cantSplit/>
        </w:trPr>
        <w:tc>
          <w:tcPr>
            <w:tcW w:w="4508" w:type="dxa"/>
            <w:gridSpan w:val="3"/>
          </w:tcPr>
          <w:p>
            <w:pPr>
              <w:pStyle w:val="nTable"/>
              <w:spacing w:before="120"/>
            </w:pPr>
            <w:r>
              <w:rPr>
                <w:i/>
                <w:sz w:val="19"/>
              </w:rPr>
              <w:t>Mining (Anomalies Prevention) Order 1982</w:t>
            </w:r>
            <w:r>
              <w:rPr>
                <w:sz w:val="19"/>
              </w:rPr>
              <w:t xml:space="preserve"> </w:t>
            </w:r>
            <w:r>
              <w:rPr>
                <w:sz w:val="19"/>
              </w:rPr>
              <w:br/>
              <w:t xml:space="preserve">(see </w:t>
            </w:r>
            <w:r>
              <w:rPr>
                <w:i/>
                <w:sz w:val="19"/>
              </w:rPr>
              <w:t>Gazette</w:t>
            </w:r>
            <w:r>
              <w:rPr>
                <w:sz w:val="19"/>
              </w:rPr>
              <w:t xml:space="preserve"> 16</w:t>
            </w:r>
            <w:r>
              <w:t> Jul 1982 p. 2829)</w:t>
            </w:r>
          </w:p>
        </w:tc>
        <w:tc>
          <w:tcPr>
            <w:tcW w:w="2580" w:type="dxa"/>
            <w:gridSpan w:val="2"/>
          </w:tcPr>
          <w:p>
            <w:pPr>
              <w:pStyle w:val="nTable"/>
              <w:spacing w:before="120"/>
              <w:rPr>
                <w:sz w:val="19"/>
              </w:rPr>
            </w:pPr>
            <w:r>
              <w:rPr>
                <w:sz w:val="19"/>
              </w:rPr>
              <w:t>16 Jul 1982</w:t>
            </w:r>
          </w:p>
        </w:tc>
      </w:tr>
      <w:tr>
        <w:trPr>
          <w:cantSplit/>
        </w:trPr>
        <w:tc>
          <w:tcPr>
            <w:tcW w:w="2240" w:type="dxa"/>
          </w:tcPr>
          <w:p>
            <w:pPr>
              <w:pStyle w:val="nTable"/>
              <w:spacing w:before="120"/>
              <w:ind w:right="113"/>
              <w:rPr>
                <w:sz w:val="19"/>
              </w:rPr>
            </w:pPr>
            <w:r>
              <w:rPr>
                <w:i/>
                <w:sz w:val="19"/>
              </w:rPr>
              <w:t xml:space="preserve">Acts Amendment (Mining) Act 1982 </w:t>
            </w:r>
            <w:r>
              <w:rPr>
                <w:sz w:val="19"/>
              </w:rPr>
              <w:t>Pt. II</w:t>
            </w:r>
          </w:p>
        </w:tc>
        <w:tc>
          <w:tcPr>
            <w:tcW w:w="1134" w:type="dxa"/>
          </w:tcPr>
          <w:p>
            <w:pPr>
              <w:pStyle w:val="nTable"/>
              <w:spacing w:before="120"/>
              <w:rPr>
                <w:sz w:val="19"/>
              </w:rPr>
            </w:pPr>
            <w:r>
              <w:rPr>
                <w:sz w:val="19"/>
              </w:rPr>
              <w:t>122 of 1982</w:t>
            </w:r>
          </w:p>
        </w:tc>
        <w:tc>
          <w:tcPr>
            <w:tcW w:w="1134" w:type="dxa"/>
          </w:tcPr>
          <w:p>
            <w:pPr>
              <w:pStyle w:val="nTable"/>
              <w:spacing w:before="120"/>
              <w:rPr>
                <w:sz w:val="19"/>
              </w:rPr>
            </w:pPr>
            <w:r>
              <w:rPr>
                <w:sz w:val="19"/>
              </w:rPr>
              <w:t>10 Dec 1982</w:t>
            </w:r>
          </w:p>
        </w:tc>
        <w:tc>
          <w:tcPr>
            <w:tcW w:w="2580" w:type="dxa"/>
            <w:gridSpan w:val="2"/>
          </w:tcPr>
          <w:p>
            <w:pPr>
              <w:pStyle w:val="nTable"/>
              <w:spacing w:before="120"/>
              <w:rPr>
                <w:sz w:val="19"/>
              </w:rPr>
            </w:pPr>
            <w:r>
              <w:rPr>
                <w:sz w:val="19"/>
              </w:rPr>
              <w:t>s. 30(d): deemed operative 1 Jan 1982 (see s. 2(2)); balance of Pt. II: 10 Dec 1982 (see s. 2(1))</w:t>
            </w:r>
          </w:p>
        </w:tc>
      </w:tr>
      <w:tr>
        <w:trPr>
          <w:cantSplit/>
        </w:trPr>
        <w:tc>
          <w:tcPr>
            <w:tcW w:w="2240" w:type="dxa"/>
          </w:tcPr>
          <w:p>
            <w:pPr>
              <w:pStyle w:val="nTable"/>
              <w:spacing w:before="120"/>
              <w:ind w:right="113"/>
              <w:rPr>
                <w:sz w:val="19"/>
              </w:rPr>
            </w:pPr>
            <w:r>
              <w:rPr>
                <w:i/>
                <w:sz w:val="19"/>
              </w:rPr>
              <w:t>Mining Amendment Act 1983</w:t>
            </w:r>
          </w:p>
        </w:tc>
        <w:tc>
          <w:tcPr>
            <w:tcW w:w="1134" w:type="dxa"/>
          </w:tcPr>
          <w:p>
            <w:pPr>
              <w:pStyle w:val="nTable"/>
              <w:spacing w:before="120"/>
              <w:rPr>
                <w:sz w:val="19"/>
              </w:rPr>
            </w:pPr>
            <w:r>
              <w:rPr>
                <w:sz w:val="19"/>
              </w:rPr>
              <w:t>52 of 1983</w:t>
            </w:r>
          </w:p>
        </w:tc>
        <w:tc>
          <w:tcPr>
            <w:tcW w:w="1134" w:type="dxa"/>
          </w:tcPr>
          <w:p>
            <w:pPr>
              <w:pStyle w:val="nTable"/>
              <w:spacing w:before="120"/>
              <w:rPr>
                <w:sz w:val="19"/>
              </w:rPr>
            </w:pPr>
            <w:r>
              <w:rPr>
                <w:sz w:val="19"/>
              </w:rPr>
              <w:t>13 Dec 1983</w:t>
            </w:r>
          </w:p>
        </w:tc>
        <w:tc>
          <w:tcPr>
            <w:tcW w:w="2580" w:type="dxa"/>
            <w:gridSpan w:val="2"/>
          </w:tcPr>
          <w:p>
            <w:pPr>
              <w:pStyle w:val="nTable"/>
              <w:spacing w:before="120"/>
              <w:rPr>
                <w:sz w:val="19"/>
              </w:rPr>
            </w:pPr>
            <w:r>
              <w:rPr>
                <w:sz w:val="19"/>
              </w:rPr>
              <w:t>1 Jan 1984 (see s. 2 and </w:t>
            </w:r>
            <w:r>
              <w:rPr>
                <w:i/>
                <w:sz w:val="19"/>
              </w:rPr>
              <w:t>Gazette</w:t>
            </w:r>
            <w:r>
              <w:rPr>
                <w:sz w:val="19"/>
              </w:rPr>
              <w:t xml:space="preserve"> 23 Dec 1983 p. 4934)</w:t>
            </w:r>
          </w:p>
        </w:tc>
      </w:tr>
      <w:tr>
        <w:trPr>
          <w:cantSplit/>
        </w:trPr>
        <w:tc>
          <w:tcPr>
            <w:tcW w:w="2240" w:type="dxa"/>
          </w:tcPr>
          <w:p>
            <w:pPr>
              <w:pStyle w:val="nTable"/>
              <w:spacing w:before="120"/>
              <w:ind w:right="113"/>
              <w:rPr>
                <w:sz w:val="19"/>
                <w:vertAlign w:val="superscript"/>
              </w:rPr>
            </w:pPr>
            <w:r>
              <w:rPr>
                <w:i/>
                <w:sz w:val="19"/>
              </w:rPr>
              <w:t>Mining Amendment Act 1985</w:t>
            </w:r>
            <w:r>
              <w:rPr>
                <w:i/>
                <w:sz w:val="19"/>
                <w:vertAlign w:val="superscript"/>
              </w:rPr>
              <w:t> </w:t>
            </w:r>
            <w:r>
              <w:rPr>
                <w:sz w:val="19"/>
                <w:vertAlign w:val="superscript"/>
              </w:rPr>
              <w:t>9</w:t>
            </w:r>
          </w:p>
        </w:tc>
        <w:tc>
          <w:tcPr>
            <w:tcW w:w="1134" w:type="dxa"/>
          </w:tcPr>
          <w:p>
            <w:pPr>
              <w:pStyle w:val="nTable"/>
              <w:spacing w:before="120"/>
              <w:rPr>
                <w:sz w:val="19"/>
              </w:rPr>
            </w:pPr>
            <w:r>
              <w:rPr>
                <w:sz w:val="19"/>
              </w:rPr>
              <w:t>100 of 1985 (as amended by No. 105 of 1986 Pt. II and by No. 22 of 1990 s. 39)</w:t>
            </w:r>
          </w:p>
        </w:tc>
        <w:tc>
          <w:tcPr>
            <w:tcW w:w="1134" w:type="dxa"/>
          </w:tcPr>
          <w:p>
            <w:pPr>
              <w:pStyle w:val="nTable"/>
              <w:spacing w:before="120"/>
              <w:rPr>
                <w:sz w:val="19"/>
              </w:rPr>
            </w:pPr>
            <w:r>
              <w:rPr>
                <w:sz w:val="19"/>
              </w:rPr>
              <w:t>4 Dec 1985</w:t>
            </w:r>
          </w:p>
        </w:tc>
        <w:tc>
          <w:tcPr>
            <w:tcW w:w="2580" w:type="dxa"/>
            <w:gridSpan w:val="2"/>
          </w:tcPr>
          <w:p>
            <w:pPr>
              <w:pStyle w:val="nTable"/>
              <w:spacing w:before="120"/>
              <w:rPr>
                <w:sz w:val="19"/>
              </w:rPr>
            </w:pPr>
            <w:r>
              <w:rPr>
                <w:sz w:val="19"/>
              </w:rPr>
              <w:t>s. 31, 34, 38, 59, 63, 68, 69</w:t>
            </w:r>
            <w:r>
              <w:rPr>
                <w:sz w:val="19"/>
              </w:rPr>
              <w:noBreakHyphen/>
              <w:t>71, 77</w:t>
            </w:r>
            <w:r>
              <w:rPr>
                <w:sz w:val="19"/>
              </w:rPr>
              <w:noBreakHyphen/>
              <w:t>80 and 96: 16 Oct 1987 (see s.</w:t>
            </w:r>
            <w:r>
              <w:rPr>
                <w:sz w:val="20"/>
              </w:rPr>
              <w:t xml:space="preserve"> 2 and </w:t>
            </w:r>
            <w:r>
              <w:rPr>
                <w:i/>
                <w:sz w:val="19"/>
              </w:rPr>
              <w:t>Gazette</w:t>
            </w:r>
            <w:r>
              <w:rPr>
                <w:sz w:val="19"/>
              </w:rPr>
              <w:t xml:space="preserve"> 16 Oct 1987 p. 3884);</w:t>
            </w:r>
            <w:r>
              <w:rPr>
                <w:sz w:val="19"/>
              </w:rPr>
              <w:br/>
              <w:t xml:space="preserve">balance: 31 Jan 1986 (see s. 2 and </w:t>
            </w:r>
            <w:r>
              <w:rPr>
                <w:i/>
                <w:sz w:val="19"/>
              </w:rPr>
              <w:t>Gazette</w:t>
            </w:r>
            <w:r>
              <w:rPr>
                <w:sz w:val="19"/>
              </w:rPr>
              <w:t xml:space="preserve"> 31 Jan 1986 p. 320)</w:t>
            </w:r>
          </w:p>
        </w:tc>
      </w:tr>
      <w:tr>
        <w:trPr>
          <w:cantSplit/>
        </w:trPr>
        <w:tc>
          <w:tcPr>
            <w:tcW w:w="2240" w:type="dxa"/>
          </w:tcPr>
          <w:p>
            <w:pPr>
              <w:pStyle w:val="nTable"/>
              <w:spacing w:before="120"/>
              <w:ind w:right="113"/>
              <w:rPr>
                <w:sz w:val="19"/>
              </w:rPr>
            </w:pPr>
            <w:r>
              <w:rPr>
                <w:i/>
                <w:sz w:val="19"/>
              </w:rPr>
              <w:t xml:space="preserve">Mining (Validation and Amendment) Act 1986 </w:t>
            </w:r>
            <w:r>
              <w:rPr>
                <w:sz w:val="19"/>
              </w:rPr>
              <w:t>Pt. III</w:t>
            </w:r>
          </w:p>
        </w:tc>
        <w:tc>
          <w:tcPr>
            <w:tcW w:w="1134" w:type="dxa"/>
          </w:tcPr>
          <w:p>
            <w:pPr>
              <w:pStyle w:val="nTable"/>
              <w:spacing w:before="120"/>
              <w:rPr>
                <w:sz w:val="19"/>
              </w:rPr>
            </w:pPr>
            <w:r>
              <w:rPr>
                <w:sz w:val="19"/>
              </w:rPr>
              <w:t>1 of 1986</w:t>
            </w:r>
          </w:p>
        </w:tc>
        <w:tc>
          <w:tcPr>
            <w:tcW w:w="1134" w:type="dxa"/>
          </w:tcPr>
          <w:p>
            <w:pPr>
              <w:pStyle w:val="nTable"/>
              <w:spacing w:before="120"/>
              <w:rPr>
                <w:sz w:val="19"/>
              </w:rPr>
            </w:pPr>
            <w:r>
              <w:rPr>
                <w:sz w:val="19"/>
              </w:rPr>
              <w:t>26 Jun 1986</w:t>
            </w:r>
          </w:p>
        </w:tc>
        <w:tc>
          <w:tcPr>
            <w:tcW w:w="2580" w:type="dxa"/>
            <w:gridSpan w:val="2"/>
          </w:tcPr>
          <w:p>
            <w:pPr>
              <w:pStyle w:val="nTable"/>
              <w:spacing w:before="120"/>
              <w:rPr>
                <w:sz w:val="19"/>
              </w:rPr>
            </w:pPr>
            <w:r>
              <w:rPr>
                <w:sz w:val="19"/>
              </w:rPr>
              <w:t>26 Jun 1986 (see s. 2)</w:t>
            </w:r>
          </w:p>
        </w:tc>
      </w:tr>
      <w:tr>
        <w:trPr>
          <w:cantSplit/>
        </w:trPr>
        <w:tc>
          <w:tcPr>
            <w:tcW w:w="2240" w:type="dxa"/>
          </w:tcPr>
          <w:p>
            <w:pPr>
              <w:pStyle w:val="nTable"/>
              <w:spacing w:before="120"/>
              <w:ind w:right="113"/>
              <w:rPr>
                <w:sz w:val="19"/>
              </w:rPr>
            </w:pPr>
            <w:r>
              <w:rPr>
                <w:i/>
                <w:sz w:val="19"/>
              </w:rPr>
              <w:t xml:space="preserve">Acts Amendment and Repeal (Environmental Protection) Act 1986 </w:t>
            </w:r>
            <w:r>
              <w:rPr>
                <w:sz w:val="19"/>
              </w:rPr>
              <w:t>Pt. IV</w:t>
            </w:r>
          </w:p>
        </w:tc>
        <w:tc>
          <w:tcPr>
            <w:tcW w:w="1134" w:type="dxa"/>
          </w:tcPr>
          <w:p>
            <w:pPr>
              <w:pStyle w:val="nTable"/>
              <w:spacing w:before="120"/>
              <w:rPr>
                <w:sz w:val="19"/>
              </w:rPr>
            </w:pPr>
            <w:r>
              <w:rPr>
                <w:sz w:val="19"/>
              </w:rPr>
              <w:t>77 of 1986</w:t>
            </w:r>
          </w:p>
        </w:tc>
        <w:tc>
          <w:tcPr>
            <w:tcW w:w="1134" w:type="dxa"/>
          </w:tcPr>
          <w:p>
            <w:pPr>
              <w:pStyle w:val="nTable"/>
              <w:spacing w:before="120"/>
              <w:rPr>
                <w:sz w:val="19"/>
              </w:rPr>
            </w:pPr>
            <w:r>
              <w:rPr>
                <w:sz w:val="19"/>
              </w:rPr>
              <w:t>4 Dec 1986</w:t>
            </w:r>
          </w:p>
        </w:tc>
        <w:tc>
          <w:tcPr>
            <w:tcW w:w="2580" w:type="dxa"/>
            <w:gridSpan w:val="2"/>
          </w:tcPr>
          <w:p>
            <w:pPr>
              <w:pStyle w:val="nTable"/>
              <w:spacing w:before="120"/>
              <w:rPr>
                <w:sz w:val="19"/>
              </w:rPr>
            </w:pPr>
            <w:r>
              <w:rPr>
                <w:sz w:val="19"/>
              </w:rPr>
              <w:t>20 Feb 1987 (see s. 2 and </w:t>
            </w:r>
            <w:r>
              <w:rPr>
                <w:i/>
                <w:sz w:val="19"/>
              </w:rPr>
              <w:t>Gazette</w:t>
            </w:r>
            <w:r>
              <w:rPr>
                <w:sz w:val="19"/>
              </w:rPr>
              <w:t xml:space="preserve"> 20 Feb 1987 p. 440)</w:t>
            </w:r>
          </w:p>
        </w:tc>
      </w:tr>
      <w:tr>
        <w:trPr>
          <w:cantSplit/>
        </w:trPr>
        <w:tc>
          <w:tcPr>
            <w:tcW w:w="2240" w:type="dxa"/>
          </w:tcPr>
          <w:p>
            <w:pPr>
              <w:pStyle w:val="nTable"/>
              <w:spacing w:before="120"/>
              <w:ind w:right="113"/>
              <w:rPr>
                <w:sz w:val="19"/>
              </w:rPr>
            </w:pPr>
            <w:r>
              <w:rPr>
                <w:i/>
                <w:sz w:val="19"/>
              </w:rPr>
              <w:t>Mining Amendment Act 1986</w:t>
            </w:r>
          </w:p>
        </w:tc>
        <w:tc>
          <w:tcPr>
            <w:tcW w:w="1134" w:type="dxa"/>
          </w:tcPr>
          <w:p>
            <w:pPr>
              <w:pStyle w:val="nTable"/>
              <w:spacing w:before="120"/>
              <w:rPr>
                <w:sz w:val="19"/>
              </w:rPr>
            </w:pPr>
            <w:r>
              <w:rPr>
                <w:sz w:val="19"/>
              </w:rPr>
              <w:t>105 of 1986</w:t>
            </w:r>
          </w:p>
        </w:tc>
        <w:tc>
          <w:tcPr>
            <w:tcW w:w="1134" w:type="dxa"/>
          </w:tcPr>
          <w:p>
            <w:pPr>
              <w:pStyle w:val="nTable"/>
              <w:spacing w:before="120"/>
              <w:rPr>
                <w:sz w:val="19"/>
              </w:rPr>
            </w:pPr>
            <w:r>
              <w:rPr>
                <w:sz w:val="19"/>
              </w:rPr>
              <w:t>12 Dec 1986</w:t>
            </w:r>
          </w:p>
        </w:tc>
        <w:tc>
          <w:tcPr>
            <w:tcW w:w="2580" w:type="dxa"/>
            <w:gridSpan w:val="2"/>
          </w:tcPr>
          <w:p>
            <w:pPr>
              <w:pStyle w:val="nTable"/>
              <w:spacing w:before="120"/>
              <w:rPr>
                <w:sz w:val="19"/>
              </w:rPr>
            </w:pPr>
            <w:r>
              <w:rPr>
                <w:sz w:val="19"/>
              </w:rPr>
              <w:t>9 Jan 1987 (see s. 2 and </w:t>
            </w:r>
            <w:r>
              <w:rPr>
                <w:i/>
                <w:sz w:val="19"/>
              </w:rPr>
              <w:t>Gazette</w:t>
            </w:r>
            <w:r>
              <w:rPr>
                <w:sz w:val="19"/>
              </w:rPr>
              <w:t xml:space="preserve"> 9 Jan 1987 p. 18)</w:t>
            </w:r>
          </w:p>
        </w:tc>
      </w:tr>
      <w:tr>
        <w:trPr>
          <w:cantSplit/>
        </w:trPr>
        <w:tc>
          <w:tcPr>
            <w:tcW w:w="4508" w:type="dxa"/>
            <w:gridSpan w:val="3"/>
          </w:tcPr>
          <w:p>
            <w:pPr>
              <w:pStyle w:val="nTable"/>
              <w:spacing w:before="120"/>
            </w:pPr>
            <w:r>
              <w:rPr>
                <w:i/>
                <w:sz w:val="19"/>
              </w:rPr>
              <w:t>Mining (Transitional Provisions) (Anomalies Prevention) Order 1987</w:t>
            </w:r>
            <w:r>
              <w:rPr>
                <w:sz w:val="19"/>
              </w:rPr>
              <w:t xml:space="preserve"> (see </w:t>
            </w:r>
            <w:r>
              <w:rPr>
                <w:i/>
                <w:sz w:val="19"/>
              </w:rPr>
              <w:t>Gazette</w:t>
            </w:r>
            <w:r>
              <w:rPr>
                <w:sz w:val="19"/>
              </w:rPr>
              <w:t xml:space="preserve"> 15 May 1987 p. 2161-2)</w:t>
            </w:r>
          </w:p>
        </w:tc>
        <w:tc>
          <w:tcPr>
            <w:tcW w:w="2580" w:type="dxa"/>
            <w:gridSpan w:val="2"/>
          </w:tcPr>
          <w:p>
            <w:pPr>
              <w:pStyle w:val="nTable"/>
              <w:spacing w:before="120"/>
              <w:rPr>
                <w:sz w:val="19"/>
              </w:rPr>
            </w:pPr>
            <w:r>
              <w:rPr>
                <w:sz w:val="19"/>
              </w:rPr>
              <w:t>15 May 1987</w:t>
            </w:r>
          </w:p>
        </w:tc>
      </w:tr>
      <w:tr>
        <w:trPr>
          <w:cantSplit/>
        </w:trPr>
        <w:tc>
          <w:tcPr>
            <w:tcW w:w="2240" w:type="dxa"/>
          </w:tcPr>
          <w:p>
            <w:pPr>
              <w:pStyle w:val="nTable"/>
              <w:spacing w:before="120"/>
              <w:ind w:right="113"/>
              <w:rPr>
                <w:sz w:val="19"/>
              </w:rPr>
            </w:pPr>
            <w:r>
              <w:rPr>
                <w:i/>
                <w:sz w:val="19"/>
              </w:rPr>
              <w:t>Mining Amendment Act 1987</w:t>
            </w:r>
          </w:p>
        </w:tc>
        <w:tc>
          <w:tcPr>
            <w:tcW w:w="1134" w:type="dxa"/>
          </w:tcPr>
          <w:p>
            <w:pPr>
              <w:pStyle w:val="nTable"/>
              <w:spacing w:before="120"/>
              <w:rPr>
                <w:sz w:val="19"/>
              </w:rPr>
            </w:pPr>
            <w:r>
              <w:rPr>
                <w:sz w:val="19"/>
              </w:rPr>
              <w:t>12 of 1987</w:t>
            </w:r>
          </w:p>
        </w:tc>
        <w:tc>
          <w:tcPr>
            <w:tcW w:w="1134" w:type="dxa"/>
          </w:tcPr>
          <w:p>
            <w:pPr>
              <w:pStyle w:val="nTable"/>
              <w:spacing w:before="120"/>
              <w:rPr>
                <w:sz w:val="19"/>
              </w:rPr>
            </w:pPr>
            <w:r>
              <w:rPr>
                <w:sz w:val="19"/>
              </w:rPr>
              <w:t>16 Jun 1987</w:t>
            </w:r>
          </w:p>
        </w:tc>
        <w:tc>
          <w:tcPr>
            <w:tcW w:w="2580" w:type="dxa"/>
            <w:gridSpan w:val="2"/>
          </w:tcPr>
          <w:p>
            <w:pPr>
              <w:pStyle w:val="nTable"/>
              <w:spacing w:before="120"/>
              <w:rPr>
                <w:sz w:val="19"/>
              </w:rPr>
            </w:pPr>
            <w:r>
              <w:rPr>
                <w:sz w:val="19"/>
              </w:rPr>
              <w:t>26 Jun 1987 (see s. 3 and </w:t>
            </w:r>
            <w:r>
              <w:rPr>
                <w:i/>
                <w:sz w:val="19"/>
              </w:rPr>
              <w:t>Gazette</w:t>
            </w:r>
            <w:r>
              <w:rPr>
                <w:sz w:val="19"/>
              </w:rPr>
              <w:t xml:space="preserve"> 26 Jun 1987 p. 2447)</w:t>
            </w:r>
          </w:p>
        </w:tc>
      </w:tr>
      <w:tr>
        <w:trPr>
          <w:cantSplit/>
        </w:trPr>
        <w:tc>
          <w:tcPr>
            <w:tcW w:w="4508" w:type="dxa"/>
            <w:gridSpan w:val="3"/>
          </w:tcPr>
          <w:p>
            <w:pPr>
              <w:pStyle w:val="nTable"/>
              <w:spacing w:before="120"/>
            </w:pPr>
            <w:r>
              <w:rPr>
                <w:i/>
                <w:sz w:val="19"/>
              </w:rPr>
              <w:t>Mining (Transitional Provisions) (Anomalies Prevention) Order (No. 2) 1987</w:t>
            </w:r>
            <w:r>
              <w:rPr>
                <w:sz w:val="19"/>
              </w:rPr>
              <w:t xml:space="preserve"> (see </w:t>
            </w:r>
            <w:r>
              <w:rPr>
                <w:i/>
                <w:sz w:val="19"/>
              </w:rPr>
              <w:t>Gazette</w:t>
            </w:r>
            <w:r>
              <w:rPr>
                <w:sz w:val="19"/>
              </w:rPr>
              <w:t xml:space="preserve"> 20 Nov 1987 p. 4239)</w:t>
            </w:r>
          </w:p>
        </w:tc>
        <w:tc>
          <w:tcPr>
            <w:tcW w:w="2580" w:type="dxa"/>
            <w:gridSpan w:val="2"/>
          </w:tcPr>
          <w:p>
            <w:pPr>
              <w:pStyle w:val="nTable"/>
              <w:spacing w:before="120"/>
              <w:rPr>
                <w:sz w:val="19"/>
              </w:rPr>
            </w:pPr>
            <w:r>
              <w:rPr>
                <w:sz w:val="19"/>
              </w:rPr>
              <w:t>20 Nov 1987</w:t>
            </w:r>
          </w:p>
        </w:tc>
      </w:tr>
      <w:tr>
        <w:trPr>
          <w:cantSplit/>
        </w:trPr>
        <w:tc>
          <w:tcPr>
            <w:tcW w:w="2240" w:type="dxa"/>
          </w:tcPr>
          <w:p>
            <w:pPr>
              <w:pStyle w:val="nTable"/>
              <w:spacing w:before="120"/>
              <w:ind w:right="113"/>
              <w:rPr>
                <w:sz w:val="19"/>
              </w:rPr>
            </w:pPr>
            <w:r>
              <w:rPr>
                <w:i/>
                <w:sz w:val="19"/>
              </w:rPr>
              <w:t xml:space="preserve">Acts Amendment (Legal Practitioners, Costs and Taxation) Act 1987 </w:t>
            </w:r>
            <w:r>
              <w:rPr>
                <w:sz w:val="19"/>
              </w:rPr>
              <w:t>Pt. XIII</w:t>
            </w:r>
          </w:p>
        </w:tc>
        <w:tc>
          <w:tcPr>
            <w:tcW w:w="1134" w:type="dxa"/>
          </w:tcPr>
          <w:p>
            <w:pPr>
              <w:pStyle w:val="nTable"/>
              <w:spacing w:before="120"/>
              <w:rPr>
                <w:sz w:val="19"/>
              </w:rPr>
            </w:pPr>
            <w:r>
              <w:rPr>
                <w:sz w:val="19"/>
              </w:rPr>
              <w:t>65 of 1987</w:t>
            </w:r>
          </w:p>
        </w:tc>
        <w:tc>
          <w:tcPr>
            <w:tcW w:w="1134" w:type="dxa"/>
          </w:tcPr>
          <w:p>
            <w:pPr>
              <w:pStyle w:val="nTable"/>
              <w:spacing w:before="120"/>
              <w:rPr>
                <w:sz w:val="19"/>
              </w:rPr>
            </w:pPr>
            <w:r>
              <w:rPr>
                <w:sz w:val="19"/>
              </w:rPr>
              <w:t>1 Dec 1987</w:t>
            </w:r>
          </w:p>
        </w:tc>
        <w:tc>
          <w:tcPr>
            <w:tcW w:w="2580" w:type="dxa"/>
            <w:gridSpan w:val="2"/>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40" w:type="dxa"/>
          </w:tcPr>
          <w:p>
            <w:pPr>
              <w:pStyle w:val="nTable"/>
              <w:keepNext/>
              <w:keepLines/>
              <w:spacing w:before="120"/>
              <w:ind w:right="113"/>
              <w:rPr>
                <w:sz w:val="19"/>
              </w:rPr>
            </w:pPr>
            <w:r>
              <w:rPr>
                <w:i/>
                <w:sz w:val="19"/>
              </w:rPr>
              <w:t>Acts Amendment (Public Service) Act 1987</w:t>
            </w:r>
            <w:r>
              <w:rPr>
                <w:sz w:val="19"/>
              </w:rPr>
              <w:t xml:space="preserve"> s. 32</w:t>
            </w:r>
          </w:p>
        </w:tc>
        <w:tc>
          <w:tcPr>
            <w:tcW w:w="1134" w:type="dxa"/>
          </w:tcPr>
          <w:p>
            <w:pPr>
              <w:pStyle w:val="nTable"/>
              <w:keepNext/>
              <w:keepLines/>
              <w:spacing w:before="120"/>
              <w:rPr>
                <w:sz w:val="19"/>
              </w:rPr>
            </w:pPr>
            <w:r>
              <w:rPr>
                <w:sz w:val="19"/>
              </w:rPr>
              <w:t>113 of 1987</w:t>
            </w:r>
          </w:p>
        </w:tc>
        <w:tc>
          <w:tcPr>
            <w:tcW w:w="1134" w:type="dxa"/>
          </w:tcPr>
          <w:p>
            <w:pPr>
              <w:pStyle w:val="nTable"/>
              <w:keepNext/>
              <w:keepLines/>
              <w:spacing w:before="120"/>
              <w:rPr>
                <w:sz w:val="19"/>
              </w:rPr>
            </w:pPr>
            <w:r>
              <w:rPr>
                <w:sz w:val="19"/>
              </w:rPr>
              <w:t>31 Dec 1987</w:t>
            </w:r>
          </w:p>
        </w:tc>
        <w:tc>
          <w:tcPr>
            <w:tcW w:w="2580" w:type="dxa"/>
            <w:gridSpan w:val="2"/>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40" w:type="dxa"/>
          </w:tcPr>
          <w:p>
            <w:pPr>
              <w:pStyle w:val="nTable"/>
              <w:spacing w:before="120"/>
              <w:ind w:right="113"/>
              <w:rPr>
                <w:sz w:val="19"/>
              </w:rPr>
            </w:pPr>
            <w:r>
              <w:rPr>
                <w:i/>
                <w:sz w:val="19"/>
              </w:rPr>
              <w:t xml:space="preserve">Acts Amendment (Land Administration) Act 1987 </w:t>
            </w:r>
            <w:r>
              <w:rPr>
                <w:sz w:val="19"/>
              </w:rPr>
              <w:t>Pt. XVIII</w:t>
            </w:r>
          </w:p>
        </w:tc>
        <w:tc>
          <w:tcPr>
            <w:tcW w:w="1134" w:type="dxa"/>
          </w:tcPr>
          <w:p>
            <w:pPr>
              <w:pStyle w:val="nTable"/>
              <w:spacing w:before="120"/>
              <w:rPr>
                <w:sz w:val="19"/>
              </w:rPr>
            </w:pPr>
            <w:r>
              <w:rPr>
                <w:sz w:val="19"/>
              </w:rPr>
              <w:t>126 of 1987</w:t>
            </w:r>
          </w:p>
        </w:tc>
        <w:tc>
          <w:tcPr>
            <w:tcW w:w="1134" w:type="dxa"/>
          </w:tcPr>
          <w:p>
            <w:pPr>
              <w:pStyle w:val="nTable"/>
              <w:spacing w:before="120"/>
              <w:rPr>
                <w:sz w:val="19"/>
              </w:rPr>
            </w:pPr>
            <w:r>
              <w:rPr>
                <w:sz w:val="19"/>
              </w:rPr>
              <w:t>31 Dec 1987</w:t>
            </w:r>
          </w:p>
        </w:tc>
        <w:tc>
          <w:tcPr>
            <w:tcW w:w="2580" w:type="dxa"/>
            <w:gridSpan w:val="2"/>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7088" w:type="dxa"/>
            <w:gridSpan w:val="5"/>
          </w:tcPr>
          <w:p>
            <w:pPr>
              <w:pStyle w:val="nTable"/>
              <w:spacing w:before="120"/>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Pt. XVIII) (Corrigenda to reprint in </w:t>
            </w:r>
            <w:r>
              <w:rPr>
                <w:i/>
                <w:sz w:val="19"/>
              </w:rPr>
              <w:t>Gazette</w:t>
            </w:r>
            <w:r>
              <w:rPr>
                <w:sz w:val="19"/>
              </w:rPr>
              <w:t xml:space="preserve"> 23 Sep 1988 p. 3922 and </w:t>
            </w:r>
            <w:r>
              <w:rPr>
                <w:i/>
                <w:sz w:val="19"/>
              </w:rPr>
              <w:t xml:space="preserve">Gazette </w:t>
            </w:r>
            <w:r>
              <w:t>21 Jul 1989 p. 2213)</w:t>
            </w:r>
          </w:p>
        </w:tc>
      </w:tr>
      <w:tr>
        <w:trPr>
          <w:cantSplit/>
        </w:trPr>
        <w:tc>
          <w:tcPr>
            <w:tcW w:w="2240" w:type="dxa"/>
          </w:tcPr>
          <w:p>
            <w:pPr>
              <w:pStyle w:val="nTable"/>
              <w:spacing w:before="120"/>
              <w:ind w:right="113"/>
              <w:rPr>
                <w:sz w:val="19"/>
              </w:rPr>
            </w:pPr>
            <w:r>
              <w:rPr>
                <w:i/>
                <w:sz w:val="19"/>
              </w:rPr>
              <w:t>Mining Amendment Act 1990</w:t>
            </w:r>
            <w:r>
              <w:rPr>
                <w:sz w:val="19"/>
                <w:vertAlign w:val="superscript"/>
              </w:rPr>
              <w:t> 10</w:t>
            </w:r>
          </w:p>
        </w:tc>
        <w:tc>
          <w:tcPr>
            <w:tcW w:w="1134" w:type="dxa"/>
          </w:tcPr>
          <w:p>
            <w:pPr>
              <w:pStyle w:val="nTable"/>
              <w:spacing w:before="120"/>
              <w:rPr>
                <w:sz w:val="19"/>
              </w:rPr>
            </w:pPr>
            <w:r>
              <w:rPr>
                <w:sz w:val="19"/>
              </w:rPr>
              <w:t>22 of 1990 (as amended by No. 37 of 1993 s. 30(1) and (2) and by No. 58 of 1994 s. 52)</w:t>
            </w:r>
          </w:p>
        </w:tc>
        <w:tc>
          <w:tcPr>
            <w:tcW w:w="1134" w:type="dxa"/>
          </w:tcPr>
          <w:p>
            <w:pPr>
              <w:pStyle w:val="nTable"/>
              <w:spacing w:before="120"/>
              <w:rPr>
                <w:sz w:val="19"/>
              </w:rPr>
            </w:pPr>
            <w:r>
              <w:rPr>
                <w:sz w:val="19"/>
              </w:rPr>
              <w:t>28 Aug 1990</w:t>
            </w:r>
          </w:p>
        </w:tc>
        <w:tc>
          <w:tcPr>
            <w:tcW w:w="2580" w:type="dxa"/>
            <w:gridSpan w:val="2"/>
          </w:tcPr>
          <w:p>
            <w:pPr>
              <w:pStyle w:val="nTable"/>
              <w:spacing w:before="120"/>
              <w:rPr>
                <w:sz w:val="19"/>
              </w:rPr>
            </w:pPr>
            <w:r>
              <w:rPr>
                <w:sz w:val="19"/>
              </w:rPr>
              <w:t>28 Jun 1991 (see s. 2 and </w:t>
            </w:r>
            <w:r>
              <w:rPr>
                <w:i/>
                <w:sz w:val="19"/>
              </w:rPr>
              <w:t>Gazette</w:t>
            </w:r>
            <w:r>
              <w:rPr>
                <w:sz w:val="19"/>
              </w:rPr>
              <w:t xml:space="preserve"> 28 Jun 1991 p. 3101)</w:t>
            </w:r>
          </w:p>
        </w:tc>
      </w:tr>
      <w:tr>
        <w:trPr>
          <w:cantSplit/>
        </w:trPr>
        <w:tc>
          <w:tcPr>
            <w:tcW w:w="2240" w:type="dxa"/>
          </w:tcPr>
          <w:p>
            <w:pPr>
              <w:pStyle w:val="nTable"/>
              <w:spacing w:before="120"/>
              <w:ind w:right="113"/>
              <w:rPr>
                <w:sz w:val="19"/>
              </w:rPr>
            </w:pPr>
            <w:r>
              <w:rPr>
                <w:i/>
                <w:sz w:val="19"/>
              </w:rPr>
              <w:t xml:space="preserve">Conservation and Land Management Amendment Act 1991 </w:t>
            </w:r>
            <w:r>
              <w:rPr>
                <w:sz w:val="19"/>
              </w:rPr>
              <w:t>s. 57</w:t>
            </w:r>
          </w:p>
        </w:tc>
        <w:tc>
          <w:tcPr>
            <w:tcW w:w="1134" w:type="dxa"/>
          </w:tcPr>
          <w:p>
            <w:pPr>
              <w:pStyle w:val="nTable"/>
              <w:spacing w:before="120"/>
              <w:rPr>
                <w:sz w:val="19"/>
              </w:rPr>
            </w:pPr>
            <w:r>
              <w:rPr>
                <w:sz w:val="19"/>
              </w:rPr>
              <w:t>20 of 1991</w:t>
            </w:r>
          </w:p>
        </w:tc>
        <w:tc>
          <w:tcPr>
            <w:tcW w:w="1134" w:type="dxa"/>
          </w:tcPr>
          <w:p>
            <w:pPr>
              <w:pStyle w:val="nTable"/>
              <w:spacing w:before="120"/>
              <w:rPr>
                <w:sz w:val="19"/>
              </w:rPr>
            </w:pPr>
            <w:r>
              <w:rPr>
                <w:sz w:val="19"/>
              </w:rPr>
              <w:t>25 Jun 1991</w:t>
            </w:r>
          </w:p>
        </w:tc>
        <w:tc>
          <w:tcPr>
            <w:tcW w:w="2580" w:type="dxa"/>
            <w:gridSpan w:val="2"/>
          </w:tcPr>
          <w:p>
            <w:pPr>
              <w:pStyle w:val="nTable"/>
              <w:spacing w:before="120"/>
              <w:rPr>
                <w:sz w:val="19"/>
              </w:rPr>
            </w:pPr>
            <w:r>
              <w:rPr>
                <w:sz w:val="19"/>
              </w:rPr>
              <w:t>23 Aug 1991 (see s. 2 and </w:t>
            </w:r>
            <w:r>
              <w:rPr>
                <w:i/>
                <w:sz w:val="19"/>
              </w:rPr>
              <w:t>Gazette</w:t>
            </w:r>
            <w:r>
              <w:rPr>
                <w:sz w:val="19"/>
              </w:rPr>
              <w:t xml:space="preserve"> 23 Aug 1991 p. 4353)</w:t>
            </w:r>
          </w:p>
        </w:tc>
      </w:tr>
      <w:tr>
        <w:trPr>
          <w:cantSplit/>
        </w:trPr>
        <w:tc>
          <w:tcPr>
            <w:tcW w:w="2240" w:type="dxa"/>
          </w:tcPr>
          <w:p>
            <w:pPr>
              <w:pStyle w:val="nTable"/>
              <w:spacing w:before="120"/>
              <w:ind w:right="113"/>
              <w:rPr>
                <w:sz w:val="19"/>
              </w:rPr>
            </w:pPr>
            <w:r>
              <w:rPr>
                <w:i/>
                <w:sz w:val="19"/>
              </w:rPr>
              <w:t>Western Australian Land Authority Act 1992</w:t>
            </w:r>
            <w:r>
              <w:rPr>
                <w:sz w:val="19"/>
              </w:rPr>
              <w:t xml:space="preserve"> s. 49</w:t>
            </w:r>
          </w:p>
        </w:tc>
        <w:tc>
          <w:tcPr>
            <w:tcW w:w="1134" w:type="dxa"/>
          </w:tcPr>
          <w:p>
            <w:pPr>
              <w:pStyle w:val="nTable"/>
              <w:spacing w:before="120"/>
              <w:rPr>
                <w:sz w:val="19"/>
              </w:rPr>
            </w:pPr>
            <w:r>
              <w:rPr>
                <w:sz w:val="19"/>
              </w:rPr>
              <w:t>35 of 1992</w:t>
            </w:r>
          </w:p>
        </w:tc>
        <w:tc>
          <w:tcPr>
            <w:tcW w:w="1134" w:type="dxa"/>
          </w:tcPr>
          <w:p>
            <w:pPr>
              <w:pStyle w:val="nTable"/>
              <w:spacing w:before="120"/>
              <w:rPr>
                <w:sz w:val="19"/>
              </w:rPr>
            </w:pPr>
            <w:r>
              <w:rPr>
                <w:sz w:val="19"/>
              </w:rPr>
              <w:t>23 Jun 1992</w:t>
            </w:r>
          </w:p>
        </w:tc>
        <w:tc>
          <w:tcPr>
            <w:tcW w:w="2580" w:type="dxa"/>
            <w:gridSpan w:val="2"/>
          </w:tcPr>
          <w:p>
            <w:pPr>
              <w:pStyle w:val="nTable"/>
              <w:spacing w:before="120"/>
              <w:rPr>
                <w:sz w:val="19"/>
              </w:rPr>
            </w:pPr>
            <w:r>
              <w:rPr>
                <w:sz w:val="19"/>
              </w:rPr>
              <w:t xml:space="preserve">1 Jul 1992 (see s. 2(2) and </w:t>
            </w:r>
            <w:r>
              <w:rPr>
                <w:i/>
                <w:sz w:val="19"/>
              </w:rPr>
              <w:t>Gazette</w:t>
            </w:r>
            <w:r>
              <w:rPr>
                <w:sz w:val="19"/>
              </w:rPr>
              <w:t xml:space="preserve"> 30 Jun 1992 p. 2869)</w:t>
            </w:r>
          </w:p>
        </w:tc>
      </w:tr>
      <w:tr>
        <w:trPr>
          <w:cantSplit/>
        </w:trPr>
        <w:tc>
          <w:tcPr>
            <w:tcW w:w="2240" w:type="dxa"/>
          </w:tcPr>
          <w:p>
            <w:pPr>
              <w:pStyle w:val="nTable"/>
              <w:spacing w:before="120"/>
              <w:ind w:right="113"/>
              <w:rPr>
                <w:sz w:val="19"/>
              </w:rPr>
            </w:pPr>
            <w:r>
              <w:rPr>
                <w:i/>
                <w:sz w:val="19"/>
              </w:rPr>
              <w:t>Land (Titles and Traditional Usage) Act 1993</w:t>
            </w:r>
            <w:r>
              <w:rPr>
                <w:sz w:val="19"/>
              </w:rPr>
              <w:t xml:space="preserve"> s. 45</w:t>
            </w:r>
          </w:p>
        </w:tc>
        <w:tc>
          <w:tcPr>
            <w:tcW w:w="1134" w:type="dxa"/>
          </w:tcPr>
          <w:p>
            <w:pPr>
              <w:pStyle w:val="nTable"/>
              <w:spacing w:before="120"/>
              <w:rPr>
                <w:sz w:val="19"/>
              </w:rPr>
            </w:pPr>
            <w:r>
              <w:rPr>
                <w:sz w:val="19"/>
              </w:rPr>
              <w:t>21 of 1993</w:t>
            </w:r>
          </w:p>
        </w:tc>
        <w:tc>
          <w:tcPr>
            <w:tcW w:w="1134" w:type="dxa"/>
          </w:tcPr>
          <w:p>
            <w:pPr>
              <w:pStyle w:val="nTable"/>
              <w:spacing w:before="120"/>
              <w:rPr>
                <w:sz w:val="19"/>
              </w:rPr>
            </w:pPr>
            <w:r>
              <w:rPr>
                <w:sz w:val="19"/>
              </w:rPr>
              <w:t>2 Dec 1993</w:t>
            </w:r>
          </w:p>
        </w:tc>
        <w:tc>
          <w:tcPr>
            <w:tcW w:w="2580" w:type="dxa"/>
            <w:gridSpan w:val="2"/>
          </w:tcPr>
          <w:p>
            <w:pPr>
              <w:pStyle w:val="nTable"/>
              <w:spacing w:before="120"/>
              <w:rPr>
                <w:sz w:val="19"/>
              </w:rPr>
            </w:pPr>
            <w:r>
              <w:rPr>
                <w:sz w:val="19"/>
              </w:rPr>
              <w:t>2 Dec 1993 (see s. 2)</w:t>
            </w:r>
          </w:p>
        </w:tc>
      </w:tr>
      <w:tr>
        <w:trPr>
          <w:cantSplit/>
        </w:trPr>
        <w:tc>
          <w:tcPr>
            <w:tcW w:w="2240" w:type="dxa"/>
          </w:tcPr>
          <w:p>
            <w:pPr>
              <w:pStyle w:val="nTable"/>
              <w:keepNext/>
              <w:keepLines/>
              <w:spacing w:before="120"/>
              <w:ind w:right="113"/>
              <w:rPr>
                <w:sz w:val="19"/>
              </w:rPr>
            </w:pPr>
            <w:r>
              <w:rPr>
                <w:i/>
                <w:sz w:val="19"/>
              </w:rPr>
              <w:t>Mining Amendment Act 1993</w:t>
            </w:r>
            <w:r>
              <w:rPr>
                <w:sz w:val="19"/>
                <w:vertAlign w:val="superscript"/>
              </w:rPr>
              <w:t> 11</w:t>
            </w:r>
          </w:p>
        </w:tc>
        <w:tc>
          <w:tcPr>
            <w:tcW w:w="1134" w:type="dxa"/>
          </w:tcPr>
          <w:p>
            <w:pPr>
              <w:pStyle w:val="nTable"/>
              <w:keepNext/>
              <w:keepLines/>
              <w:spacing w:before="120"/>
              <w:rPr>
                <w:sz w:val="19"/>
              </w:rPr>
            </w:pPr>
            <w:r>
              <w:rPr>
                <w:sz w:val="19"/>
              </w:rPr>
              <w:t>37 of 1993</w:t>
            </w:r>
          </w:p>
        </w:tc>
        <w:tc>
          <w:tcPr>
            <w:tcW w:w="1134" w:type="dxa"/>
          </w:tcPr>
          <w:p>
            <w:pPr>
              <w:pStyle w:val="nTable"/>
              <w:keepNext/>
              <w:keepLines/>
              <w:spacing w:before="120"/>
              <w:rPr>
                <w:sz w:val="19"/>
              </w:rPr>
            </w:pPr>
            <w:r>
              <w:rPr>
                <w:sz w:val="19"/>
              </w:rPr>
              <w:t>16 Dec 1993</w:t>
            </w:r>
          </w:p>
        </w:tc>
        <w:tc>
          <w:tcPr>
            <w:tcW w:w="2580" w:type="dxa"/>
            <w:gridSpan w:val="2"/>
          </w:tcPr>
          <w:p>
            <w:pPr>
              <w:pStyle w:val="nTable"/>
              <w:spacing w:before="120"/>
              <w:rPr>
                <w:sz w:val="19"/>
              </w:rPr>
            </w:pPr>
            <w:r>
              <w:rPr>
                <w:sz w:val="19"/>
              </w:rPr>
              <w:t xml:space="preserve">Pt. 2: 1 Jul 1994 (see s. 2(1) and </w:t>
            </w:r>
            <w:r>
              <w:rPr>
                <w:i/>
                <w:sz w:val="19"/>
              </w:rPr>
              <w:t>Gazette</w:t>
            </w:r>
            <w:r>
              <w:rPr>
                <w:sz w:val="19"/>
              </w:rPr>
              <w:t xml:space="preserve"> 24 Jun 1994 p. 2819);</w:t>
            </w:r>
            <w:r>
              <w:rPr>
                <w:sz w:val="19"/>
              </w:rPr>
              <w:br/>
              <w:t>Pt. 3: deemed operative 28 Jun 1991 (see s. 2(2));</w:t>
            </w:r>
            <w:r>
              <w:rPr>
                <w:sz w:val="19"/>
              </w:rPr>
              <w:br/>
              <w:t>balance: 16 Dec 1993</w:t>
            </w:r>
          </w:p>
        </w:tc>
      </w:tr>
      <w:tr>
        <w:trPr>
          <w:cantSplit/>
        </w:trPr>
        <w:tc>
          <w:tcPr>
            <w:tcW w:w="2240"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80"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before="120"/>
              <w:ind w:right="113"/>
              <w:rPr>
                <w:i/>
                <w:sz w:val="19"/>
              </w:rPr>
            </w:pPr>
            <w:r>
              <w:rPr>
                <w:i/>
                <w:sz w:val="19"/>
              </w:rPr>
              <w:t>Mining Amendment Act 1994</w:t>
            </w:r>
            <w:r>
              <w:rPr>
                <w:sz w:val="19"/>
                <w:vertAlign w:val="superscript"/>
              </w:rPr>
              <w:t> 13</w:t>
            </w:r>
          </w:p>
        </w:tc>
        <w:tc>
          <w:tcPr>
            <w:tcW w:w="1134" w:type="dxa"/>
          </w:tcPr>
          <w:p>
            <w:pPr>
              <w:pStyle w:val="nTable"/>
              <w:spacing w:before="120"/>
              <w:rPr>
                <w:sz w:val="19"/>
              </w:rPr>
            </w:pPr>
            <w:r>
              <w:rPr>
                <w:sz w:val="19"/>
              </w:rPr>
              <w:t>58 of 1994 (as amended by No. 52 of 1995 Pt. 6; No. 74 of 2003 s. 85)</w:t>
            </w:r>
          </w:p>
        </w:tc>
        <w:tc>
          <w:tcPr>
            <w:tcW w:w="1134" w:type="dxa"/>
          </w:tcPr>
          <w:p>
            <w:pPr>
              <w:pStyle w:val="nTable"/>
              <w:spacing w:before="120"/>
              <w:rPr>
                <w:sz w:val="19"/>
              </w:rPr>
            </w:pPr>
            <w:r>
              <w:rPr>
                <w:sz w:val="19"/>
              </w:rPr>
              <w:t>2 Nov 1994</w:t>
            </w:r>
          </w:p>
        </w:tc>
        <w:tc>
          <w:tcPr>
            <w:tcW w:w="2580" w:type="dxa"/>
            <w:gridSpan w:val="2"/>
          </w:tcPr>
          <w:p>
            <w:pPr>
              <w:pStyle w:val="nTable"/>
              <w:spacing w:before="120"/>
              <w:rPr>
                <w:sz w:val="19"/>
              </w:rPr>
            </w:pPr>
            <w:r>
              <w:rPr>
                <w:sz w:val="19"/>
              </w:rP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balance (except s. 5): 2 Nov 1994 (see s. 2(1));</w:t>
            </w:r>
            <w:r>
              <w:rPr>
                <w:sz w:val="19"/>
              </w:rPr>
              <w:br/>
              <w:t>s. 5 repealed by No. 74 of 2003 s. 85</w:t>
            </w:r>
          </w:p>
        </w:tc>
      </w:tr>
      <w:tr>
        <w:trPr>
          <w:cantSplit/>
        </w:trPr>
        <w:tc>
          <w:tcPr>
            <w:tcW w:w="2240" w:type="dxa"/>
          </w:tcPr>
          <w:p>
            <w:pPr>
              <w:pStyle w:val="nTable"/>
              <w:keepNext/>
              <w:keepLines/>
              <w:spacing w:before="120"/>
              <w:ind w:right="113"/>
              <w:rPr>
                <w:sz w:val="19"/>
              </w:rPr>
            </w:pPr>
            <w:r>
              <w:rPr>
                <w:i/>
                <w:sz w:val="19"/>
              </w:rPr>
              <w:t>Statutes (Repeals and Minor Amendments) Act 1994</w:t>
            </w:r>
            <w:r>
              <w:rPr>
                <w:sz w:val="19"/>
              </w:rPr>
              <w:t xml:space="preserve"> s. 4</w:t>
            </w:r>
          </w:p>
        </w:tc>
        <w:tc>
          <w:tcPr>
            <w:tcW w:w="1134" w:type="dxa"/>
          </w:tcPr>
          <w:p>
            <w:pPr>
              <w:pStyle w:val="nTable"/>
              <w:keepNext/>
              <w:keepLines/>
              <w:spacing w:before="120"/>
              <w:rPr>
                <w:sz w:val="19"/>
              </w:rPr>
            </w:pPr>
            <w:r>
              <w:rPr>
                <w:sz w:val="19"/>
              </w:rPr>
              <w:t>73 of 1994</w:t>
            </w:r>
          </w:p>
        </w:tc>
        <w:tc>
          <w:tcPr>
            <w:tcW w:w="1134" w:type="dxa"/>
          </w:tcPr>
          <w:p>
            <w:pPr>
              <w:pStyle w:val="nTable"/>
              <w:keepNext/>
              <w:keepLines/>
              <w:spacing w:before="120"/>
              <w:rPr>
                <w:sz w:val="19"/>
              </w:rPr>
            </w:pPr>
            <w:r>
              <w:rPr>
                <w:sz w:val="19"/>
              </w:rPr>
              <w:t>9 Dec 1994</w:t>
            </w:r>
          </w:p>
        </w:tc>
        <w:tc>
          <w:tcPr>
            <w:tcW w:w="2580" w:type="dxa"/>
            <w:gridSpan w:val="2"/>
          </w:tcPr>
          <w:p>
            <w:pPr>
              <w:pStyle w:val="nTable"/>
              <w:keepNext/>
              <w:keepLines/>
              <w:spacing w:before="120"/>
              <w:rPr>
                <w:sz w:val="19"/>
              </w:rPr>
            </w:pPr>
            <w:r>
              <w:rPr>
                <w:sz w:val="19"/>
              </w:rPr>
              <w:t>9 Dec 1994 (see s. 2)</w:t>
            </w:r>
          </w:p>
        </w:tc>
      </w:tr>
      <w:tr>
        <w:trPr>
          <w:cantSplit/>
        </w:trPr>
        <w:tc>
          <w:tcPr>
            <w:tcW w:w="2240" w:type="dxa"/>
          </w:tcPr>
          <w:p>
            <w:pPr>
              <w:pStyle w:val="nTable"/>
              <w:spacing w:before="120"/>
              <w:ind w:right="113"/>
              <w:rPr>
                <w:sz w:val="19"/>
              </w:rPr>
            </w:pPr>
            <w:r>
              <w:rPr>
                <w:i/>
                <w:sz w:val="19"/>
              </w:rPr>
              <w:t>Acts Amendment and Repeal (Native Title) Act 1995</w:t>
            </w:r>
            <w:r>
              <w:rPr>
                <w:sz w:val="19"/>
              </w:rPr>
              <w:t xml:space="preserve"> Pt. 5</w:t>
            </w:r>
          </w:p>
        </w:tc>
        <w:tc>
          <w:tcPr>
            <w:tcW w:w="1134" w:type="dxa"/>
          </w:tcPr>
          <w:p>
            <w:pPr>
              <w:pStyle w:val="nTable"/>
              <w:spacing w:before="120"/>
              <w:rPr>
                <w:sz w:val="19"/>
              </w:rPr>
            </w:pPr>
            <w:r>
              <w:rPr>
                <w:sz w:val="19"/>
              </w:rPr>
              <w:t>52 of 1995</w:t>
            </w:r>
          </w:p>
        </w:tc>
        <w:tc>
          <w:tcPr>
            <w:tcW w:w="1134" w:type="dxa"/>
          </w:tcPr>
          <w:p>
            <w:pPr>
              <w:pStyle w:val="nTable"/>
              <w:spacing w:before="120"/>
              <w:rPr>
                <w:sz w:val="19"/>
              </w:rPr>
            </w:pPr>
            <w:r>
              <w:rPr>
                <w:sz w:val="19"/>
              </w:rPr>
              <w:t>24 Nov 1995</w:t>
            </w:r>
          </w:p>
        </w:tc>
        <w:tc>
          <w:tcPr>
            <w:tcW w:w="2580" w:type="dxa"/>
            <w:gridSpan w:val="2"/>
          </w:tcPr>
          <w:p>
            <w:pPr>
              <w:pStyle w:val="nTable"/>
              <w:spacing w:before="120"/>
              <w:rPr>
                <w:sz w:val="19"/>
              </w:rPr>
            </w:pPr>
            <w:r>
              <w:rPr>
                <w:sz w:val="19"/>
              </w:rPr>
              <w:t>9 Dec 1995 (see s. 2 and </w:t>
            </w:r>
            <w:r>
              <w:rPr>
                <w:i/>
                <w:sz w:val="19"/>
              </w:rPr>
              <w:t>Gazette</w:t>
            </w:r>
            <w:r>
              <w:rPr>
                <w:sz w:val="19"/>
              </w:rPr>
              <w:t xml:space="preserve"> 8 Dec 1995 p. 5935)</w:t>
            </w:r>
          </w:p>
        </w:tc>
      </w:tr>
      <w:tr>
        <w:trPr>
          <w:cantSplit/>
        </w:trPr>
        <w:tc>
          <w:tcPr>
            <w:tcW w:w="2240" w:type="dxa"/>
          </w:tcPr>
          <w:p>
            <w:pPr>
              <w:pStyle w:val="nTable"/>
              <w:spacing w:before="120"/>
              <w:ind w:right="113"/>
              <w:rPr>
                <w:sz w:val="19"/>
              </w:rPr>
            </w:pPr>
            <w:r>
              <w:rPr>
                <w:i/>
                <w:sz w:val="19"/>
              </w:rPr>
              <w:t>Water Agencies Restructure (Transitional and Consequential Provisions) Act 1995</w:t>
            </w:r>
            <w:r>
              <w:rPr>
                <w:sz w:val="19"/>
              </w:rPr>
              <w:t xml:space="preserve"> Pt. 13</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80" w:type="dxa"/>
            <w:gridSpan w:val="2"/>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40" w:type="dxa"/>
          </w:tcPr>
          <w:p>
            <w:pPr>
              <w:pStyle w:val="nTable"/>
              <w:spacing w:before="120"/>
              <w:ind w:right="113"/>
              <w:rPr>
                <w:sz w:val="19"/>
              </w:rPr>
            </w:pPr>
            <w:r>
              <w:rPr>
                <w:i/>
                <w:sz w:val="19"/>
              </w:rPr>
              <w:t>Sentencing (Consequential Provisions) Act 1995</w:t>
            </w:r>
            <w:r>
              <w:rPr>
                <w:sz w:val="19"/>
              </w:rPr>
              <w:t xml:space="preserve"> Pt. 88</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80" w:type="dxa"/>
            <w:gridSpan w:val="2"/>
          </w:tcPr>
          <w:p>
            <w:pPr>
              <w:pStyle w:val="nTable"/>
              <w:spacing w:before="120"/>
              <w:rPr>
                <w:sz w:val="19"/>
              </w:rPr>
            </w:pPr>
            <w:r>
              <w:rPr>
                <w:sz w:val="19"/>
              </w:rPr>
              <w:t>4 Nov 1996 (see s. 2 and </w:t>
            </w:r>
            <w:r>
              <w:rPr>
                <w:i/>
                <w:sz w:val="19"/>
              </w:rPr>
              <w:t>Gazette</w:t>
            </w:r>
            <w:r>
              <w:rPr>
                <w:sz w:val="19"/>
              </w:rPr>
              <w:t xml:space="preserve"> 25 Oct 1996 p. 5632)</w:t>
            </w:r>
          </w:p>
        </w:tc>
      </w:tr>
      <w:tr>
        <w:trPr>
          <w:cantSplit/>
        </w:trPr>
        <w:tc>
          <w:tcPr>
            <w:tcW w:w="7088" w:type="dxa"/>
            <w:gridSpan w:val="5"/>
          </w:tcPr>
          <w:p>
            <w:pPr>
              <w:pStyle w:val="nTable"/>
              <w:spacing w:before="12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40"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80" w:type="dxa"/>
            <w:gridSpan w:val="2"/>
          </w:tcPr>
          <w:p>
            <w:pPr>
              <w:pStyle w:val="nTable"/>
              <w:spacing w:before="120"/>
              <w:rPr>
                <w:sz w:val="19"/>
              </w:rPr>
            </w:pPr>
            <w:r>
              <w:rPr>
                <w:sz w:val="19"/>
              </w:rPr>
              <w:t>1 Jul 1996 (see s. 2)</w:t>
            </w:r>
          </w:p>
        </w:tc>
      </w:tr>
      <w:tr>
        <w:trPr>
          <w:cantSplit/>
        </w:trPr>
        <w:tc>
          <w:tcPr>
            <w:tcW w:w="2240" w:type="dxa"/>
          </w:tcPr>
          <w:p>
            <w:pPr>
              <w:pStyle w:val="nTable"/>
              <w:spacing w:before="120"/>
              <w:ind w:right="113"/>
              <w:rPr>
                <w:sz w:val="19"/>
              </w:rPr>
            </w:pPr>
            <w:r>
              <w:rPr>
                <w:i/>
                <w:sz w:val="19"/>
              </w:rPr>
              <w:t>Mining Amendment Act 1996</w:t>
            </w:r>
            <w:r>
              <w:rPr>
                <w:sz w:val="19"/>
                <w:vertAlign w:val="superscript"/>
              </w:rPr>
              <w:t> 1a, 14</w:t>
            </w:r>
          </w:p>
        </w:tc>
        <w:tc>
          <w:tcPr>
            <w:tcW w:w="1134" w:type="dxa"/>
          </w:tcPr>
          <w:p>
            <w:pPr>
              <w:pStyle w:val="nTable"/>
              <w:spacing w:before="120"/>
              <w:rPr>
                <w:sz w:val="19"/>
              </w:rPr>
            </w:pPr>
            <w:r>
              <w:rPr>
                <w:sz w:val="19"/>
              </w:rPr>
              <w:t>54 of 1996</w:t>
            </w:r>
          </w:p>
        </w:tc>
        <w:tc>
          <w:tcPr>
            <w:tcW w:w="1134" w:type="dxa"/>
          </w:tcPr>
          <w:p>
            <w:pPr>
              <w:pStyle w:val="nTable"/>
              <w:spacing w:before="120"/>
              <w:rPr>
                <w:sz w:val="19"/>
              </w:rPr>
            </w:pPr>
            <w:r>
              <w:rPr>
                <w:sz w:val="19"/>
              </w:rPr>
              <w:t>11 Nov 1996</w:t>
            </w:r>
          </w:p>
        </w:tc>
        <w:tc>
          <w:tcPr>
            <w:tcW w:w="2580" w:type="dxa"/>
            <w:gridSpan w:val="2"/>
          </w:tcPr>
          <w:p>
            <w:pPr>
              <w:pStyle w:val="nTable"/>
              <w:spacing w:before="120"/>
              <w:rPr>
                <w:sz w:val="19"/>
                <w:vertAlign w:val="superscript"/>
              </w:rPr>
            </w:pPr>
            <w:r>
              <w:rPr>
                <w:sz w:val="19"/>
              </w:rPr>
              <w:t xml:space="preserve">s. 5, 7, 10, 13 and 23: 7 Dec 1996 (see s. 2 and </w:t>
            </w:r>
            <w:r>
              <w:rPr>
                <w:i/>
                <w:sz w:val="19"/>
              </w:rPr>
              <w:t>Gazette</w:t>
            </w:r>
            <w:r>
              <w:rPr>
                <w:sz w:val="19"/>
              </w:rPr>
              <w:t xml:space="preserve"> 6 Dec 1996 p. 6699);</w:t>
            </w:r>
            <w:r>
              <w:rPr>
                <w:sz w:val="19"/>
              </w:rPr>
              <w:br/>
              <w:t>balance to be proclaimed</w:t>
            </w:r>
          </w:p>
        </w:tc>
      </w:tr>
      <w:tr>
        <w:trPr>
          <w:cantSplit/>
        </w:trPr>
        <w:tc>
          <w:tcPr>
            <w:tcW w:w="2240" w:type="dxa"/>
          </w:tcPr>
          <w:p>
            <w:pPr>
              <w:pStyle w:val="nTable"/>
              <w:spacing w:before="120"/>
              <w:ind w:right="113"/>
              <w:rPr>
                <w:sz w:val="19"/>
              </w:rPr>
            </w:pPr>
            <w:r>
              <w:rPr>
                <w:i/>
                <w:sz w:val="19"/>
              </w:rPr>
              <w:t>Acts Amendment (Marine Reserves) Act 1997</w:t>
            </w:r>
            <w:r>
              <w:rPr>
                <w:sz w:val="19"/>
              </w:rPr>
              <w:t xml:space="preserve"> Pt. 3</w:t>
            </w:r>
          </w:p>
        </w:tc>
        <w:tc>
          <w:tcPr>
            <w:tcW w:w="1134" w:type="dxa"/>
          </w:tcPr>
          <w:p>
            <w:pPr>
              <w:pStyle w:val="nTable"/>
              <w:spacing w:before="120"/>
              <w:rPr>
                <w:sz w:val="19"/>
              </w:rPr>
            </w:pPr>
            <w:r>
              <w:rPr>
                <w:sz w:val="19"/>
              </w:rPr>
              <w:t>5 of 1997</w:t>
            </w:r>
          </w:p>
        </w:tc>
        <w:tc>
          <w:tcPr>
            <w:tcW w:w="1134" w:type="dxa"/>
          </w:tcPr>
          <w:p>
            <w:pPr>
              <w:pStyle w:val="nTable"/>
              <w:spacing w:before="120"/>
              <w:rPr>
                <w:sz w:val="19"/>
              </w:rPr>
            </w:pPr>
            <w:r>
              <w:rPr>
                <w:sz w:val="19"/>
              </w:rPr>
              <w:t>10 Jun 1997</w:t>
            </w:r>
          </w:p>
        </w:tc>
        <w:tc>
          <w:tcPr>
            <w:tcW w:w="2580" w:type="dxa"/>
            <w:gridSpan w:val="2"/>
          </w:tcPr>
          <w:p>
            <w:pPr>
              <w:pStyle w:val="nTable"/>
              <w:spacing w:before="120"/>
              <w:rPr>
                <w:sz w:val="19"/>
              </w:rPr>
            </w:pPr>
            <w:r>
              <w:rPr>
                <w:sz w:val="19"/>
              </w:rPr>
              <w:t>29 Aug 1997 (see s. 2 and </w:t>
            </w:r>
            <w:r>
              <w:rPr>
                <w:i/>
                <w:sz w:val="19"/>
              </w:rPr>
              <w:t>Gazette</w:t>
            </w:r>
            <w:r>
              <w:rPr>
                <w:sz w:val="19"/>
              </w:rPr>
              <w:t xml:space="preserve"> 29 Aug 1997 p. 4867)</w:t>
            </w:r>
          </w:p>
        </w:tc>
      </w:tr>
      <w:tr>
        <w:trPr>
          <w:cantSplit/>
        </w:trPr>
        <w:tc>
          <w:tcPr>
            <w:tcW w:w="2240" w:type="dxa"/>
          </w:tcPr>
          <w:p>
            <w:pPr>
              <w:pStyle w:val="nTable"/>
              <w:spacing w:before="120"/>
              <w:ind w:right="113"/>
              <w:rPr>
                <w:sz w:val="19"/>
              </w:rPr>
            </w:pPr>
            <w:r>
              <w:rPr>
                <w:i/>
                <w:sz w:val="19"/>
              </w:rPr>
              <w:t xml:space="preserve">Acts Amendment (Land Administration) Act 1997 </w:t>
            </w:r>
            <w:r>
              <w:rPr>
                <w:sz w:val="19"/>
              </w:rPr>
              <w:t>Pt. 44 and 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80"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40" w:type="dxa"/>
          </w:tcPr>
          <w:p>
            <w:pPr>
              <w:pStyle w:val="nTable"/>
              <w:spacing w:before="120"/>
              <w:ind w:right="113"/>
              <w:rPr>
                <w:sz w:val="19"/>
              </w:rPr>
            </w:pPr>
            <w:r>
              <w:rPr>
                <w:i/>
                <w:sz w:val="19"/>
              </w:rPr>
              <w:t>Statutes (Repeals and Minor Amendments) Act 1997</w:t>
            </w:r>
            <w:r>
              <w:rPr>
                <w:sz w:val="19"/>
              </w:rPr>
              <w:t xml:space="preserve"> s. 89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80" w:type="dxa"/>
            <w:gridSpan w:val="2"/>
          </w:tcPr>
          <w:p>
            <w:pPr>
              <w:pStyle w:val="nTable"/>
              <w:spacing w:before="120"/>
              <w:rPr>
                <w:sz w:val="19"/>
              </w:rPr>
            </w:pPr>
            <w:r>
              <w:rPr>
                <w:sz w:val="19"/>
              </w:rPr>
              <w:t>15 Dec 1997 (see s. 2(1))</w:t>
            </w:r>
          </w:p>
        </w:tc>
      </w:tr>
      <w:tr>
        <w:trPr>
          <w:cantSplit/>
        </w:trPr>
        <w:tc>
          <w:tcPr>
            <w:tcW w:w="2240" w:type="dxa"/>
          </w:tcPr>
          <w:p>
            <w:pPr>
              <w:pStyle w:val="nTable"/>
              <w:spacing w:before="120"/>
              <w:ind w:right="113"/>
              <w:rPr>
                <w:sz w:val="19"/>
              </w:rPr>
            </w:pPr>
            <w:r>
              <w:rPr>
                <w:i/>
                <w:sz w:val="19"/>
              </w:rPr>
              <w:t>Statutes (Repeals and Minor Amendments) Act (No. 2) 1998</w:t>
            </w:r>
            <w:r>
              <w:rPr>
                <w:sz w:val="19"/>
              </w:rPr>
              <w:t xml:space="preserve"> s. 52</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80" w:type="dxa"/>
            <w:gridSpan w:val="2"/>
          </w:tcPr>
          <w:p>
            <w:pPr>
              <w:pStyle w:val="nTable"/>
              <w:spacing w:before="120"/>
              <w:rPr>
                <w:sz w:val="19"/>
              </w:rPr>
            </w:pPr>
            <w:r>
              <w:rPr>
                <w:sz w:val="19"/>
              </w:rPr>
              <w:t>30 Apr 1998 (see s. 2(1))</w:t>
            </w:r>
          </w:p>
        </w:tc>
      </w:tr>
      <w:tr>
        <w:trPr>
          <w:cantSplit/>
        </w:trPr>
        <w:tc>
          <w:tcPr>
            <w:tcW w:w="2240" w:type="dxa"/>
          </w:tcPr>
          <w:p>
            <w:pPr>
              <w:pStyle w:val="nTable"/>
              <w:spacing w:before="120"/>
              <w:ind w:right="113"/>
              <w:rPr>
                <w:sz w:val="19"/>
              </w:rPr>
            </w:pPr>
            <w:r>
              <w:rPr>
                <w:i/>
                <w:sz w:val="19"/>
              </w:rPr>
              <w:t>Mining Amendment Act 1998</w:t>
            </w:r>
            <w:r>
              <w:rPr>
                <w:sz w:val="19"/>
                <w:vertAlign w:val="superscript"/>
              </w:rPr>
              <w:t> 15</w:t>
            </w:r>
          </w:p>
        </w:tc>
        <w:tc>
          <w:tcPr>
            <w:tcW w:w="1134" w:type="dxa"/>
          </w:tcPr>
          <w:p>
            <w:pPr>
              <w:pStyle w:val="nTable"/>
              <w:spacing w:before="120"/>
              <w:rPr>
                <w:sz w:val="19"/>
              </w:rPr>
            </w:pPr>
            <w:r>
              <w:rPr>
                <w:sz w:val="19"/>
              </w:rPr>
              <w:t>35 of 1998</w:t>
            </w:r>
          </w:p>
        </w:tc>
        <w:tc>
          <w:tcPr>
            <w:tcW w:w="1134" w:type="dxa"/>
          </w:tcPr>
          <w:p>
            <w:pPr>
              <w:pStyle w:val="nTable"/>
              <w:spacing w:before="120"/>
              <w:rPr>
                <w:sz w:val="19"/>
              </w:rPr>
            </w:pPr>
            <w:r>
              <w:rPr>
                <w:sz w:val="19"/>
              </w:rPr>
              <w:t>6 Jul 1998</w:t>
            </w:r>
          </w:p>
        </w:tc>
        <w:tc>
          <w:tcPr>
            <w:tcW w:w="2580" w:type="dxa"/>
            <w:gridSpan w:val="2"/>
          </w:tcPr>
          <w:p>
            <w:pPr>
              <w:pStyle w:val="nTable"/>
              <w:spacing w:before="120"/>
              <w:rPr>
                <w:sz w:val="19"/>
              </w:rPr>
            </w:pPr>
            <w:r>
              <w:rPr>
                <w:sz w:val="19"/>
              </w:rPr>
              <w:t>6 Jul 1998 (see s. 2)</w:t>
            </w:r>
          </w:p>
        </w:tc>
      </w:tr>
      <w:tr>
        <w:trPr>
          <w:cantSplit/>
        </w:trPr>
        <w:tc>
          <w:tcPr>
            <w:tcW w:w="2240" w:type="dxa"/>
          </w:tcPr>
          <w:p>
            <w:pPr>
              <w:pStyle w:val="nTable"/>
              <w:spacing w:before="120"/>
              <w:ind w:right="113"/>
              <w:rPr>
                <w:sz w:val="19"/>
              </w:rPr>
            </w:pPr>
            <w:r>
              <w:rPr>
                <w:i/>
                <w:sz w:val="19"/>
              </w:rPr>
              <w:t>Acts Amendment (Land Administration, Mining and Petroleum) Act 1998</w:t>
            </w:r>
            <w:r>
              <w:rPr>
                <w:sz w:val="19"/>
              </w:rPr>
              <w:br/>
              <w:t>Pt. 3</w:t>
            </w:r>
          </w:p>
        </w:tc>
        <w:tc>
          <w:tcPr>
            <w:tcW w:w="1134" w:type="dxa"/>
          </w:tcPr>
          <w:p>
            <w:pPr>
              <w:pStyle w:val="nTable"/>
              <w:spacing w:before="120"/>
              <w:rPr>
                <w:sz w:val="19"/>
              </w:rPr>
            </w:pPr>
            <w:r>
              <w:rPr>
                <w:sz w:val="19"/>
              </w:rPr>
              <w:t>61 of 1998</w:t>
            </w:r>
          </w:p>
        </w:tc>
        <w:tc>
          <w:tcPr>
            <w:tcW w:w="1134" w:type="dxa"/>
          </w:tcPr>
          <w:p>
            <w:pPr>
              <w:pStyle w:val="nTable"/>
              <w:spacing w:before="120"/>
              <w:rPr>
                <w:sz w:val="19"/>
              </w:rPr>
            </w:pPr>
            <w:r>
              <w:rPr>
                <w:sz w:val="19"/>
              </w:rPr>
              <w:t>11 Jan 1999</w:t>
            </w:r>
          </w:p>
        </w:tc>
        <w:tc>
          <w:tcPr>
            <w:tcW w:w="2580" w:type="dxa"/>
            <w:gridSpan w:val="2"/>
          </w:tcPr>
          <w:p>
            <w:pPr>
              <w:pStyle w:val="nTable"/>
              <w:spacing w:before="120"/>
              <w:rPr>
                <w:sz w:val="19"/>
              </w:rPr>
            </w:pPr>
            <w:r>
              <w:rPr>
                <w:sz w:val="19"/>
              </w:rPr>
              <w:t>11 Jan 1999 (see s. 2(1))</w:t>
            </w:r>
          </w:p>
        </w:tc>
      </w:tr>
      <w:tr>
        <w:trPr>
          <w:cantSplit/>
        </w:trPr>
        <w:tc>
          <w:tcPr>
            <w:tcW w:w="2240" w:type="dxa"/>
          </w:tcPr>
          <w:p>
            <w:pPr>
              <w:pStyle w:val="nTable"/>
              <w:spacing w:before="120"/>
              <w:ind w:right="113"/>
              <w:rPr>
                <w:sz w:val="19"/>
              </w:rPr>
            </w:pPr>
            <w:r>
              <w:rPr>
                <w:i/>
                <w:sz w:val="19"/>
              </w:rPr>
              <w:t>Acts Amendment (Mining and Petroleum) Act 1999</w:t>
            </w:r>
            <w:r>
              <w:rPr>
                <w:sz w:val="19"/>
              </w:rPr>
              <w:br/>
              <w:t>Pt. 2</w:t>
            </w:r>
          </w:p>
        </w:tc>
        <w:tc>
          <w:tcPr>
            <w:tcW w:w="1134" w:type="dxa"/>
          </w:tcPr>
          <w:p>
            <w:pPr>
              <w:pStyle w:val="nTable"/>
              <w:spacing w:before="120"/>
              <w:rPr>
                <w:sz w:val="19"/>
              </w:rPr>
            </w:pPr>
            <w:r>
              <w:rPr>
                <w:sz w:val="19"/>
              </w:rPr>
              <w:t>17 of 1999</w:t>
            </w:r>
          </w:p>
        </w:tc>
        <w:tc>
          <w:tcPr>
            <w:tcW w:w="1134" w:type="dxa"/>
          </w:tcPr>
          <w:p>
            <w:pPr>
              <w:pStyle w:val="nTable"/>
              <w:spacing w:before="120"/>
              <w:rPr>
                <w:sz w:val="19"/>
              </w:rPr>
            </w:pPr>
            <w:r>
              <w:rPr>
                <w:sz w:val="19"/>
              </w:rPr>
              <w:t>15 Jun 1999</w:t>
            </w:r>
          </w:p>
        </w:tc>
        <w:tc>
          <w:tcPr>
            <w:tcW w:w="2580" w:type="dxa"/>
            <w:gridSpan w:val="2"/>
          </w:tcPr>
          <w:p>
            <w:pPr>
              <w:pStyle w:val="nTable"/>
              <w:spacing w:before="120"/>
              <w:rPr>
                <w:sz w:val="19"/>
              </w:rPr>
            </w:pPr>
            <w:r>
              <w:rPr>
                <w:sz w:val="19"/>
              </w:rPr>
              <w:t xml:space="preserve">24 Jul 1999 (see s. 2 and </w:t>
            </w:r>
            <w:r>
              <w:rPr>
                <w:i/>
                <w:sz w:val="19"/>
              </w:rPr>
              <w:t>Gazette</w:t>
            </w:r>
            <w:r>
              <w:rPr>
                <w:sz w:val="19"/>
              </w:rPr>
              <w:t xml:space="preserve"> 23 Jul 1999 p. 3385)</w:t>
            </w:r>
          </w:p>
        </w:tc>
      </w:tr>
      <w:tr>
        <w:trPr>
          <w:cantSplit/>
        </w:trPr>
        <w:tc>
          <w:tcPr>
            <w:tcW w:w="7088" w:type="dxa"/>
            <w:gridSpan w:val="5"/>
          </w:tcPr>
          <w:p>
            <w:pPr>
              <w:pStyle w:val="nTable"/>
              <w:spacing w:before="12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1994</w:t>
            </w:r>
            <w:r>
              <w:rPr>
                <w:sz w:val="19"/>
              </w:rPr>
              <w:t xml:space="preserve"> s. 5 and the </w:t>
            </w:r>
            <w:r>
              <w:rPr>
                <w:i/>
                <w:sz w:val="19"/>
              </w:rPr>
              <w:t>Mining Amendment Act 1996</w:t>
            </w:r>
            <w:r>
              <w:rPr>
                <w:sz w:val="19"/>
              </w:rPr>
              <w:t xml:space="preserve"> s. 1-4, 6, 8, 9 11, 12 and 14-22)</w:t>
            </w:r>
          </w:p>
        </w:tc>
      </w:tr>
      <w:tr>
        <w:trPr>
          <w:cantSplit/>
        </w:trPr>
        <w:tc>
          <w:tcPr>
            <w:tcW w:w="2240" w:type="dxa"/>
          </w:tcPr>
          <w:p>
            <w:pPr>
              <w:pStyle w:val="nTable"/>
              <w:keepNext/>
              <w:keepLines/>
              <w:spacing w:before="120"/>
              <w:ind w:right="113"/>
              <w:rPr>
                <w:sz w:val="19"/>
              </w:rPr>
            </w:pPr>
            <w:r>
              <w:rPr>
                <w:i/>
                <w:sz w:val="19"/>
              </w:rPr>
              <w:t>Acts Amendment (Police Immunity) Act 1999</w:t>
            </w:r>
            <w:r>
              <w:rPr>
                <w:sz w:val="19"/>
              </w:rPr>
              <w:t xml:space="preserve"> s. 8</w:t>
            </w:r>
          </w:p>
        </w:tc>
        <w:tc>
          <w:tcPr>
            <w:tcW w:w="1134" w:type="dxa"/>
          </w:tcPr>
          <w:p>
            <w:pPr>
              <w:pStyle w:val="nTable"/>
              <w:keepNext/>
              <w:keepLines/>
              <w:spacing w:before="120" w:after="60"/>
              <w:rPr>
                <w:sz w:val="19"/>
              </w:rPr>
            </w:pPr>
            <w:r>
              <w:rPr>
                <w:sz w:val="19"/>
              </w:rPr>
              <w:t>42 of 1999</w:t>
            </w:r>
          </w:p>
        </w:tc>
        <w:tc>
          <w:tcPr>
            <w:tcW w:w="1134" w:type="dxa"/>
          </w:tcPr>
          <w:p>
            <w:pPr>
              <w:pStyle w:val="nTable"/>
              <w:keepNext/>
              <w:keepLines/>
              <w:spacing w:before="120"/>
              <w:rPr>
                <w:sz w:val="19"/>
              </w:rPr>
            </w:pPr>
            <w:r>
              <w:rPr>
                <w:sz w:val="19"/>
              </w:rPr>
              <w:t>25 Nov 1999</w:t>
            </w:r>
          </w:p>
        </w:tc>
        <w:tc>
          <w:tcPr>
            <w:tcW w:w="2580" w:type="dxa"/>
            <w:gridSpan w:val="2"/>
          </w:tcPr>
          <w:p>
            <w:pPr>
              <w:pStyle w:val="nTable"/>
              <w:keepNext/>
              <w:keepLines/>
              <w:spacing w:before="120"/>
              <w:rPr>
                <w:sz w:val="19"/>
              </w:rPr>
            </w:pPr>
            <w:r>
              <w:rPr>
                <w:sz w:val="19"/>
              </w:rPr>
              <w:t>25 Nov 1999 (see s. 2)</w:t>
            </w:r>
          </w:p>
        </w:tc>
      </w:tr>
      <w:tr>
        <w:trPr>
          <w:cantSplit/>
        </w:trPr>
        <w:tc>
          <w:tcPr>
            <w:tcW w:w="2240" w:type="dxa"/>
          </w:tcPr>
          <w:p>
            <w:pPr>
              <w:pStyle w:val="nTable"/>
              <w:keepNext/>
              <w:keepLines/>
              <w:spacing w:before="12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before="120"/>
              <w:rPr>
                <w:sz w:val="19"/>
              </w:rPr>
            </w:pPr>
            <w:r>
              <w:rPr>
                <w:sz w:val="19"/>
              </w:rPr>
              <w:t>24 of 2000</w:t>
            </w:r>
          </w:p>
        </w:tc>
        <w:tc>
          <w:tcPr>
            <w:tcW w:w="1134" w:type="dxa"/>
          </w:tcPr>
          <w:p>
            <w:pPr>
              <w:pStyle w:val="nTable"/>
              <w:keepNext/>
              <w:keepLines/>
              <w:spacing w:before="120"/>
              <w:rPr>
                <w:sz w:val="19"/>
              </w:rPr>
            </w:pPr>
            <w:r>
              <w:rPr>
                <w:sz w:val="19"/>
              </w:rPr>
              <w:t>4 Jul 2000</w:t>
            </w:r>
          </w:p>
        </w:tc>
        <w:tc>
          <w:tcPr>
            <w:tcW w:w="2580" w:type="dxa"/>
            <w:gridSpan w:val="2"/>
          </w:tcPr>
          <w:p>
            <w:pPr>
              <w:pStyle w:val="nTable"/>
              <w:keepNext/>
              <w:keepLines/>
              <w:spacing w:before="120"/>
              <w:rPr>
                <w:sz w:val="19"/>
              </w:rPr>
            </w:pPr>
            <w:r>
              <w:rPr>
                <w:sz w:val="19"/>
              </w:rPr>
              <w:t>4 Jul 2000 (see s. 2)</w:t>
            </w:r>
          </w:p>
        </w:tc>
      </w:tr>
      <w:tr>
        <w:trPr>
          <w:cantSplit/>
        </w:trPr>
        <w:tc>
          <w:tcPr>
            <w:tcW w:w="2240" w:type="dxa"/>
          </w:tcPr>
          <w:p>
            <w:pPr>
              <w:pStyle w:val="nTable"/>
              <w:spacing w:before="120"/>
              <w:ind w:right="113"/>
              <w:rPr>
                <w:sz w:val="19"/>
              </w:rPr>
            </w:pPr>
            <w:r>
              <w:rPr>
                <w:i/>
                <w:sz w:val="19"/>
              </w:rPr>
              <w:t xml:space="preserve">Rights in Water and Irrigation Amendment Act 2000 </w:t>
            </w:r>
            <w:r>
              <w:rPr>
                <w:sz w:val="19"/>
              </w:rPr>
              <w:t>s. 86</w:t>
            </w:r>
          </w:p>
        </w:tc>
        <w:tc>
          <w:tcPr>
            <w:tcW w:w="1134" w:type="dxa"/>
          </w:tcPr>
          <w:p>
            <w:pPr>
              <w:pStyle w:val="nTable"/>
              <w:spacing w:before="120"/>
              <w:rPr>
                <w:sz w:val="19"/>
              </w:rPr>
            </w:pPr>
            <w:r>
              <w:rPr>
                <w:sz w:val="19"/>
              </w:rPr>
              <w:t>49 of 2000</w:t>
            </w:r>
          </w:p>
        </w:tc>
        <w:tc>
          <w:tcPr>
            <w:tcW w:w="1134" w:type="dxa"/>
          </w:tcPr>
          <w:p>
            <w:pPr>
              <w:pStyle w:val="nTable"/>
              <w:spacing w:before="120"/>
              <w:rPr>
                <w:sz w:val="19"/>
              </w:rPr>
            </w:pPr>
            <w:r>
              <w:rPr>
                <w:sz w:val="19"/>
              </w:rPr>
              <w:t>28 Nov 2000</w:t>
            </w:r>
          </w:p>
        </w:tc>
        <w:tc>
          <w:tcPr>
            <w:tcW w:w="2580" w:type="dxa"/>
            <w:gridSpan w:val="2"/>
          </w:tcPr>
          <w:p>
            <w:pPr>
              <w:pStyle w:val="nTable"/>
              <w:spacing w:before="120"/>
              <w:rPr>
                <w:sz w:val="19"/>
              </w:rPr>
            </w:pPr>
            <w:r>
              <w:rPr>
                <w:sz w:val="19"/>
              </w:rPr>
              <w:t xml:space="preserve">10 Jan 2001 (see s. 2 and </w:t>
            </w:r>
            <w:r>
              <w:rPr>
                <w:i/>
                <w:sz w:val="19"/>
              </w:rPr>
              <w:t xml:space="preserve">Gazette </w:t>
            </w:r>
            <w:r>
              <w:rPr>
                <w:sz w:val="19"/>
              </w:rPr>
              <w:t>10 Jan 2001 p. 163)</w:t>
            </w:r>
          </w:p>
        </w:tc>
      </w:tr>
      <w:tr>
        <w:trPr>
          <w:cantSplit/>
        </w:trPr>
        <w:tc>
          <w:tcPr>
            <w:tcW w:w="2240" w:type="dxa"/>
          </w:tcPr>
          <w:p>
            <w:pPr>
              <w:pStyle w:val="nTable"/>
              <w:spacing w:before="120"/>
              <w:ind w:right="113"/>
              <w:rPr>
                <w:sz w:val="19"/>
              </w:rPr>
            </w:pPr>
            <w:r>
              <w:rPr>
                <w:i/>
                <w:sz w:val="19"/>
              </w:rPr>
              <w:t xml:space="preserve">Acts Amendment (Australian Datum) Act 2000 </w:t>
            </w:r>
            <w:r>
              <w:rPr>
                <w:sz w:val="19"/>
              </w:rPr>
              <w:t>s. 5</w:t>
            </w:r>
          </w:p>
        </w:tc>
        <w:tc>
          <w:tcPr>
            <w:tcW w:w="1134" w:type="dxa"/>
          </w:tcPr>
          <w:p>
            <w:pPr>
              <w:pStyle w:val="nTable"/>
              <w:spacing w:before="120"/>
              <w:rPr>
                <w:sz w:val="19"/>
              </w:rPr>
            </w:pPr>
            <w:r>
              <w:rPr>
                <w:sz w:val="19"/>
              </w:rPr>
              <w:t>54 of 2000</w:t>
            </w:r>
          </w:p>
        </w:tc>
        <w:tc>
          <w:tcPr>
            <w:tcW w:w="1134" w:type="dxa"/>
          </w:tcPr>
          <w:p>
            <w:pPr>
              <w:pStyle w:val="nTable"/>
              <w:spacing w:before="120"/>
              <w:rPr>
                <w:sz w:val="19"/>
              </w:rPr>
            </w:pPr>
            <w:r>
              <w:rPr>
                <w:sz w:val="19"/>
              </w:rPr>
              <w:t>28 Nov 2000</w:t>
            </w:r>
          </w:p>
        </w:tc>
        <w:tc>
          <w:tcPr>
            <w:tcW w:w="2580" w:type="dxa"/>
            <w:gridSpan w:val="2"/>
          </w:tcPr>
          <w:p>
            <w:pPr>
              <w:pStyle w:val="nTable"/>
              <w:spacing w:before="120"/>
              <w:rPr>
                <w:sz w:val="19"/>
              </w:rPr>
            </w:pPr>
            <w:r>
              <w:rPr>
                <w:sz w:val="19"/>
              </w:rPr>
              <w:t>16 Dec 2000 (see s. 2 and </w:t>
            </w:r>
            <w:r>
              <w:rPr>
                <w:i/>
                <w:sz w:val="19"/>
              </w:rPr>
              <w:t>Gazette</w:t>
            </w:r>
            <w:r>
              <w:rPr>
                <w:sz w:val="19"/>
              </w:rPr>
              <w:t xml:space="preserve"> 15 Dec 2000 p. 7201)</w:t>
            </w:r>
          </w:p>
        </w:tc>
      </w:tr>
      <w:tr>
        <w:trPr>
          <w:cantSplit/>
        </w:trPr>
        <w:tc>
          <w:tcPr>
            <w:tcW w:w="2240" w:type="dxa"/>
          </w:tcPr>
          <w:p>
            <w:pPr>
              <w:pStyle w:val="nTable"/>
              <w:spacing w:before="120"/>
              <w:ind w:right="113"/>
              <w:rPr>
                <w:i/>
                <w:sz w:val="19"/>
              </w:rPr>
            </w:pPr>
            <w:r>
              <w:rPr>
                <w:i/>
                <w:sz w:val="19"/>
              </w:rPr>
              <w:t>Mining Amendment Act 2000</w:t>
            </w:r>
          </w:p>
        </w:tc>
        <w:tc>
          <w:tcPr>
            <w:tcW w:w="1134" w:type="dxa"/>
          </w:tcPr>
          <w:p>
            <w:pPr>
              <w:pStyle w:val="nTable"/>
              <w:spacing w:before="120"/>
              <w:rPr>
                <w:sz w:val="19"/>
              </w:rPr>
            </w:pPr>
            <w:r>
              <w:rPr>
                <w:sz w:val="19"/>
              </w:rPr>
              <w:t>63 of 2000</w:t>
            </w:r>
          </w:p>
        </w:tc>
        <w:tc>
          <w:tcPr>
            <w:tcW w:w="1134" w:type="dxa"/>
          </w:tcPr>
          <w:p>
            <w:pPr>
              <w:pStyle w:val="nTable"/>
              <w:spacing w:before="120"/>
              <w:rPr>
                <w:sz w:val="19"/>
              </w:rPr>
            </w:pPr>
            <w:r>
              <w:rPr>
                <w:sz w:val="19"/>
              </w:rPr>
              <w:t>4 Dec 2000</w:t>
            </w:r>
          </w:p>
        </w:tc>
        <w:tc>
          <w:tcPr>
            <w:tcW w:w="2580" w:type="dxa"/>
            <w:gridSpan w:val="2"/>
          </w:tcPr>
          <w:p>
            <w:pPr>
              <w:pStyle w:val="nTable"/>
              <w:spacing w:before="120"/>
              <w:rPr>
                <w:sz w:val="19"/>
              </w:rPr>
            </w:pPr>
            <w:r>
              <w:rPr>
                <w:sz w:val="19"/>
              </w:rPr>
              <w:t xml:space="preserve">3 Feb 2001 (see s. 2 and </w:t>
            </w:r>
            <w:r>
              <w:rPr>
                <w:i/>
                <w:sz w:val="19"/>
              </w:rPr>
              <w:t>Gazette</w:t>
            </w:r>
            <w:r>
              <w:rPr>
                <w:sz w:val="19"/>
              </w:rPr>
              <w:t xml:space="preserve"> 2 Feb 2001 p. 697)</w:t>
            </w:r>
          </w:p>
        </w:tc>
      </w:tr>
      <w:tr>
        <w:trPr>
          <w:cantSplit/>
        </w:trPr>
        <w:tc>
          <w:tcPr>
            <w:tcW w:w="2240" w:type="dxa"/>
          </w:tcPr>
          <w:p>
            <w:pPr>
              <w:pStyle w:val="nTable"/>
              <w:spacing w:before="120"/>
              <w:ind w:right="113"/>
              <w:rPr>
                <w:i/>
                <w:sz w:val="19"/>
              </w:rPr>
            </w:pPr>
            <w:r>
              <w:rPr>
                <w:i/>
                <w:sz w:val="19"/>
              </w:rPr>
              <w:t>Corporations (Consequential Amendments) Act 2001</w:t>
            </w:r>
            <w:r>
              <w:rPr>
                <w:sz w:val="19"/>
              </w:rPr>
              <w:t xml:space="preserve"> Pt. 39</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80" w:type="dxa"/>
            <w:gridSpan w:val="2"/>
          </w:tcPr>
          <w:p>
            <w:pPr>
              <w:pStyle w:val="nTable"/>
              <w:spacing w:before="12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before="120"/>
              <w:ind w:right="113"/>
              <w:rPr>
                <w:sz w:val="19"/>
              </w:rPr>
            </w:pPr>
            <w:r>
              <w:rPr>
                <w:i/>
              </w:rPr>
              <w:t xml:space="preserve">Mining </w:t>
            </w:r>
            <w:r>
              <w:rPr>
                <w:i/>
                <w:sz w:val="19"/>
              </w:rPr>
              <w:t>Amendment</w:t>
            </w:r>
            <w:r>
              <w:rPr>
                <w:i/>
              </w:rPr>
              <w:t xml:space="preserve"> Act 2002</w:t>
            </w:r>
          </w:p>
        </w:tc>
        <w:tc>
          <w:tcPr>
            <w:tcW w:w="1134" w:type="dxa"/>
          </w:tcPr>
          <w:p>
            <w:pPr>
              <w:pStyle w:val="nTable"/>
              <w:spacing w:before="120"/>
              <w:rPr>
                <w:sz w:val="19"/>
              </w:rPr>
            </w:pPr>
            <w:r>
              <w:t>15 of 2002</w:t>
            </w:r>
          </w:p>
        </w:tc>
        <w:tc>
          <w:tcPr>
            <w:tcW w:w="1134" w:type="dxa"/>
          </w:tcPr>
          <w:p>
            <w:pPr>
              <w:pStyle w:val="nTable"/>
              <w:spacing w:before="120"/>
              <w:rPr>
                <w:sz w:val="19"/>
              </w:rPr>
            </w:pPr>
            <w:r>
              <w:t>8 Jul 2002</w:t>
            </w:r>
          </w:p>
        </w:tc>
        <w:tc>
          <w:tcPr>
            <w:tcW w:w="2580" w:type="dxa"/>
            <w:gridSpan w:val="2"/>
          </w:tcPr>
          <w:p>
            <w:pPr>
              <w:pStyle w:val="nTable"/>
              <w:spacing w:before="120"/>
              <w:ind w:right="113"/>
              <w:rPr>
                <w:sz w:val="19"/>
                <w:vertAlign w:val="superscript"/>
              </w:rPr>
            </w:pPr>
            <w:r>
              <w:t xml:space="preserve">s. 23: 15 Jul 2001 (see s. 2(3) and Cwlth. </w:t>
            </w:r>
            <w:r>
              <w:rPr>
                <w:i/>
              </w:rPr>
              <w:t xml:space="preserve">Gazette </w:t>
            </w:r>
            <w:r>
              <w:t>13 Jul 2001 No. S285);</w:t>
            </w:r>
            <w:r>
              <w:br/>
              <w:t xml:space="preserve">balance (other than s. 12 and 23): 18 Jan 2003 (see s. 2(1) and (2) and </w:t>
            </w:r>
            <w:r>
              <w:rPr>
                <w:i/>
              </w:rPr>
              <w:t>Gazette</w:t>
            </w:r>
            <w:r>
              <w:t xml:space="preserve"> 17 Jan 2003 p. 105);</w:t>
            </w:r>
            <w:r>
              <w:br/>
              <w:t>s. 12 to be proclaimed</w:t>
            </w:r>
          </w:p>
        </w:tc>
      </w:tr>
      <w:tr>
        <w:trPr>
          <w:cantSplit/>
        </w:trPr>
        <w:tc>
          <w:tcPr>
            <w:tcW w:w="7088" w:type="dxa"/>
            <w:gridSpan w:val="5"/>
          </w:tcPr>
          <w:p>
            <w:pPr>
              <w:pStyle w:val="nTable"/>
              <w:spacing w:before="120"/>
              <w:ind w:right="113"/>
              <w:rPr>
                <w:sz w:val="19"/>
              </w:rPr>
            </w:pPr>
            <w:r>
              <w:rPr>
                <w:b/>
                <w:sz w:val="19"/>
              </w:rPr>
              <w:t xml:space="preserve">Reprint of the </w:t>
            </w:r>
            <w:r>
              <w:rPr>
                <w:b/>
                <w:i/>
                <w:sz w:val="19"/>
              </w:rPr>
              <w:t>Mining Act 1978</w:t>
            </w:r>
            <w:r>
              <w:rPr>
                <w:b/>
                <w:sz w:val="19"/>
              </w:rPr>
              <w:t xml:space="preserve"> as at 7 Sep 2001</w:t>
            </w:r>
            <w:r>
              <w:rPr>
                <w:b/>
                <w:sz w:val="19"/>
              </w:rPr>
              <w:br/>
            </w:r>
            <w:r>
              <w:rPr>
                <w:sz w:val="19"/>
              </w:rPr>
              <w:t xml:space="preserve">(includes amendments listed above except those in the </w:t>
            </w:r>
            <w:r>
              <w:rPr>
                <w:i/>
              </w:rPr>
              <w:t xml:space="preserve">Mining </w:t>
            </w:r>
            <w:r>
              <w:rPr>
                <w:i/>
                <w:sz w:val="19"/>
              </w:rPr>
              <w:t>Amendment</w:t>
            </w:r>
            <w:r>
              <w:rPr>
                <w:i/>
              </w:rPr>
              <w:t xml:space="preserve"> Act 2002</w:t>
            </w:r>
            <w:r>
              <w:rPr>
                <w:sz w:val="19"/>
              </w:rPr>
              <w:t>)</w:t>
            </w:r>
          </w:p>
        </w:tc>
      </w:tr>
      <w:tr>
        <w:trPr>
          <w:cantSplit/>
        </w:trPr>
        <w:tc>
          <w:tcPr>
            <w:tcW w:w="2268" w:type="dxa"/>
          </w:tcPr>
          <w:p>
            <w:pPr>
              <w:pStyle w:val="nTable"/>
              <w:spacing w:before="120"/>
              <w:ind w:right="113"/>
              <w:rPr>
                <w:sz w:val="19"/>
              </w:rPr>
            </w:pPr>
            <w:r>
              <w:rPr>
                <w:i/>
                <w:sz w:val="19"/>
              </w:rPr>
              <w:t>Acts Amendment (Equality of Status) Act 2003</w:t>
            </w:r>
            <w:r>
              <w:rPr>
                <w:sz w:val="19"/>
              </w:rPr>
              <w:t xml:space="preserve"> Pt. 46</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2" w:type="dxa"/>
            <w:gridSpan w:val="2"/>
          </w:tcPr>
          <w:p>
            <w:pPr>
              <w:pStyle w:val="nTable"/>
              <w:spacing w:before="12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Acts Amendment and Repeal (Courts and Legal Practice) Act 2003</w:t>
            </w:r>
            <w:r>
              <w:rPr>
                <w:sz w:val="19"/>
              </w:rPr>
              <w:t xml:space="preserve"> s. 52</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gridSpan w:val="2"/>
          </w:tcPr>
          <w:p>
            <w:pPr>
              <w:pStyle w:val="nTable"/>
              <w:spacing w:before="12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2" w:type="dxa"/>
            <w:gridSpan w:val="2"/>
          </w:tcPr>
          <w:p>
            <w:pPr>
              <w:pStyle w:val="nTable"/>
              <w:spacing w:before="12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before="120"/>
              <w:rPr>
                <w:snapToGrid w:val="0"/>
                <w:sz w:val="19"/>
                <w:lang w:val="en-US"/>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gridSpan w:val="2"/>
          </w:tcPr>
          <w:p>
            <w:pPr>
              <w:pStyle w:val="nTable"/>
              <w:spacing w:before="12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23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iCs/>
                <w:snapToGrid w:val="0"/>
                <w:sz w:val="19"/>
                <w:lang w:val="en-US"/>
              </w:rPr>
              <w:t xml:space="preserve">Criminal Law Amendment (Simple Offences) Act 2004 </w:t>
            </w:r>
            <w:r>
              <w:rPr>
                <w:rFonts w:ascii="Times" w:hAnsi="Times"/>
                <w:iC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24</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gridSpan w:val="2"/>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9" w:type="dxa"/>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61</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s. 61: 1 Jan 2006 (see s. 2 and </w:t>
            </w:r>
            <w:r>
              <w:rPr>
                <w:i/>
                <w:iCs/>
                <w:sz w:val="19"/>
              </w:rPr>
              <w:t>Gazette</w:t>
            </w:r>
            <w:r>
              <w:rPr>
                <w:sz w:val="19"/>
              </w:rPr>
              <w:t xml:space="preserve"> 23 Dec 2005 p. 6244)</w:t>
            </w: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in the table.</w:t>
      </w:r>
    </w:p>
    <w:p>
      <w:pPr>
        <w:pStyle w:val="nHeading3"/>
      </w:pPr>
      <w:bookmarkStart w:id="1455" w:name="_Toc511102521"/>
      <w:bookmarkStart w:id="1456" w:name="_Toc38853889"/>
      <w:bookmarkStart w:id="1457" w:name="_Toc124061268"/>
      <w:bookmarkStart w:id="1458" w:name="_Toc124140123"/>
      <w:r>
        <w:t>Provisions that have not come into operation</w:t>
      </w:r>
      <w:bookmarkEnd w:id="1455"/>
      <w:bookmarkEnd w:id="1456"/>
      <w:bookmarkEnd w:id="1457"/>
      <w:bookmarkEnd w:id="1458"/>
    </w:p>
    <w:tbl>
      <w:tblPr>
        <w:tblW w:w="7085" w:type="dxa"/>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4, 6, 8, 9, 11, 12 and 14</w:t>
            </w:r>
            <w:r>
              <w:rPr>
                <w:snapToGrid w:val="0"/>
                <w:sz w:val="19"/>
              </w:rPr>
              <w:noBreakHyphen/>
              <w:t>22</w:t>
            </w:r>
            <w:r>
              <w:rPr>
                <w:i/>
                <w:snapToGrid w:val="0"/>
                <w:sz w:val="19"/>
              </w:rPr>
              <w:t> </w:t>
            </w:r>
            <w:r>
              <w:rPr>
                <w:snapToGrid w:val="0"/>
                <w:sz w:val="19"/>
                <w:vertAlign w:val="superscript"/>
              </w:rPr>
              <w:t>14</w:t>
            </w:r>
          </w:p>
        </w:tc>
        <w:tc>
          <w:tcPr>
            <w:tcW w:w="1133" w:type="dxa"/>
          </w:tcPr>
          <w:p>
            <w:pPr>
              <w:pStyle w:val="nTable"/>
              <w:keepNext/>
              <w:spacing w:after="40"/>
              <w:rPr>
                <w:sz w:val="19"/>
              </w:rPr>
            </w:pPr>
            <w:r>
              <w:rPr>
                <w:sz w:val="19"/>
              </w:rPr>
              <w:t>54 of 1996 (as amended by No. 39 of 2004 Pt. 11)</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Proclamation published 14 Jan 2005 p. 164 revoked (see </w:t>
            </w:r>
            <w:r>
              <w:rPr>
                <w:i/>
                <w:sz w:val="19"/>
              </w:rPr>
              <w:t>Gazette</w:t>
            </w:r>
            <w:r>
              <w:rPr>
                <w:sz w:val="19"/>
              </w:rPr>
              <w:t xml:space="preserve"> 24 Mar 2005 p. 1001);</w:t>
            </w:r>
          </w:p>
          <w:p>
            <w:pPr>
              <w:pStyle w:val="nTable"/>
              <w:keepNext/>
              <w:spacing w:after="40"/>
              <w:rPr>
                <w:sz w:val="19"/>
              </w:rPr>
            </w:pPr>
            <w:r>
              <w:rPr>
                <w:sz w:val="19"/>
              </w:rPr>
              <w:t>s. 4, 6, 8, 9, 11, 12 &amp; 14-22 to be proclaimed</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16</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z w:val="19"/>
                <w:vertAlign w:val="superscript"/>
              </w:rPr>
            </w:pPr>
            <w:r>
              <w:rPr>
                <w:i/>
                <w:snapToGrid w:val="0"/>
                <w:sz w:val="19"/>
              </w:rPr>
              <w:t>Mining Amendment Act 2002</w:t>
            </w:r>
            <w:r>
              <w:rPr>
                <w:i/>
                <w:sz w:val="19"/>
              </w:rPr>
              <w:t xml:space="preserve"> </w:t>
            </w:r>
            <w:r>
              <w:rPr>
                <w:sz w:val="19"/>
              </w:rPr>
              <w:t>s. 12</w:t>
            </w:r>
            <w:r>
              <w:rPr>
                <w:i/>
                <w:sz w:val="19"/>
              </w:rPr>
              <w:t> </w:t>
            </w:r>
            <w:r>
              <w:rPr>
                <w:sz w:val="19"/>
                <w:vertAlign w:val="superscript"/>
              </w:rPr>
              <w:t>17</w:t>
            </w:r>
          </w:p>
        </w:tc>
        <w:tc>
          <w:tcPr>
            <w:tcW w:w="1133" w:type="dxa"/>
          </w:tcPr>
          <w:p>
            <w:pPr>
              <w:pStyle w:val="nTable"/>
              <w:keepNext/>
              <w:spacing w:after="40"/>
              <w:rPr>
                <w:sz w:val="19"/>
              </w:rPr>
            </w:pPr>
            <w:r>
              <w:rPr>
                <w:sz w:val="19"/>
              </w:rPr>
              <w:t>15 of 2002</w:t>
            </w:r>
          </w:p>
        </w:tc>
        <w:tc>
          <w:tcPr>
            <w:tcW w:w="1133" w:type="dxa"/>
          </w:tcPr>
          <w:p>
            <w:pPr>
              <w:pStyle w:val="nTable"/>
              <w:keepNext/>
              <w:spacing w:after="40"/>
              <w:rPr>
                <w:sz w:val="19"/>
              </w:rPr>
            </w:pPr>
            <w:r>
              <w:rPr>
                <w:sz w:val="19"/>
              </w:rPr>
              <w:t>8 Jul 2002</w:t>
            </w:r>
          </w:p>
        </w:tc>
        <w:tc>
          <w:tcPr>
            <w:tcW w:w="2551" w:type="dxa"/>
          </w:tcPr>
          <w:p>
            <w:pPr>
              <w:pStyle w:val="nTable"/>
              <w:keepNext/>
              <w:spacing w:after="40"/>
              <w:rPr>
                <w:sz w:val="19"/>
              </w:rPr>
            </w:pPr>
            <w:r>
              <w:rPr>
                <w:sz w:val="19"/>
              </w:rPr>
              <w:t xml:space="preserve">Proclamation published 14 Jan 2005 p. 164 revoked (see </w:t>
            </w:r>
            <w:r>
              <w:rPr>
                <w:i/>
                <w:sz w:val="19"/>
              </w:rPr>
              <w:t>Gazette</w:t>
            </w:r>
            <w:r>
              <w:rPr>
                <w:sz w:val="19"/>
              </w:rPr>
              <w:t xml:space="preserve"> 24 Mar 2005 p. 1001);</w:t>
            </w:r>
          </w:p>
          <w:p>
            <w:pPr>
              <w:pStyle w:val="nTable"/>
              <w:keepNext/>
              <w:spacing w:after="40"/>
              <w:rPr>
                <w:sz w:val="19"/>
              </w:rPr>
            </w:pPr>
            <w:r>
              <w:rPr>
                <w:sz w:val="19"/>
              </w:rPr>
              <w:t>s. 12 to be proclaimed</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18</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2</w:t>
            </w:r>
            <w:r>
              <w:rPr>
                <w:sz w:val="19"/>
              </w:rPr>
              <w:noBreakHyphen/>
              <w:t>10 and 12 </w:t>
            </w:r>
            <w:r>
              <w:rPr>
                <w:sz w:val="19"/>
                <w:vertAlign w:val="superscript"/>
              </w:rPr>
              <w:t>19</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napToGrid w:val="0"/>
                <w:sz w:val="19"/>
                <w:lang w:val="en-US"/>
              </w:rPr>
            </w:pPr>
            <w:r>
              <w:rPr>
                <w:snapToGrid w:val="0"/>
                <w:sz w:val="19"/>
                <w:lang w:val="en-US"/>
              </w:rPr>
              <w:t>To be proclaimed (see s. 2);</w:t>
            </w:r>
          </w:p>
          <w:p>
            <w:pPr>
              <w:pStyle w:val="nTable"/>
              <w:spacing w:after="40"/>
              <w:rPr>
                <w:sz w:val="19"/>
              </w:rPr>
            </w:pPr>
            <w:r>
              <w:rPr>
                <w:snapToGrid w:val="0"/>
                <w:sz w:val="19"/>
                <w:lang w:val="en-US"/>
              </w:rPr>
              <w:t>Proclamation published 14 Jan 2005 p. 164 revoked (see Gazette 24 Mar 2005 p. 1002)</w:t>
            </w:r>
          </w:p>
        </w:tc>
      </w:tr>
      <w:tr>
        <w:trPr>
          <w:cantSplit/>
        </w:trPr>
        <w:tc>
          <w:tcPr>
            <w:tcW w:w="2268" w:type="dxa"/>
          </w:tcPr>
          <w:p>
            <w:pPr>
              <w:pStyle w:val="nTable"/>
              <w:spacing w:after="40"/>
              <w:rPr>
                <w:i/>
                <w:sz w:val="19"/>
              </w:rPr>
            </w:pPr>
            <w:r>
              <w:rPr>
                <w:i/>
                <w:sz w:val="19"/>
              </w:rPr>
              <w:t>Oaths, Affidavits and Statutory Declarations (Consequential Provisions) Act 2005</w:t>
            </w:r>
            <w:r>
              <w:rPr>
                <w:iCs/>
                <w:sz w:val="19"/>
              </w:rPr>
              <w:t xml:space="preserve"> s. 62</w:t>
            </w:r>
            <w:r>
              <w:rPr>
                <w:iCs/>
                <w:sz w:val="19"/>
                <w:vertAlign w:val="superscript"/>
              </w:rPr>
              <w:t> 12</w:t>
            </w:r>
          </w:p>
        </w:tc>
        <w:tc>
          <w:tcPr>
            <w:tcW w:w="1133"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s. 62 operative on commencement of No. 39 of 2004 s. 82 (see s. 2(3))</w:t>
            </w:r>
          </w:p>
        </w:tc>
      </w:tr>
      <w:tr>
        <w:trPr>
          <w:cantSplit/>
        </w:trPr>
        <w:tc>
          <w:tcPr>
            <w:tcW w:w="2268" w:type="dxa"/>
          </w:tcPr>
          <w:p>
            <w:pPr>
              <w:pStyle w:val="nTable"/>
              <w:spacing w:after="40"/>
              <w:rPr>
                <w:iCs/>
                <w:sz w:val="19"/>
              </w:rPr>
            </w:pPr>
            <w:r>
              <w:rPr>
                <w:i/>
                <w:sz w:val="19"/>
              </w:rPr>
              <w:t>Mining Amendment Act 2005</w:t>
            </w:r>
            <w:r>
              <w:rPr>
                <w:iCs/>
                <w:sz w:val="19"/>
              </w:rPr>
              <w:t xml:space="preserve"> s. 4-11 </w:t>
            </w:r>
            <w:r>
              <w:rPr>
                <w:iCs/>
                <w:sz w:val="19"/>
                <w:vertAlign w:val="superscript"/>
              </w:rPr>
              <w:t>24</w:t>
            </w:r>
          </w:p>
        </w:tc>
        <w:tc>
          <w:tcPr>
            <w:tcW w:w="1133" w:type="dxa"/>
          </w:tcPr>
          <w:p>
            <w:pPr>
              <w:pStyle w:val="nTable"/>
              <w:spacing w:after="40"/>
              <w:rPr>
                <w:sz w:val="19"/>
              </w:rPr>
            </w:pPr>
            <w:r>
              <w:rPr>
                <w:sz w:val="19"/>
              </w:rPr>
              <w:t>27 of 2005</w:t>
            </w:r>
          </w:p>
        </w:tc>
        <w:tc>
          <w:tcPr>
            <w:tcW w:w="1133" w:type="dxa"/>
          </w:tcPr>
          <w:p>
            <w:pPr>
              <w:pStyle w:val="nTable"/>
              <w:spacing w:after="40"/>
              <w:rPr>
                <w:sz w:val="19"/>
              </w:rPr>
            </w:pPr>
            <w:r>
              <w:rPr>
                <w:sz w:val="19"/>
              </w:rPr>
              <w:t>12 Dec 2005</w:t>
            </w:r>
          </w:p>
        </w:tc>
        <w:tc>
          <w:tcPr>
            <w:tcW w:w="2551" w:type="dxa"/>
          </w:tcPr>
          <w:p>
            <w:pPr>
              <w:spacing w:before="40" w:after="40"/>
              <w:rPr>
                <w:sz w:val="19"/>
              </w:rPr>
            </w:pPr>
            <w:r>
              <w:rPr>
                <w:sz w:val="19"/>
              </w:rPr>
              <w:t>s. 1-3: 12 Dec 2005</w:t>
            </w:r>
          </w:p>
          <w:p>
            <w:pPr>
              <w:spacing w:before="40" w:after="40"/>
              <w:rPr>
                <w:sz w:val="19"/>
              </w:rPr>
            </w:pPr>
            <w:r>
              <w:rPr>
                <w:sz w:val="19"/>
              </w:rPr>
              <w:t>s. 4, 6, 7, 10: to be proclaimed (see s. 2(1));</w:t>
            </w:r>
          </w:p>
          <w:p>
            <w:pPr>
              <w:pStyle w:val="nTable"/>
              <w:spacing w:after="40"/>
              <w:rPr>
                <w:sz w:val="19"/>
              </w:rPr>
            </w:pPr>
            <w:r>
              <w:rPr>
                <w:sz w:val="19"/>
              </w:rPr>
              <w:t>s. 5 operative immediately after s. 4 of Act No. 39 of 2004 (see s. 2(2));</w:t>
            </w:r>
          </w:p>
          <w:p>
            <w:pPr>
              <w:pStyle w:val="nTable"/>
              <w:spacing w:after="40"/>
              <w:rPr>
                <w:sz w:val="19"/>
              </w:rPr>
            </w:pPr>
            <w:r>
              <w:rPr>
                <w:sz w:val="19"/>
              </w:rPr>
              <w:t>s. 8 operative immediately after s. 89 of Act No. 39 of 2004 (see s. 2(3));</w:t>
            </w:r>
          </w:p>
          <w:p>
            <w:pPr>
              <w:pStyle w:val="nTable"/>
              <w:spacing w:after="40"/>
              <w:rPr>
                <w:sz w:val="19"/>
              </w:rPr>
            </w:pPr>
            <w:r>
              <w:rPr>
                <w:sz w:val="19"/>
              </w:rPr>
              <w:t>s. 9 operative immediately after s. 16 of Act No. 39 of 2004 (see s. 2(4));</w:t>
            </w:r>
          </w:p>
          <w:p>
            <w:pPr>
              <w:pStyle w:val="nTable"/>
              <w:spacing w:after="40"/>
              <w:rPr>
                <w:sz w:val="19"/>
              </w:rPr>
            </w:pPr>
            <w:r>
              <w:rPr>
                <w:sz w:val="19"/>
              </w:rPr>
              <w:t>s. 11 operative immediately after s. 99 of Act No. 39 of 2004 (see s. 2(5))</w:t>
            </w:r>
          </w:p>
        </w:tc>
      </w:tr>
      <w:tr>
        <w:trPr>
          <w:cantSplit/>
        </w:trPr>
        <w:tc>
          <w:tcPr>
            <w:tcW w:w="2268" w:type="dxa"/>
            <w:tcBorders>
              <w:bottom w:val="single" w:sz="8" w:space="0" w:color="auto"/>
            </w:tcBorders>
          </w:tcPr>
          <w:p>
            <w:pPr>
              <w:pStyle w:val="nTable"/>
              <w:spacing w:after="4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133" w:type="dxa"/>
            <w:tcBorders>
              <w:bottom w:val="single" w:sz="8" w:space="0" w:color="auto"/>
            </w:tcBorders>
          </w:tcPr>
          <w:p>
            <w:pPr>
              <w:pStyle w:val="nTable"/>
              <w:spacing w:after="40"/>
              <w:rPr>
                <w:sz w:val="19"/>
              </w:rPr>
            </w:pPr>
            <w:r>
              <w:rPr>
                <w:sz w:val="19"/>
              </w:rPr>
              <w:t>38 of 2005</w:t>
            </w:r>
          </w:p>
        </w:tc>
        <w:tc>
          <w:tcPr>
            <w:tcW w:w="1133"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Formerly referred to the Public Service Commissioner the name of which was changed to the Minister for Public Sector Management by the </w:t>
      </w:r>
      <w:r>
        <w:rPr>
          <w:i/>
          <w:snapToGrid w:val="0"/>
        </w:rPr>
        <w:t>Public Sector Management Act 1994</w:t>
      </w:r>
      <w:r>
        <w:rPr>
          <w:snapToGrid w:val="0"/>
        </w:rPr>
        <w:t xml:space="preserve"> s. 112(2).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5</w:t>
      </w:r>
      <w:r>
        <w:rPr>
          <w:snapToGrid w:val="0"/>
        </w:rPr>
        <w:tab/>
        <w:t xml:space="preserve">See </w:t>
      </w:r>
      <w:r>
        <w:rPr>
          <w:i/>
          <w:snapToGrid w:val="0"/>
        </w:rPr>
        <w:t>Mines Safety and Inspection Act 1994</w:t>
      </w:r>
      <w:r>
        <w:rPr>
          <w:snapToGrid w:val="0"/>
        </w:rPr>
        <w:t xml:space="preserve"> s. 16.</w:t>
      </w:r>
    </w:p>
    <w:p>
      <w:pPr>
        <w:pStyle w:val="nSubsection"/>
        <w:rPr>
          <w:snapToGrid w:val="0"/>
        </w:rPr>
      </w:pPr>
      <w:r>
        <w:rPr>
          <w:snapToGrid w:val="0"/>
          <w:vertAlign w:val="superscript"/>
        </w:rPr>
        <w:t>6</w:t>
      </w:r>
      <w:r>
        <w:rPr>
          <w:snapToGrid w:val="0"/>
        </w:rPr>
        <w:tab/>
        <w:t xml:space="preserve">As at the date this reprint was prepared the former Minister for Mines was called the Minister for State Development. (see </w:t>
      </w:r>
      <w:r>
        <w:rPr>
          <w:i/>
          <w:snapToGrid w:val="0"/>
        </w:rPr>
        <w:t>Gazette</w:t>
      </w:r>
      <w:r>
        <w:rPr>
          <w:snapToGrid w:val="0"/>
        </w:rPr>
        <w:t xml:space="preserve"> 2 July 2001 p. 3263)</w:t>
      </w:r>
    </w:p>
    <w:p>
      <w:pPr>
        <w:pStyle w:val="nSubsection"/>
        <w:rPr>
          <w:snapToGrid w:val="0"/>
        </w:rPr>
      </w:pPr>
      <w:r>
        <w:rPr>
          <w:snapToGrid w:val="0"/>
          <w:vertAlign w:val="superscript"/>
        </w:rPr>
        <w:t>7</w:t>
      </w:r>
      <w:r>
        <w:rPr>
          <w:snapToGrid w:val="0"/>
        </w:rPr>
        <w:tab/>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rPr>
          <w:snapToGrid w:val="0"/>
        </w:rPr>
      </w:pPr>
      <w:r>
        <w:rPr>
          <w:snapToGrid w:val="0"/>
          <w:vertAlign w:val="superscript"/>
        </w:rPr>
        <w:t>8</w:t>
      </w:r>
      <w:r>
        <w:rPr>
          <w:snapToGrid w:val="0"/>
        </w:rPr>
        <w:tab/>
        <w:t xml:space="preserve">Formerly referred to the Department of Mines, the name of which was changed to the Department of Minerals and Energy under the </w:t>
      </w:r>
      <w:r>
        <w:rPr>
          <w:i/>
          <w:snapToGrid w:val="0"/>
        </w:rPr>
        <w:t>Alteration of Statutory Designations Order (No. 2) 1992</w:t>
      </w:r>
      <w:r>
        <w:rPr>
          <w:snapToGrid w:val="0"/>
        </w:rPr>
        <w:t xml:space="preserve"> (in </w:t>
      </w:r>
      <w:r>
        <w:rPr>
          <w:i/>
          <w:snapToGrid w:val="0"/>
        </w:rPr>
        <w:t>Gazette</w:t>
      </w:r>
      <w:r>
        <w:rPr>
          <w:snapToGrid w:val="0"/>
        </w:rPr>
        <w:t xml:space="preserve"> 30 June 1992 p. 2924) which was repealed in </w:t>
      </w:r>
      <w:r>
        <w:rPr>
          <w:i/>
          <w:snapToGrid w:val="0"/>
        </w:rPr>
        <w:t>Gazette</w:t>
      </w:r>
      <w:r>
        <w:rPr>
          <w:snapToGrid w:val="0"/>
        </w:rPr>
        <w:t xml:space="preserve"> 2 July 2001 p. 3270.  The name was changed to the Department of Mineral and Petroleum Resources under the </w:t>
      </w:r>
      <w:r>
        <w:rPr>
          <w:i/>
          <w:snapToGrid w:val="0"/>
        </w:rPr>
        <w:t>Alteration of Statutory Designations Order (No. 2) 2001</w:t>
      </w:r>
      <w:r>
        <w:rPr>
          <w:snapToGrid w:val="0"/>
        </w:rPr>
        <w:t xml:space="preserve"> (in </w:t>
      </w:r>
      <w:r>
        <w:rPr>
          <w:i/>
          <w:snapToGrid w:val="0"/>
        </w:rPr>
        <w:t>Gazette</w:t>
      </w:r>
      <w:r>
        <w:rPr>
          <w:snapToGrid w:val="0"/>
        </w:rPr>
        <w:t xml:space="preserve"> 2 July 2001 p. 3270).  The reference was changed under the </w:t>
      </w:r>
      <w:r>
        <w:rPr>
          <w:i/>
          <w:snapToGrid w:val="0"/>
        </w:rPr>
        <w:t>Reprints Act 1984</w:t>
      </w:r>
      <w:r>
        <w:rPr>
          <w:snapToGrid w:val="0"/>
        </w:rPr>
        <w:t xml:space="preserve"> s. 7(5)(a).</w:t>
      </w:r>
    </w:p>
    <w:p>
      <w:pPr>
        <w:pStyle w:val="nSubsection"/>
        <w:rPr>
          <w:snapToGrid w:val="0"/>
        </w:rPr>
      </w:pPr>
      <w:r>
        <w:rPr>
          <w:snapToGrid w:val="0"/>
          <w:vertAlign w:val="superscript"/>
        </w:rPr>
        <w:t>9</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10</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iCs/>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62 had not come into operation.  It reads as follows:</w:t>
      </w:r>
    </w:p>
    <w:p>
      <w:pPr>
        <w:pStyle w:val="MiscOpen"/>
      </w:pPr>
      <w:r>
        <w:t>“</w:t>
      </w:r>
    </w:p>
    <w:p>
      <w:pPr>
        <w:pStyle w:val="nzHeading5"/>
      </w:pPr>
      <w:bookmarkStart w:id="1459" w:name="UpToHere"/>
      <w:bookmarkStart w:id="1460" w:name="_Toc120952518"/>
      <w:bookmarkEnd w:id="1459"/>
      <w:r>
        <w:rPr>
          <w:rStyle w:val="CharSectno"/>
        </w:rPr>
        <w:t>62</w:t>
      </w:r>
      <w:r>
        <w:t>.</w:t>
      </w:r>
      <w:r>
        <w:tab/>
        <w:t>Section 160D amended</w:t>
      </w:r>
      <w:bookmarkEnd w:id="1460"/>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iCs/>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rStyle w:val="CharDefText"/>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Mining Amendment Act 1996</w:t>
      </w:r>
      <w:r>
        <w:rPr>
          <w:snapToGrid w:val="0"/>
        </w:rPr>
        <w:t xml:space="preserve"> s. 4, 6, 8, 9, 11, 12 and 14</w:t>
      </w:r>
      <w:r>
        <w:rPr>
          <w:snapToGrid w:val="0"/>
        </w:rPr>
        <w:noBreakHyphen/>
        <w:t xml:space="preserve">22 (as amended by the </w:t>
      </w:r>
      <w:r>
        <w:rPr>
          <w:i/>
          <w:snapToGrid w:val="0"/>
        </w:rPr>
        <w:t>Mining Amendment Act 2004</w:t>
      </w:r>
      <w:r>
        <w:rPr>
          <w:snapToGrid w:val="0"/>
        </w:rPr>
        <w:t xml:space="preserve"> Pt. 11) had not come into operation. They read as follows:</w:t>
      </w:r>
    </w:p>
    <w:p>
      <w:pPr>
        <w:pStyle w:val="MiscOpen"/>
        <w:rPr>
          <w:snapToGrid w:val="0"/>
        </w:rPr>
      </w:pPr>
      <w:r>
        <w:rPr>
          <w:snapToGrid w:val="0"/>
        </w:rPr>
        <w:t>“</w:t>
      </w:r>
    </w:p>
    <w:p>
      <w:pPr>
        <w:pStyle w:val="nzHeading5"/>
        <w:rPr>
          <w:snapToGrid w:val="0"/>
        </w:rPr>
      </w:pPr>
      <w:r>
        <w:rPr>
          <w:snapToGrid w:val="0"/>
        </w:rPr>
        <w:t>4.</w:t>
      </w:r>
      <w:r>
        <w:rPr>
          <w:snapToGrid w:val="0"/>
        </w:rPr>
        <w:tab/>
        <w:t>Section 8 amended</w:t>
      </w:r>
    </w:p>
    <w:p>
      <w:pPr>
        <w:pStyle w:val="nzSubsection"/>
        <w:rPr>
          <w:snapToGrid w:val="0"/>
        </w:rPr>
      </w:pPr>
      <w:r>
        <w:rPr>
          <w:snapToGrid w:val="0"/>
        </w:rPr>
        <w:tab/>
      </w:r>
      <w:r>
        <w:rPr>
          <w:snapToGrid w:val="0"/>
        </w:rPr>
        <w:tab/>
        <w:t xml:space="preserve">Section 8(1) of the principal Act is amended by inserting in the appropriate alphabetical positions the following definitions — </w:t>
      </w:r>
    </w:p>
    <w:p>
      <w:pPr>
        <w:pStyle w:val="MiscOpen"/>
        <w:tabs>
          <w:tab w:val="clear" w:pos="893"/>
          <w:tab w:val="left" w:pos="1418"/>
        </w:tabs>
        <w:rPr>
          <w:snapToGrid w:val="0"/>
        </w:rPr>
      </w:pPr>
      <w:r>
        <w:rPr>
          <w:snapToGrid w:val="0"/>
        </w:rPr>
        <w:tab/>
        <w:t>“</w:t>
      </w:r>
    </w:p>
    <w:p>
      <w:pPr>
        <w:pStyle w:val="nzDefstart"/>
        <w:tabs>
          <w:tab w:val="clear" w:pos="1446"/>
          <w:tab w:val="left" w:pos="1985"/>
        </w:tabs>
        <w:ind w:left="2410" w:right="861"/>
      </w:pPr>
      <w:r>
        <w:rPr>
          <w:b/>
        </w:rPr>
        <w:tab/>
        <w:t>“dealing”</w:t>
      </w:r>
      <w:r>
        <w:t xml:space="preserve"> means a transfer or mortgage of a legal interest in a mining tenement;</w:t>
      </w:r>
    </w:p>
    <w:p>
      <w:pPr>
        <w:pStyle w:val="nzDefstart"/>
        <w:tabs>
          <w:tab w:val="clear" w:pos="1446"/>
          <w:tab w:val="left" w:pos="1985"/>
        </w:tabs>
        <w:ind w:left="2410" w:right="861"/>
      </w:pPr>
      <w:r>
        <w:rPr>
          <w:b/>
        </w:rPr>
        <w:tab/>
        <w:t>“register”</w:t>
      </w:r>
      <w:r>
        <w:t xml:space="preserve"> means the register kept under section 103F;</w:t>
      </w:r>
    </w:p>
    <w:p>
      <w:pPr>
        <w:pStyle w:val="nzDefstart"/>
        <w:tabs>
          <w:tab w:val="clear" w:pos="1446"/>
          <w:tab w:val="left" w:pos="1985"/>
        </w:tabs>
        <w:ind w:left="2410" w:right="861"/>
      </w:pPr>
      <w:r>
        <w:rPr>
          <w:b/>
        </w:rPr>
        <w:tab/>
        <w:t>“registration”</w:t>
      </w:r>
      <w:r>
        <w:t xml:space="preserve"> means registration under section 103C;</w:t>
      </w:r>
    </w:p>
    <w:p>
      <w:pPr>
        <w:pStyle w:val="MiscClose"/>
        <w:ind w:right="577"/>
        <w:rPr>
          <w:snapToGrid w:val="0"/>
        </w:rPr>
      </w:pPr>
      <w:r>
        <w:rPr>
          <w:snapToGrid w:val="0"/>
        </w:rPr>
        <w:t>”.</w:t>
      </w:r>
    </w:p>
    <w:p>
      <w:pPr>
        <w:pStyle w:val="nzHeading5"/>
        <w:rPr>
          <w:snapToGrid w:val="0"/>
        </w:rPr>
      </w:pPr>
      <w:r>
        <w:rPr>
          <w:snapToGrid w:val="0"/>
        </w:rPr>
        <w:t>6.</w:t>
      </w:r>
      <w:r>
        <w:rPr>
          <w:snapToGrid w:val="0"/>
        </w:rPr>
        <w:tab/>
        <w:t>Section 26A amended</w:t>
      </w:r>
    </w:p>
    <w:p>
      <w:pPr>
        <w:pStyle w:val="nzSubsection"/>
        <w:rPr>
          <w:snapToGrid w:val="0"/>
        </w:rPr>
      </w:pPr>
      <w:r>
        <w:rPr>
          <w:snapToGrid w:val="0"/>
        </w:rPr>
        <w:tab/>
      </w:r>
      <w:r>
        <w:rPr>
          <w:snapToGrid w:val="0"/>
        </w:rPr>
        <w:tab/>
        <w:t>Section 26A(2) of the principal Act is amended by deleting “kept in accordance with the regulations”.</w:t>
      </w:r>
    </w:p>
    <w:p>
      <w:pPr>
        <w:pStyle w:val="nzHeading5"/>
        <w:rPr>
          <w:snapToGrid w:val="0"/>
        </w:rPr>
      </w:pPr>
      <w:r>
        <w:rPr>
          <w:snapToGrid w:val="0"/>
        </w:rPr>
        <w:t>8.</w:t>
      </w:r>
      <w:r>
        <w:rPr>
          <w:snapToGrid w:val="0"/>
        </w:rPr>
        <w:tab/>
        <w:t>Section 64 amended</w:t>
      </w:r>
    </w:p>
    <w:p>
      <w:pPr>
        <w:pStyle w:val="nzSubsection"/>
        <w:keepNext/>
        <w:rPr>
          <w:snapToGrid w:val="0"/>
        </w:rPr>
      </w:pPr>
      <w:r>
        <w:rPr>
          <w:snapToGrid w:val="0"/>
        </w:rPr>
        <w:tab/>
        <w:t>(1)</w:t>
      </w:r>
      <w:r>
        <w:rPr>
          <w:snapToGrid w:val="0"/>
        </w:rPr>
        <w:tab/>
        <w:t xml:space="preserve">Section 64(1) of the principal Act is amended — </w:t>
      </w:r>
    </w:p>
    <w:p>
      <w:pPr>
        <w:pStyle w:val="nzIndenta"/>
        <w:rPr>
          <w:snapToGrid w:val="0"/>
        </w:rPr>
      </w:pPr>
      <w:r>
        <w:rPr>
          <w:snapToGrid w:val="0"/>
        </w:rPr>
        <w:tab/>
        <w:t>(a)</w:t>
      </w:r>
      <w:r>
        <w:rPr>
          <w:snapToGrid w:val="0"/>
        </w:rPr>
        <w:tab/>
        <w:t xml:space="preserve">by deleting “an exploration licence” in the second place where it occurs and substituting the following — </w:t>
      </w:r>
    </w:p>
    <w:p>
      <w:pPr>
        <w:pStyle w:val="nzIndenta"/>
        <w:rPr>
          <w:snapToGrid w:val="0"/>
        </w:rPr>
      </w:pPr>
      <w:r>
        <w:rPr>
          <w:snapToGrid w:val="0"/>
        </w:rPr>
        <w:tab/>
      </w:r>
      <w:r>
        <w:rPr>
          <w:snapToGrid w:val="0"/>
        </w:rPr>
        <w:tab/>
        <w:t>“    the exploration licence    ”; and</w:t>
      </w:r>
    </w:p>
    <w:p>
      <w:pPr>
        <w:pStyle w:val="nzIndenta"/>
        <w:rPr>
          <w:snapToGrid w:val="0"/>
        </w:rPr>
      </w:pPr>
      <w:r>
        <w:rPr>
          <w:snapToGrid w:val="0"/>
        </w:rPr>
        <w:tab/>
        <w:t>(b)</w:t>
      </w:r>
      <w:r>
        <w:rPr>
          <w:snapToGrid w:val="0"/>
        </w:rPr>
        <w:tab/>
        <w:t xml:space="preserve">in paragraphs (a) and (b) by inserting after “dealing” in each case the following — </w:t>
      </w:r>
    </w:p>
    <w:p>
      <w:pPr>
        <w:pStyle w:val="nzIndenta"/>
        <w:rPr>
          <w:snapToGrid w:val="0"/>
        </w:rPr>
      </w:pPr>
      <w:r>
        <w:rPr>
          <w:snapToGrid w:val="0"/>
        </w:rPr>
        <w:tab/>
      </w:r>
      <w:r>
        <w:rPr>
          <w:snapToGrid w:val="0"/>
        </w:rPr>
        <w:tab/>
        <w:t>“    or other transaction in or affecting the interest    ”.</w:t>
      </w:r>
    </w:p>
    <w:p>
      <w:pPr>
        <w:pStyle w:val="nzSubsection"/>
        <w:rPr>
          <w:snapToGrid w:val="0"/>
        </w:rPr>
      </w:pPr>
      <w:r>
        <w:rPr>
          <w:snapToGrid w:val="0"/>
        </w:rPr>
        <w:tab/>
        <w:t xml:space="preserve"> (2)</w:t>
      </w:r>
      <w:r>
        <w:rPr>
          <w:snapToGrid w:val="0"/>
        </w:rPr>
        <w:tab/>
        <w:t xml:space="preserve">Section 64(2) of the principal Act is amended by inserting after “dealing” in both places where it occurs the following — </w:t>
      </w:r>
    </w:p>
    <w:p>
      <w:pPr>
        <w:pStyle w:val="nzSubsection"/>
        <w:rPr>
          <w:snapToGrid w:val="0"/>
        </w:rPr>
      </w:pPr>
      <w:r>
        <w:rPr>
          <w:snapToGrid w:val="0"/>
        </w:rPr>
        <w:tab/>
      </w:r>
      <w:r>
        <w:rPr>
          <w:snapToGrid w:val="0"/>
        </w:rPr>
        <w:tab/>
        <w:t>“    or other transaction    ”.</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nzHeading5"/>
        <w:rPr>
          <w:snapToGrid w:val="0"/>
        </w:rPr>
      </w:pPr>
      <w:r>
        <w:rPr>
          <w:snapToGrid w:val="0"/>
        </w:rPr>
        <w:t>11.</w:t>
      </w:r>
      <w:r>
        <w:rPr>
          <w:snapToGrid w:val="0"/>
        </w:rPr>
        <w:tab/>
        <w:t>Section 70H amended</w:t>
      </w:r>
    </w:p>
    <w:p>
      <w:pPr>
        <w:pStyle w:val="nzSubsection"/>
        <w:rPr>
          <w:snapToGrid w:val="0"/>
        </w:rPr>
      </w:pPr>
      <w:r>
        <w:rPr>
          <w:snapToGrid w:val="0"/>
        </w:rPr>
        <w:tab/>
      </w:r>
      <w:r>
        <w:rPr>
          <w:snapToGrid w:val="0"/>
        </w:rPr>
        <w:tab/>
        <w:t>Section 70H(1)(e) of the principal Act is amended by deleting “assign, underlet or part with possession of</w:t>
      </w:r>
      <w:r>
        <w:rPr>
          <w:snapToGrid w:val="0"/>
          <w:spacing w:val="20"/>
        </w:rPr>
        <w:t>”</w:t>
      </w:r>
      <w:r>
        <w:rPr>
          <w:snapToGrid w:val="0"/>
        </w:rPr>
        <w:t xml:space="preserve">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12.</w:t>
      </w:r>
      <w:r>
        <w:rPr>
          <w:snapToGrid w:val="0"/>
        </w:rPr>
        <w:tab/>
        <w:t>Section 82 amended</w:t>
      </w:r>
    </w:p>
    <w:p>
      <w:pPr>
        <w:pStyle w:val="nzSubsection"/>
        <w:rPr>
          <w:snapToGrid w:val="0"/>
        </w:rPr>
      </w:pPr>
      <w:r>
        <w:rPr>
          <w:snapToGrid w:val="0"/>
        </w:rPr>
        <w:tab/>
      </w:r>
      <w:r>
        <w:rPr>
          <w:snapToGrid w:val="0"/>
        </w:rPr>
        <w:tab/>
        <w:t xml:space="preserve">Section 82(1)(d) of the principal Act is amended by deleting “assign, underlet or part with possession of ”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14.</w:t>
      </w:r>
      <w:r>
        <w:rPr>
          <w:snapToGrid w:val="0"/>
        </w:rPr>
        <w:tab/>
        <w:t>Section 95 amended</w:t>
      </w:r>
    </w:p>
    <w:p>
      <w:pPr>
        <w:pStyle w:val="nzSubsection"/>
        <w:rPr>
          <w:snapToGrid w:val="0"/>
        </w:rPr>
      </w:pPr>
      <w:r>
        <w:rPr>
          <w:snapToGrid w:val="0"/>
        </w:rPr>
        <w:tab/>
      </w:r>
      <w:r>
        <w:rPr>
          <w:snapToGrid w:val="0"/>
        </w:rPr>
        <w:tab/>
        <w:t xml:space="preserve">Section 95(1) of the principal Act is repealed and the following subsection is substituted — </w:t>
      </w:r>
    </w:p>
    <w:p>
      <w:pPr>
        <w:pStyle w:val="MiscOpen"/>
        <w:rPr>
          <w:snapToGrid w:val="0"/>
        </w:rPr>
      </w:pPr>
      <w:r>
        <w:rPr>
          <w:snapToGrid w:val="0"/>
        </w:rPr>
        <w:tab/>
      </w:r>
      <w:r>
        <w:rPr>
          <w:snapToGrid w:val="0"/>
        </w:rPr>
        <w:tab/>
        <w:t>“</w:t>
      </w:r>
    </w:p>
    <w:p>
      <w:pPr>
        <w:pStyle w:val="nzSubsection"/>
        <w:tabs>
          <w:tab w:val="clear" w:pos="1162"/>
          <w:tab w:val="clear" w:pos="1446"/>
          <w:tab w:val="left" w:pos="1985"/>
          <w:tab w:val="left" w:pos="2552"/>
          <w:tab w:val="left" w:pos="6237"/>
        </w:tabs>
        <w:ind w:left="2552" w:right="861" w:hanging="1957"/>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MiscClose"/>
        <w:ind w:right="577"/>
        <w:rPr>
          <w:snapToGrid w:val="0"/>
        </w:rPr>
      </w:pPr>
      <w:r>
        <w:rPr>
          <w:snapToGrid w:val="0"/>
        </w:rPr>
        <w:t>”.</w:t>
      </w:r>
    </w:p>
    <w:p>
      <w:pPr>
        <w:pStyle w:val="nzHeading5"/>
        <w:rPr>
          <w:snapToGrid w:val="0"/>
        </w:rPr>
      </w:pPr>
      <w:r>
        <w:rPr>
          <w:snapToGrid w:val="0"/>
        </w:rPr>
        <w:t>15.</w:t>
      </w:r>
      <w:r>
        <w:rPr>
          <w:snapToGrid w:val="0"/>
        </w:rPr>
        <w:tab/>
        <w:t>Division 8 of Part IV repealed and Part IVA inserted</w:t>
      </w:r>
    </w:p>
    <w:p>
      <w:pPr>
        <w:pStyle w:val="nzSubsection"/>
        <w:rPr>
          <w:snapToGrid w:val="0"/>
        </w:rPr>
      </w:pPr>
      <w:r>
        <w:rPr>
          <w:snapToGrid w:val="0"/>
        </w:rPr>
        <w:tab/>
      </w:r>
      <w:r>
        <w:rPr>
          <w:snapToGrid w:val="0"/>
        </w:rPr>
        <w:tab/>
        <w:t>Division 8 of Part IV of the principal Act is repealed and the following Part is inserted —</w:t>
      </w:r>
    </w:p>
    <w:p>
      <w:pPr>
        <w:pStyle w:val="MiscOpen"/>
        <w:rPr>
          <w:snapToGrid w:val="0"/>
        </w:rPr>
      </w:pPr>
      <w:r>
        <w:rPr>
          <w:snapToGrid w:val="0"/>
        </w:rPr>
        <w:tab/>
        <w:t>“</w:t>
      </w:r>
    </w:p>
    <w:p>
      <w:pPr>
        <w:pStyle w:val="nzHeading2"/>
        <w:ind w:left="1985" w:right="861"/>
        <w:rPr>
          <w:sz w:val="20"/>
        </w:rPr>
      </w:pPr>
      <w:r>
        <w:rPr>
          <w:sz w:val="20"/>
        </w:rPr>
        <w:t>Part IVA — Registration of instruments and register</w:t>
      </w:r>
    </w:p>
    <w:p>
      <w:pPr>
        <w:pStyle w:val="nzHeading5"/>
        <w:tabs>
          <w:tab w:val="clear" w:pos="1446"/>
          <w:tab w:val="left" w:pos="1418"/>
          <w:tab w:val="left" w:pos="2268"/>
        </w:tabs>
        <w:ind w:left="2268" w:hanging="850"/>
        <w:rPr>
          <w:snapToGrid w:val="0"/>
        </w:rPr>
      </w:pPr>
      <w:r>
        <w:rPr>
          <w:snapToGrid w:val="0"/>
        </w:rPr>
        <w:t>103A.</w:t>
      </w:r>
      <w:r>
        <w:rPr>
          <w:snapToGrid w:val="0"/>
        </w:rPr>
        <w:tab/>
        <w:t>Definition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In this Part —</w:t>
      </w:r>
    </w:p>
    <w:p>
      <w:pPr>
        <w:pStyle w:val="nzSubsection"/>
        <w:tabs>
          <w:tab w:val="clear" w:pos="1162"/>
          <w:tab w:val="clear" w:pos="1446"/>
          <w:tab w:val="left" w:pos="2268"/>
          <w:tab w:val="left" w:pos="6237"/>
        </w:tabs>
        <w:ind w:left="2694" w:right="861" w:hanging="1276"/>
        <w:rPr>
          <w:snapToGrid w:val="0"/>
        </w:rPr>
      </w:pPr>
      <w:r>
        <w:rPr>
          <w:snapToGrid w:val="0"/>
        </w:rPr>
        <w:tab/>
      </w:r>
      <w:r>
        <w:rPr>
          <w:b/>
          <w:snapToGrid w:val="0"/>
        </w:rPr>
        <w:t>“authorised officer”</w:t>
      </w:r>
      <w:r>
        <w:rPr>
          <w:snapToGrid w:val="0"/>
        </w:rPr>
        <w:t xml:space="preserve"> means an officer of the Department authorised under section 103B.</w:t>
      </w:r>
    </w:p>
    <w:p>
      <w:pPr>
        <w:pStyle w:val="nzHeading5"/>
        <w:tabs>
          <w:tab w:val="clear" w:pos="1446"/>
          <w:tab w:val="left" w:pos="1418"/>
          <w:tab w:val="left" w:pos="2268"/>
        </w:tabs>
        <w:ind w:left="2268" w:hanging="850"/>
        <w:rPr>
          <w:snapToGrid w:val="0"/>
        </w:rPr>
      </w:pPr>
      <w:r>
        <w:rPr>
          <w:snapToGrid w:val="0"/>
        </w:rPr>
        <w:t>103B.</w:t>
      </w:r>
      <w:r>
        <w:rPr>
          <w:snapToGrid w:val="0"/>
        </w:rPr>
        <w:tab/>
        <w:t>Authorised officers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The Minister may in writing authorise officers of the Department for the purposes of this Part and section 122B.</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nzHeading5"/>
        <w:tabs>
          <w:tab w:val="clear" w:pos="1446"/>
          <w:tab w:val="left" w:pos="1418"/>
          <w:tab w:val="left" w:pos="2268"/>
        </w:tabs>
        <w:ind w:left="2268" w:hanging="850"/>
        <w:rPr>
          <w:snapToGrid w:val="0"/>
        </w:rPr>
      </w:pPr>
      <w:r>
        <w:rPr>
          <w:snapToGrid w:val="0"/>
        </w:rPr>
        <w:t>103C.</w:t>
      </w:r>
      <w:r>
        <w:rPr>
          <w:snapToGrid w:val="0"/>
        </w:rPr>
        <w:tab/>
        <w:t>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This section applies to the following instruments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dealing;</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discharge of a mortgage of a legal interest in a mining tenement;</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withdrawal of an application for a mining tenement; and</w:t>
      </w:r>
    </w:p>
    <w:p>
      <w:pPr>
        <w:pStyle w:val="nzSubsection"/>
        <w:tabs>
          <w:tab w:val="clear" w:pos="1162"/>
          <w:tab w:val="right" w:pos="2694"/>
          <w:tab w:val="left" w:pos="6237"/>
        </w:tabs>
        <w:ind w:left="2977" w:right="861" w:hanging="992"/>
        <w:rPr>
          <w:snapToGrid w:val="0"/>
        </w:rPr>
      </w:pPr>
      <w:r>
        <w:rPr>
          <w:snapToGrid w:val="0"/>
        </w:rPr>
        <w:tab/>
        <w:t>(d)</w:t>
      </w:r>
      <w:r>
        <w:rPr>
          <w:snapToGrid w:val="0"/>
        </w:rPr>
        <w:tab/>
        <w:t>a surrender under section 26A, 65 or 95.</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An instrument to which this section applies is to be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lodged for registration in the prescribed manner and prescribed form;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accompanied by the fee (if any) prescribed in respect of the instrument.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Only an instrument to which this section applies may be registered.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registration of an instrument is to be effected by an authorised officer.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lodgement of an instrument as the time and date of 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103C amended by No. 39 of 2004 s. 103(a).]</w:t>
      </w:r>
    </w:p>
    <w:p>
      <w:pPr>
        <w:pStyle w:val="nzHeading5"/>
        <w:tabs>
          <w:tab w:val="clear" w:pos="1446"/>
          <w:tab w:val="left" w:pos="1418"/>
          <w:tab w:val="left" w:pos="2268"/>
        </w:tabs>
        <w:ind w:left="2268" w:hanging="850"/>
        <w:rPr>
          <w:snapToGrid w:val="0"/>
        </w:rPr>
      </w:pPr>
      <w:r>
        <w:rPr>
          <w:snapToGrid w:val="0"/>
        </w:rPr>
        <w:t>103D.</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instrument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instrument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an instrument accepted for provisional lodgement.</w:t>
      </w:r>
    </w:p>
    <w:p>
      <w:pPr>
        <w:pStyle w:val="nzHeading5"/>
        <w:tabs>
          <w:tab w:val="left" w:pos="2268"/>
        </w:tabs>
        <w:ind w:hanging="28"/>
      </w:pPr>
      <w:r>
        <w:t>103E.</w:t>
      </w:r>
      <w:r>
        <w:tab/>
        <w:t>Priority of dealings</w:t>
      </w:r>
    </w:p>
    <w:p>
      <w:pPr>
        <w:pStyle w:val="nzSubsection"/>
        <w:tabs>
          <w:tab w:val="clear" w:pos="1162"/>
          <w:tab w:val="clear" w:pos="1446"/>
          <w:tab w:val="left" w:pos="1843"/>
          <w:tab w:val="left" w:pos="2268"/>
          <w:tab w:val="left" w:pos="6237"/>
        </w:tabs>
        <w:ind w:left="2268" w:right="861" w:hanging="850"/>
      </w:pPr>
      <w:r>
        <w:tab/>
      </w:r>
      <w:r>
        <w:tab/>
        <w:t>Dealings affecting the same mining tenement take priority according to the date and time of their registration.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103E inserted by No. 39 of 2004 s. 103(b).]</w:t>
      </w:r>
    </w:p>
    <w:p>
      <w:pPr>
        <w:pStyle w:val="nzHeading5"/>
        <w:tabs>
          <w:tab w:val="clear" w:pos="1446"/>
          <w:tab w:val="left" w:pos="1418"/>
          <w:tab w:val="left" w:pos="2268"/>
        </w:tabs>
        <w:ind w:left="2268" w:hanging="850"/>
        <w:rPr>
          <w:snapToGrid w:val="0"/>
        </w:rPr>
      </w:pPr>
      <w:r>
        <w:rPr>
          <w:snapToGrid w:val="0"/>
        </w:rPr>
        <w:t>103F.</w:t>
      </w:r>
      <w:r>
        <w:rPr>
          <w:snapToGrid w:val="0"/>
        </w:rPr>
        <w:tab/>
        <w:t>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The Director General of Mines is to cause a register to be compiled and maintained.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The register is to contain such particulars, relating to mining tenements and applications for mining tenements, as are prescribed.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The register may be compiled and maintained in such form as the Director General of Mines determines.</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copy of an entry in the register relating to any mining tenement or application for a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subject to such requirements, if any, as are prescribed, a copy of a dealing or other instrument recorded in the register.</w:t>
      </w:r>
    </w:p>
    <w:p>
      <w:pPr>
        <w:pStyle w:val="nzHeading5"/>
        <w:tabs>
          <w:tab w:val="clear" w:pos="1446"/>
          <w:tab w:val="left" w:pos="1418"/>
          <w:tab w:val="left" w:pos="2268"/>
        </w:tabs>
        <w:spacing w:before="120"/>
        <w:ind w:left="2269" w:hanging="851"/>
        <w:rPr>
          <w:snapToGrid w:val="0"/>
        </w:rPr>
      </w:pPr>
      <w:r>
        <w:rPr>
          <w:snapToGrid w:val="0"/>
        </w:rPr>
        <w:t>103G.</w:t>
      </w:r>
      <w:r>
        <w:rPr>
          <w:snapToGrid w:val="0"/>
        </w:rPr>
        <w:tab/>
        <w:t>Amendment of 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nzHeading5"/>
        <w:keepLines w:val="0"/>
        <w:tabs>
          <w:tab w:val="clear" w:pos="1446"/>
          <w:tab w:val="left" w:pos="1418"/>
          <w:tab w:val="left" w:pos="2268"/>
        </w:tabs>
        <w:ind w:left="2268" w:hanging="850"/>
        <w:rPr>
          <w:snapToGrid w:val="0"/>
        </w:rPr>
      </w:pPr>
      <w:r>
        <w:rPr>
          <w:snapToGrid w:val="0"/>
        </w:rPr>
        <w:t>103H.</w:t>
      </w:r>
      <w:r>
        <w:rPr>
          <w:snapToGrid w:val="0"/>
        </w:rPr>
        <w:tab/>
        <w:t>Re</w:t>
      </w:r>
      <w:r>
        <w:rPr>
          <w:b w:val="0"/>
          <w:snapToGrid w:val="0"/>
        </w:rPr>
        <w:t>g</w:t>
      </w:r>
      <w:r>
        <w:rPr>
          <w:snapToGrid w:val="0"/>
        </w:rPr>
        <w:t>ulations relating to register</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The regulations may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prescribe the form a copy is to take for the purposes of section 103F(4)(a) or (b);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make provision for any other matter relating to the register.</w:t>
      </w:r>
    </w:p>
    <w:p>
      <w:pPr>
        <w:pStyle w:val="MiscClose"/>
        <w:ind w:right="577"/>
        <w:rPr>
          <w:snapToGrid w:val="0"/>
        </w:rPr>
      </w:pPr>
      <w:r>
        <w:rPr>
          <w:snapToGrid w:val="0"/>
        </w:rPr>
        <w:t>”.</w:t>
      </w:r>
    </w:p>
    <w:p>
      <w:pPr>
        <w:pStyle w:val="nzSubsection"/>
        <w:keepNext/>
        <w:tabs>
          <w:tab w:val="clear" w:pos="1162"/>
          <w:tab w:val="clear" w:pos="1446"/>
          <w:tab w:val="left" w:pos="1843"/>
          <w:tab w:val="left" w:pos="2268"/>
          <w:tab w:val="left" w:pos="6237"/>
        </w:tabs>
        <w:ind w:left="2268" w:right="861" w:hanging="850"/>
        <w:rPr>
          <w:i/>
          <w:snapToGrid w:val="0"/>
        </w:rPr>
      </w:pPr>
      <w:r>
        <w:rPr>
          <w:i/>
        </w:rPr>
        <w:t>[Section 15 amended by No. 39 of 2004 s. 103.]</w:t>
      </w:r>
    </w:p>
    <w:p>
      <w:pPr>
        <w:pStyle w:val="nzHeading5"/>
        <w:rPr>
          <w:snapToGrid w:val="0"/>
        </w:rPr>
      </w:pPr>
      <w:r>
        <w:rPr>
          <w:snapToGrid w:val="0"/>
        </w:rPr>
        <w:t>16.</w:t>
      </w:r>
      <w:r>
        <w:rPr>
          <w:snapToGrid w:val="0"/>
        </w:rPr>
        <w:tab/>
        <w:t>Section 116 amended</w:t>
      </w:r>
    </w:p>
    <w:p>
      <w:pPr>
        <w:pStyle w:val="nzSubsection"/>
        <w:tabs>
          <w:tab w:val="left" w:pos="2268"/>
          <w:tab w:val="left" w:pos="6237"/>
        </w:tabs>
        <w:ind w:left="2694" w:right="861" w:hanging="1276"/>
        <w:rPr>
          <w:snapToGrid w:val="0"/>
        </w:rPr>
      </w:pPr>
      <w:r>
        <w:rPr>
          <w:snapToGrid w:val="0"/>
        </w:rPr>
        <w:tab/>
        <w:t xml:space="preserve">Section 116 of the principal Act is amended — </w:t>
      </w:r>
    </w:p>
    <w:p>
      <w:pPr>
        <w:pStyle w:val="nzIndenta"/>
        <w:rPr>
          <w:snapToGrid w:val="0"/>
        </w:rPr>
      </w:pPr>
      <w:r>
        <w:rPr>
          <w:snapToGrid w:val="0"/>
        </w:rPr>
        <w:tab/>
        <w:t>(a)</w:t>
      </w:r>
      <w:r>
        <w:rPr>
          <w:snapToGrid w:val="0"/>
        </w:rPr>
        <w:tab/>
        <w:t>in subsection (2) by deleting “applicant, or”; and</w:t>
      </w:r>
    </w:p>
    <w:p>
      <w:pPr>
        <w:pStyle w:val="nzIndenta"/>
        <w:keepNext/>
        <w:rPr>
          <w:snapToGrid w:val="0"/>
        </w:rPr>
      </w:pPr>
      <w:r>
        <w:rPr>
          <w:snapToGrid w:val="0"/>
        </w:rPr>
        <w:tab/>
        <w:t>(b)</w:t>
      </w:r>
      <w:r>
        <w:rPr>
          <w:snapToGrid w:val="0"/>
        </w:rPr>
        <w:tab/>
        <w:t xml:space="preserve">by inserting after subsection (2) the following subsection — </w:t>
      </w:r>
    </w:p>
    <w:p>
      <w:pPr>
        <w:pStyle w:val="MiscOpen"/>
        <w:tabs>
          <w:tab w:val="left" w:pos="1985"/>
        </w:tabs>
        <w:rPr>
          <w:snapToGrid w:val="0"/>
        </w:rPr>
      </w:pPr>
      <w:r>
        <w:rPr>
          <w:snapToGrid w:val="0"/>
        </w:rPr>
        <w:tab/>
      </w:r>
      <w:r>
        <w:rPr>
          <w:snapToGrid w:val="0"/>
        </w:rPr>
        <w:tab/>
        <w:t>“</w:t>
      </w:r>
    </w:p>
    <w:p>
      <w:pPr>
        <w:pStyle w:val="nzSubsection"/>
        <w:tabs>
          <w:tab w:val="clear" w:pos="1162"/>
          <w:tab w:val="clear" w:pos="1446"/>
          <w:tab w:val="right" w:pos="1418"/>
          <w:tab w:val="left" w:pos="1701"/>
          <w:tab w:val="left" w:pos="2268"/>
          <w:tab w:val="left" w:pos="6237"/>
        </w:tabs>
        <w:ind w:left="2694" w:right="861" w:hanging="993"/>
        <w:rPr>
          <w:snapToGrid w:val="0"/>
        </w:rPr>
      </w:pPr>
      <w:r>
        <w:rPr>
          <w:snapToGrid w:val="0"/>
        </w:rPr>
        <w:tab/>
        <w:t>(3)</w:t>
      </w:r>
      <w:r>
        <w:rPr>
          <w:snapToGrid w:val="0"/>
        </w:rPr>
        <w:tab/>
        <w:t xml:space="preserve">In subsection (2) — </w:t>
      </w:r>
    </w:p>
    <w:p>
      <w:pPr>
        <w:pStyle w:val="nzDefstart"/>
        <w:tabs>
          <w:tab w:val="clear" w:pos="1446"/>
          <w:tab w:val="left" w:pos="2694"/>
        </w:tabs>
        <w:ind w:left="3119" w:right="861" w:hanging="851"/>
      </w:pPr>
      <w:r>
        <w:tab/>
      </w:r>
      <w:r>
        <w:rPr>
          <w:b/>
        </w:rPr>
        <w:t>“registered”</w:t>
      </w:r>
      <w:r>
        <w:t>, in relation to a holder or previous holder of a mining tenement, means that the name of the holder or previous holder is or was entered in the register as the holder of the mining tenement.</w:t>
      </w:r>
    </w:p>
    <w:p>
      <w:pPr>
        <w:pStyle w:val="MiscClose"/>
        <w:tabs>
          <w:tab w:val="left" w:pos="6521"/>
        </w:tabs>
        <w:ind w:right="577"/>
        <w:rPr>
          <w:snapToGrid w:val="0"/>
        </w:rPr>
      </w:pPr>
      <w:r>
        <w:rPr>
          <w:snapToGrid w:val="0"/>
        </w:rPr>
        <w:tab/>
        <w:t>”.</w:t>
      </w:r>
    </w:p>
    <w:p>
      <w:pPr>
        <w:pStyle w:val="nzHeading5"/>
        <w:rPr>
          <w:snapToGrid w:val="0"/>
        </w:rPr>
      </w:pPr>
      <w:r>
        <w:rPr>
          <w:snapToGrid w:val="0"/>
        </w:rPr>
        <w:t>17.</w:t>
      </w:r>
      <w:r>
        <w:rPr>
          <w:snapToGrid w:val="0"/>
        </w:rPr>
        <w:tab/>
        <w:t>Section 119A repealed and a section substituted</w:t>
      </w:r>
    </w:p>
    <w:p>
      <w:pPr>
        <w:pStyle w:val="nzSubsection"/>
        <w:rPr>
          <w:snapToGrid w:val="0"/>
        </w:rPr>
      </w:pPr>
      <w:r>
        <w:rPr>
          <w:snapToGrid w:val="0"/>
        </w:rPr>
        <w:tab/>
      </w:r>
      <w:r>
        <w:rPr>
          <w:snapToGrid w:val="0"/>
        </w:rPr>
        <w:tab/>
        <w:t xml:space="preserve">Section 119A of the principal Act is repealed and the following section is substituted — </w:t>
      </w:r>
    </w:p>
    <w:p>
      <w:pPr>
        <w:pStyle w:val="MiscOpen"/>
        <w:keepNext w:val="0"/>
        <w:keepLines w:val="0"/>
        <w:tabs>
          <w:tab w:val="clear" w:pos="893"/>
          <w:tab w:val="left" w:pos="851"/>
        </w:tabs>
        <w:rPr>
          <w:snapToGrid w:val="0"/>
        </w:rPr>
      </w:pPr>
      <w:r>
        <w:rPr>
          <w:snapToGrid w:val="0"/>
        </w:rPr>
        <w:tab/>
        <w:t>“</w:t>
      </w:r>
    </w:p>
    <w:p>
      <w:pPr>
        <w:pStyle w:val="nzHeading5"/>
        <w:keepNext w:val="0"/>
        <w:keepLines w:val="0"/>
        <w:tabs>
          <w:tab w:val="clear" w:pos="1446"/>
          <w:tab w:val="left" w:pos="1418"/>
          <w:tab w:val="left" w:pos="2268"/>
        </w:tabs>
        <w:ind w:left="2268" w:hanging="850"/>
        <w:rPr>
          <w:snapToGrid w:val="0"/>
        </w:rPr>
      </w:pPr>
      <w:r>
        <w:rPr>
          <w:snapToGrid w:val="0"/>
        </w:rPr>
        <w:t>119A.</w:t>
      </w:r>
      <w:r>
        <w:rPr>
          <w:snapToGrid w:val="0"/>
        </w:rPr>
        <w:tab/>
        <w:t>Mining tenement may be mortgaged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mining tenement or share in a mining tenement may be mortgaged as security for the repayment of money advanced or agreed to be advanced or for the discharge of any liability.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If there are 2 or more mortgages affecting the same legal interest in a mining tenement, the mortgages take priority according to the time and date of their registration.</w:t>
      </w:r>
    </w:p>
    <w:p>
      <w:pPr>
        <w:pStyle w:val="nzSubsection"/>
        <w:tabs>
          <w:tab w:val="clear" w:pos="1162"/>
          <w:tab w:val="clear" w:pos="1446"/>
          <w:tab w:val="left" w:pos="1843"/>
          <w:tab w:val="left" w:pos="2835"/>
          <w:tab w:val="left" w:pos="6237"/>
        </w:tabs>
        <w:ind w:left="2268" w:right="861" w:hanging="850"/>
        <w:rPr>
          <w:snapToGrid w:val="0"/>
        </w:rPr>
      </w:pPr>
      <w:r>
        <w:rPr>
          <w:snapToGrid w:val="0"/>
        </w:rPr>
        <w:tab/>
        <w:t>(3)</w:t>
      </w:r>
      <w:r>
        <w:rPr>
          <w:snapToGrid w:val="0"/>
        </w:rPr>
        <w:tab/>
        <w:t xml:space="preserve">A mortgage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may cover all buildings, improvements, machinery and appliances in or upon the land comprised in the mining tenement.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regulations may provide that a mortgage is deemed to contain prescribed provisions unless the mortgage contains express provision to the contrary.</w:t>
      </w:r>
    </w:p>
    <w:p>
      <w:pPr>
        <w:pStyle w:val="MiscClose"/>
        <w:tabs>
          <w:tab w:val="left" w:pos="6521"/>
        </w:tabs>
        <w:ind w:right="577"/>
        <w:rPr>
          <w:snapToGrid w:val="0"/>
        </w:rPr>
      </w:pPr>
      <w:r>
        <w:rPr>
          <w:snapToGrid w:val="0"/>
        </w:rPr>
        <w:t>”.</w:t>
      </w:r>
    </w:p>
    <w:p>
      <w:pPr>
        <w:pStyle w:val="nzHeading5"/>
        <w:rPr>
          <w:snapToGrid w:val="0"/>
        </w:rPr>
      </w:pPr>
      <w:r>
        <w:rPr>
          <w:snapToGrid w:val="0"/>
        </w:rPr>
        <w:t>18.</w:t>
      </w:r>
      <w:r>
        <w:rPr>
          <w:snapToGrid w:val="0"/>
        </w:rPr>
        <w:tab/>
        <w:t>Part VI repealed and a Part substituted</w:t>
      </w:r>
    </w:p>
    <w:p>
      <w:pPr>
        <w:pStyle w:val="nzSubsection"/>
        <w:rPr>
          <w:snapToGrid w:val="0"/>
        </w:rPr>
      </w:pPr>
      <w:r>
        <w:rPr>
          <w:snapToGrid w:val="0"/>
        </w:rPr>
        <w:tab/>
      </w:r>
      <w:r>
        <w:rPr>
          <w:snapToGrid w:val="0"/>
        </w:rPr>
        <w:tab/>
        <w:t>Part VI of the principal Act is repealed and the following Part is substituted —</w:t>
      </w:r>
    </w:p>
    <w:p>
      <w:pPr>
        <w:pStyle w:val="MiscOpen"/>
        <w:rPr>
          <w:snapToGrid w:val="0"/>
        </w:rPr>
      </w:pPr>
      <w:r>
        <w:rPr>
          <w:snapToGrid w:val="0"/>
        </w:rPr>
        <w:tab/>
        <w:t>“</w:t>
      </w:r>
    </w:p>
    <w:p>
      <w:pPr>
        <w:pStyle w:val="nzHeading2"/>
      </w:pPr>
      <w:r>
        <w:t>Part VI — Caveats</w:t>
      </w:r>
    </w:p>
    <w:p>
      <w:pPr>
        <w:pStyle w:val="nzHeading5"/>
        <w:tabs>
          <w:tab w:val="clear" w:pos="1446"/>
          <w:tab w:val="left" w:pos="1418"/>
          <w:tab w:val="left" w:pos="2268"/>
        </w:tabs>
        <w:ind w:left="2268" w:hanging="850"/>
        <w:rPr>
          <w:snapToGrid w:val="0"/>
        </w:rPr>
      </w:pPr>
      <w:r>
        <w:rPr>
          <w:snapToGrid w:val="0"/>
        </w:rPr>
        <w:t>121.</w:t>
      </w:r>
      <w:r>
        <w:rPr>
          <w:snapToGrid w:val="0"/>
        </w:rPr>
        <w:tab/>
        <w:t>Definitions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In this Part, unless the contrary intention appears — </w:t>
      </w:r>
    </w:p>
    <w:p>
      <w:pPr>
        <w:pStyle w:val="nzDefstart"/>
        <w:tabs>
          <w:tab w:val="clear" w:pos="1446"/>
          <w:tab w:val="left" w:pos="2268"/>
        </w:tabs>
        <w:ind w:left="2835" w:right="861" w:hanging="567"/>
      </w:pPr>
      <w:r>
        <w:rPr>
          <w:b/>
        </w:rPr>
        <w:t>“absolute caveat”</w:t>
      </w:r>
      <w:r>
        <w:t xml:space="preserve"> means a caveat referred to in section 122A(1)(a);</w:t>
      </w:r>
    </w:p>
    <w:p>
      <w:pPr>
        <w:pStyle w:val="nzDefstart"/>
        <w:tabs>
          <w:tab w:val="clear" w:pos="1446"/>
          <w:tab w:val="left" w:pos="2268"/>
        </w:tabs>
        <w:ind w:left="2835" w:right="861" w:hanging="567"/>
      </w:pPr>
      <w:r>
        <w:rPr>
          <w:b/>
        </w:rPr>
        <w:t>“caveat”</w:t>
      </w:r>
      <w:r>
        <w:t xml:space="preserve"> means an absolute caveat, a consent caveat or a subject to claim caveat;</w:t>
      </w:r>
    </w:p>
    <w:p>
      <w:pPr>
        <w:pStyle w:val="nzDefstart"/>
        <w:tabs>
          <w:tab w:val="clear" w:pos="1446"/>
          <w:tab w:val="left" w:pos="2268"/>
        </w:tabs>
        <w:ind w:left="2835" w:right="861" w:hanging="567"/>
      </w:pPr>
      <w:r>
        <w:rPr>
          <w:b/>
        </w:rPr>
        <w:t>“consent caveat”</w:t>
      </w:r>
      <w:r>
        <w:t xml:space="preserve"> means a caveat referred to in section 122A(2);</w:t>
      </w:r>
    </w:p>
    <w:p>
      <w:pPr>
        <w:pStyle w:val="nzDefstart"/>
        <w:tabs>
          <w:tab w:val="clear" w:pos="1446"/>
          <w:tab w:val="left" w:pos="2268"/>
        </w:tabs>
        <w:ind w:left="2835" w:right="861" w:hanging="567"/>
      </w:pPr>
      <w:r>
        <w:rPr>
          <w:b/>
        </w:rPr>
        <w:t>“subject to claim caveat”</w:t>
      </w:r>
      <w:r>
        <w:t xml:space="preserve"> means a caveat referred to in section 122A(1)(b).</w:t>
      </w:r>
    </w:p>
    <w:p>
      <w:pPr>
        <w:pStyle w:val="nzHeading5"/>
        <w:tabs>
          <w:tab w:val="clear" w:pos="1446"/>
          <w:tab w:val="left" w:pos="1418"/>
          <w:tab w:val="left" w:pos="2268"/>
        </w:tabs>
        <w:ind w:left="2268" w:hanging="850"/>
        <w:rPr>
          <w:snapToGrid w:val="0"/>
        </w:rPr>
      </w:pPr>
      <w:r>
        <w:rPr>
          <w:snapToGrid w:val="0"/>
        </w:rPr>
        <w:t>122.</w:t>
      </w:r>
      <w:r>
        <w:rPr>
          <w:snapToGrid w:val="0"/>
        </w:rPr>
        <w:tab/>
        <w:t>Certain surrenders not affected by this Part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reference in this Part (other than this section) to a surrender does not include a surrender under section 26A or 65. </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Where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surrender under section 26A or 65 is registered under section 103C;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surrender affects a mining tenement or an interest in a mining tenement that is the subject of a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notification of the registration of the surrender is to be sent by or on behalf of the Minister in the prescribed manner to the person who lodged that caveat.</w:t>
      </w:r>
    </w:p>
    <w:p>
      <w:pPr>
        <w:pStyle w:val="nzHeading5"/>
        <w:tabs>
          <w:tab w:val="clear" w:pos="1446"/>
          <w:tab w:val="left" w:pos="1418"/>
          <w:tab w:val="left" w:pos="2268"/>
        </w:tabs>
        <w:ind w:left="2268" w:hanging="850"/>
        <w:rPr>
          <w:snapToGrid w:val="0"/>
        </w:rPr>
      </w:pPr>
      <w:r>
        <w:rPr>
          <w:snapToGrid w:val="0"/>
        </w:rPr>
        <w:t>122A.</w:t>
      </w:r>
      <w:r>
        <w:rPr>
          <w:snapToGrid w:val="0"/>
        </w:rPr>
        <w:tab/>
        <w:t>Lodgement of caveats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person claiming an interest in a mining tenement may lodge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 xml:space="preserve">a caveat against the mining tenement forbidding the registration of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a surrender affecting the mining tenement or interest.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If — </w:t>
      </w:r>
    </w:p>
    <w:p>
      <w:pPr>
        <w:pStyle w:val="nzSubsection"/>
        <w:tabs>
          <w:tab w:val="clear" w:pos="1162"/>
          <w:tab w:val="right" w:pos="2694"/>
          <w:tab w:val="left" w:pos="6237"/>
        </w:tabs>
        <w:ind w:left="2977" w:right="861" w:hanging="992"/>
      </w:pPr>
      <w:r>
        <w:tab/>
        <w:t>(a)</w:t>
      </w:r>
      <w:r>
        <w:tab/>
        <w:t xml:space="preserve">the holder of a mining tenement has entered into an agreement with another person relating to — </w:t>
      </w:r>
    </w:p>
    <w:p>
      <w:pPr>
        <w:pStyle w:val="nzIndenti"/>
        <w:tabs>
          <w:tab w:val="clear" w:pos="2892"/>
          <w:tab w:val="left" w:pos="3119"/>
        </w:tabs>
        <w:ind w:left="3600" w:hanging="1559"/>
      </w:pPr>
      <w:r>
        <w:tab/>
      </w:r>
      <w:r>
        <w:tab/>
        <w:t>(i)</w:t>
      </w:r>
      <w:r>
        <w:tab/>
        <w:t>the sale of the holder’s interest in the mining tenement; or</w:t>
      </w:r>
    </w:p>
    <w:p>
      <w:pPr>
        <w:pStyle w:val="nzIndenti"/>
        <w:tabs>
          <w:tab w:val="clear" w:pos="2892"/>
          <w:tab w:val="left" w:pos="3119"/>
        </w:tabs>
        <w:ind w:left="3600" w:hanging="1559"/>
      </w:pPr>
      <w:r>
        <w:tab/>
      </w:r>
      <w:r>
        <w:tab/>
        <w:t>(ii)</w:t>
      </w:r>
      <w:r>
        <w:tab/>
        <w:t>any other matter connected with the holder’s interest in the mining tenement;</w:t>
      </w:r>
    </w:p>
    <w:p>
      <w:pPr>
        <w:pStyle w:val="nzIndenta"/>
      </w:pPr>
      <w:r>
        <w:tab/>
      </w:r>
      <w:r>
        <w:tab/>
      </w:r>
      <w:r>
        <w:tab/>
        <w:t>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agreement so provides,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 xml:space="preserve">A caveat lodged under this section is to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be in the prescribed form;</w:t>
      </w:r>
    </w:p>
    <w:p>
      <w:pPr>
        <w:pStyle w:val="nzSubsection"/>
        <w:tabs>
          <w:tab w:val="clear" w:pos="1162"/>
          <w:tab w:val="right" w:pos="2694"/>
          <w:tab w:val="left" w:pos="6237"/>
        </w:tabs>
        <w:ind w:left="2977" w:right="861" w:hanging="992"/>
        <w:rPr>
          <w:snapToGrid w:val="0"/>
        </w:rPr>
      </w:pPr>
      <w:r>
        <w:rPr>
          <w:snapToGrid w:val="0"/>
        </w:rPr>
        <w:tab/>
        <w:t>(b)</w:t>
      </w:r>
      <w:r>
        <w:rPr>
          <w:snapToGrid w:val="0"/>
        </w:rPr>
        <w:tab/>
        <w:t>be accompanied by the prescribed fee;</w:t>
      </w:r>
    </w:p>
    <w:p>
      <w:pPr>
        <w:pStyle w:val="nzSubsection"/>
        <w:tabs>
          <w:tab w:val="clear" w:pos="1162"/>
          <w:tab w:val="right" w:pos="2694"/>
          <w:tab w:val="left" w:pos="6237"/>
        </w:tabs>
        <w:ind w:left="2977" w:right="861" w:hanging="992"/>
        <w:rPr>
          <w:snapToGrid w:val="0"/>
        </w:rPr>
      </w:pPr>
      <w:r>
        <w:rPr>
          <w:snapToGrid w:val="0"/>
        </w:rPr>
        <w:tab/>
        <w:t>(c)</w:t>
      </w:r>
      <w:r>
        <w:rPr>
          <w:snapToGrid w:val="0"/>
        </w:rPr>
        <w:tab/>
        <w:t>state the full name and address of the caveator;</w:t>
      </w:r>
    </w:p>
    <w:p>
      <w:pPr>
        <w:pStyle w:val="nzSubsection"/>
        <w:tabs>
          <w:tab w:val="clear" w:pos="1162"/>
          <w:tab w:val="right" w:pos="2694"/>
          <w:tab w:val="left" w:pos="6237"/>
        </w:tabs>
        <w:ind w:left="2977" w:right="861" w:hanging="992"/>
        <w:rPr>
          <w:snapToGrid w:val="0"/>
        </w:rPr>
      </w:pPr>
      <w:r>
        <w:rPr>
          <w:snapToGrid w:val="0"/>
        </w:rPr>
        <w:tab/>
        <w:t>(d)</w:t>
      </w:r>
      <w:r>
        <w:rPr>
          <w:snapToGrid w:val="0"/>
        </w:rPr>
        <w:tab/>
        <w:t>be signed by the caveator or an agent of the caveator; and</w:t>
      </w:r>
    </w:p>
    <w:p>
      <w:pPr>
        <w:pStyle w:val="nzSubsection"/>
        <w:tabs>
          <w:tab w:val="clear" w:pos="1162"/>
          <w:tab w:val="right" w:pos="2694"/>
          <w:tab w:val="left" w:pos="6237"/>
        </w:tabs>
        <w:ind w:left="2977" w:right="861" w:hanging="992"/>
        <w:rPr>
          <w:snapToGrid w:val="0"/>
        </w:rPr>
      </w:pPr>
      <w:r>
        <w:rPr>
          <w:snapToGrid w:val="0"/>
        </w:rPr>
        <w:tab/>
        <w:t>(e)</w:t>
      </w:r>
      <w:r>
        <w:rPr>
          <w:snapToGrid w:val="0"/>
        </w:rPr>
        <w:tab/>
        <w:t>give an address within the State for the service of notices and proceedings in relation to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If a caveat is lodged under this section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memorial or copy of the caveat is to be entered in the register;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122B, a caveat lodged under this section has effect from the time of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 xml:space="preserve">Successive caveats shall not be lodged by, or on behalf of, the same person in respect of the same subject matter except </w:t>
      </w:r>
      <w:r>
        <w:t>with the consent</w:t>
      </w:r>
      <w:r>
        <w:rPr>
          <w:snapToGrid w:val="0"/>
        </w:rPr>
        <w:t xml:space="preserve"> of a warden.</w:t>
      </w:r>
    </w:p>
    <w:p>
      <w:pPr>
        <w:pStyle w:val="nzSubsection"/>
        <w:tabs>
          <w:tab w:val="clear" w:pos="1162"/>
          <w:tab w:val="clear" w:pos="1446"/>
          <w:tab w:val="left" w:pos="1843"/>
          <w:tab w:val="left" w:pos="2268"/>
          <w:tab w:val="left" w:pos="6237"/>
        </w:tabs>
        <w:ind w:left="2268" w:right="861" w:hanging="850"/>
        <w:rPr>
          <w:i/>
          <w:snapToGrid w:val="0"/>
        </w:rPr>
      </w:pPr>
      <w:r>
        <w:rPr>
          <w:snapToGrid w:val="0"/>
        </w:rPr>
        <w:tab/>
      </w:r>
      <w:r>
        <w:rPr>
          <w:snapToGrid w:val="0"/>
        </w:rPr>
        <w:tab/>
      </w:r>
      <w:r>
        <w:rPr>
          <w:i/>
          <w:snapToGrid w:val="0"/>
        </w:rPr>
        <w:t>[Section 122A amended by No. 39 of 2004 s. 104(a) and (b).]</w:t>
      </w:r>
    </w:p>
    <w:p>
      <w:pPr>
        <w:pStyle w:val="nzHeading5"/>
        <w:tabs>
          <w:tab w:val="clear" w:pos="1446"/>
          <w:tab w:val="left" w:pos="1418"/>
          <w:tab w:val="left" w:pos="2268"/>
        </w:tabs>
        <w:ind w:left="2268" w:hanging="850"/>
        <w:rPr>
          <w:snapToGrid w:val="0"/>
        </w:rPr>
      </w:pPr>
      <w:r>
        <w:rPr>
          <w:snapToGrid w:val="0"/>
        </w:rPr>
        <w:t>122B.</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(as defined in section 103A) is of the opinion that a caveat lodged under section 122A contains an error or defect, the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caveat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caveat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 caveat accepted for provisional lodgement.</w:t>
      </w:r>
    </w:p>
    <w:p>
      <w:pPr>
        <w:pStyle w:val="nzHeading5"/>
        <w:tabs>
          <w:tab w:val="clear" w:pos="1446"/>
          <w:tab w:val="left" w:pos="1418"/>
          <w:tab w:val="left" w:pos="2268"/>
        </w:tabs>
        <w:ind w:left="2268" w:hanging="850"/>
        <w:rPr>
          <w:snapToGrid w:val="0"/>
        </w:rPr>
      </w:pPr>
      <w:r>
        <w:rPr>
          <w:snapToGrid w:val="0"/>
        </w:rPr>
        <w:t>122C.</w:t>
      </w:r>
      <w:r>
        <w:rPr>
          <w:snapToGrid w:val="0"/>
        </w:rPr>
        <w:tab/>
        <w:t>Caveats deemed to be lodged against later tenements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 caveat has been lodged against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mining tenement and the holder of that tenement is granted a mining lease or general purpose lease (“the later tenement”) under section 49, 67 or 70L in respect of the land or a part of the land the subject of the tenement;</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mining tenement and the holder of that tenement is granted a retention licence (“the later tenement”) under section 70B in respect of the land or a part of the land the subject of the tenement;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special prospecting licence granted under section 56A, 70 or 85B and the holder of that licence is granted a mining lease for gold (“the later tenement”) under section 56A(8), 70(8) or 85B(7) in respect of the land or a part of the land the subject of the licence,</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the caveat is to be taken to have been also lodged against the later tenement and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 caveat to which subsection (1) applies has effect, in relation to a later tenement, from the day on which the later tenement is granted.</w:t>
      </w:r>
    </w:p>
    <w:p>
      <w:pPr>
        <w:pStyle w:val="nzHeading5"/>
        <w:tabs>
          <w:tab w:val="clear" w:pos="1446"/>
          <w:tab w:val="left" w:pos="1418"/>
          <w:tab w:val="left" w:pos="2268"/>
        </w:tabs>
        <w:spacing w:before="120"/>
        <w:ind w:left="2269" w:hanging="851"/>
        <w:rPr>
          <w:snapToGrid w:val="0"/>
        </w:rPr>
      </w:pPr>
      <w:r>
        <w:rPr>
          <w:snapToGrid w:val="0"/>
        </w:rPr>
        <w:t>122D.</w:t>
      </w:r>
      <w:r>
        <w:rPr>
          <w:snapToGrid w:val="0"/>
        </w:rPr>
        <w:tab/>
        <w:t>Effect of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dealing or surrender affecting the subject matter of a caveat shall not be registered under section 103C while the caveat remains in force, except with the consent of a warden.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Subsection (1) does not apply to a dealing if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caveat concerned is a subject to claim caveat;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dealing is expressed to be subject to the interest claimed by the caveator.</w:t>
      </w:r>
    </w:p>
    <w:p>
      <w:pPr>
        <w:pStyle w:val="nzSubsection"/>
        <w:tabs>
          <w:tab w:val="clear" w:pos="1162"/>
          <w:tab w:val="clear" w:pos="1446"/>
          <w:tab w:val="left" w:pos="1843"/>
          <w:tab w:val="left" w:pos="2268"/>
          <w:tab w:val="left" w:pos="6237"/>
        </w:tabs>
        <w:ind w:left="2268" w:right="861" w:hanging="850"/>
        <w:rPr>
          <w:i/>
          <w:snapToGrid w:val="0"/>
        </w:rPr>
      </w:pPr>
      <w:r>
        <w:rPr>
          <w:i/>
        </w:rPr>
        <w:tab/>
      </w:r>
      <w:r>
        <w:rPr>
          <w:i/>
        </w:rPr>
        <w:tab/>
        <w:t>[Section 122D amended by No. 39 of 2004 s. 104(c).]</w:t>
      </w:r>
    </w:p>
    <w:p>
      <w:pPr>
        <w:pStyle w:val="nzHeading5"/>
        <w:tabs>
          <w:tab w:val="clear" w:pos="1446"/>
          <w:tab w:val="left" w:pos="1418"/>
          <w:tab w:val="left" w:pos="2268"/>
        </w:tabs>
        <w:spacing w:before="120"/>
        <w:ind w:left="2269" w:hanging="851"/>
        <w:rPr>
          <w:snapToGrid w:val="0"/>
        </w:rPr>
      </w:pPr>
      <w:r>
        <w:rPr>
          <w:snapToGrid w:val="0"/>
        </w:rPr>
        <w:t>122E.</w:t>
      </w:r>
      <w:r>
        <w:rPr>
          <w:snapToGrid w:val="0"/>
        </w:rPr>
        <w:tab/>
        <w:t>Duration of caveat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An absolute caveat or a subject to claim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the caveator or an agent of the caveator;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 xml:space="preserve">the expiry of a period of 14 days after notification that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nzSubsection"/>
        <w:tabs>
          <w:tab w:val="clear" w:pos="1162"/>
          <w:tab w:val="right" w:pos="2694"/>
          <w:tab w:val="left" w:pos="6237"/>
        </w:tabs>
        <w:ind w:left="2977" w:right="861" w:hanging="992"/>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 consent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consent of the parties to the agreement;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the expiry of the period of time, if any, specified in the agreement.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If a caveat ceases to have effect under this section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In subsection (2) — </w:t>
      </w:r>
    </w:p>
    <w:p>
      <w:pPr>
        <w:pStyle w:val="nzDefstart"/>
        <w:tabs>
          <w:tab w:val="clear" w:pos="1446"/>
          <w:tab w:val="left" w:pos="2268"/>
        </w:tabs>
        <w:ind w:left="2835" w:right="861" w:hanging="567"/>
      </w:pPr>
      <w:r>
        <w:rPr>
          <w:b/>
        </w:rPr>
        <w:t>“agreement”</w:t>
      </w:r>
      <w:r>
        <w:t xml:space="preserve"> means the agreement referred to in section 122A(2).</w:t>
      </w:r>
    </w:p>
    <w:p>
      <w:pPr>
        <w:pStyle w:val="nzSubsection"/>
        <w:tabs>
          <w:tab w:val="clear" w:pos="1162"/>
          <w:tab w:val="clear" w:pos="1446"/>
          <w:tab w:val="left" w:pos="1843"/>
          <w:tab w:val="left" w:pos="2268"/>
          <w:tab w:val="left" w:pos="6237"/>
        </w:tabs>
        <w:ind w:left="2268" w:right="861" w:hanging="850"/>
        <w:rPr>
          <w:i/>
        </w:rPr>
      </w:pPr>
      <w:r>
        <w:rPr>
          <w:i/>
        </w:rPr>
        <w:tab/>
      </w:r>
      <w:r>
        <w:rPr>
          <w:i/>
        </w:rPr>
        <w:tab/>
        <w:t>[Section 122E amended by No. 39 of 2004 s. 104(d)</w:t>
      </w:r>
      <w:r>
        <w:rPr>
          <w:i/>
        </w:rPr>
        <w:noBreakHyphen/>
        <w:t>(f).]</w:t>
      </w:r>
    </w:p>
    <w:p>
      <w:pPr>
        <w:pStyle w:val="MiscClose"/>
        <w:tabs>
          <w:tab w:val="left" w:pos="6521"/>
        </w:tabs>
        <w:ind w:right="577"/>
        <w:rPr>
          <w:snapToGrid w:val="0"/>
        </w:rPr>
      </w:pPr>
      <w:r>
        <w:rPr>
          <w:snapToGrid w:val="0"/>
        </w:rPr>
        <w:t>”.</w:t>
      </w:r>
    </w:p>
    <w:p>
      <w:pPr>
        <w:pStyle w:val="nzSubsection"/>
        <w:rPr>
          <w:i/>
          <w:snapToGrid w:val="0"/>
        </w:rPr>
      </w:pPr>
      <w:r>
        <w:tab/>
      </w:r>
      <w:r>
        <w:tab/>
      </w:r>
      <w:r>
        <w:rPr>
          <w:i/>
        </w:rPr>
        <w:t>[Section 18 amended by No. 39 of 2004 s. 104.]</w:t>
      </w:r>
    </w:p>
    <w:p>
      <w:pPr>
        <w:pStyle w:val="nzHeading5"/>
        <w:spacing w:before="220"/>
        <w:rPr>
          <w:snapToGrid w:val="0"/>
        </w:rPr>
      </w:pPr>
      <w:r>
        <w:rPr>
          <w:snapToGrid w:val="0"/>
        </w:rPr>
        <w:t>19.</w:t>
      </w:r>
      <w:r>
        <w:rPr>
          <w:snapToGrid w:val="0"/>
        </w:rPr>
        <w:tab/>
        <w:t>Section 143 amended</w:t>
      </w:r>
    </w:p>
    <w:p>
      <w:pPr>
        <w:pStyle w:val="nzSubsection"/>
        <w:rPr>
          <w:snapToGrid w:val="0"/>
        </w:rPr>
      </w:pPr>
      <w:r>
        <w:rPr>
          <w:snapToGrid w:val="0"/>
        </w:rPr>
        <w:tab/>
      </w:r>
      <w:r>
        <w:rPr>
          <w:snapToGrid w:val="0"/>
        </w:rPr>
        <w:tab/>
        <w:t xml:space="preserve">Section 143 of the principal Act is amended — </w:t>
      </w:r>
    </w:p>
    <w:p>
      <w:pPr>
        <w:pStyle w:val="nzIndenta"/>
        <w:rPr>
          <w:snapToGrid w:val="0"/>
        </w:rPr>
      </w:pPr>
      <w:r>
        <w:rPr>
          <w:snapToGrid w:val="0"/>
        </w:rPr>
        <w:tab/>
        <w:t>(a)</w:t>
      </w:r>
      <w:r>
        <w:rPr>
          <w:snapToGrid w:val="0"/>
        </w:rPr>
        <w:tab/>
        <w:t xml:space="preserve">by deleting “the warden” and substituting the following — </w:t>
      </w:r>
    </w:p>
    <w:p>
      <w:pPr>
        <w:pStyle w:val="nzIndenta"/>
        <w:rPr>
          <w:snapToGrid w:val="0"/>
        </w:rPr>
      </w:pPr>
      <w:r>
        <w:rPr>
          <w:snapToGrid w:val="0"/>
        </w:rPr>
        <w:tab/>
      </w:r>
      <w:r>
        <w:rPr>
          <w:snapToGrid w:val="0"/>
        </w:rPr>
        <w:tab/>
        <w:t>“    the party to whom the injunction is granted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by deleting “kept in accordance with the regulations”.</w:t>
      </w:r>
    </w:p>
    <w:p>
      <w:pPr>
        <w:pStyle w:val="nzHeading5"/>
        <w:spacing w:before="220"/>
        <w:rPr>
          <w:snapToGrid w:val="0"/>
        </w:rPr>
      </w:pPr>
      <w:r>
        <w:rPr>
          <w:snapToGrid w:val="0"/>
        </w:rPr>
        <w:t>20.</w:t>
      </w:r>
      <w:r>
        <w:rPr>
          <w:snapToGrid w:val="0"/>
        </w:rPr>
        <w:tab/>
        <w:t>Section 145 amended</w:t>
      </w:r>
    </w:p>
    <w:p>
      <w:pPr>
        <w:pStyle w:val="nzSubsection"/>
        <w:rPr>
          <w:snapToGrid w:val="0"/>
        </w:rPr>
      </w:pPr>
      <w:r>
        <w:rPr>
          <w:snapToGrid w:val="0"/>
        </w:rPr>
        <w:tab/>
      </w:r>
      <w:r>
        <w:rPr>
          <w:snapToGrid w:val="0"/>
        </w:rPr>
        <w:tab/>
        <w:t xml:space="preserve">Section 145 of the principal Act is amended by deleting “in accordance with the regulations” and substituting the following — </w:t>
      </w:r>
    </w:p>
    <w:p>
      <w:pPr>
        <w:pStyle w:val="nzSubsection"/>
        <w:tabs>
          <w:tab w:val="left" w:pos="2268"/>
          <w:tab w:val="left" w:pos="6237"/>
        </w:tabs>
        <w:ind w:left="2694" w:right="861" w:hanging="1276"/>
        <w:rPr>
          <w:snapToGrid w:val="0"/>
        </w:rPr>
      </w:pPr>
      <w:r>
        <w:rPr>
          <w:snapToGrid w:val="0"/>
        </w:rPr>
        <w:t>“    under this Act    ”.</w:t>
      </w:r>
    </w:p>
    <w:p>
      <w:pPr>
        <w:pStyle w:val="nzHeading5"/>
        <w:spacing w:before="220"/>
        <w:rPr>
          <w:snapToGrid w:val="0"/>
        </w:rPr>
      </w:pPr>
      <w:r>
        <w:rPr>
          <w:snapToGrid w:val="0"/>
        </w:rPr>
        <w:t>21.</w:t>
      </w:r>
      <w:r>
        <w:rPr>
          <w:snapToGrid w:val="0"/>
        </w:rPr>
        <w:tab/>
        <w:t>Section 161 amended</w:t>
      </w:r>
    </w:p>
    <w:p>
      <w:pPr>
        <w:pStyle w:val="nzSubsection"/>
        <w:rPr>
          <w:snapToGrid w:val="0"/>
        </w:rPr>
      </w:pPr>
      <w:r>
        <w:rPr>
          <w:snapToGrid w:val="0"/>
        </w:rPr>
        <w:tab/>
      </w:r>
      <w:r>
        <w:rPr>
          <w:snapToGrid w:val="0"/>
        </w:rPr>
        <w:tab/>
        <w:t xml:space="preserve">Section 161(3) of the principal Act is repealed and the following subsection is substituted — </w:t>
      </w:r>
    </w:p>
    <w:p>
      <w:pPr>
        <w:pStyle w:val="MiscOpen"/>
        <w:rPr>
          <w:snapToGrid w:val="0"/>
        </w:rPr>
      </w:pPr>
      <w:r>
        <w:rPr>
          <w:snapToGrid w:val="0"/>
        </w:rPr>
        <w:tab/>
        <w:t>“</w:t>
      </w:r>
    </w:p>
    <w:p>
      <w:pPr>
        <w:pStyle w:val="nzSubsection"/>
        <w:tabs>
          <w:tab w:val="clear" w:pos="1162"/>
          <w:tab w:val="clear" w:pos="1446"/>
          <w:tab w:val="right" w:pos="1701"/>
          <w:tab w:val="left" w:pos="1985"/>
          <w:tab w:val="left" w:pos="6237"/>
        </w:tabs>
        <w:ind w:left="1985" w:right="861" w:hanging="1390"/>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MiscClose"/>
        <w:tabs>
          <w:tab w:val="left" w:pos="6521"/>
        </w:tabs>
        <w:ind w:right="577"/>
        <w:rPr>
          <w:snapToGrid w:val="0"/>
        </w:rPr>
      </w:pPr>
      <w:r>
        <w:rPr>
          <w:snapToGrid w:val="0"/>
        </w:rPr>
        <w:t>”.</w:t>
      </w:r>
    </w:p>
    <w:p>
      <w:pPr>
        <w:pStyle w:val="nzHeading5"/>
        <w:rPr>
          <w:snapToGrid w:val="0"/>
        </w:rPr>
      </w:pPr>
      <w:r>
        <w:rPr>
          <w:snapToGrid w:val="0"/>
        </w:rPr>
        <w:t>22.</w:t>
      </w:r>
      <w:r>
        <w:rPr>
          <w:snapToGrid w:val="0"/>
        </w:rPr>
        <w:tab/>
        <w:t>Section 162 amended</w:t>
      </w:r>
    </w:p>
    <w:p>
      <w:pPr>
        <w:pStyle w:val="nzSubsection"/>
        <w:rPr>
          <w:snapToGrid w:val="0"/>
        </w:rPr>
      </w:pPr>
      <w:r>
        <w:rPr>
          <w:snapToGrid w:val="0"/>
        </w:rPr>
        <w:tab/>
      </w:r>
      <w:r>
        <w:rPr>
          <w:snapToGrid w:val="0"/>
        </w:rPr>
        <w:tab/>
        <w:t xml:space="preserve">Section 162(2) of the principal Act is amended — </w:t>
      </w:r>
    </w:p>
    <w:p>
      <w:pPr>
        <w:pStyle w:val="nzIndenta"/>
        <w:rPr>
          <w:snapToGrid w:val="0"/>
        </w:rPr>
      </w:pPr>
      <w:r>
        <w:rPr>
          <w:snapToGrid w:val="0"/>
        </w:rPr>
        <w:tab/>
        <w:t>(a)</w:t>
      </w:r>
      <w:r>
        <w:rPr>
          <w:snapToGrid w:val="0"/>
        </w:rPr>
        <w:tab/>
        <w:t xml:space="preserve">in paragraph (l) — </w:t>
      </w:r>
    </w:p>
    <w:p>
      <w:pPr>
        <w:pStyle w:val="nzIndenti"/>
        <w:rPr>
          <w:snapToGrid w:val="0"/>
        </w:rPr>
      </w:pPr>
      <w:r>
        <w:rPr>
          <w:snapToGrid w:val="0"/>
        </w:rPr>
        <w:tab/>
        <w:t>(i)</w:t>
      </w:r>
      <w:r>
        <w:rPr>
          <w:snapToGrid w:val="0"/>
        </w:rPr>
        <w:tab/>
        <w:t>by deleting “the registration of mining tenements and documents affecting them, the keeping by prescribed persons of a register of mining tenements and”; and</w:t>
      </w:r>
    </w:p>
    <w:p>
      <w:pPr>
        <w:pStyle w:val="nzIndenti"/>
        <w:keepNext/>
        <w:rPr>
          <w:snapToGrid w:val="0"/>
        </w:rPr>
      </w:pPr>
      <w:r>
        <w:rPr>
          <w:snapToGrid w:val="0"/>
        </w:rPr>
        <w:tab/>
        <w:t>(ii)</w:t>
      </w:r>
      <w:r>
        <w:rPr>
          <w:snapToGrid w:val="0"/>
        </w:rPr>
        <w:tab/>
        <w:t xml:space="preserve">by inserting after “kept by” the following — </w:t>
      </w:r>
    </w:p>
    <w:p>
      <w:pPr>
        <w:pStyle w:val="nzIndenti"/>
        <w:rPr>
          <w:snapToGrid w:val="0"/>
        </w:rPr>
      </w:pPr>
      <w:r>
        <w:rPr>
          <w:snapToGrid w:val="0"/>
        </w:rPr>
        <w:tab/>
      </w:r>
      <w:r>
        <w:rPr>
          <w:snapToGrid w:val="0"/>
        </w:rPr>
        <w:tab/>
        <w:t>“    a warden,    ”;</w:t>
      </w:r>
    </w:p>
    <w:p>
      <w:pPr>
        <w:pStyle w:val="nzIndenta"/>
        <w:rPr>
          <w:snapToGrid w:val="0"/>
        </w:rPr>
      </w:pPr>
      <w:r>
        <w:rPr>
          <w:snapToGrid w:val="0"/>
        </w:rPr>
        <w:t xml:space="preserve"> </w:t>
      </w:r>
      <w:r>
        <w:rPr>
          <w:snapToGrid w:val="0"/>
        </w:rPr>
        <w:tab/>
        <w:t>(b)</w:t>
      </w:r>
      <w:r>
        <w:rPr>
          <w:snapToGrid w:val="0"/>
        </w:rPr>
        <w:tab/>
        <w:t xml:space="preserve">by inserting after paragraph (q) the following paragraph — </w:t>
      </w:r>
    </w:p>
    <w:p>
      <w:pPr>
        <w:pStyle w:val="MiscOpen"/>
        <w:rPr>
          <w:snapToGrid w:val="0"/>
        </w:rPr>
      </w:pPr>
      <w:r>
        <w:rPr>
          <w:snapToGrid w:val="0"/>
        </w:rPr>
        <w:tab/>
      </w:r>
      <w:r>
        <w:rPr>
          <w:snapToGrid w:val="0"/>
        </w:rPr>
        <w:tab/>
      </w:r>
      <w:r>
        <w:rPr>
          <w:snapToGrid w:val="0"/>
        </w:rPr>
        <w:tab/>
        <w:t>“</w:t>
      </w:r>
    </w:p>
    <w:p>
      <w:pPr>
        <w:pStyle w:val="nzIndenta"/>
        <w:tabs>
          <w:tab w:val="clear" w:pos="1899"/>
          <w:tab w:val="clear" w:pos="2183"/>
          <w:tab w:val="right" w:pos="2977"/>
          <w:tab w:val="left" w:pos="3261"/>
          <w:tab w:val="left" w:pos="6237"/>
        </w:tabs>
        <w:ind w:left="3261" w:right="861" w:hanging="1929"/>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MiscClose"/>
        <w:tabs>
          <w:tab w:val="left" w:pos="6521"/>
        </w:tabs>
        <w:ind w:right="577"/>
        <w:rPr>
          <w:snapToGrid w:val="0"/>
        </w:rPr>
      </w:pPr>
      <w:r>
        <w:rPr>
          <w:snapToGrid w:val="0"/>
        </w:rPr>
        <w:t>”;</w:t>
      </w:r>
    </w:p>
    <w:p>
      <w:pPr>
        <w:pStyle w:val="nzIndenta"/>
        <w:rPr>
          <w:snapToGrid w:val="0"/>
        </w:rPr>
      </w:pPr>
      <w:r>
        <w:rPr>
          <w:snapToGrid w:val="0"/>
        </w:rPr>
        <w:tab/>
        <w:t>(c)</w:t>
      </w:r>
      <w:r>
        <w:rPr>
          <w:snapToGrid w:val="0"/>
        </w:rPr>
        <w:tab/>
        <w:t xml:space="preserve">in paragraph (u) — </w:t>
      </w:r>
    </w:p>
    <w:p>
      <w:pPr>
        <w:pStyle w:val="nzIndenti"/>
        <w:rPr>
          <w:snapToGrid w:val="0"/>
        </w:rPr>
      </w:pPr>
      <w:r>
        <w:rPr>
          <w:snapToGrid w:val="0"/>
        </w:rPr>
        <w:tab/>
        <w:t>(i)</w:t>
      </w:r>
      <w:r>
        <w:rPr>
          <w:snapToGrid w:val="0"/>
        </w:rPr>
        <w:tab/>
        <w:t xml:space="preserve">by deleting “regulating” and substituting the following — </w:t>
      </w:r>
    </w:p>
    <w:p>
      <w:pPr>
        <w:pStyle w:val="nzIndenti"/>
        <w:rPr>
          <w:snapToGrid w:val="0"/>
        </w:rPr>
      </w:pPr>
      <w:r>
        <w:rPr>
          <w:snapToGrid w:val="0"/>
        </w:rPr>
        <w:tab/>
      </w:r>
      <w:r>
        <w:rPr>
          <w:snapToGrid w:val="0"/>
        </w:rPr>
        <w:tab/>
        <w:t>“    regulate    ”; and</w:t>
      </w:r>
    </w:p>
    <w:p>
      <w:pPr>
        <w:pStyle w:val="nzIndenti"/>
        <w:rPr>
          <w:snapToGrid w:val="0"/>
        </w:rPr>
      </w:pPr>
      <w:r>
        <w:rPr>
          <w:snapToGrid w:val="0"/>
        </w:rPr>
        <w:tab/>
        <w:t>(ii)</w:t>
      </w:r>
      <w:r>
        <w:rPr>
          <w:snapToGrid w:val="0"/>
        </w:rPr>
        <w:tab/>
        <w:t xml:space="preserve">by deleting “imposing” and substituting the following — </w:t>
      </w:r>
    </w:p>
    <w:p>
      <w:pPr>
        <w:pStyle w:val="nzIndenti"/>
        <w:rPr>
          <w:snapToGrid w:val="0"/>
        </w:rPr>
      </w:pPr>
      <w:r>
        <w:rPr>
          <w:snapToGrid w:val="0"/>
        </w:rPr>
        <w:tab/>
      </w:r>
      <w:r>
        <w:rPr>
          <w:snapToGrid w:val="0"/>
        </w:rPr>
        <w:tab/>
        <w:t>“    impose    ”;</w:t>
      </w:r>
    </w:p>
    <w:p>
      <w:pPr>
        <w:pStyle w:val="nzIndenta"/>
        <w:rPr>
          <w:snapToGrid w:val="0"/>
        </w:rPr>
      </w:pPr>
      <w:r>
        <w:rPr>
          <w:snapToGrid w:val="0"/>
        </w:rPr>
        <w:tab/>
        <w:t>(d)</w:t>
      </w:r>
      <w:r>
        <w:rPr>
          <w:snapToGrid w:val="0"/>
        </w:rPr>
        <w:tab/>
        <w:t xml:space="preserve">in paragraph (v) by deleting “providing” in both places where it occurs and substituting in each place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(e)</w:t>
      </w:r>
      <w:r>
        <w:rPr>
          <w:snapToGrid w:val="0"/>
        </w:rPr>
        <w:tab/>
        <w:t xml:space="preserve">in paragraph (w) by deleting “providing” and substituting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(f)</w:t>
      </w:r>
      <w:r>
        <w:rPr>
          <w:snapToGrid w:val="0"/>
        </w:rPr>
        <w:tab/>
        <w:t xml:space="preserve">in paragraph (x) by deleting “authorising and regulating” and substituting the following — </w:t>
      </w:r>
    </w:p>
    <w:p>
      <w:pPr>
        <w:pStyle w:val="nzIndenta"/>
        <w:rPr>
          <w:snapToGrid w:val="0"/>
        </w:rPr>
      </w:pPr>
      <w:r>
        <w:rPr>
          <w:snapToGrid w:val="0"/>
        </w:rPr>
        <w:tab/>
      </w:r>
      <w:r>
        <w:rPr>
          <w:snapToGrid w:val="0"/>
        </w:rPr>
        <w:tab/>
        <w:t>“    authorise and regulate    ”; and</w:t>
      </w:r>
    </w:p>
    <w:p>
      <w:pPr>
        <w:pStyle w:val="nzIndenta"/>
        <w:rPr>
          <w:snapToGrid w:val="0"/>
        </w:rPr>
      </w:pPr>
      <w:r>
        <w:rPr>
          <w:snapToGrid w:val="0"/>
        </w:rPr>
        <w:tab/>
        <w:t>(g)</w:t>
      </w:r>
      <w:r>
        <w:rPr>
          <w:snapToGrid w:val="0"/>
        </w:rPr>
        <w:tab/>
        <w:t xml:space="preserve">in paragraph (y) by deleting “prescribing and regulating” and substituting the following — </w:t>
      </w:r>
    </w:p>
    <w:p>
      <w:pPr>
        <w:pStyle w:val="nzIndenta"/>
        <w:rPr>
          <w:snapToGrid w:val="0"/>
        </w:rPr>
      </w:pPr>
      <w:r>
        <w:rPr>
          <w:snapToGrid w:val="0"/>
        </w:rPr>
        <w:tab/>
      </w:r>
      <w:r>
        <w:rPr>
          <w:snapToGrid w:val="0"/>
        </w:rPr>
        <w:tab/>
        <w:t>“    prescribe and regulate    ”.</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5 reads as follows:</w:t>
      </w:r>
    </w:p>
    <w:p>
      <w:pPr>
        <w:pStyle w:val="MiscOpen"/>
        <w:tabs>
          <w:tab w:val="clear" w:pos="893"/>
        </w:tabs>
        <w:rPr>
          <w:snapToGrid w:val="0"/>
        </w:rPr>
      </w:pPr>
      <w:r>
        <w:rPr>
          <w:snapToGrid w:val="0"/>
        </w:rPr>
        <w:t>“</w:t>
      </w:r>
    </w:p>
    <w:p>
      <w:pPr>
        <w:pStyle w:val="nzHeading3"/>
        <w:rPr>
          <w:snapToGrid w:val="0"/>
        </w:rPr>
      </w:pPr>
      <w:bookmarkStart w:id="1461" w:name="_Toc523620955"/>
      <w:r>
        <w:rPr>
          <w:snapToGrid w:val="0"/>
        </w:rPr>
        <w:t>Division 5 — Mining Act 1978</w:t>
      </w:r>
      <w:bookmarkEnd w:id="1461"/>
      <w:r>
        <w:rPr>
          <w:snapToGrid w:val="0"/>
        </w:rPr>
        <w:t xml:space="preserve"> </w:t>
      </w:r>
    </w:p>
    <w:p>
      <w:pPr>
        <w:pStyle w:val="nzHeading5"/>
        <w:rPr>
          <w:snapToGrid w:val="0"/>
        </w:rPr>
      </w:pPr>
      <w:bookmarkStart w:id="1462" w:name="_Toc465061836"/>
      <w:bookmarkStart w:id="1463" w:name="_Toc465760625"/>
      <w:bookmarkStart w:id="1464" w:name="_Toc469927473"/>
      <w:r>
        <w:t>35.</w:t>
      </w:r>
      <w:r>
        <w:tab/>
      </w:r>
      <w:r>
        <w:rPr>
          <w:snapToGrid w:val="0"/>
        </w:rPr>
        <w:t>The Act amended</w:t>
      </w:r>
      <w:bookmarkEnd w:id="1462"/>
      <w:bookmarkEnd w:id="1463"/>
      <w:bookmarkEnd w:id="1464"/>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465" w:name="_Toc465061837"/>
      <w:bookmarkStart w:id="1466" w:name="_Toc465760626"/>
      <w:bookmarkStart w:id="1467" w:name="_Toc469927474"/>
      <w:r>
        <w:rPr>
          <w:snapToGrid w:val="0"/>
        </w:rPr>
        <w:t>36.</w:t>
      </w:r>
      <w:r>
        <w:rPr>
          <w:snapToGrid w:val="0"/>
        </w:rPr>
        <w:tab/>
        <w:t>Section 19 amended</w:t>
      </w:r>
      <w:bookmarkEnd w:id="1465"/>
      <w:bookmarkEnd w:id="1466"/>
      <w:bookmarkEnd w:id="1467"/>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468" w:name="_Toc465061838"/>
      <w:bookmarkStart w:id="1469" w:name="_Toc465760627"/>
      <w:bookmarkStart w:id="1470" w:name="_Toc469927475"/>
      <w:r>
        <w:rPr>
          <w:snapToGrid w:val="0"/>
        </w:rPr>
        <w:t>37.</w:t>
      </w:r>
      <w:r>
        <w:rPr>
          <w:snapToGrid w:val="0"/>
        </w:rPr>
        <w:tab/>
        <w:t>Section 39A inserted</w:t>
      </w:r>
      <w:bookmarkEnd w:id="1468"/>
      <w:bookmarkEnd w:id="1469"/>
      <w:bookmarkEnd w:id="1470"/>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471" w:name="_Hlt464965881"/>
      <w:r>
        <w:rPr>
          <w:snapToGrid w:val="0"/>
        </w:rPr>
        <w:t>3</w:t>
      </w:r>
      <w:bookmarkEnd w:id="1471"/>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472" w:name="_Hlt464961273"/>
      <w:r>
        <w:rPr>
          <w:snapToGrid w:val="0"/>
        </w:rPr>
        <w:t>11</w:t>
      </w:r>
      <w:bookmarkEnd w:id="147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473" w:name="_Toc465061839"/>
      <w:bookmarkStart w:id="1474" w:name="_Toc465760628"/>
      <w:bookmarkStart w:id="1475" w:name="_Toc469927476"/>
      <w:r>
        <w:rPr>
          <w:snapToGrid w:val="0"/>
        </w:rPr>
        <w:t>38.</w:t>
      </w:r>
      <w:r>
        <w:rPr>
          <w:snapToGrid w:val="0"/>
        </w:rPr>
        <w:tab/>
        <w:t>Section 49 amended</w:t>
      </w:r>
      <w:bookmarkEnd w:id="1473"/>
      <w:bookmarkEnd w:id="1474"/>
      <w:bookmarkEnd w:id="1475"/>
      <w:r>
        <w:rPr>
          <w:snapToGrid w:val="0"/>
        </w:rPr>
        <w:t xml:space="preserve"> </w:t>
      </w:r>
    </w:p>
    <w:p>
      <w:pPr>
        <w:pStyle w:val="nzSubsection"/>
        <w:rPr>
          <w:snapToGrid w:val="0"/>
        </w:rPr>
      </w:pPr>
      <w:r>
        <w:rPr>
          <w:snapToGrid w:val="0"/>
        </w:rPr>
        <w:tab/>
      </w:r>
      <w:r>
        <w:rPr>
          <w:snapToGrid w:val="0"/>
        </w:rPr>
        <w:tab/>
        <w:t>After section 49(1)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476" w:name="_Hlt464965978"/>
      <w:r>
        <w:rPr>
          <w:snapToGrid w:val="0"/>
        </w:rPr>
        <w:t>3</w:t>
      </w:r>
      <w:bookmarkEnd w:id="147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477" w:name="_Toc465061840"/>
      <w:bookmarkStart w:id="1478" w:name="_Toc465760629"/>
      <w:bookmarkStart w:id="1479" w:name="_Toc469927477"/>
      <w:r>
        <w:rPr>
          <w:snapToGrid w:val="0"/>
        </w:rPr>
        <w:t>39.</w:t>
      </w:r>
      <w:r>
        <w:rPr>
          <w:snapToGrid w:val="0"/>
        </w:rPr>
        <w:tab/>
        <w:t>Section 56 amended</w:t>
      </w:r>
      <w:bookmarkEnd w:id="1477"/>
      <w:bookmarkEnd w:id="1478"/>
      <w:bookmarkEnd w:id="1479"/>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480" w:name="_Hlt467393596"/>
      <w:r>
        <w:rPr>
          <w:snapToGrid w:val="0"/>
        </w:rPr>
        <w:t>26</w:t>
      </w:r>
      <w:bookmarkEnd w:id="1480"/>
      <w:r>
        <w:rPr>
          <w:snapToGrid w:val="0"/>
        </w:rPr>
        <w:t>, 3.22(1) or 4.</w:t>
      </w:r>
      <w:bookmarkStart w:id="1481" w:name="_Hlt467393777"/>
      <w:r>
        <w:rPr>
          <w:snapToGrid w:val="0"/>
        </w:rPr>
        <w:t>21</w:t>
      </w:r>
      <w:bookmarkEnd w:id="1481"/>
      <w:r>
        <w:rPr>
          <w:snapToGrid w:val="0"/>
        </w:rPr>
        <w:t xml:space="preserve"> that is given to the Commission under section 2.</w:t>
      </w:r>
      <w:bookmarkStart w:id="1482" w:name="_Hlt467393808"/>
      <w:r>
        <w:rPr>
          <w:snapToGrid w:val="0"/>
        </w:rPr>
        <w:t>26</w:t>
      </w:r>
      <w:bookmarkEnd w:id="1482"/>
      <w:r>
        <w:rPr>
          <w:snapToGrid w:val="0"/>
        </w:rPr>
        <w:t>, 3.</w:t>
      </w:r>
      <w:bookmarkStart w:id="1483" w:name="_Hlt467393876"/>
      <w:r>
        <w:rPr>
          <w:snapToGrid w:val="0"/>
        </w:rPr>
        <w:t>25</w:t>
      </w:r>
      <w:bookmarkEnd w:id="1483"/>
      <w:r>
        <w:rPr>
          <w:snapToGrid w:val="0"/>
        </w:rPr>
        <w:t xml:space="preserve"> or 4.</w:t>
      </w:r>
      <w:bookmarkStart w:id="1484" w:name="_Hlt467393902"/>
      <w:r>
        <w:rPr>
          <w:snapToGrid w:val="0"/>
        </w:rPr>
        <w:t>21</w:t>
      </w:r>
      <w:bookmarkEnd w:id="1484"/>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485" w:name="_Hlt467393937"/>
      <w:r>
        <w:rPr>
          <w:snapToGrid w:val="0"/>
        </w:rPr>
        <w:t>32</w:t>
      </w:r>
      <w:bookmarkEnd w:id="1485"/>
      <w:r>
        <w:rPr>
          <w:snapToGrid w:val="0"/>
        </w:rPr>
        <w:t xml:space="preserve"> or 4.</w:t>
      </w:r>
      <w:bookmarkStart w:id="1486" w:name="_Hlt467393985"/>
      <w:r>
        <w:rPr>
          <w:snapToGrid w:val="0"/>
        </w:rPr>
        <w:t>27</w:t>
      </w:r>
      <w:bookmarkEnd w:id="1486"/>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487" w:name="_Hlt467394019"/>
      <w:r>
        <w:rPr>
          <w:snapToGrid w:val="0"/>
        </w:rPr>
        <w:t>38</w:t>
      </w:r>
      <w:bookmarkEnd w:id="1487"/>
      <w:r>
        <w:rPr>
          <w:snapToGrid w:val="0"/>
        </w:rPr>
        <w:t>, 3.</w:t>
      </w:r>
      <w:bookmarkStart w:id="1488" w:name="_Hlt467394052"/>
      <w:r>
        <w:rPr>
          <w:snapToGrid w:val="0"/>
        </w:rPr>
        <w:t>29</w:t>
      </w:r>
      <w:bookmarkEnd w:id="1488"/>
      <w:r>
        <w:rPr>
          <w:snapToGrid w:val="0"/>
        </w:rPr>
        <w:t>, 3.</w:t>
      </w:r>
      <w:bookmarkStart w:id="1489" w:name="_Hlt467394127"/>
      <w:r>
        <w:rPr>
          <w:snapToGrid w:val="0"/>
        </w:rPr>
        <w:t>44</w:t>
      </w:r>
      <w:bookmarkEnd w:id="1489"/>
      <w:r>
        <w:rPr>
          <w:snapToGrid w:val="0"/>
        </w:rPr>
        <w:t xml:space="preserve"> or 4.</w:t>
      </w:r>
      <w:bookmarkStart w:id="1490" w:name="_Hlt467394161"/>
      <w:r>
        <w:rPr>
          <w:snapToGrid w:val="0"/>
        </w:rPr>
        <w:t>33</w:t>
      </w:r>
      <w:bookmarkEnd w:id="1490"/>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491" w:name="_Hlt467394212"/>
      <w:r>
        <w:rPr>
          <w:snapToGrid w:val="0"/>
        </w:rPr>
        <w:t>51</w:t>
      </w:r>
      <w:bookmarkEnd w:id="1491"/>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492" w:name="_Toc465061841"/>
      <w:bookmarkStart w:id="1493" w:name="_Toc465760630"/>
      <w:bookmarkStart w:id="1494" w:name="_Toc469927478"/>
      <w:r>
        <w:rPr>
          <w:snapToGrid w:val="0"/>
        </w:rPr>
        <w:t>40.</w:t>
      </w:r>
      <w:r>
        <w:rPr>
          <w:snapToGrid w:val="0"/>
        </w:rPr>
        <w:tab/>
        <w:t>Section 56AA inserted</w:t>
      </w:r>
      <w:bookmarkEnd w:id="1492"/>
      <w:bookmarkEnd w:id="1493"/>
      <w:bookmarkEnd w:id="1494"/>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keepLines/>
        <w:tabs>
          <w:tab w:val="left" w:pos="1134"/>
          <w:tab w:val="left" w:pos="1560"/>
        </w:tabs>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495" w:name="_Hlt464966470"/>
      <w:r>
        <w:rPr>
          <w:snapToGrid w:val="0"/>
        </w:rPr>
        <w:t>11</w:t>
      </w:r>
      <w:bookmarkEnd w:id="149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496" w:name="_Toc465061842"/>
      <w:bookmarkStart w:id="1497" w:name="_Toc465760631"/>
      <w:bookmarkStart w:id="1498" w:name="_Toc469927479"/>
      <w:r>
        <w:rPr>
          <w:snapToGrid w:val="0"/>
        </w:rPr>
        <w:t>41.</w:t>
      </w:r>
      <w:r>
        <w:rPr>
          <w:snapToGrid w:val="0"/>
        </w:rPr>
        <w:tab/>
        <w:t>Section 67 amended</w:t>
      </w:r>
      <w:bookmarkEnd w:id="1496"/>
      <w:bookmarkEnd w:id="1497"/>
      <w:bookmarkEnd w:id="1498"/>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499" w:name="_Hlt464966507"/>
      <w:r>
        <w:rPr>
          <w:snapToGrid w:val="0"/>
        </w:rPr>
        <w:t>3</w:t>
      </w:r>
      <w:bookmarkEnd w:id="149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00" w:name="_Toc465061843"/>
      <w:bookmarkStart w:id="1501" w:name="_Toc465760632"/>
      <w:bookmarkStart w:id="1502" w:name="_Toc469927480"/>
      <w:r>
        <w:rPr>
          <w:snapToGrid w:val="0"/>
        </w:rPr>
        <w:t>42.</w:t>
      </w:r>
      <w:r>
        <w:rPr>
          <w:snapToGrid w:val="0"/>
        </w:rPr>
        <w:tab/>
        <w:t>Section 70AA inserted</w:t>
      </w:r>
      <w:bookmarkEnd w:id="1500"/>
      <w:bookmarkEnd w:id="1501"/>
      <w:bookmarkEnd w:id="1502"/>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503" w:name="_Hlt464966521"/>
      <w:r>
        <w:rPr>
          <w:snapToGrid w:val="0"/>
        </w:rPr>
        <w:t>3</w:t>
      </w:r>
      <w:bookmarkEnd w:id="1503"/>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04" w:name="_Toc465061844"/>
      <w:bookmarkStart w:id="1505" w:name="_Toc465760633"/>
      <w:bookmarkStart w:id="1506" w:name="_Toc469927481"/>
      <w:r>
        <w:rPr>
          <w:snapToGrid w:val="0"/>
        </w:rPr>
        <w:t>43.</w:t>
      </w:r>
      <w:r>
        <w:rPr>
          <w:snapToGrid w:val="0"/>
        </w:rPr>
        <w:tab/>
        <w:t>Section 70L amended</w:t>
      </w:r>
      <w:bookmarkEnd w:id="1504"/>
      <w:bookmarkEnd w:id="1505"/>
      <w:bookmarkEnd w:id="1506"/>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507" w:name="_Hlt464966559"/>
      <w:r>
        <w:rPr>
          <w:snapToGrid w:val="0"/>
        </w:rPr>
        <w:t>3</w:t>
      </w:r>
      <w:bookmarkEnd w:id="150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08" w:name="_Toc465061845"/>
      <w:bookmarkStart w:id="1509" w:name="_Toc465760634"/>
      <w:bookmarkStart w:id="1510" w:name="_Toc469927482"/>
      <w:r>
        <w:rPr>
          <w:snapToGrid w:val="0"/>
        </w:rPr>
        <w:t>44.</w:t>
      </w:r>
      <w:r>
        <w:rPr>
          <w:snapToGrid w:val="0"/>
        </w:rPr>
        <w:tab/>
        <w:t>Section 70O inserted</w:t>
      </w:r>
      <w:bookmarkEnd w:id="1508"/>
      <w:bookmarkEnd w:id="1509"/>
      <w:bookmarkEnd w:id="1510"/>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tabs>
          <w:tab w:val="left" w:pos="1134"/>
          <w:tab w:val="left" w:pos="1560"/>
        </w:tabs>
        <w:spacing w:before="60"/>
        <w:rPr>
          <w:snapToGrid w:val="0"/>
        </w:rPr>
      </w:pPr>
      <w:r>
        <w:rPr>
          <w:snapToGrid w:val="0"/>
        </w:rPr>
        <w:t xml:space="preserve">“    </w:t>
      </w:r>
    </w:p>
    <w:p>
      <w:pPr>
        <w:pStyle w:val="nzMiscellaneousBody"/>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511" w:name="_Hlt464966584"/>
      <w:r>
        <w:rPr>
          <w:snapToGrid w:val="0"/>
        </w:rPr>
        <w:t>3</w:t>
      </w:r>
      <w:bookmarkEnd w:id="1511"/>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512" w:name="_Hlt464966599"/>
      <w:r>
        <w:rPr>
          <w:snapToGrid w:val="0"/>
        </w:rPr>
        <w:t>11</w:t>
      </w:r>
      <w:bookmarkEnd w:id="151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13" w:name="_Toc465061846"/>
      <w:bookmarkStart w:id="1514" w:name="_Toc465760635"/>
      <w:bookmarkStart w:id="1515" w:name="_Toc469927483"/>
      <w:r>
        <w:rPr>
          <w:snapToGrid w:val="0"/>
        </w:rPr>
        <w:t>45.</w:t>
      </w:r>
      <w:r>
        <w:rPr>
          <w:snapToGrid w:val="0"/>
        </w:rPr>
        <w:tab/>
        <w:t>Section 75 amended</w:t>
      </w:r>
      <w:bookmarkEnd w:id="1513"/>
      <w:bookmarkEnd w:id="1514"/>
      <w:bookmarkEnd w:id="1515"/>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516" w:name="_Hlt464966616"/>
      <w:r>
        <w:rPr>
          <w:snapToGrid w:val="0"/>
        </w:rPr>
        <w:t>3</w:t>
      </w:r>
      <w:bookmarkEnd w:id="151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17" w:name="_Toc465061847"/>
      <w:bookmarkStart w:id="1518" w:name="_Toc465760636"/>
      <w:bookmarkStart w:id="1519" w:name="_Toc469927484"/>
      <w:r>
        <w:rPr>
          <w:snapToGrid w:val="0"/>
        </w:rPr>
        <w:t>46.</w:t>
      </w:r>
      <w:r>
        <w:rPr>
          <w:snapToGrid w:val="0"/>
        </w:rPr>
        <w:tab/>
        <w:t>Section 85C inserted</w:t>
      </w:r>
      <w:bookmarkEnd w:id="1517"/>
      <w:bookmarkEnd w:id="1518"/>
      <w:bookmarkEnd w:id="1519"/>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20" w:name="_Toc465061848"/>
      <w:bookmarkStart w:id="1521" w:name="_Toc465760637"/>
      <w:bookmarkStart w:id="1522" w:name="_Toc469927485"/>
      <w:r>
        <w:rPr>
          <w:snapToGrid w:val="0"/>
        </w:rPr>
        <w:t>47.</w:t>
      </w:r>
      <w:r>
        <w:rPr>
          <w:snapToGrid w:val="0"/>
        </w:rPr>
        <w:tab/>
        <w:t>Section 90A inserted</w:t>
      </w:r>
      <w:bookmarkEnd w:id="1520"/>
      <w:bookmarkEnd w:id="1521"/>
      <w:bookmarkEnd w:id="1522"/>
      <w:r>
        <w:rPr>
          <w:snapToGrid w:val="0"/>
        </w:rPr>
        <w:t xml:space="preserve"> </w:t>
      </w:r>
    </w:p>
    <w:p>
      <w:pPr>
        <w:pStyle w:val="nzSubsection"/>
        <w:rPr>
          <w:snapToGrid w:val="0"/>
        </w:rPr>
      </w:pPr>
      <w:r>
        <w:rPr>
          <w:snapToGrid w:val="0"/>
        </w:rPr>
        <w:tab/>
      </w:r>
      <w:r>
        <w:rPr>
          <w:snapToGrid w:val="0"/>
        </w:rPr>
        <w:tab/>
        <w:t>Immediately before section 91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Mining Amendment Act 2002</w:t>
      </w:r>
      <w:r>
        <w:rPr>
          <w:snapToGrid w:val="0"/>
        </w:rPr>
        <w:t xml:space="preserve"> s. 12 had not come into operation.  It reads as follows:</w:t>
      </w:r>
    </w:p>
    <w:p>
      <w:pPr>
        <w:pStyle w:val="MiscOpen"/>
        <w:rPr>
          <w:snapToGrid w:val="0"/>
        </w:rPr>
      </w:pPr>
      <w:r>
        <w:rPr>
          <w:snapToGrid w:val="0"/>
        </w:rPr>
        <w:t>“</w:t>
      </w:r>
    </w:p>
    <w:p>
      <w:pPr>
        <w:pStyle w:val="nzHeading5"/>
      </w:pPr>
      <w:bookmarkStart w:id="1523" w:name="_Toc527273735"/>
      <w:r>
        <w:rPr>
          <w:rStyle w:val="CharSectno"/>
        </w:rPr>
        <w:t>12</w:t>
      </w:r>
      <w:r>
        <w:t>.</w:t>
      </w:r>
      <w:r>
        <w:tab/>
        <w:t>Section 65 amended</w:t>
      </w:r>
      <w:bookmarkEnd w:id="1523"/>
    </w:p>
    <w:p>
      <w:pPr>
        <w:pStyle w:val="nzSubsection"/>
      </w:pPr>
      <w:r>
        <w:tab/>
      </w:r>
      <w:r>
        <w:tab/>
        <w:t>Section 65(6) is repealed and the following subsection is inserted instead —</w:t>
      </w:r>
    </w:p>
    <w:p>
      <w:pPr>
        <w:pStyle w:val="MiscOpen"/>
        <w:ind w:left="595"/>
      </w:pPr>
      <w:r>
        <w:t xml:space="preserve">“    </w:t>
      </w:r>
    </w:p>
    <w:p>
      <w:pPr>
        <w:pStyle w:val="nzSubsection"/>
      </w:pPr>
      <w:r>
        <w:tab/>
        <w:t>(6)</w:t>
      </w:r>
      <w:r>
        <w:tab/>
        <w:t>Notwithstanding that a surrender has taken effect under this section any land the subject of the surrender shall not be —</w:t>
      </w:r>
    </w:p>
    <w:p>
      <w:pPr>
        <w:pStyle w:val="nzIndenta"/>
      </w:pPr>
      <w:r>
        <w:tab/>
        <w:t>(a)</w:t>
      </w:r>
      <w:r>
        <w:tab/>
        <w:t>marked out in connection with a mining tenement unless and until notification has been given in the prescribed manner of the proposed endorsement of plans for the purposes of paragraph (b); or</w:t>
      </w:r>
    </w:p>
    <w:p>
      <w:pPr>
        <w:pStyle w:val="nzIndenta"/>
      </w:pPr>
      <w:r>
        <w:tab/>
        <w:t>(b)</w:t>
      </w:r>
      <w:r>
        <w:tab/>
        <w:t>included in an application for a mining tenement unless and until the plans referred to in subsection (5) have been endorsed in the prescribed manner.</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Offshore Minerals (Consequential Amendments) Act 2003</w:t>
      </w:r>
      <w:r>
        <w:rPr>
          <w:snapToGrid w:val="0"/>
        </w:rPr>
        <w:t xml:space="preserve"> Pt. 2 had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1524" w:name="_Toc518099656"/>
      <w:bookmarkStart w:id="1525" w:name="_Toc518274217"/>
      <w:bookmarkStart w:id="1526" w:name="_Toc518274358"/>
      <w:bookmarkStart w:id="1527" w:name="_Toc37567343"/>
      <w:r>
        <w:rPr>
          <w:rStyle w:val="CharSectno"/>
        </w:rPr>
        <w:t>3</w:t>
      </w:r>
      <w:r>
        <w:rPr>
          <w:i/>
          <w:snapToGrid w:val="0"/>
        </w:rPr>
        <w:t>.</w:t>
      </w:r>
      <w:r>
        <w:rPr>
          <w:i/>
          <w:snapToGrid w:val="0"/>
        </w:rPr>
        <w:tab/>
      </w:r>
      <w:r>
        <w:rPr>
          <w:snapToGrid w:val="0"/>
        </w:rPr>
        <w:t>The Act amended by this Part</w:t>
      </w:r>
      <w:bookmarkEnd w:id="1524"/>
      <w:bookmarkEnd w:id="1525"/>
      <w:bookmarkEnd w:id="1526"/>
      <w:bookmarkEnd w:id="1527"/>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1528" w:name="_Toc518099657"/>
      <w:bookmarkStart w:id="1529" w:name="_Toc518274218"/>
      <w:bookmarkStart w:id="1530" w:name="_Toc518274359"/>
      <w:bookmarkStart w:id="1531" w:name="_Toc37567344"/>
      <w:r>
        <w:rPr>
          <w:rStyle w:val="CharSectno"/>
        </w:rPr>
        <w:t>4</w:t>
      </w:r>
      <w:r>
        <w:rPr>
          <w:snapToGrid w:val="0"/>
        </w:rPr>
        <w:t>.</w:t>
      </w:r>
      <w:r>
        <w:rPr>
          <w:snapToGrid w:val="0"/>
        </w:rPr>
        <w:tab/>
        <w:t>Section 8 amended</w:t>
      </w:r>
      <w:bookmarkEnd w:id="1528"/>
      <w:bookmarkEnd w:id="1529"/>
      <w:bookmarkEnd w:id="1530"/>
      <w:bookmarkEnd w:id="1531"/>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1532" w:name="_Toc518099658"/>
      <w:bookmarkStart w:id="1533" w:name="_Toc518274219"/>
      <w:bookmarkStart w:id="1534" w:name="_Toc518274360"/>
      <w:bookmarkStart w:id="1535" w:name="_Toc37567345"/>
      <w:r>
        <w:rPr>
          <w:rStyle w:val="CharSectno"/>
        </w:rPr>
        <w:t>5</w:t>
      </w:r>
      <w:r>
        <w:rPr>
          <w:snapToGrid w:val="0"/>
        </w:rPr>
        <w:t>.</w:t>
      </w:r>
      <w:r>
        <w:rPr>
          <w:snapToGrid w:val="0"/>
        </w:rPr>
        <w:tab/>
        <w:t>Section 9 amended</w:t>
      </w:r>
      <w:bookmarkEnd w:id="1532"/>
      <w:bookmarkEnd w:id="1533"/>
      <w:bookmarkEnd w:id="1534"/>
      <w:bookmarkEnd w:id="1535"/>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1536" w:name="_Toc518099659"/>
      <w:bookmarkStart w:id="1537" w:name="_Toc518274220"/>
      <w:bookmarkStart w:id="1538" w:name="_Toc518274361"/>
      <w:bookmarkStart w:id="1539" w:name="_Toc37567346"/>
      <w:r>
        <w:rPr>
          <w:rStyle w:val="CharSectno"/>
        </w:rPr>
        <w:t>6</w:t>
      </w:r>
      <w:r>
        <w:rPr>
          <w:snapToGrid w:val="0"/>
        </w:rPr>
        <w:t>.</w:t>
      </w:r>
      <w:r>
        <w:rPr>
          <w:snapToGrid w:val="0"/>
        </w:rPr>
        <w:tab/>
        <w:t>Section 9A inserted</w:t>
      </w:r>
      <w:bookmarkEnd w:id="1536"/>
      <w:bookmarkEnd w:id="1537"/>
      <w:bookmarkEnd w:id="1538"/>
      <w:bookmarkEnd w:id="1539"/>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rStyle w:val="CharDefText"/>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1540" w:name="_Toc518099660"/>
      <w:bookmarkStart w:id="1541" w:name="_Toc518274221"/>
      <w:bookmarkStart w:id="1542" w:name="_Toc518274362"/>
      <w:bookmarkStart w:id="1543" w:name="_Toc37567347"/>
      <w:r>
        <w:rPr>
          <w:rStyle w:val="CharSectno"/>
        </w:rPr>
        <w:t>7</w:t>
      </w:r>
      <w:r>
        <w:rPr>
          <w:snapToGrid w:val="0"/>
        </w:rPr>
        <w:t>.</w:t>
      </w:r>
      <w:r>
        <w:rPr>
          <w:snapToGrid w:val="0"/>
        </w:rPr>
        <w:tab/>
        <w:t>Section 16 amended</w:t>
      </w:r>
      <w:bookmarkEnd w:id="1540"/>
      <w:bookmarkEnd w:id="1541"/>
      <w:bookmarkEnd w:id="1542"/>
      <w:bookmarkEnd w:id="1543"/>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bookmarkStart w:id="1544" w:name="_Toc518099661"/>
      <w:bookmarkStart w:id="1545" w:name="_Toc518274222"/>
      <w:bookmarkStart w:id="1546" w:name="_Toc518274363"/>
      <w:bookmarkStart w:id="1547" w:name="_Toc37567348"/>
      <w:r>
        <w:rPr>
          <w:rStyle w:val="CharSectno"/>
        </w:rPr>
        <w:t>8</w:t>
      </w:r>
      <w:r>
        <w:rPr>
          <w:snapToGrid w:val="0"/>
        </w:rPr>
        <w:t>.</w:t>
      </w:r>
      <w:r>
        <w:rPr>
          <w:snapToGrid w:val="0"/>
        </w:rPr>
        <w:tab/>
        <w:t>Section 25 amended</w:t>
      </w:r>
      <w:bookmarkEnd w:id="1544"/>
      <w:bookmarkEnd w:id="1545"/>
      <w:bookmarkEnd w:id="1546"/>
      <w:bookmarkEnd w:id="1547"/>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rPr>
          <w:snapToGrid w:val="0"/>
        </w:rPr>
      </w:pPr>
      <w:bookmarkStart w:id="1548" w:name="_Toc518099662"/>
      <w:bookmarkStart w:id="1549" w:name="_Toc518274223"/>
      <w:bookmarkStart w:id="1550" w:name="_Toc518274364"/>
      <w:bookmarkStart w:id="1551" w:name="_Toc37567349"/>
      <w:r>
        <w:rPr>
          <w:rStyle w:val="CharSectno"/>
        </w:rPr>
        <w:t>9</w:t>
      </w:r>
      <w:r>
        <w:rPr>
          <w:snapToGrid w:val="0"/>
        </w:rPr>
        <w:t>.</w:t>
      </w:r>
      <w:r>
        <w:rPr>
          <w:snapToGrid w:val="0"/>
        </w:rPr>
        <w:tab/>
        <w:t>Section 56C amended</w:t>
      </w:r>
      <w:bookmarkEnd w:id="1548"/>
      <w:bookmarkEnd w:id="1549"/>
      <w:bookmarkEnd w:id="1550"/>
      <w:bookmarkEnd w:id="1551"/>
      <w:r>
        <w:rPr>
          <w:snapToGrid w:val="0"/>
        </w:rPr>
        <w:t xml:space="preserve"> </w:t>
      </w:r>
    </w:p>
    <w:p>
      <w:pPr>
        <w:pStyle w:val="nzSubsection"/>
        <w:rPr>
          <w:snapToGrid w:val="0"/>
        </w:rPr>
      </w:pPr>
      <w:r>
        <w:rPr>
          <w:snapToGrid w:val="0"/>
        </w:rPr>
        <w:tab/>
      </w:r>
      <w:r>
        <w:rPr>
          <w:snapToGrid w:val="0"/>
        </w:rPr>
        <w:tab/>
        <w:t>After section 56C(4) the following subsection is inserted — </w:t>
      </w:r>
    </w:p>
    <w:p>
      <w:pPr>
        <w:pStyle w:val="MiscOpen"/>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rStyle w:val="CharDefText"/>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1552" w:name="_Toc518099663"/>
      <w:bookmarkStart w:id="1553" w:name="_Toc518274224"/>
      <w:bookmarkStart w:id="1554" w:name="_Toc518274365"/>
      <w:bookmarkStart w:id="1555" w:name="_Toc37567350"/>
      <w:r>
        <w:rPr>
          <w:rStyle w:val="CharSectno"/>
        </w:rPr>
        <w:t>10</w:t>
      </w:r>
      <w:r>
        <w:rPr>
          <w:snapToGrid w:val="0"/>
        </w:rPr>
        <w:t>.</w:t>
      </w:r>
      <w:r>
        <w:rPr>
          <w:snapToGrid w:val="0"/>
        </w:rPr>
        <w:tab/>
        <w:t>Section 132 amended</w:t>
      </w:r>
      <w:bookmarkEnd w:id="1552"/>
      <w:bookmarkEnd w:id="1553"/>
      <w:bookmarkEnd w:id="1554"/>
      <w:bookmarkEnd w:id="1555"/>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ind w:right="567"/>
      </w:pP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Mining Amendment Act 2004 </w:t>
      </w:r>
      <w:r>
        <w:rPr>
          <w:snapToGrid w:val="0"/>
        </w:rPr>
        <w:t>Pt. 2</w:t>
      </w:r>
      <w:r>
        <w:rPr>
          <w:snapToGrid w:val="0"/>
        </w:rPr>
        <w:noBreakHyphen/>
        <w:t>10 and 12 had not come into operation.  They read as follows:</w:t>
      </w:r>
    </w:p>
    <w:p>
      <w:pPr>
        <w:pStyle w:val="MiscOpen"/>
        <w:rPr>
          <w:snapToGrid w:val="0"/>
        </w:rPr>
      </w:pPr>
      <w:r>
        <w:rPr>
          <w:snapToGrid w:val="0"/>
        </w:rPr>
        <w:t>“</w:t>
      </w:r>
    </w:p>
    <w:p>
      <w:pPr>
        <w:pStyle w:val="nzHeading2"/>
        <w:rPr>
          <w:rStyle w:val="CharPartNo"/>
        </w:rPr>
      </w:pPr>
      <w:bookmarkStart w:id="1556" w:name="_Toc67724575"/>
      <w:bookmarkStart w:id="1557" w:name="_Toc67799485"/>
      <w:bookmarkStart w:id="1558" w:name="_Toc67806290"/>
      <w:bookmarkStart w:id="1559" w:name="_Toc67807112"/>
      <w:bookmarkStart w:id="1560" w:name="_Toc67808125"/>
      <w:bookmarkStart w:id="1561" w:name="_Toc67808402"/>
      <w:bookmarkStart w:id="1562" w:name="_Toc67809836"/>
      <w:bookmarkStart w:id="1563" w:name="_Toc67813885"/>
      <w:bookmarkStart w:id="1564" w:name="_Toc67814207"/>
      <w:bookmarkStart w:id="1565" w:name="_Toc67911066"/>
      <w:bookmarkStart w:id="1566" w:name="_Toc67912044"/>
      <w:bookmarkStart w:id="1567" w:name="_Toc67980281"/>
      <w:bookmarkStart w:id="1568" w:name="_Toc67980389"/>
      <w:bookmarkStart w:id="1569" w:name="_Toc67980673"/>
      <w:bookmarkStart w:id="1570" w:name="_Toc67981195"/>
      <w:bookmarkStart w:id="1571" w:name="_Toc67981382"/>
      <w:bookmarkStart w:id="1572" w:name="_Toc67981956"/>
      <w:bookmarkStart w:id="1573" w:name="_Toc67997354"/>
      <w:bookmarkStart w:id="1574" w:name="_Toc68063309"/>
      <w:bookmarkStart w:id="1575" w:name="_Toc68070406"/>
      <w:bookmarkStart w:id="1576" w:name="_Toc68315338"/>
      <w:bookmarkStart w:id="1577" w:name="_Toc68321101"/>
      <w:bookmarkStart w:id="1578" w:name="_Toc68321208"/>
      <w:bookmarkStart w:id="1579" w:name="_Toc68321316"/>
      <w:bookmarkStart w:id="1580" w:name="_Toc68323942"/>
      <w:bookmarkStart w:id="1581" w:name="_Toc68325639"/>
      <w:bookmarkStart w:id="1582" w:name="_Toc68490814"/>
      <w:bookmarkStart w:id="1583" w:name="_Toc68494986"/>
      <w:bookmarkStart w:id="1584" w:name="_Toc68505803"/>
      <w:bookmarkStart w:id="1585" w:name="_Toc68506511"/>
      <w:bookmarkStart w:id="1586" w:name="_Toc68513223"/>
      <w:bookmarkStart w:id="1587" w:name="_Toc68515232"/>
      <w:bookmarkStart w:id="1588" w:name="_Toc68516437"/>
      <w:bookmarkStart w:id="1589" w:name="_Toc68517710"/>
      <w:bookmarkStart w:id="1590" w:name="_Toc68518029"/>
      <w:bookmarkStart w:id="1591" w:name="_Toc68518226"/>
      <w:bookmarkStart w:id="1592" w:name="_Toc68588030"/>
      <w:bookmarkStart w:id="1593" w:name="_Toc68942947"/>
      <w:bookmarkStart w:id="1594" w:name="_Toc68943899"/>
      <w:bookmarkStart w:id="1595" w:name="_Toc68944661"/>
      <w:bookmarkStart w:id="1596" w:name="_Toc68945467"/>
      <w:bookmarkStart w:id="1597" w:name="_Toc68946868"/>
      <w:bookmarkStart w:id="1598" w:name="_Toc68950706"/>
      <w:bookmarkStart w:id="1599" w:name="_Toc69017033"/>
      <w:bookmarkStart w:id="1600" w:name="_Toc69021805"/>
      <w:bookmarkStart w:id="1601" w:name="_Toc69022061"/>
      <w:bookmarkStart w:id="1602" w:name="_Toc69030789"/>
      <w:bookmarkStart w:id="1603" w:name="_Toc69100482"/>
      <w:bookmarkStart w:id="1604" w:name="_Toc69102728"/>
      <w:bookmarkStart w:id="1605" w:name="_Toc69117284"/>
      <w:bookmarkStart w:id="1606" w:name="_Toc69117990"/>
      <w:bookmarkStart w:id="1607" w:name="_Toc69271713"/>
      <w:bookmarkStart w:id="1608" w:name="_Toc69274090"/>
      <w:bookmarkStart w:id="1609" w:name="_Toc69274539"/>
      <w:bookmarkStart w:id="1610" w:name="_Toc69275297"/>
      <w:bookmarkStart w:id="1611" w:name="_Toc69275592"/>
      <w:bookmarkStart w:id="1612" w:name="_Toc69278358"/>
      <w:bookmarkStart w:id="1613" w:name="_Toc69280708"/>
      <w:bookmarkStart w:id="1614" w:name="_Toc69281049"/>
      <w:bookmarkStart w:id="1615" w:name="_Toc69281158"/>
      <w:bookmarkStart w:id="1616" w:name="_Toc69281325"/>
      <w:bookmarkStart w:id="1617" w:name="_Toc69281519"/>
      <w:bookmarkStart w:id="1618" w:name="_Toc70327068"/>
      <w:bookmarkStart w:id="1619" w:name="_Toc70405206"/>
      <w:bookmarkStart w:id="1620" w:name="_Toc70995369"/>
      <w:bookmarkStart w:id="1621" w:name="_Toc71712497"/>
      <w:bookmarkStart w:id="1622" w:name="_Toc71713952"/>
      <w:bookmarkStart w:id="1623" w:name="_Toc71878695"/>
      <w:bookmarkStart w:id="1624" w:name="_Toc71880039"/>
      <w:bookmarkStart w:id="1625" w:name="_Toc71884420"/>
      <w:bookmarkStart w:id="1626" w:name="_Toc71886998"/>
      <w:bookmarkStart w:id="1627" w:name="_Toc71887239"/>
      <w:bookmarkStart w:id="1628" w:name="_Toc71953145"/>
      <w:bookmarkStart w:id="1629" w:name="_Toc71953288"/>
      <w:bookmarkStart w:id="1630" w:name="_Toc71957035"/>
      <w:bookmarkStart w:id="1631" w:name="_Toc71963666"/>
      <w:bookmarkStart w:id="1632" w:name="_Toc71969758"/>
      <w:bookmarkStart w:id="1633" w:name="_Toc71969867"/>
      <w:bookmarkStart w:id="1634" w:name="_Toc71973470"/>
      <w:bookmarkStart w:id="1635" w:name="_Toc71975584"/>
      <w:bookmarkStart w:id="1636" w:name="_Toc71976392"/>
      <w:bookmarkStart w:id="1637" w:name="_Toc72026786"/>
      <w:bookmarkStart w:id="1638" w:name="_Toc72027044"/>
      <w:bookmarkStart w:id="1639" w:name="_Toc72029101"/>
      <w:bookmarkStart w:id="1640" w:name="_Toc72044628"/>
      <w:bookmarkStart w:id="1641" w:name="_Toc72044738"/>
      <w:bookmarkStart w:id="1642" w:name="_Toc72049657"/>
      <w:bookmarkStart w:id="1643" w:name="_Toc72049769"/>
      <w:bookmarkStart w:id="1644" w:name="_Toc72748169"/>
      <w:bookmarkStart w:id="1645" w:name="_Toc72812713"/>
      <w:bookmarkStart w:id="1646" w:name="_Toc72827578"/>
      <w:bookmarkStart w:id="1647" w:name="_Toc73154084"/>
      <w:bookmarkStart w:id="1648" w:name="_Toc73154510"/>
      <w:bookmarkStart w:id="1649" w:name="_Toc73156265"/>
      <w:bookmarkStart w:id="1650" w:name="_Toc73156385"/>
      <w:bookmarkStart w:id="1651" w:name="_Toc73158352"/>
      <w:bookmarkStart w:id="1652" w:name="_Toc73158680"/>
      <w:bookmarkStart w:id="1653" w:name="_Toc73159045"/>
      <w:bookmarkStart w:id="1654" w:name="_Toc73159186"/>
      <w:bookmarkStart w:id="1655" w:name="_Toc73159861"/>
      <w:bookmarkStart w:id="1656" w:name="_Toc73160787"/>
      <w:bookmarkStart w:id="1657" w:name="_Toc73161581"/>
      <w:bookmarkStart w:id="1658" w:name="_Toc73161752"/>
      <w:bookmarkStart w:id="1659" w:name="_Toc73164186"/>
      <w:bookmarkStart w:id="1660" w:name="_Toc73179755"/>
      <w:bookmarkStart w:id="1661" w:name="_Toc73184296"/>
      <w:bookmarkStart w:id="1662" w:name="_Toc73241565"/>
      <w:bookmarkStart w:id="1663" w:name="_Toc73242127"/>
      <w:bookmarkStart w:id="1664" w:name="_Toc73242867"/>
      <w:bookmarkStart w:id="1665" w:name="_Toc73242984"/>
      <w:bookmarkStart w:id="1666" w:name="_Toc73243101"/>
      <w:bookmarkStart w:id="1667" w:name="_Toc73245156"/>
      <w:bookmarkStart w:id="1668" w:name="_Toc73245966"/>
      <w:bookmarkStart w:id="1669" w:name="_Toc73251484"/>
      <w:bookmarkStart w:id="1670" w:name="_Toc73258480"/>
      <w:bookmarkStart w:id="1671" w:name="_Toc73259561"/>
      <w:bookmarkStart w:id="1672" w:name="_Toc73421898"/>
      <w:bookmarkStart w:id="1673" w:name="_Toc73427299"/>
      <w:bookmarkStart w:id="1674" w:name="_Toc73428225"/>
      <w:bookmarkStart w:id="1675" w:name="_Toc73428342"/>
      <w:bookmarkStart w:id="1676" w:name="_Toc73428459"/>
      <w:bookmarkStart w:id="1677" w:name="_Toc73428713"/>
      <w:bookmarkStart w:id="1678" w:name="_Toc73428946"/>
      <w:bookmarkStart w:id="1679" w:name="_Toc73429434"/>
      <w:bookmarkStart w:id="1680" w:name="_Toc73436586"/>
      <w:bookmarkStart w:id="1681" w:name="_Toc73437429"/>
      <w:bookmarkStart w:id="1682" w:name="_Toc81200116"/>
      <w:bookmarkStart w:id="1683" w:name="_Toc81201727"/>
      <w:bookmarkStart w:id="1684" w:name="_Toc81208981"/>
      <w:r>
        <w:rPr>
          <w:rStyle w:val="CharPartNo"/>
        </w:rPr>
        <w:t>Part 2 — Amendments about prospecting licences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nzHeading5"/>
      </w:pPr>
      <w:bookmarkStart w:id="1685" w:name="_Toc87061455"/>
      <w:r>
        <w:rPr>
          <w:rStyle w:val="CharSectno"/>
        </w:rPr>
        <w:t>4</w:t>
      </w:r>
      <w:r>
        <w:t>.</w:t>
      </w:r>
      <w:r>
        <w:tab/>
        <w:t>Section 43 amended</w:t>
      </w:r>
      <w:bookmarkEnd w:id="1685"/>
    </w:p>
    <w:p>
      <w:pPr>
        <w:pStyle w:val="nzSubsection"/>
      </w:pPr>
      <w:r>
        <w:tab/>
      </w:r>
      <w:r>
        <w:tab/>
        <w:t xml:space="preserve">Section 43(2) is amended by inserting after “section 56A” — </w:t>
      </w:r>
    </w:p>
    <w:p>
      <w:pPr>
        <w:pStyle w:val="MiscOpen"/>
        <w:ind w:left="880"/>
      </w:pPr>
      <w:r>
        <w:t xml:space="preserve">“    </w:t>
      </w:r>
    </w:p>
    <w:p>
      <w:pPr>
        <w:pStyle w:val="nzSubsection"/>
      </w:pPr>
      <w:r>
        <w:tab/>
      </w:r>
      <w:r>
        <w:tab/>
        <w:t>or a prospecting licence granted in respect of an application under section 56B</w:t>
      </w:r>
    </w:p>
    <w:p>
      <w:pPr>
        <w:pStyle w:val="MiscClose"/>
      </w:pPr>
      <w:r>
        <w:t xml:space="preserve">    ”.</w:t>
      </w:r>
    </w:p>
    <w:p>
      <w:pPr>
        <w:pStyle w:val="nzHeading5"/>
      </w:pPr>
      <w:bookmarkStart w:id="1686" w:name="_Toc87061456"/>
      <w:r>
        <w:rPr>
          <w:rStyle w:val="CharSectno"/>
        </w:rPr>
        <w:t>5</w:t>
      </w:r>
      <w:r>
        <w:t>.</w:t>
      </w:r>
      <w:r>
        <w:tab/>
        <w:t>Section 45 amended and savings provision</w:t>
      </w:r>
      <w:bookmarkEnd w:id="1686"/>
    </w:p>
    <w:p>
      <w:pPr>
        <w:pStyle w:val="nzSubsection"/>
      </w:pPr>
      <w:r>
        <w:tab/>
        <w:t>(1)</w:t>
      </w:r>
      <w:r>
        <w:tab/>
        <w:t xml:space="preserve">After section 45(1) the following subsections are inserted — </w:t>
      </w:r>
    </w:p>
    <w:p>
      <w:pPr>
        <w:pStyle w:val="MiscOpen"/>
        <w:ind w:left="600"/>
      </w:pPr>
      <w:r>
        <w:t xml:space="preserve">“    </w:t>
      </w:r>
    </w:p>
    <w:p>
      <w:pPr>
        <w:pStyle w:val="nzSubsection"/>
      </w:pPr>
      <w:r>
        <w:tab/>
        <w:t>(1a)</w:t>
      </w:r>
      <w:r>
        <w:tab/>
        <w:t xml:space="preserve">Notwithstanding subsection (1) the Minister may, if satisfied that a prescribed ground for extension exists, extend the term of a prospecting licence — </w:t>
      </w:r>
    </w:p>
    <w:p>
      <w:pPr>
        <w:pStyle w:val="nzIndenta"/>
      </w:pPr>
      <w:r>
        <w:tab/>
        <w:t>(a)</w:t>
      </w:r>
      <w:r>
        <w:tab/>
        <w:t>by one period of 4 years; and</w:t>
      </w:r>
    </w:p>
    <w:p>
      <w:pPr>
        <w:pStyle w:val="nzIndenta"/>
      </w:pPr>
      <w:r>
        <w:tab/>
        <w:t>(b)</w:t>
      </w:r>
      <w:r>
        <w:tab/>
        <w:t>if the licence has retention status, by a further period or periods of 4 years.</w:t>
      </w:r>
    </w:p>
    <w:p>
      <w:pPr>
        <w:pStyle w:val="nz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nz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nzSubsection"/>
      </w:pPr>
      <w:r>
        <w:tab/>
        <w:t>(1d)</w:t>
      </w:r>
      <w:r>
        <w:tab/>
        <w:t xml:space="preserve">If — </w:t>
      </w:r>
    </w:p>
    <w:p>
      <w:pPr>
        <w:pStyle w:val="nzIndenta"/>
      </w:pPr>
      <w:r>
        <w:tab/>
        <w:t>(a)</w:t>
      </w:r>
      <w:r>
        <w:tab/>
        <w:t>an extension application is made in respect of a prospecting licence the term of which has been extended under subsection (1a)(a); and</w:t>
      </w:r>
    </w:p>
    <w:p>
      <w:pPr>
        <w:pStyle w:val="nzIndenta"/>
      </w:pPr>
      <w:r>
        <w:tab/>
        <w:t>(b)</w:t>
      </w:r>
      <w:r>
        <w:tab/>
        <w:t xml:space="preserve">an application for retention status in respect of the prospecting licence — </w:t>
      </w:r>
    </w:p>
    <w:p>
      <w:pPr>
        <w:pStyle w:val="nzIndenti"/>
      </w:pPr>
      <w:r>
        <w:tab/>
        <w:t>(i)</w:t>
      </w:r>
      <w:r>
        <w:tab/>
        <w:t>is pending when the extension application is made; or</w:t>
      </w:r>
    </w:p>
    <w:p>
      <w:pPr>
        <w:pStyle w:val="nzIndenti"/>
      </w:pPr>
      <w:r>
        <w:tab/>
        <w:t>(ii)</w:t>
      </w:r>
      <w:r>
        <w:tab/>
        <w:t>is made at the same time as the extension application,</w:t>
      </w:r>
    </w:p>
    <w:p>
      <w:pPr>
        <w:pStyle w:val="nzIndenta"/>
      </w:pPr>
      <w:r>
        <w:tab/>
      </w:r>
      <w:r>
        <w:tab/>
        <w:t>the extension application shall not be determined until the application for retention status has been determined.</w:t>
      </w:r>
    </w:p>
    <w:p>
      <w:pPr>
        <w:pStyle w:val="nz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MiscClose"/>
      </w:pPr>
      <w:r>
        <w:t xml:space="preserve">    ”.</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pPr>
      <w:bookmarkStart w:id="1687" w:name="_Toc87061457"/>
      <w:r>
        <w:rPr>
          <w:rStyle w:val="CharSectno"/>
        </w:rPr>
        <w:t>6</w:t>
      </w:r>
      <w:r>
        <w:t>.</w:t>
      </w:r>
      <w:r>
        <w:tab/>
        <w:t>Section 46 amended and transitional provision</w:t>
      </w:r>
      <w:bookmarkEnd w:id="1687"/>
    </w:p>
    <w:p>
      <w:pPr>
        <w:pStyle w:val="nzSubsection"/>
      </w:pPr>
      <w:r>
        <w:tab/>
        <w:t>(1)</w:t>
      </w:r>
      <w:r>
        <w:tab/>
        <w:t>Section 46 is amended as follows:</w:t>
      </w:r>
    </w:p>
    <w:p>
      <w:pPr>
        <w:pStyle w:val="nzIndenta"/>
      </w:pPr>
      <w:r>
        <w:tab/>
        <w:t>(a)</w:t>
      </w:r>
      <w:r>
        <w:tab/>
        <w:t xml:space="preserve">after paragraph (a) by inserting the following paragraph — </w:t>
      </w:r>
    </w:p>
    <w:p>
      <w:pPr>
        <w:pStyle w:val="MiscOpen"/>
        <w:ind w:left="1340"/>
      </w:pPr>
      <w:r>
        <w:t xml:space="preserve">“    </w:t>
      </w:r>
    </w:p>
    <w:p>
      <w:pPr>
        <w:pStyle w:val="nzIndenta"/>
      </w:pPr>
      <w:r>
        <w:tab/>
        <w:t>(aa)</w:t>
      </w:r>
      <w:r>
        <w:tab/>
        <w:t xml:space="preserve">that no ground disturbing equipment will be used by the holder when prospecting on the land the subject of the prospecting licence unless — </w:t>
      </w:r>
    </w:p>
    <w:p>
      <w:pPr>
        <w:pStyle w:val="nzIndenti"/>
      </w:pPr>
      <w:r>
        <w:tab/>
        <w:t>(i)</w:t>
      </w:r>
      <w:r>
        <w:tab/>
        <w:t>the holder has lodged in the prescribed manner a programme of work in respect of that use; and</w:t>
      </w:r>
    </w:p>
    <w:p>
      <w:pPr>
        <w:pStyle w:val="nzIndenti"/>
      </w:pPr>
      <w:r>
        <w:tab/>
        <w:t>(ii)</w:t>
      </w:r>
      <w:r>
        <w:tab/>
        <w:t>the programme of work has been approved in writing by the Minister or a prescribed official;</w:t>
      </w:r>
    </w:p>
    <w:p>
      <w:pPr>
        <w:pStyle w:val="MiscClose"/>
      </w:pPr>
      <w:r>
        <w:t xml:space="preserve">    ”;</w:t>
      </w:r>
    </w:p>
    <w:p>
      <w:pPr>
        <w:pStyle w:val="nzIndenta"/>
      </w:pPr>
      <w:r>
        <w:tab/>
        <w:t>(b)</w:t>
      </w:r>
      <w:r>
        <w:tab/>
        <w:t xml:space="preserve">in paragraph (b) — </w:t>
      </w:r>
    </w:p>
    <w:p>
      <w:pPr>
        <w:pStyle w:val="nzIndenti"/>
      </w:pPr>
      <w:r>
        <w:tab/>
        <w:t>(i)</w:t>
      </w:r>
      <w:r>
        <w:tab/>
        <w:t xml:space="preserve">by deleting “the State Mining Engineer” in the first place where it occurs and inserting instead — </w:t>
      </w:r>
    </w:p>
    <w:p>
      <w:pPr>
        <w:pStyle w:val="nzIndenti"/>
      </w:pPr>
      <w:r>
        <w:tab/>
      </w:r>
      <w:r>
        <w:tab/>
        <w:t>“    a prescribed official    ”;</w:t>
      </w:r>
    </w:p>
    <w:p>
      <w:pPr>
        <w:pStyle w:val="nzIndenti"/>
      </w:pPr>
      <w:r>
        <w:tab/>
        <w:t>(ii)</w:t>
      </w:r>
      <w:r>
        <w:tab/>
        <w:t xml:space="preserve">by deleting “the State Mining Engineer” in the second place where it occurs and inserting instead — </w:t>
      </w:r>
    </w:p>
    <w:p>
      <w:pPr>
        <w:pStyle w:val="nzIndenti"/>
      </w:pPr>
      <w:r>
        <w:tab/>
      </w:r>
      <w:r>
        <w:tab/>
        <w:t>“    the prescribed official    ”.</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pPr>
      <w:bookmarkStart w:id="1688" w:name="_Toc87061458"/>
      <w:r>
        <w:rPr>
          <w:rStyle w:val="CharSectno"/>
        </w:rPr>
        <w:t>7</w:t>
      </w:r>
      <w:r>
        <w:t>.</w:t>
      </w:r>
      <w:r>
        <w:tab/>
        <w:t>Section 56B inserted</w:t>
      </w:r>
      <w:bookmarkEnd w:id="1688"/>
    </w:p>
    <w:p>
      <w:pPr>
        <w:pStyle w:val="nzSubsection"/>
      </w:pPr>
      <w:r>
        <w:tab/>
      </w:r>
      <w:r>
        <w:tab/>
        <w:t xml:space="preserve">After section 56A the following section is inserted in Part IV Division 1 — </w:t>
      </w:r>
    </w:p>
    <w:p>
      <w:pPr>
        <w:pStyle w:val="MiscOpen"/>
      </w:pPr>
      <w:r>
        <w:t xml:space="preserve">“    </w:t>
      </w:r>
    </w:p>
    <w:p>
      <w:pPr>
        <w:pStyle w:val="nzHeading5"/>
      </w:pPr>
      <w:r>
        <w:t>56B.</w:t>
      </w:r>
      <w:r>
        <w:tab/>
        <w:t>Certain licence holders to have right to apply for further prospecting licence</w:t>
      </w:r>
    </w:p>
    <w:p>
      <w:pPr>
        <w:pStyle w:val="nzSubsection"/>
      </w:pPr>
      <w:r>
        <w:tab/>
        <w:t>(1)</w:t>
      </w:r>
      <w:r>
        <w:tab/>
        <w:t xml:space="preserve">In this section — </w:t>
      </w:r>
    </w:p>
    <w:p>
      <w:pPr>
        <w:pStyle w:val="nz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nzSubsection"/>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nzSubsection"/>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nzSubsection"/>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MiscClose"/>
      </w:pPr>
      <w:r>
        <w:t xml:space="preserve">    ”.</w:t>
      </w:r>
    </w:p>
    <w:p>
      <w:pPr>
        <w:pStyle w:val="nzHeading2"/>
      </w:pPr>
      <w:bookmarkStart w:id="1689" w:name="_Toc73160792"/>
      <w:bookmarkStart w:id="1690" w:name="_Toc73161586"/>
      <w:bookmarkStart w:id="1691" w:name="_Toc73161757"/>
      <w:bookmarkStart w:id="1692" w:name="_Toc73164191"/>
      <w:bookmarkStart w:id="1693" w:name="_Toc73179760"/>
      <w:bookmarkStart w:id="1694" w:name="_Toc73184301"/>
      <w:bookmarkStart w:id="1695" w:name="_Toc73241570"/>
      <w:bookmarkStart w:id="1696" w:name="_Toc73242132"/>
      <w:bookmarkStart w:id="1697" w:name="_Toc73242872"/>
      <w:bookmarkStart w:id="1698" w:name="_Toc73242989"/>
      <w:bookmarkStart w:id="1699" w:name="_Toc73243106"/>
      <w:bookmarkStart w:id="1700" w:name="_Toc73245161"/>
      <w:bookmarkStart w:id="1701" w:name="_Toc73245971"/>
      <w:bookmarkStart w:id="1702" w:name="_Toc73251489"/>
      <w:bookmarkStart w:id="1703" w:name="_Toc73258485"/>
      <w:bookmarkStart w:id="1704" w:name="_Toc73259566"/>
      <w:bookmarkStart w:id="1705" w:name="_Toc73421903"/>
      <w:bookmarkStart w:id="1706" w:name="_Toc73427304"/>
      <w:bookmarkStart w:id="1707" w:name="_Toc73428230"/>
      <w:bookmarkStart w:id="1708" w:name="_Toc73428347"/>
      <w:bookmarkStart w:id="1709" w:name="_Toc73428464"/>
      <w:bookmarkStart w:id="1710" w:name="_Toc73428718"/>
      <w:bookmarkStart w:id="1711" w:name="_Toc73428951"/>
      <w:bookmarkStart w:id="1712" w:name="_Toc73429439"/>
      <w:bookmarkStart w:id="1713" w:name="_Toc73436591"/>
      <w:bookmarkStart w:id="1714" w:name="_Toc73437434"/>
      <w:bookmarkStart w:id="1715" w:name="_Toc81200121"/>
      <w:bookmarkStart w:id="1716" w:name="_Toc81201732"/>
      <w:bookmarkStart w:id="1717" w:name="_Toc81208986"/>
      <w:r>
        <w:rPr>
          <w:rStyle w:val="CharPartNo"/>
        </w:rPr>
        <w:t>Part 3</w:t>
      </w:r>
      <w:r>
        <w:rPr>
          <w:rStyle w:val="CharDivNo"/>
        </w:rPr>
        <w:t> </w:t>
      </w:r>
      <w:r>
        <w:t>—</w:t>
      </w:r>
      <w:r>
        <w:rPr>
          <w:rStyle w:val="CharDivText"/>
        </w:rPr>
        <w:t> </w:t>
      </w:r>
      <w:r>
        <w:rPr>
          <w:rStyle w:val="CharPartText"/>
        </w:rPr>
        <w:t>Amendments about special prospecting licences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nzHeading5"/>
      </w:pPr>
      <w:bookmarkStart w:id="1718" w:name="_Toc87061459"/>
      <w:r>
        <w:rPr>
          <w:rStyle w:val="CharSectno"/>
        </w:rPr>
        <w:t>8</w:t>
      </w:r>
      <w:r>
        <w:t>.</w:t>
      </w:r>
      <w:r>
        <w:tab/>
        <w:t>Section 56A amended</w:t>
      </w:r>
      <w:bookmarkEnd w:id="1718"/>
    </w:p>
    <w:p>
      <w:pPr>
        <w:pStyle w:val="nzSubsection"/>
      </w:pPr>
      <w:r>
        <w:tab/>
        <w:t>(1)</w:t>
      </w:r>
      <w:r>
        <w:tab/>
        <w:t>Section 56A(2) is amended as follows:</w:t>
      </w:r>
    </w:p>
    <w:p>
      <w:pPr>
        <w:pStyle w:val="nzIndenta"/>
      </w:pPr>
      <w:r>
        <w:tab/>
        <w:t>(a)</w:t>
      </w:r>
      <w:r>
        <w:tab/>
        <w:t xml:space="preserve">by deleting “Within 14 days after lodging an application for a special prospecting licence under subsection (1) the applicant shall” and inserting instead — </w:t>
      </w:r>
    </w:p>
    <w:p>
      <w:pPr>
        <w:pStyle w:val="MiscOpen"/>
        <w:ind w:left="1049"/>
      </w:pPr>
      <w:r>
        <w:t xml:space="preserve">“    </w:t>
      </w:r>
    </w:p>
    <w:p>
      <w:pPr>
        <w:pStyle w:val="nzSubsection"/>
      </w:pPr>
      <w:r>
        <w:tab/>
      </w:r>
      <w:r>
        <w:tab/>
        <w:t>Unless subsection (5a) applies, an applicant for a special prospecting licence shall, within the prescribed period,</w:t>
      </w:r>
    </w:p>
    <w:p>
      <w:pPr>
        <w:pStyle w:val="MiscClose"/>
      </w:pPr>
      <w:r>
        <w:t xml:space="preserve">    ”;</w:t>
      </w:r>
    </w:p>
    <w:p>
      <w:pPr>
        <w:pStyle w:val="nzIndenta"/>
      </w:pPr>
      <w:r>
        <w:tab/>
        <w:t>(b)</w:t>
      </w:r>
      <w:r>
        <w:tab/>
        <w:t xml:space="preserve">by inserting after “relates” — </w:t>
      </w:r>
    </w:p>
    <w:p>
      <w:pPr>
        <w:pStyle w:val="MiscOpen"/>
        <w:ind w:left="879"/>
      </w:pPr>
      <w:r>
        <w:t xml:space="preserve">“    </w:t>
      </w:r>
    </w:p>
    <w:p>
      <w:pPr>
        <w:pStyle w:val="nzSubsection"/>
      </w:pPr>
      <w:r>
        <w:tab/>
      </w:r>
      <w:r>
        <w:tab/>
        <w:t>, and subsections (3) to (5) apply in respect of that application</w:t>
      </w:r>
    </w:p>
    <w:p>
      <w:pPr>
        <w:pStyle w:val="MiscClose"/>
      </w:pPr>
      <w:r>
        <w:t xml:space="preserve">    ”.</w:t>
      </w:r>
    </w:p>
    <w:p>
      <w:pPr>
        <w:pStyle w:val="nzSubsection"/>
      </w:pPr>
      <w:r>
        <w:tab/>
        <w:t>(2)</w:t>
      </w:r>
      <w:r>
        <w:tab/>
        <w:t xml:space="preserve">After section 56A(5) the following subsections are inserted — </w:t>
      </w:r>
    </w:p>
    <w:p>
      <w:pPr>
        <w:pStyle w:val="MiscOpen"/>
        <w:ind w:left="595"/>
      </w:pPr>
      <w:r>
        <w:t xml:space="preserve">“    </w:t>
      </w:r>
    </w:p>
    <w:p>
      <w:pPr>
        <w:pStyle w:val="nzSubsection"/>
      </w:pPr>
      <w:r>
        <w:tab/>
        <w:t>(5a)</w:t>
      </w:r>
      <w:r>
        <w:tab/>
        <w:t xml:space="preserve">If at the time when an applicant for a special prospecting licence marked out the land to which his application relates — </w:t>
      </w:r>
    </w:p>
    <w:p>
      <w:pPr>
        <w:pStyle w:val="nzIndenta"/>
      </w:pPr>
      <w:r>
        <w:tab/>
        <w:t>(a)</w:t>
      </w:r>
      <w:r>
        <w:tab/>
        <w:t>a special prospecting licence was in force in respect of land the subject of the primary tenement; or</w:t>
      </w:r>
    </w:p>
    <w:p>
      <w:pPr>
        <w:pStyle w:val="nzIndenta"/>
      </w:pPr>
      <w:r>
        <w:tab/>
        <w:t>(b)</w:t>
      </w:r>
      <w:r>
        <w:tab/>
        <w:t>another application for a special prospecting licence in respect of land the subject of the primary tenement had been made, but had not been determined, under this section,</w:t>
      </w:r>
    </w:p>
    <w:p>
      <w:pPr>
        <w:pStyle w:val="nzSubsection"/>
      </w:pPr>
      <w:r>
        <w:tab/>
      </w:r>
      <w:r>
        <w:tab/>
        <w:t>the applicant shall, within the prescribed period, lodge at the office of the mining registrar the written consent of the holder of the primary tenement to the grant of his application.</w:t>
      </w:r>
    </w:p>
    <w:p>
      <w:pPr>
        <w:pStyle w:val="nzSubsection"/>
      </w:pPr>
      <w:r>
        <w:tab/>
        <w:t>(5b)</w:t>
      </w:r>
      <w:r>
        <w:tab/>
        <w:t>If written consent to the grant of an application is lodged in accordance with subsection (5a), the mining registrar may, subject to this Act, grant the application as provided for in subsection (6).</w:t>
      </w:r>
    </w:p>
    <w:p>
      <w:pPr>
        <w:pStyle w:val="MiscClose"/>
      </w:pPr>
      <w:r>
        <w:t xml:space="preserve">    ”.</w:t>
      </w:r>
    </w:p>
    <w:p>
      <w:pPr>
        <w:pStyle w:val="nzSubsection"/>
      </w:pPr>
      <w:r>
        <w:tab/>
        <w:t>(3)</w:t>
      </w:r>
      <w:r>
        <w:tab/>
        <w:t>Section 56A(6) is amended by deleting “, the warden”.</w:t>
      </w:r>
    </w:p>
    <w:p>
      <w:pPr>
        <w:pStyle w:val="nzSubsection"/>
      </w:pPr>
      <w:r>
        <w:tab/>
        <w:t>(4)</w:t>
      </w:r>
      <w:r>
        <w:tab/>
        <w:t xml:space="preserve">Section 56A(7)(c) is amended by deleting “3” and inserting instead — </w:t>
      </w:r>
    </w:p>
    <w:p>
      <w:pPr>
        <w:pStyle w:val="nzSubsection"/>
      </w:pPr>
      <w:r>
        <w:tab/>
      </w:r>
      <w:r>
        <w:tab/>
        <w:t>“    10    ”.</w:t>
      </w:r>
    </w:p>
    <w:p>
      <w:pPr>
        <w:pStyle w:val="nzSubsection"/>
      </w:pPr>
      <w:r>
        <w:tab/>
        <w:t>(5)</w:t>
      </w:r>
      <w:r>
        <w:tab/>
        <w:t>Section 56A(7b) is amended as follows:</w:t>
      </w:r>
    </w:p>
    <w:p>
      <w:pPr>
        <w:pStyle w:val="nzIndenta"/>
      </w:pPr>
      <w:r>
        <w:tab/>
        <w:t>(a)</w:t>
      </w:r>
      <w:r>
        <w:tab/>
        <w:t>by deleting “special prospecting licence, or”;</w:t>
      </w:r>
    </w:p>
    <w:p>
      <w:pPr>
        <w:pStyle w:val="nzIndenta"/>
      </w:pPr>
      <w:r>
        <w:tab/>
        <w:t>(b)</w:t>
      </w:r>
      <w:r>
        <w:tab/>
        <w:t xml:space="preserve">by deleting “licence, shall” and inserting instead — </w:t>
      </w:r>
    </w:p>
    <w:p>
      <w:pPr>
        <w:pStyle w:val="nzIndenta"/>
      </w:pPr>
      <w:r>
        <w:tab/>
      </w:r>
      <w:r>
        <w:tab/>
        <w:t>“    licence shall    ”.</w:t>
      </w:r>
    </w:p>
    <w:p>
      <w:pPr>
        <w:pStyle w:val="nzSubsection"/>
      </w:pPr>
      <w:r>
        <w:tab/>
        <w:t>(6)</w:t>
      </w:r>
      <w:r>
        <w:tab/>
        <w:t>Section 56A(8) is amended as follows:</w:t>
      </w:r>
    </w:p>
    <w:p>
      <w:pPr>
        <w:pStyle w:val="nzIndenta"/>
      </w:pPr>
      <w:r>
        <w:tab/>
        <w:t>(a)</w:t>
      </w:r>
      <w:r>
        <w:tab/>
        <w:t xml:space="preserve">by deleting “if — ” and inserting instead — </w:t>
      </w:r>
    </w:p>
    <w:p>
      <w:pPr>
        <w:pStyle w:val="nzIndenta"/>
      </w:pPr>
      <w:r>
        <w:tab/>
      </w:r>
      <w:r>
        <w:tab/>
        <w:t>“    subject to subsection (7b),    ”;</w:t>
      </w:r>
    </w:p>
    <w:p>
      <w:pPr>
        <w:pStyle w:val="nzIndenta"/>
      </w:pPr>
      <w:r>
        <w:tab/>
        <w:t>(b)</w:t>
      </w:r>
      <w:r>
        <w:tab/>
        <w:t>by deleting paragraphs (a) and (b) and “or” after paragraph (a).</w:t>
      </w:r>
    </w:p>
    <w:p>
      <w:pPr>
        <w:pStyle w:val="nzSubsection"/>
      </w:pPr>
      <w:r>
        <w:tab/>
        <w:t>(7)</w:t>
      </w:r>
      <w:r>
        <w:tab/>
        <w:t xml:space="preserve">After section 56A(8) the following subsection is inserted — </w:t>
      </w:r>
    </w:p>
    <w:p>
      <w:pPr>
        <w:pStyle w:val="MiscOpen"/>
        <w:ind w:left="600"/>
      </w:pPr>
      <w:r>
        <w:t xml:space="preserve">“    </w:t>
      </w:r>
    </w:p>
    <w:p>
      <w:pPr>
        <w:pStyle w:val="nzSubsection"/>
      </w:pPr>
      <w:r>
        <w:tab/>
        <w:t>(8aa)</w:t>
      </w:r>
      <w:r>
        <w:tab/>
        <w:t>Sections 74, 74A and 75 apply to an application for a mining lease under subsection (8).</w:t>
      </w:r>
    </w:p>
    <w:p>
      <w:pPr>
        <w:pStyle w:val="MiscClose"/>
      </w:pPr>
      <w:r>
        <w:t xml:space="preserve">    ”.</w:t>
      </w:r>
    </w:p>
    <w:p>
      <w:pPr>
        <w:pStyle w:val="nzHeading5"/>
      </w:pPr>
      <w:bookmarkStart w:id="1719" w:name="_Toc87061460"/>
      <w:r>
        <w:rPr>
          <w:rStyle w:val="CharSectno"/>
        </w:rPr>
        <w:t>9</w:t>
      </w:r>
      <w:r>
        <w:t>.</w:t>
      </w:r>
      <w:r>
        <w:tab/>
        <w:t>Section 70 amended</w:t>
      </w:r>
      <w:bookmarkEnd w:id="1719"/>
    </w:p>
    <w:p>
      <w:pPr>
        <w:pStyle w:val="nzSubsection"/>
      </w:pPr>
      <w:r>
        <w:tab/>
        <w:t>(1)</w:t>
      </w:r>
      <w:r>
        <w:tab/>
        <w:t>Section 70(2) is amended as follows:</w:t>
      </w:r>
    </w:p>
    <w:p>
      <w:pPr>
        <w:pStyle w:val="nzIndenta"/>
      </w:pPr>
      <w:r>
        <w:tab/>
        <w:t>(a)</w:t>
      </w:r>
      <w:r>
        <w:tab/>
        <w:t xml:space="preserve">by deleting “Within 14 days after lodging an application for a special prospecting licence under subsection (1) the applicant shall” and inserting instead — </w:t>
      </w:r>
    </w:p>
    <w:p>
      <w:pPr>
        <w:pStyle w:val="MiscOpen"/>
        <w:tabs>
          <w:tab w:val="clear" w:pos="893"/>
        </w:tabs>
        <w:ind w:left="879"/>
      </w:pPr>
      <w:r>
        <w:t xml:space="preserve">“    </w:t>
      </w:r>
    </w:p>
    <w:p>
      <w:pPr>
        <w:pStyle w:val="nzSubsection"/>
      </w:pPr>
      <w:r>
        <w:tab/>
      </w:r>
      <w:r>
        <w:tab/>
        <w:t>Unless subsection (5a) applies, an applicant for a special prospecting licence shall, within the prescribed period,</w:t>
      </w:r>
    </w:p>
    <w:p>
      <w:pPr>
        <w:pStyle w:val="MiscClose"/>
      </w:pPr>
      <w:r>
        <w:t>”;</w:t>
      </w:r>
    </w:p>
    <w:p>
      <w:pPr>
        <w:pStyle w:val="nzIndenta"/>
      </w:pPr>
      <w:r>
        <w:tab/>
        <w:t>(b)</w:t>
      </w:r>
      <w:r>
        <w:tab/>
        <w:t xml:space="preserve">by inserting after “relates” — </w:t>
      </w:r>
    </w:p>
    <w:p>
      <w:pPr>
        <w:pStyle w:val="MiscOpen"/>
        <w:tabs>
          <w:tab w:val="clear" w:pos="893"/>
        </w:tabs>
        <w:ind w:left="879"/>
      </w:pPr>
      <w:r>
        <w:t xml:space="preserve">“    </w:t>
      </w:r>
    </w:p>
    <w:p>
      <w:pPr>
        <w:pStyle w:val="nzSubsection"/>
      </w:pPr>
      <w:r>
        <w:tab/>
      </w:r>
      <w:r>
        <w:tab/>
        <w:t>, and subsections (3) to (5) apply in respect of the application</w:t>
      </w:r>
    </w:p>
    <w:p>
      <w:pPr>
        <w:pStyle w:val="MiscClose"/>
      </w:pPr>
      <w:r>
        <w:t xml:space="preserve">    ”.</w:t>
      </w:r>
    </w:p>
    <w:p>
      <w:pPr>
        <w:pStyle w:val="nzSubsection"/>
      </w:pPr>
      <w:r>
        <w:tab/>
        <w:t>(2)</w:t>
      </w:r>
      <w:r>
        <w:tab/>
        <w:t xml:space="preserve">After section 70(5) the following subsections are inserted — </w:t>
      </w:r>
    </w:p>
    <w:p>
      <w:pPr>
        <w:pStyle w:val="MiscOpen"/>
        <w:ind w:left="595"/>
      </w:pPr>
      <w:r>
        <w:t xml:space="preserve">“    </w:t>
      </w:r>
    </w:p>
    <w:p>
      <w:pPr>
        <w:pStyle w:val="nz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nzSubsection"/>
      </w:pPr>
      <w:r>
        <w:tab/>
        <w:t>(5b)</w:t>
      </w:r>
      <w:r>
        <w:tab/>
        <w:t>If written consent to the grant of an application is lodged in accordance with subsection (5a), the mining registrar may, subject to this Act, grant the application as provided for in subsection (6).</w:t>
      </w:r>
    </w:p>
    <w:p>
      <w:pPr>
        <w:pStyle w:val="MiscClose"/>
      </w:pPr>
      <w:r>
        <w:t xml:space="preserve">    ”.</w:t>
      </w:r>
    </w:p>
    <w:p>
      <w:pPr>
        <w:pStyle w:val="nzSubsection"/>
      </w:pPr>
      <w:r>
        <w:tab/>
        <w:t>(3)</w:t>
      </w:r>
      <w:r>
        <w:tab/>
        <w:t>Section 70(6) is amended by deleting “, the warden”.</w:t>
      </w:r>
    </w:p>
    <w:p>
      <w:pPr>
        <w:pStyle w:val="nzSubsection"/>
      </w:pPr>
      <w:r>
        <w:tab/>
        <w:t>(4)</w:t>
      </w:r>
      <w:r>
        <w:tab/>
        <w:t xml:space="preserve">Section 70(7)(c) is amended by deleting “3” and inserting instead — </w:t>
      </w:r>
    </w:p>
    <w:p>
      <w:pPr>
        <w:pStyle w:val="nzSubsection"/>
      </w:pPr>
      <w:r>
        <w:tab/>
      </w:r>
      <w:r>
        <w:tab/>
        <w:t>“    10    ”.</w:t>
      </w:r>
    </w:p>
    <w:p>
      <w:pPr>
        <w:pStyle w:val="nzSubsection"/>
      </w:pPr>
      <w:r>
        <w:tab/>
        <w:t>(5)</w:t>
      </w:r>
      <w:r>
        <w:tab/>
        <w:t>Section 70(7b) is amended as follows:</w:t>
      </w:r>
    </w:p>
    <w:p>
      <w:pPr>
        <w:pStyle w:val="nzIndenta"/>
      </w:pPr>
      <w:r>
        <w:tab/>
        <w:t>(a)</w:t>
      </w:r>
      <w:r>
        <w:tab/>
        <w:t>by deleting “special prospecting licence, or a”;</w:t>
      </w:r>
    </w:p>
    <w:p>
      <w:pPr>
        <w:pStyle w:val="nzIndenta"/>
      </w:pPr>
      <w:r>
        <w:tab/>
        <w:t>(b)</w:t>
      </w:r>
      <w:r>
        <w:tab/>
        <w:t xml:space="preserve">by deleting “licence, shall” and inserting instead — </w:t>
      </w:r>
    </w:p>
    <w:p>
      <w:pPr>
        <w:pStyle w:val="nzIndenta"/>
      </w:pPr>
      <w:r>
        <w:tab/>
      </w:r>
      <w:r>
        <w:tab/>
        <w:t>“    licence shall    ”;</w:t>
      </w:r>
    </w:p>
    <w:p>
      <w:pPr>
        <w:pStyle w:val="nzIndenta"/>
      </w:pPr>
      <w:r>
        <w:tab/>
        <w:t>(c)</w:t>
      </w:r>
      <w:r>
        <w:tab/>
        <w:t>by deleting “licences or”.</w:t>
      </w:r>
    </w:p>
    <w:p>
      <w:pPr>
        <w:pStyle w:val="nzSubsection"/>
      </w:pPr>
      <w:r>
        <w:tab/>
        <w:t>(6)</w:t>
      </w:r>
      <w:r>
        <w:tab/>
        <w:t>Section 70(8) is amended as follows:</w:t>
      </w:r>
    </w:p>
    <w:p>
      <w:pPr>
        <w:pStyle w:val="nzIndenta"/>
      </w:pPr>
      <w:r>
        <w:tab/>
        <w:t>(a)</w:t>
      </w:r>
      <w:r>
        <w:tab/>
        <w:t>by deleting “if — ”;</w:t>
      </w:r>
    </w:p>
    <w:p>
      <w:pPr>
        <w:pStyle w:val="nzIndenta"/>
      </w:pPr>
      <w:r>
        <w:tab/>
        <w:t>(b)</w:t>
      </w:r>
      <w:r>
        <w:tab/>
        <w:t>by deleting paragraphs (a) and (b) and “or” after paragraph (a);</w:t>
      </w:r>
    </w:p>
    <w:p>
      <w:pPr>
        <w:pStyle w:val="nzIndenta"/>
      </w:pPr>
      <w:r>
        <w:tab/>
        <w:t>(c)</w:t>
      </w:r>
      <w:r>
        <w:tab/>
        <w:t xml:space="preserve">by inserting after “Minister may” — </w:t>
      </w:r>
    </w:p>
    <w:p>
      <w:pPr>
        <w:pStyle w:val="nzIndenta"/>
      </w:pPr>
      <w:r>
        <w:tab/>
      </w:r>
      <w:r>
        <w:tab/>
        <w:t>“    , subject to subsection (7b),    ”.</w:t>
      </w:r>
    </w:p>
    <w:p>
      <w:pPr>
        <w:pStyle w:val="nzSubsection"/>
      </w:pPr>
      <w:r>
        <w:tab/>
        <w:t>(7)</w:t>
      </w:r>
      <w:r>
        <w:tab/>
        <w:t xml:space="preserve">After section 70(8) the following subsection is inserted — </w:t>
      </w:r>
    </w:p>
    <w:p>
      <w:pPr>
        <w:pStyle w:val="MiscOpen"/>
        <w:ind w:left="600"/>
      </w:pPr>
      <w:r>
        <w:t xml:space="preserve">“    </w:t>
      </w:r>
    </w:p>
    <w:p>
      <w:pPr>
        <w:pStyle w:val="nzSubsection"/>
      </w:pPr>
      <w:r>
        <w:tab/>
        <w:t>(8aa)</w:t>
      </w:r>
      <w:r>
        <w:tab/>
        <w:t>Sections 74, 74A and 75 apply to an application for a mining lease under subsection (8).</w:t>
      </w:r>
    </w:p>
    <w:p>
      <w:pPr>
        <w:pStyle w:val="MiscClose"/>
      </w:pPr>
      <w:r>
        <w:t xml:space="preserve">    ”.</w:t>
      </w:r>
    </w:p>
    <w:p>
      <w:pPr>
        <w:pStyle w:val="nzHeading5"/>
      </w:pPr>
      <w:bookmarkStart w:id="1720" w:name="_Toc87061461"/>
      <w:r>
        <w:rPr>
          <w:rStyle w:val="CharSectno"/>
        </w:rPr>
        <w:t>10</w:t>
      </w:r>
      <w:r>
        <w:t>.</w:t>
      </w:r>
      <w:r>
        <w:tab/>
        <w:t>Section 85B amended</w:t>
      </w:r>
      <w:bookmarkEnd w:id="1720"/>
    </w:p>
    <w:p>
      <w:pPr>
        <w:pStyle w:val="nzSubsection"/>
      </w:pPr>
      <w:r>
        <w:tab/>
        <w:t>(1)</w:t>
      </w:r>
      <w:r>
        <w:tab/>
        <w:t xml:space="preserve">Section 85B(5)(c) is amended by deleting “3” and inserting instead — </w:t>
      </w:r>
    </w:p>
    <w:p>
      <w:pPr>
        <w:pStyle w:val="nzSubsection"/>
      </w:pPr>
      <w:r>
        <w:tab/>
      </w:r>
      <w:r>
        <w:tab/>
        <w:t>“    10    ”.</w:t>
      </w:r>
    </w:p>
    <w:p>
      <w:pPr>
        <w:pStyle w:val="nzSubsection"/>
      </w:pPr>
      <w:r>
        <w:tab/>
        <w:t>(2)</w:t>
      </w:r>
      <w:r>
        <w:tab/>
        <w:t>Section 85B(7) is amended as follows:</w:t>
      </w:r>
    </w:p>
    <w:p>
      <w:pPr>
        <w:pStyle w:val="nzIndenta"/>
      </w:pPr>
      <w:r>
        <w:tab/>
        <w:t>(a)</w:t>
      </w:r>
      <w:r>
        <w:tab/>
        <w:t>by deleting “, if — ”;</w:t>
      </w:r>
    </w:p>
    <w:p>
      <w:pPr>
        <w:pStyle w:val="nzIndenta"/>
      </w:pPr>
      <w:r>
        <w:tab/>
        <w:t>(b)</w:t>
      </w:r>
      <w:r>
        <w:tab/>
        <w:t>by deleting paragraphs (a) and (b) and “or” after paragraph (a).</w:t>
      </w:r>
    </w:p>
    <w:p>
      <w:pPr>
        <w:pStyle w:val="nzSubsection"/>
      </w:pPr>
      <w:r>
        <w:tab/>
        <w:t>(3)</w:t>
      </w:r>
      <w:r>
        <w:tab/>
        <w:t xml:space="preserve">After section 85B(7) the following subsection is inserted — </w:t>
      </w:r>
    </w:p>
    <w:p>
      <w:pPr>
        <w:pStyle w:val="MiscOpen"/>
        <w:ind w:left="600"/>
      </w:pPr>
      <w:r>
        <w:t xml:space="preserve">“    </w:t>
      </w:r>
    </w:p>
    <w:p>
      <w:pPr>
        <w:pStyle w:val="nzSubsection"/>
      </w:pPr>
      <w:r>
        <w:tab/>
        <w:t>(7a)</w:t>
      </w:r>
      <w:r>
        <w:tab/>
        <w:t>Sections 74, 74A and 75 apply to an application for a mining lease under subsection (7).</w:t>
      </w:r>
    </w:p>
    <w:p>
      <w:pPr>
        <w:pStyle w:val="MiscClose"/>
      </w:pPr>
      <w:r>
        <w:t xml:space="preserve">    ”.</w:t>
      </w:r>
    </w:p>
    <w:p>
      <w:pPr>
        <w:pStyle w:val="nzHeading5"/>
      </w:pPr>
      <w:bookmarkStart w:id="1721" w:name="_Toc87061462"/>
      <w:r>
        <w:rPr>
          <w:rStyle w:val="CharSectno"/>
        </w:rPr>
        <w:t>11</w:t>
      </w:r>
      <w:r>
        <w:t>.</w:t>
      </w:r>
      <w:r>
        <w:tab/>
        <w:t>Transitional provision</w:t>
      </w:r>
      <w:bookmarkEnd w:id="1721"/>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2"/>
        <w:rPr>
          <w:rStyle w:val="CharPartNo"/>
        </w:rPr>
      </w:pPr>
      <w:bookmarkStart w:id="1722" w:name="_Toc65297816"/>
      <w:bookmarkStart w:id="1723" w:name="_Toc65297907"/>
      <w:bookmarkStart w:id="1724" w:name="_Toc65301673"/>
      <w:bookmarkStart w:id="1725" w:name="_Toc65379291"/>
      <w:bookmarkStart w:id="1726" w:name="_Toc65389306"/>
      <w:bookmarkStart w:id="1727" w:name="_Toc65390231"/>
      <w:bookmarkStart w:id="1728" w:name="_Toc65390780"/>
      <w:bookmarkStart w:id="1729" w:name="_Toc65395225"/>
      <w:bookmarkStart w:id="1730" w:name="_Toc65396519"/>
      <w:bookmarkStart w:id="1731" w:name="_Toc65397444"/>
      <w:bookmarkStart w:id="1732" w:name="_Toc65999768"/>
      <w:bookmarkStart w:id="1733" w:name="_Toc65999923"/>
      <w:bookmarkStart w:id="1734" w:name="_Toc66000051"/>
      <w:bookmarkStart w:id="1735" w:name="_Toc66097231"/>
      <w:bookmarkStart w:id="1736" w:name="_Toc66173274"/>
      <w:bookmarkStart w:id="1737" w:name="_Toc66512425"/>
      <w:bookmarkStart w:id="1738" w:name="_Toc66523450"/>
      <w:bookmarkStart w:id="1739" w:name="_Toc66523547"/>
      <w:bookmarkStart w:id="1740" w:name="_Toc66527931"/>
      <w:bookmarkStart w:id="1741" w:name="_Toc66528325"/>
      <w:bookmarkStart w:id="1742" w:name="_Toc66528802"/>
      <w:bookmarkStart w:id="1743" w:name="_Toc66584480"/>
      <w:bookmarkStart w:id="1744" w:name="_Toc66584864"/>
      <w:bookmarkStart w:id="1745" w:name="_Toc66586503"/>
      <w:bookmarkStart w:id="1746" w:name="_Toc66586945"/>
      <w:bookmarkStart w:id="1747" w:name="_Toc66589366"/>
      <w:bookmarkStart w:id="1748" w:name="_Toc66589565"/>
      <w:bookmarkStart w:id="1749" w:name="_Toc66610309"/>
      <w:bookmarkStart w:id="1750" w:name="_Toc66614303"/>
      <w:bookmarkStart w:id="1751" w:name="_Toc66673553"/>
      <w:bookmarkStart w:id="1752" w:name="_Toc66673915"/>
      <w:bookmarkStart w:id="1753" w:name="_Toc66699333"/>
      <w:bookmarkStart w:id="1754" w:name="_Toc66700189"/>
      <w:bookmarkStart w:id="1755" w:name="_Toc66700530"/>
      <w:bookmarkStart w:id="1756" w:name="_Toc66700684"/>
      <w:bookmarkStart w:id="1757" w:name="_Toc66701263"/>
      <w:bookmarkStart w:id="1758" w:name="_Toc66772298"/>
      <w:bookmarkStart w:id="1759" w:name="_Toc66772741"/>
      <w:bookmarkStart w:id="1760" w:name="_Toc66774142"/>
      <w:bookmarkStart w:id="1761" w:name="_Toc66774373"/>
      <w:bookmarkStart w:id="1762" w:name="_Toc67107337"/>
      <w:bookmarkStart w:id="1763" w:name="_Toc67107814"/>
      <w:bookmarkStart w:id="1764" w:name="_Toc67113495"/>
      <w:bookmarkStart w:id="1765" w:name="_Toc67118743"/>
      <w:bookmarkStart w:id="1766" w:name="_Toc67119354"/>
      <w:bookmarkStart w:id="1767" w:name="_Toc67119529"/>
      <w:bookmarkStart w:id="1768" w:name="_Toc67130637"/>
      <w:bookmarkStart w:id="1769" w:name="_Toc67133671"/>
      <w:bookmarkStart w:id="1770" w:name="_Toc67193832"/>
      <w:bookmarkStart w:id="1771" w:name="_Toc67205997"/>
      <w:bookmarkStart w:id="1772" w:name="_Toc67209183"/>
      <w:bookmarkStart w:id="1773" w:name="_Toc67209422"/>
      <w:bookmarkStart w:id="1774" w:name="_Toc67291512"/>
      <w:bookmarkStart w:id="1775" w:name="_Toc67300458"/>
      <w:bookmarkStart w:id="1776" w:name="_Toc67301604"/>
      <w:bookmarkStart w:id="1777" w:name="_Toc67301810"/>
      <w:bookmarkStart w:id="1778" w:name="_Toc67302106"/>
      <w:bookmarkStart w:id="1779" w:name="_Toc67721777"/>
      <w:bookmarkStart w:id="1780" w:name="_Toc67721987"/>
      <w:bookmarkStart w:id="1781" w:name="_Toc67722233"/>
      <w:bookmarkStart w:id="1782" w:name="_Toc67724579"/>
      <w:bookmarkStart w:id="1783" w:name="_Toc67799489"/>
      <w:bookmarkStart w:id="1784" w:name="_Toc67806294"/>
      <w:bookmarkStart w:id="1785" w:name="_Toc67807116"/>
      <w:bookmarkStart w:id="1786" w:name="_Toc67808130"/>
      <w:bookmarkStart w:id="1787" w:name="_Toc67808407"/>
      <w:bookmarkStart w:id="1788" w:name="_Toc67809841"/>
      <w:bookmarkStart w:id="1789" w:name="_Toc67813890"/>
      <w:bookmarkStart w:id="1790" w:name="_Toc67814212"/>
      <w:bookmarkStart w:id="1791" w:name="_Toc67911071"/>
      <w:bookmarkStart w:id="1792" w:name="_Toc67912049"/>
      <w:bookmarkStart w:id="1793" w:name="_Toc67980286"/>
      <w:bookmarkStart w:id="1794" w:name="_Toc67980394"/>
      <w:bookmarkStart w:id="1795" w:name="_Toc67980678"/>
      <w:bookmarkStart w:id="1796" w:name="_Toc67981200"/>
      <w:bookmarkStart w:id="1797" w:name="_Toc67981387"/>
      <w:bookmarkStart w:id="1798" w:name="_Toc67981961"/>
      <w:bookmarkStart w:id="1799" w:name="_Toc67997359"/>
      <w:bookmarkStart w:id="1800" w:name="_Toc68063314"/>
      <w:bookmarkStart w:id="1801" w:name="_Toc68070411"/>
      <w:bookmarkStart w:id="1802" w:name="_Toc68315343"/>
      <w:bookmarkStart w:id="1803" w:name="_Toc68321106"/>
      <w:bookmarkStart w:id="1804" w:name="_Toc68321213"/>
      <w:bookmarkStart w:id="1805" w:name="_Toc68321321"/>
      <w:bookmarkStart w:id="1806" w:name="_Toc68323947"/>
      <w:bookmarkStart w:id="1807" w:name="_Toc68325644"/>
      <w:bookmarkStart w:id="1808" w:name="_Toc68490819"/>
      <w:bookmarkStart w:id="1809" w:name="_Toc68494991"/>
      <w:bookmarkStart w:id="1810" w:name="_Toc68505808"/>
      <w:bookmarkStart w:id="1811" w:name="_Toc68506516"/>
      <w:bookmarkStart w:id="1812" w:name="_Toc68513228"/>
      <w:bookmarkStart w:id="1813" w:name="_Toc68515237"/>
      <w:bookmarkStart w:id="1814" w:name="_Toc68516442"/>
      <w:bookmarkStart w:id="1815" w:name="_Toc68517715"/>
      <w:bookmarkStart w:id="1816" w:name="_Toc68518034"/>
      <w:bookmarkStart w:id="1817" w:name="_Toc68518231"/>
      <w:bookmarkStart w:id="1818" w:name="_Toc68588035"/>
      <w:bookmarkStart w:id="1819" w:name="_Toc68943904"/>
      <w:bookmarkStart w:id="1820" w:name="_Toc68944666"/>
      <w:bookmarkStart w:id="1821" w:name="_Toc68945472"/>
      <w:bookmarkStart w:id="1822" w:name="_Toc68946873"/>
      <w:bookmarkStart w:id="1823" w:name="_Toc68950711"/>
      <w:bookmarkStart w:id="1824" w:name="_Toc69017038"/>
      <w:bookmarkStart w:id="1825" w:name="_Toc69021810"/>
      <w:bookmarkStart w:id="1826" w:name="_Toc69022066"/>
      <w:bookmarkStart w:id="1827" w:name="_Toc69030794"/>
      <w:bookmarkStart w:id="1828" w:name="_Toc69100487"/>
      <w:bookmarkStart w:id="1829" w:name="_Toc69102733"/>
      <w:bookmarkStart w:id="1830" w:name="_Toc69117289"/>
      <w:bookmarkStart w:id="1831" w:name="_Toc69117995"/>
      <w:bookmarkStart w:id="1832" w:name="_Toc69271718"/>
      <w:bookmarkStart w:id="1833" w:name="_Toc69274095"/>
      <w:bookmarkStart w:id="1834" w:name="_Toc69274544"/>
      <w:bookmarkStart w:id="1835" w:name="_Toc69275302"/>
      <w:bookmarkStart w:id="1836" w:name="_Toc69275597"/>
      <w:bookmarkStart w:id="1837" w:name="_Toc69278363"/>
      <w:bookmarkStart w:id="1838" w:name="_Toc69280713"/>
      <w:bookmarkStart w:id="1839" w:name="_Toc69281054"/>
      <w:bookmarkStart w:id="1840" w:name="_Toc69281163"/>
      <w:bookmarkStart w:id="1841" w:name="_Toc69281330"/>
      <w:bookmarkStart w:id="1842" w:name="_Toc70327073"/>
      <w:bookmarkStart w:id="1843" w:name="_Toc70405211"/>
      <w:bookmarkStart w:id="1844" w:name="_Toc70995374"/>
      <w:bookmarkStart w:id="1845" w:name="_Toc71712502"/>
      <w:bookmarkStart w:id="1846" w:name="_Toc71713957"/>
      <w:bookmarkStart w:id="1847" w:name="_Toc71878700"/>
      <w:bookmarkStart w:id="1848" w:name="_Toc71880044"/>
      <w:bookmarkStart w:id="1849" w:name="_Toc71884425"/>
      <w:bookmarkStart w:id="1850" w:name="_Toc71887003"/>
      <w:bookmarkStart w:id="1851" w:name="_Toc71887244"/>
      <w:bookmarkStart w:id="1852" w:name="_Toc71953150"/>
      <w:bookmarkStart w:id="1853" w:name="_Toc71953293"/>
      <w:bookmarkStart w:id="1854" w:name="_Toc71957040"/>
      <w:bookmarkStart w:id="1855" w:name="_Toc71963671"/>
      <w:bookmarkStart w:id="1856" w:name="_Toc71969763"/>
      <w:bookmarkStart w:id="1857" w:name="_Toc71969872"/>
      <w:bookmarkStart w:id="1858" w:name="_Toc71973475"/>
      <w:bookmarkStart w:id="1859" w:name="_Toc71975589"/>
      <w:bookmarkStart w:id="1860" w:name="_Toc71976397"/>
      <w:bookmarkStart w:id="1861" w:name="_Toc72026791"/>
      <w:bookmarkStart w:id="1862" w:name="_Toc72027049"/>
      <w:bookmarkStart w:id="1863" w:name="_Toc72029106"/>
      <w:bookmarkStart w:id="1864" w:name="_Toc72044633"/>
      <w:bookmarkStart w:id="1865" w:name="_Toc72044743"/>
      <w:bookmarkStart w:id="1866" w:name="_Toc72049662"/>
      <w:bookmarkStart w:id="1867" w:name="_Toc72049774"/>
      <w:bookmarkStart w:id="1868" w:name="_Toc72748174"/>
      <w:bookmarkStart w:id="1869" w:name="_Toc72812718"/>
      <w:bookmarkStart w:id="1870" w:name="_Toc72827583"/>
      <w:bookmarkStart w:id="1871" w:name="_Toc73154089"/>
      <w:bookmarkStart w:id="1872" w:name="_Toc73154515"/>
      <w:bookmarkStart w:id="1873" w:name="_Toc73156274"/>
      <w:bookmarkStart w:id="1874" w:name="_Toc73156394"/>
      <w:bookmarkStart w:id="1875" w:name="_Toc73158361"/>
      <w:bookmarkStart w:id="1876" w:name="_Toc73158689"/>
      <w:bookmarkStart w:id="1877" w:name="_Toc73159054"/>
      <w:bookmarkStart w:id="1878" w:name="_Toc73159195"/>
      <w:bookmarkStart w:id="1879" w:name="_Toc73159870"/>
      <w:bookmarkStart w:id="1880" w:name="_Toc73160797"/>
      <w:bookmarkStart w:id="1881" w:name="_Toc73161591"/>
      <w:bookmarkStart w:id="1882" w:name="_Toc73161762"/>
      <w:bookmarkStart w:id="1883" w:name="_Toc73164196"/>
      <w:bookmarkStart w:id="1884" w:name="_Toc73179765"/>
      <w:bookmarkStart w:id="1885" w:name="_Toc73184306"/>
      <w:bookmarkStart w:id="1886" w:name="_Toc73241575"/>
      <w:bookmarkStart w:id="1887" w:name="_Toc73242137"/>
      <w:bookmarkStart w:id="1888" w:name="_Toc73242877"/>
      <w:bookmarkStart w:id="1889" w:name="_Toc73242994"/>
      <w:bookmarkStart w:id="1890" w:name="_Toc73243111"/>
      <w:bookmarkStart w:id="1891" w:name="_Toc73245166"/>
      <w:bookmarkStart w:id="1892" w:name="_Toc73245976"/>
      <w:bookmarkStart w:id="1893" w:name="_Toc73251494"/>
      <w:bookmarkStart w:id="1894" w:name="_Toc73258490"/>
      <w:bookmarkStart w:id="1895" w:name="_Toc73259571"/>
      <w:bookmarkStart w:id="1896" w:name="_Toc73421908"/>
      <w:bookmarkStart w:id="1897" w:name="_Toc73427309"/>
      <w:bookmarkStart w:id="1898" w:name="_Toc73428235"/>
      <w:bookmarkStart w:id="1899" w:name="_Toc73428352"/>
      <w:bookmarkStart w:id="1900" w:name="_Toc73428469"/>
      <w:bookmarkStart w:id="1901" w:name="_Toc73428723"/>
      <w:bookmarkStart w:id="1902" w:name="_Toc73428956"/>
      <w:bookmarkStart w:id="1903" w:name="_Toc73429444"/>
      <w:bookmarkStart w:id="1904" w:name="_Toc73436596"/>
      <w:bookmarkStart w:id="1905" w:name="_Toc73437439"/>
      <w:bookmarkStart w:id="1906" w:name="_Toc81200126"/>
      <w:bookmarkStart w:id="1907" w:name="_Toc81201737"/>
      <w:bookmarkStart w:id="1908" w:name="_Toc81208991"/>
      <w:bookmarkStart w:id="1909" w:name="_Toc57629787"/>
      <w:bookmarkStart w:id="1910" w:name="_Toc57689963"/>
      <w:r>
        <w:rPr>
          <w:rStyle w:val="CharPartNo"/>
        </w:rPr>
        <w:t>Part 4 — Amendments about exploration licences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nzHeading5"/>
      </w:pPr>
      <w:bookmarkStart w:id="1911" w:name="_Toc87061463"/>
      <w:r>
        <w:rPr>
          <w:rStyle w:val="CharSectno"/>
        </w:rPr>
        <w:t>12</w:t>
      </w:r>
      <w:r>
        <w:t>.</w:t>
      </w:r>
      <w:r>
        <w:tab/>
        <w:t>Section 57 amended</w:t>
      </w:r>
      <w:bookmarkEnd w:id="1911"/>
    </w:p>
    <w:p>
      <w:pPr>
        <w:pStyle w:val="nzSubsection"/>
      </w:pPr>
      <w:r>
        <w:tab/>
        <w:t>(1)</w:t>
      </w:r>
      <w:r>
        <w:tab/>
        <w:t xml:space="preserve">Section 57(2) is amended by inserting after “70 blocks” — </w:t>
      </w:r>
    </w:p>
    <w:p>
      <w:pPr>
        <w:pStyle w:val="nzSubsection"/>
      </w:pPr>
      <w:r>
        <w:tab/>
      </w:r>
      <w:r>
        <w:tab/>
        <w:t>“    unless subsection (2aa) applies    ”.</w:t>
      </w:r>
    </w:p>
    <w:p>
      <w:pPr>
        <w:pStyle w:val="nzSubsection"/>
      </w:pPr>
      <w:r>
        <w:tab/>
        <w:t>(2)</w:t>
      </w:r>
      <w:r>
        <w:tab/>
        <w:t xml:space="preserve">After section 57(2) the following subsection is inserted — </w:t>
      </w:r>
    </w:p>
    <w:p>
      <w:pPr>
        <w:pStyle w:val="MiscOpen"/>
        <w:ind w:left="600"/>
      </w:pPr>
      <w:r>
        <w:t xml:space="preserve">“    </w:t>
      </w:r>
    </w:p>
    <w:p>
      <w:pPr>
        <w:pStyle w:val="nzSubsection"/>
      </w:pPr>
      <w:r>
        <w:tab/>
        <w:t>(2aa)</w:t>
      </w:r>
      <w:r>
        <w:tab/>
        <w:t>If the area of land referred to in subsection (2) is in an area of the State designated under section 57A(1) it shall not be more than 200 blocks.</w:t>
      </w:r>
    </w:p>
    <w:p>
      <w:pPr>
        <w:pStyle w:val="MiscClose"/>
      </w:pPr>
      <w:r>
        <w:t>”.</w:t>
      </w:r>
    </w:p>
    <w:p>
      <w:pPr>
        <w:pStyle w:val="nzHeading5"/>
      </w:pPr>
      <w:bookmarkStart w:id="1912" w:name="_Toc87061464"/>
      <w:r>
        <w:rPr>
          <w:rStyle w:val="CharSectno"/>
        </w:rPr>
        <w:t>13</w:t>
      </w:r>
      <w:r>
        <w:t>.</w:t>
      </w:r>
      <w:r>
        <w:tab/>
        <w:t>Section 57A inserted</w:t>
      </w:r>
      <w:bookmarkEnd w:id="1912"/>
    </w:p>
    <w:p>
      <w:pPr>
        <w:pStyle w:val="nzSubsection"/>
      </w:pPr>
      <w:r>
        <w:tab/>
      </w:r>
      <w:r>
        <w:tab/>
        <w:t xml:space="preserve">After section 57 the following section is inserted — </w:t>
      </w:r>
    </w:p>
    <w:p>
      <w:pPr>
        <w:pStyle w:val="MiscOpen"/>
      </w:pPr>
      <w:r>
        <w:t xml:space="preserve">“    </w:t>
      </w:r>
    </w:p>
    <w:p>
      <w:pPr>
        <w:pStyle w:val="nzHeading5"/>
      </w:pPr>
      <w:r>
        <w:t>57A.</w:t>
      </w:r>
      <w:r>
        <w:tab/>
        <w:t>Designation of areas for purposes of s. 57(2aa)</w:t>
      </w:r>
    </w:p>
    <w:p>
      <w:pPr>
        <w:pStyle w:val="nzSubsection"/>
      </w:pPr>
      <w:r>
        <w:tab/>
        <w:t>(1)</w:t>
      </w:r>
      <w:r>
        <w:tab/>
        <w:t xml:space="preserve">The Minister may, by notice published in the </w:t>
      </w:r>
      <w:r>
        <w:rPr>
          <w:i/>
        </w:rPr>
        <w:t>Gazette</w:t>
      </w:r>
      <w:r>
        <w:t>, designate one or more areas of the State for the purposes of section 57(2aa).</w:t>
      </w:r>
    </w:p>
    <w:p>
      <w:pPr>
        <w:pStyle w:val="nzSubsection"/>
      </w:pPr>
      <w:r>
        <w:tab/>
        <w:t>(2)</w:t>
      </w:r>
      <w:r>
        <w:tab/>
        <w:t xml:space="preserve">The Minister may, by notice published in the </w:t>
      </w:r>
      <w:r>
        <w:rPr>
          <w:i/>
        </w:rPr>
        <w:t>Gazette</w:t>
      </w:r>
      <w:r>
        <w:t>, vary or cancel a designation under subsection (1).</w:t>
      </w:r>
    </w:p>
    <w:p>
      <w:pPr>
        <w:pStyle w:val="nz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nzSubsection"/>
      </w:pPr>
      <w:r>
        <w:tab/>
        <w:t>(4)</w:t>
      </w:r>
      <w:r>
        <w:tab/>
        <w:t>The variation or cancellation of a designation under subsection (2) does not affect the operation of any exploration licence granted before the variation or cancellation takes effect.</w:t>
      </w:r>
    </w:p>
    <w:p>
      <w:pPr>
        <w:pStyle w:val="nzSubsection"/>
      </w:pPr>
      <w:r>
        <w:tab/>
        <w:t>(5)</w:t>
      </w:r>
      <w:r>
        <w:tab/>
        <w:t xml:space="preserve">If — </w:t>
      </w:r>
    </w:p>
    <w:p>
      <w:pPr>
        <w:pStyle w:val="nz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nzIndenta"/>
      </w:pPr>
      <w:r>
        <w:tab/>
        <w:t>(b)</w:t>
      </w:r>
      <w:r>
        <w:tab/>
        <w:t>before the application is determined the designation is varied or cancelled under subsection (2) with the result that the area of land to which the application relates ceases to be in a designated area,</w:t>
      </w:r>
    </w:p>
    <w:p>
      <w:pPr>
        <w:pStyle w:val="nzSubsection"/>
      </w:pPr>
      <w:r>
        <w:tab/>
      </w:r>
      <w:r>
        <w:tab/>
        <w:t>then, despite that variation or cancellation, section 57(2aa) applies as if the area of land were in a designated area.</w:t>
      </w:r>
    </w:p>
    <w:p>
      <w:pPr>
        <w:pStyle w:val="MiscClose"/>
      </w:pPr>
      <w:r>
        <w:t xml:space="preserve">    ”.</w:t>
      </w:r>
    </w:p>
    <w:p>
      <w:pPr>
        <w:pStyle w:val="nzHeading5"/>
      </w:pPr>
      <w:bookmarkStart w:id="1913" w:name="_Toc87061465"/>
      <w:r>
        <w:rPr>
          <w:rStyle w:val="CharSectno"/>
        </w:rPr>
        <w:t>14</w:t>
      </w:r>
      <w:r>
        <w:t>.</w:t>
      </w:r>
      <w:r>
        <w:tab/>
        <w:t>Section 61 amended</w:t>
      </w:r>
      <w:bookmarkEnd w:id="1913"/>
    </w:p>
    <w:p>
      <w:pPr>
        <w:pStyle w:val="nzSubsection"/>
      </w:pPr>
      <w:r>
        <w:tab/>
        <w:t>(1)</w:t>
      </w:r>
      <w:r>
        <w:tab/>
        <w:t>Section 61(2) is amended as follows:</w:t>
      </w:r>
    </w:p>
    <w:p>
      <w:pPr>
        <w:pStyle w:val="nzIndenta"/>
      </w:pPr>
      <w:r>
        <w:tab/>
        <w:t>(a)</w:t>
      </w:r>
      <w:r>
        <w:tab/>
        <w:t xml:space="preserve">after “Minister may” by inserting — </w:t>
      </w:r>
    </w:p>
    <w:p>
      <w:pPr>
        <w:pStyle w:val="MiscOpen"/>
        <w:ind w:left="880"/>
      </w:pPr>
      <w:r>
        <w:t xml:space="preserve">“    </w:t>
      </w:r>
    </w:p>
    <w:p>
      <w:pPr>
        <w:pStyle w:val="nzSubsection"/>
      </w:pPr>
      <w:r>
        <w:tab/>
      </w:r>
      <w:r>
        <w:tab/>
        <w:t>, if satisfied that a prescribed ground for extension exists,</w:t>
      </w:r>
    </w:p>
    <w:p>
      <w:pPr>
        <w:pStyle w:val="MiscClose"/>
      </w:pPr>
      <w:r>
        <w:t xml:space="preserve">    ”;</w:t>
      </w:r>
    </w:p>
    <w:p>
      <w:pPr>
        <w:pStyle w:val="nzIndenta"/>
      </w:pPr>
      <w:r>
        <w:tab/>
        <w:t>(b)</w:t>
      </w:r>
      <w:r>
        <w:tab/>
        <w:t xml:space="preserve">by deleting paragraphs (a) and (b), and “and” after paragraph (a), and inserting instead — </w:t>
      </w:r>
    </w:p>
    <w:p>
      <w:pPr>
        <w:pStyle w:val="MiscOpen"/>
        <w:ind w:left="1340"/>
      </w:pPr>
      <w:r>
        <w:t xml:space="preserve">“    </w:t>
      </w:r>
    </w:p>
    <w:p>
      <w:pPr>
        <w:pStyle w:val="nzIndenta"/>
      </w:pPr>
      <w:r>
        <w:tab/>
        <w:t>(a)</w:t>
      </w:r>
      <w:r>
        <w:tab/>
        <w:t>by one period of 5 years; and</w:t>
      </w:r>
    </w:p>
    <w:p>
      <w:pPr>
        <w:pStyle w:val="nzIndenta"/>
      </w:pPr>
      <w:r>
        <w:tab/>
        <w:t>(b)</w:t>
      </w:r>
      <w:r>
        <w:tab/>
        <w:t>by a further period or periods of 2 years,</w:t>
      </w:r>
    </w:p>
    <w:p>
      <w:pPr>
        <w:pStyle w:val="MiscClose"/>
      </w:pPr>
      <w:r>
        <w:t xml:space="preserve">    ”.</w:t>
      </w:r>
    </w:p>
    <w:p>
      <w:pPr>
        <w:pStyle w:val="nzSubsection"/>
      </w:pPr>
      <w:r>
        <w:tab/>
        <w:t>(2)</w:t>
      </w:r>
      <w:r>
        <w:tab/>
        <w:t xml:space="preserve">Section 61(3) is repealed and the following subsections are inserted instead — </w:t>
      </w:r>
    </w:p>
    <w:p>
      <w:pPr>
        <w:pStyle w:val="MiscOpen"/>
        <w:ind w:left="600"/>
      </w:pPr>
      <w:r>
        <w:t xml:space="preserve">“    </w:t>
      </w:r>
    </w:p>
    <w:p>
      <w:pPr>
        <w:pStyle w:val="nzSubsection"/>
      </w:pPr>
      <w:r>
        <w:tab/>
        <w:t>(3)</w:t>
      </w:r>
      <w:r>
        <w:tab/>
        <w:t>An application for the extension of the term of an exploration licence under subsection (2) shall be made within the prescribed time and in the prescribed manner.</w:t>
      </w:r>
    </w:p>
    <w:p>
      <w:pPr>
        <w:pStyle w:val="nz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MiscClose"/>
      </w:pPr>
      <w:r>
        <w:t xml:space="preserve">    ”.</w:t>
      </w:r>
    </w:p>
    <w:p>
      <w:pPr>
        <w:pStyle w:val="nzHeading5"/>
      </w:pPr>
      <w:bookmarkStart w:id="1914" w:name="_Toc87061466"/>
      <w:r>
        <w:rPr>
          <w:rStyle w:val="CharSectno"/>
        </w:rPr>
        <w:t>15</w:t>
      </w:r>
      <w:r>
        <w:t>.</w:t>
      </w:r>
      <w:r>
        <w:tab/>
        <w:t>Section 63 amended and transitional provision</w:t>
      </w:r>
      <w:bookmarkEnd w:id="1914"/>
    </w:p>
    <w:p>
      <w:pPr>
        <w:pStyle w:val="nzSubsection"/>
      </w:pPr>
      <w:r>
        <w:tab/>
        <w:t>(1)</w:t>
      </w:r>
      <w:r>
        <w:tab/>
        <w:t>Section 63 is amended as follows:</w:t>
      </w:r>
    </w:p>
    <w:p>
      <w:pPr>
        <w:pStyle w:val="nzIndenta"/>
      </w:pPr>
      <w:r>
        <w:tab/>
        <w:t>(a)</w:t>
      </w:r>
      <w:r>
        <w:tab/>
        <w:t xml:space="preserve">after paragraph (a) by inserting the following paragraph — </w:t>
      </w:r>
    </w:p>
    <w:p>
      <w:pPr>
        <w:pStyle w:val="MiscOpen"/>
        <w:ind w:left="1340"/>
      </w:pPr>
      <w:r>
        <w:t xml:space="preserve">“    </w:t>
      </w:r>
    </w:p>
    <w:p>
      <w:pPr>
        <w:pStyle w:val="nzIndenta"/>
      </w:pPr>
      <w:r>
        <w:tab/>
        <w:t>(aa)</w:t>
      </w:r>
      <w:r>
        <w:tab/>
        <w:t xml:space="preserve">will not use ground disturbing equipment when exploring for minerals on the land the subject of the exploration licence unless — </w:t>
      </w:r>
    </w:p>
    <w:p>
      <w:pPr>
        <w:pStyle w:val="nzIndenti"/>
      </w:pPr>
      <w:r>
        <w:tab/>
        <w:t>(i)</w:t>
      </w:r>
      <w:r>
        <w:tab/>
        <w:t>the holder has lodged in the prescribed manner a programme of work in respect of that use; and</w:t>
      </w:r>
    </w:p>
    <w:p>
      <w:pPr>
        <w:pStyle w:val="nzIndenti"/>
      </w:pPr>
      <w:r>
        <w:tab/>
        <w:t>(ii)</w:t>
      </w:r>
      <w:r>
        <w:tab/>
        <w:t>the programme of work has been approved in writing by the Minister or a prescribed official;</w:t>
      </w:r>
    </w:p>
    <w:p>
      <w:pPr>
        <w:pStyle w:val="MiscClose"/>
      </w:pPr>
      <w:r>
        <w:t xml:space="preserve">    ”;</w:t>
      </w:r>
    </w:p>
    <w:p>
      <w:pPr>
        <w:pStyle w:val="nzIndenta"/>
      </w:pPr>
      <w:r>
        <w:tab/>
        <w:t>(b)</w:t>
      </w:r>
      <w:r>
        <w:tab/>
        <w:t xml:space="preserve">in paragraph (b) — </w:t>
      </w:r>
    </w:p>
    <w:p>
      <w:pPr>
        <w:pStyle w:val="nzIndenti"/>
      </w:pPr>
      <w:r>
        <w:tab/>
        <w:t>(i)</w:t>
      </w:r>
      <w:r>
        <w:tab/>
        <w:t xml:space="preserve">by deleting “the State Mining Engineer” in the first place where it occurs and inserting instead — </w:t>
      </w:r>
    </w:p>
    <w:p>
      <w:pPr>
        <w:pStyle w:val="nzIndenti"/>
      </w:pPr>
      <w:r>
        <w:tab/>
      </w:r>
      <w:r>
        <w:tab/>
        <w:t>“    a prescribed official    ”;</w:t>
      </w:r>
    </w:p>
    <w:p>
      <w:pPr>
        <w:pStyle w:val="nzIndenti"/>
      </w:pPr>
      <w:r>
        <w:tab/>
        <w:t>(ii)</w:t>
      </w:r>
      <w:r>
        <w:tab/>
        <w:t xml:space="preserve">by deleting “the State Mining Engineer” in the second place where it occurs and inserting instead — </w:t>
      </w:r>
    </w:p>
    <w:p>
      <w:pPr>
        <w:pStyle w:val="nzIndenti"/>
      </w:pPr>
      <w:r>
        <w:tab/>
      </w:r>
      <w:r>
        <w:tab/>
        <w:t>“    the prescribed official    ”.</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pPr>
      <w:bookmarkStart w:id="1915" w:name="_Toc87061467"/>
      <w:r>
        <w:rPr>
          <w:rStyle w:val="CharSectno"/>
        </w:rPr>
        <w:t>16</w:t>
      </w:r>
      <w:r>
        <w:t>.</w:t>
      </w:r>
      <w:r>
        <w:tab/>
        <w:t>Section 65 amended</w:t>
      </w:r>
      <w:bookmarkEnd w:id="1915"/>
    </w:p>
    <w:p>
      <w:pPr>
        <w:pStyle w:val="nzSubsection"/>
      </w:pPr>
      <w:r>
        <w:tab/>
        <w:t>(1)</w:t>
      </w:r>
      <w:r>
        <w:tab/>
        <w:t xml:space="preserve">Section 65(1) to (3a) are repealed and the following subsections are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end day</w:t>
      </w:r>
      <w:r>
        <w:rPr>
          <w:b/>
        </w:rPr>
        <w:t>”</w:t>
      </w:r>
      <w:r>
        <w:t xml:space="preserve"> means the day on which the 5 year period referred to in section 61(1) ends;</w:t>
      </w:r>
    </w:p>
    <w:p>
      <w:pPr>
        <w:pStyle w:val="nzDefstart"/>
      </w:pPr>
      <w:r>
        <w:rPr>
          <w:b/>
        </w:rPr>
        <w:tab/>
        <w:t>“</w:t>
      </w:r>
      <w:r>
        <w:rPr>
          <w:rStyle w:val="CharDefText"/>
        </w:rPr>
        <w:t>surrender day</w:t>
      </w:r>
      <w:r>
        <w:rPr>
          <w:b/>
        </w:rPr>
        <w:t>”</w:t>
      </w:r>
      <w:r>
        <w:t xml:space="preserve">, in relation to a surrender, means — </w:t>
      </w:r>
    </w:p>
    <w:p>
      <w:pPr>
        <w:pStyle w:val="nzDefpara"/>
      </w:pPr>
      <w:r>
        <w:tab/>
        <w:t>(a)</w:t>
      </w:r>
      <w:r>
        <w:tab/>
        <w:t>if the surrender is lodged under subsection (3), the end day;</w:t>
      </w:r>
    </w:p>
    <w:p>
      <w:pPr>
        <w:pStyle w:val="nzDefpara"/>
      </w:pPr>
      <w:r>
        <w:tab/>
        <w:t>(b)</w:t>
      </w:r>
      <w:r>
        <w:tab/>
        <w:t>if the surrender is lodged under subsection (3c), the day that is 12 months after the end day; or</w:t>
      </w:r>
    </w:p>
    <w:p>
      <w:pPr>
        <w:pStyle w:val="nzDefpara"/>
      </w:pPr>
      <w:r>
        <w:tab/>
        <w:t>(c)</w:t>
      </w:r>
      <w:r>
        <w:tab/>
        <w:t>if the surrender is lodged in compliance with a requirement under subsection (4), the day on which the surrender is registered.</w:t>
      </w:r>
    </w:p>
    <w:p>
      <w:pPr>
        <w:pStyle w:val="nzSubsection"/>
      </w:pPr>
      <w:r>
        <w:tab/>
        <w:t>(2)</w:t>
      </w:r>
      <w:r>
        <w:tab/>
        <w:t xml:space="preserve">This section applies in relation to an exploration licence if — </w:t>
      </w:r>
    </w:p>
    <w:p>
      <w:pPr>
        <w:pStyle w:val="nzIndenta"/>
      </w:pPr>
      <w:r>
        <w:tab/>
        <w:t>(a)</w:t>
      </w:r>
      <w:r>
        <w:tab/>
        <w:t>the term of the licence has been extended under section 61; or</w:t>
      </w:r>
    </w:p>
    <w:p>
      <w:pPr>
        <w:pStyle w:val="nzIndenta"/>
      </w:pPr>
      <w:r>
        <w:tab/>
        <w:t>(b)</w:t>
      </w:r>
      <w:r>
        <w:tab/>
        <w:t>an application under section 61 for the extension of the term of the licence has been made but has not been determined.</w:t>
      </w:r>
    </w:p>
    <w:p>
      <w:pPr>
        <w:pStyle w:val="nzSubsection"/>
      </w:pPr>
      <w:r>
        <w:tab/>
        <w:t>(3)</w:t>
      </w:r>
      <w:r>
        <w:tab/>
        <w:t xml:space="preserve">Subject to subsection (3a), on or before the end day the holder of an exploration licence granted in respect of more than one block shall lodge a surrender for registration in respect of — </w:t>
      </w:r>
    </w:p>
    <w:p>
      <w:pPr>
        <w:pStyle w:val="nzIndenta"/>
      </w:pPr>
      <w:r>
        <w:tab/>
        <w:t>(a)</w:t>
      </w:r>
      <w:r>
        <w:tab/>
        <w:t>40% of the number of the blocks that are subject to the licence; or</w:t>
      </w:r>
    </w:p>
    <w:p>
      <w:pPr>
        <w:pStyle w:val="nzIndenta"/>
      </w:pPr>
      <w:r>
        <w:tab/>
        <w:t>(b)</w:t>
      </w:r>
      <w:r>
        <w:tab/>
        <w:t>if 40% of that number is not a whole number, the nearest whole number of the blocks.</w:t>
      </w:r>
    </w:p>
    <w:p>
      <w:pPr>
        <w:pStyle w:val="nzSubsection"/>
      </w:pPr>
      <w:r>
        <w:tab/>
        <w:t>(3a)</w:t>
      </w:r>
      <w:r>
        <w:tab/>
        <w:t xml:space="preserve">Subsection (3) does not apply if — </w:t>
      </w:r>
    </w:p>
    <w:p>
      <w:pPr>
        <w:pStyle w:val="nzIndenta"/>
      </w:pPr>
      <w:r>
        <w:tab/>
        <w:t>(a)</w:t>
      </w:r>
      <w:r>
        <w:tab/>
        <w:t>a deferral has been granted under subsection (3b); or</w:t>
      </w:r>
    </w:p>
    <w:p>
      <w:pPr>
        <w:pStyle w:val="nzIndenta"/>
      </w:pPr>
      <w:r>
        <w:tab/>
        <w:t>(b)</w:t>
      </w:r>
      <w:r>
        <w:tab/>
        <w:t>an application for deferral under subsection (3c) has been made but has not been determined.</w:t>
      </w:r>
    </w:p>
    <w:p>
      <w:pPr>
        <w:pStyle w:val="nzSubsection"/>
      </w:pPr>
      <w:r>
        <w:tab/>
        <w:t>(3b)</w:t>
      </w:r>
      <w:r>
        <w:tab/>
        <w:t>The Minister may, if satisfied that a prescribed ground for deferral exists, defer the requirement in subsection (3).</w:t>
      </w:r>
    </w:p>
    <w:p>
      <w:pPr>
        <w:pStyle w:val="nzSubsection"/>
      </w:pPr>
      <w:r>
        <w:tab/>
        <w:t>(3c)</w:t>
      </w:r>
      <w:r>
        <w:tab/>
        <w:t>An application for deferral shall be made by the holder of an exploration licence on or before the end day in the prescribed manner.</w:t>
      </w:r>
    </w:p>
    <w:p>
      <w:pPr>
        <w:pStyle w:val="nzSubsection"/>
      </w:pPr>
      <w:r>
        <w:tab/>
        <w:t>(3d)</w:t>
      </w:r>
      <w:r>
        <w:tab/>
        <w:t>If a deferral is granted under subsection (3b), the holder of the exploration licence shall lodge the surrender for registration on or before the day that is 12 months after the end day.</w:t>
      </w:r>
    </w:p>
    <w:p>
      <w:pPr>
        <w:pStyle w:val="MiscClose"/>
      </w:pPr>
      <w:r>
        <w:t xml:space="preserve">    ”.</w:t>
      </w:r>
    </w:p>
    <w:p>
      <w:pPr>
        <w:pStyle w:val="nzSubsection"/>
      </w:pPr>
      <w:r>
        <w:tab/>
        <w:t>(2)</w:t>
      </w:r>
      <w:r>
        <w:tab/>
        <w:t xml:space="preserve">Section 65(4) is repealed and the following subsections are inserted instead — </w:t>
      </w:r>
    </w:p>
    <w:p>
      <w:pPr>
        <w:pStyle w:val="MiscOpen"/>
        <w:ind w:left="600"/>
      </w:pPr>
      <w:r>
        <w:t xml:space="preserve">“    </w:t>
      </w:r>
    </w:p>
    <w:p>
      <w:pPr>
        <w:pStyle w:val="nzSubsection"/>
      </w:pPr>
      <w:r>
        <w:tab/>
        <w:t>(4)</w:t>
      </w:r>
      <w:r>
        <w:tab/>
        <w:t xml:space="preserve">If — </w:t>
      </w:r>
    </w:p>
    <w:p>
      <w:pPr>
        <w:pStyle w:val="nzIndenta"/>
      </w:pPr>
      <w:r>
        <w:tab/>
        <w:t>(a)</w:t>
      </w:r>
      <w:r>
        <w:tab/>
        <w:t>the holder of an exploration licence fails to lodge a surrender in accordance with subsection (3) or (3d); or</w:t>
      </w:r>
    </w:p>
    <w:p>
      <w:pPr>
        <w:pStyle w:val="nzIndenta"/>
      </w:pPr>
      <w:r>
        <w:tab/>
        <w:t>(b)</w:t>
      </w:r>
      <w:r>
        <w:tab/>
        <w:t>a deferral under subsection (3b) is refused,</w:t>
      </w:r>
    </w:p>
    <w:p>
      <w:pPr>
        <w:pStyle w:val="nzSubsection"/>
      </w:pPr>
      <w:r>
        <w:tab/>
      </w:r>
      <w:r>
        <w:tab/>
        <w:t>the Minister may, by notice in writing, require the holder to lodge the surrender for registration within a period specified in the notice.</w:t>
      </w:r>
    </w:p>
    <w:p>
      <w:pPr>
        <w:pStyle w:val="nzSubsection"/>
      </w:pPr>
      <w:r>
        <w:tab/>
        <w:t>(4a)</w:t>
      </w:r>
      <w:r>
        <w:tab/>
        <w:t>A surrender under this section takes effect on the surrender day.</w:t>
      </w:r>
    </w:p>
    <w:p>
      <w:pPr>
        <w:pStyle w:val="nzSubsection"/>
      </w:pPr>
      <w:r>
        <w:tab/>
        <w:t>(4b)</w:t>
      </w:r>
      <w:r>
        <w:tab/>
        <w:t xml:space="preserve">The blocks that remain subject to an exploration licence after a surrender under this section are to form not more than 3 discrete areas each consisting of — </w:t>
      </w:r>
    </w:p>
    <w:p>
      <w:pPr>
        <w:pStyle w:val="nzIndenta"/>
      </w:pPr>
      <w:r>
        <w:tab/>
        <w:t>(a)</w:t>
      </w:r>
      <w:r>
        <w:tab/>
        <w:t>a single graticular section; or</w:t>
      </w:r>
    </w:p>
    <w:p>
      <w:pPr>
        <w:pStyle w:val="nzIndenta"/>
      </w:pPr>
      <w:r>
        <w:tab/>
        <w:t>(b)</w:t>
      </w:r>
      <w:r>
        <w:tab/>
        <w:t>a number of graticular sections each having a side in common with at least one other graticular section in that area.</w:t>
      </w:r>
    </w:p>
    <w:p>
      <w:pPr>
        <w:pStyle w:val="nzSubsection"/>
      </w:pPr>
      <w:r>
        <w:tab/>
        <w:t>(4c)</w:t>
      </w:r>
      <w:r>
        <w:tab/>
        <w:t xml:space="preserve">If, before the surrender day, the holder of an exploration licence — </w:t>
      </w:r>
    </w:p>
    <w:p>
      <w:pPr>
        <w:pStyle w:val="nz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nzIndenta"/>
      </w:pPr>
      <w:r>
        <w:tab/>
        <w:t>(b)</w:t>
      </w:r>
      <w:r>
        <w:tab/>
        <w:t xml:space="preserve">surrenders a part of the land the subject of the exploration licence (the </w:t>
      </w:r>
      <w:r>
        <w:rPr>
          <w:b/>
        </w:rPr>
        <w:t>“</w:t>
      </w:r>
      <w:r>
        <w:rPr>
          <w:rStyle w:val="CharDefText"/>
        </w:rPr>
        <w:t>surrendered land</w:t>
      </w:r>
      <w:r>
        <w:rPr>
          <w:b/>
        </w:rPr>
        <w:t>”</w:t>
      </w:r>
      <w:r>
        <w:t>),</w:t>
      </w:r>
    </w:p>
    <w:p>
      <w:pPr>
        <w:pStyle w:val="nz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MiscClose"/>
      </w:pPr>
      <w:r>
        <w:t xml:space="preserve">    ”.</w:t>
      </w:r>
    </w:p>
    <w:p>
      <w:pPr>
        <w:pStyle w:val="nzHeading5"/>
      </w:pPr>
      <w:bookmarkStart w:id="1916" w:name="_Toc87061468"/>
      <w:r>
        <w:rPr>
          <w:rStyle w:val="CharSectno"/>
        </w:rPr>
        <w:t>17</w:t>
      </w:r>
      <w:r>
        <w:t>.</w:t>
      </w:r>
      <w:r>
        <w:tab/>
        <w:t>Section 68 amended</w:t>
      </w:r>
      <w:bookmarkEnd w:id="1916"/>
    </w:p>
    <w:p>
      <w:pPr>
        <w:pStyle w:val="nzSubsection"/>
      </w:pPr>
      <w:r>
        <w:tab/>
        <w:t>(1)</w:t>
      </w:r>
      <w:r>
        <w:tab/>
        <w:t>Section 68(1) is amended by deleting the penalty provision.</w:t>
      </w:r>
    </w:p>
    <w:p>
      <w:pPr>
        <w:pStyle w:val="nzSubsection"/>
      </w:pPr>
      <w:r>
        <w:tab/>
        <w:t>(2)</w:t>
      </w:r>
      <w:r>
        <w:tab/>
        <w:t>Section 68(2) is amended by deleting the penalty provision.</w:t>
      </w:r>
    </w:p>
    <w:p>
      <w:pPr>
        <w:pStyle w:val="nzSubsection"/>
      </w:pPr>
      <w:r>
        <w:tab/>
        <w:t>(3)</w:t>
      </w:r>
      <w:r>
        <w:tab/>
        <w:t xml:space="preserve">After section 68(3) the following subsection is inserted — </w:t>
      </w:r>
    </w:p>
    <w:p>
      <w:pPr>
        <w:pStyle w:val="MiscOpen"/>
        <w:ind w:left="600"/>
      </w:pPr>
      <w:r>
        <w:t xml:space="preserve">“    </w:t>
      </w:r>
    </w:p>
    <w:p>
      <w:pPr>
        <w:pStyle w:val="nzSubsection"/>
      </w:pPr>
      <w:r>
        <w:tab/>
        <w:t>(4)</w:t>
      </w:r>
      <w:r>
        <w:tab/>
        <w:t>Notwithstanding section 154(1), a holder of an exploration licence who fails to comply with subsection (1), (2) or (3) does not commit an offence against this Act.</w:t>
      </w:r>
    </w:p>
    <w:p>
      <w:pPr>
        <w:pStyle w:val="MiscClose"/>
      </w:pPr>
      <w:r>
        <w:t xml:space="preserve">    ”.</w:t>
      </w:r>
    </w:p>
    <w:p>
      <w:pPr>
        <w:pStyle w:val="nzHeading5"/>
      </w:pPr>
      <w:bookmarkStart w:id="1917" w:name="_Toc87061469"/>
      <w:r>
        <w:rPr>
          <w:rStyle w:val="CharSectno"/>
        </w:rPr>
        <w:t>18</w:t>
      </w:r>
      <w:r>
        <w:t>.</w:t>
      </w:r>
      <w:r>
        <w:tab/>
        <w:t>Section 69 amended</w:t>
      </w:r>
      <w:bookmarkEnd w:id="1917"/>
    </w:p>
    <w:p>
      <w:pPr>
        <w:pStyle w:val="nzSubsection"/>
      </w:pPr>
      <w:r>
        <w:tab/>
      </w:r>
      <w:r>
        <w:tab/>
        <w:t xml:space="preserve">Section 69(1) is amended by deleting “relinquished” in both places where it occurs and inserting instead — </w:t>
      </w:r>
    </w:p>
    <w:p>
      <w:pPr>
        <w:pStyle w:val="nzSubsection"/>
      </w:pPr>
      <w:r>
        <w:tab/>
      </w:r>
      <w:r>
        <w:tab/>
        <w:t>“    surrendered    ”.</w:t>
      </w:r>
    </w:p>
    <w:p>
      <w:pPr>
        <w:pStyle w:val="nzHeading5"/>
      </w:pPr>
      <w:bookmarkStart w:id="1918" w:name="_Toc87061470"/>
      <w:r>
        <w:rPr>
          <w:rStyle w:val="CharSectno"/>
        </w:rPr>
        <w:t>19</w:t>
      </w:r>
      <w:r>
        <w:t>.</w:t>
      </w:r>
      <w:r>
        <w:tab/>
        <w:t>Transitional and savings provisions</w:t>
      </w:r>
      <w:bookmarkEnd w:id="1918"/>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Heading2"/>
        <w:rPr>
          <w:rStyle w:val="CharPartNo"/>
        </w:rPr>
      </w:pPr>
      <w:bookmarkStart w:id="1919" w:name="_Toc65297825"/>
      <w:bookmarkStart w:id="1920" w:name="_Toc65297916"/>
      <w:bookmarkStart w:id="1921" w:name="_Toc65301682"/>
      <w:bookmarkStart w:id="1922" w:name="_Toc65379299"/>
      <w:bookmarkStart w:id="1923" w:name="_Toc65389314"/>
      <w:bookmarkStart w:id="1924" w:name="_Toc65390239"/>
      <w:bookmarkStart w:id="1925" w:name="_Toc65390788"/>
      <w:bookmarkStart w:id="1926" w:name="_Toc65395233"/>
      <w:bookmarkStart w:id="1927" w:name="_Toc65396527"/>
      <w:bookmarkStart w:id="1928" w:name="_Toc65397452"/>
      <w:bookmarkStart w:id="1929" w:name="_Toc65999776"/>
      <w:bookmarkStart w:id="1930" w:name="_Toc65999931"/>
      <w:bookmarkStart w:id="1931" w:name="_Toc66000059"/>
      <w:bookmarkStart w:id="1932" w:name="_Toc66097239"/>
      <w:bookmarkStart w:id="1933" w:name="_Toc66173282"/>
      <w:bookmarkStart w:id="1934" w:name="_Toc66512433"/>
      <w:bookmarkStart w:id="1935" w:name="_Toc66523458"/>
      <w:bookmarkStart w:id="1936" w:name="_Toc66523555"/>
      <w:bookmarkStart w:id="1937" w:name="_Toc66527939"/>
      <w:bookmarkStart w:id="1938" w:name="_Toc66528333"/>
      <w:bookmarkStart w:id="1939" w:name="_Toc66528810"/>
      <w:bookmarkStart w:id="1940" w:name="_Toc66584488"/>
      <w:bookmarkStart w:id="1941" w:name="_Toc66584872"/>
      <w:bookmarkStart w:id="1942" w:name="_Toc66586511"/>
      <w:bookmarkStart w:id="1943" w:name="_Toc66586953"/>
      <w:bookmarkStart w:id="1944" w:name="_Toc66589374"/>
      <w:bookmarkStart w:id="1945" w:name="_Toc66589573"/>
      <w:bookmarkStart w:id="1946" w:name="_Toc66610317"/>
      <w:bookmarkStart w:id="1947" w:name="_Toc66614311"/>
      <w:bookmarkStart w:id="1948" w:name="_Toc66673561"/>
      <w:bookmarkStart w:id="1949" w:name="_Toc66673923"/>
      <w:bookmarkStart w:id="1950" w:name="_Toc66699341"/>
      <w:bookmarkStart w:id="1951" w:name="_Toc66700197"/>
      <w:bookmarkStart w:id="1952" w:name="_Toc66700538"/>
      <w:bookmarkStart w:id="1953" w:name="_Toc66700692"/>
      <w:bookmarkStart w:id="1954" w:name="_Toc66701271"/>
      <w:bookmarkStart w:id="1955" w:name="_Toc66772306"/>
      <w:bookmarkStart w:id="1956" w:name="_Toc66772749"/>
      <w:bookmarkStart w:id="1957" w:name="_Toc66774150"/>
      <w:bookmarkStart w:id="1958" w:name="_Toc66774381"/>
      <w:bookmarkStart w:id="1959" w:name="_Toc67107345"/>
      <w:bookmarkStart w:id="1960" w:name="_Toc67107822"/>
      <w:bookmarkStart w:id="1961" w:name="_Toc67113503"/>
      <w:bookmarkStart w:id="1962" w:name="_Toc67118751"/>
      <w:bookmarkStart w:id="1963" w:name="_Toc67119362"/>
      <w:bookmarkStart w:id="1964" w:name="_Toc67119537"/>
      <w:bookmarkStart w:id="1965" w:name="_Toc67130645"/>
      <w:bookmarkStart w:id="1966" w:name="_Toc67133679"/>
      <w:bookmarkStart w:id="1967" w:name="_Toc67193840"/>
      <w:bookmarkStart w:id="1968" w:name="_Toc67206005"/>
      <w:bookmarkStart w:id="1969" w:name="_Toc67209191"/>
      <w:bookmarkStart w:id="1970" w:name="_Toc67209430"/>
      <w:bookmarkStart w:id="1971" w:name="_Toc67291520"/>
      <w:bookmarkStart w:id="1972" w:name="_Toc67300466"/>
      <w:bookmarkStart w:id="1973" w:name="_Toc67301612"/>
      <w:bookmarkStart w:id="1974" w:name="_Toc67301818"/>
      <w:bookmarkStart w:id="1975" w:name="_Toc67302114"/>
      <w:bookmarkStart w:id="1976" w:name="_Toc67721785"/>
      <w:bookmarkStart w:id="1977" w:name="_Toc67721995"/>
      <w:bookmarkStart w:id="1978" w:name="_Toc67722241"/>
      <w:bookmarkStart w:id="1979" w:name="_Toc67724587"/>
      <w:bookmarkStart w:id="1980" w:name="_Toc67799497"/>
      <w:bookmarkStart w:id="1981" w:name="_Toc67806302"/>
      <w:bookmarkStart w:id="1982" w:name="_Toc67807124"/>
      <w:bookmarkStart w:id="1983" w:name="_Toc67808138"/>
      <w:bookmarkStart w:id="1984" w:name="_Toc67808415"/>
      <w:bookmarkStart w:id="1985" w:name="_Toc67809849"/>
      <w:bookmarkStart w:id="1986" w:name="_Toc67813898"/>
      <w:bookmarkStart w:id="1987" w:name="_Toc67814220"/>
      <w:bookmarkStart w:id="1988" w:name="_Toc67911079"/>
      <w:bookmarkStart w:id="1989" w:name="_Toc67912057"/>
      <w:bookmarkStart w:id="1990" w:name="_Toc67980294"/>
      <w:bookmarkStart w:id="1991" w:name="_Toc67980402"/>
      <w:bookmarkStart w:id="1992" w:name="_Toc67980686"/>
      <w:bookmarkStart w:id="1993" w:name="_Toc67981208"/>
      <w:bookmarkStart w:id="1994" w:name="_Toc67981395"/>
      <w:bookmarkStart w:id="1995" w:name="_Toc67981969"/>
      <w:bookmarkStart w:id="1996" w:name="_Toc67997367"/>
      <w:bookmarkStart w:id="1997" w:name="_Toc68063322"/>
      <w:bookmarkStart w:id="1998" w:name="_Toc68070419"/>
      <w:bookmarkStart w:id="1999" w:name="_Toc68315351"/>
      <w:bookmarkStart w:id="2000" w:name="_Toc68321114"/>
      <w:bookmarkStart w:id="2001" w:name="_Toc68321221"/>
      <w:bookmarkStart w:id="2002" w:name="_Toc68321329"/>
      <w:bookmarkStart w:id="2003" w:name="_Toc68323955"/>
      <w:bookmarkStart w:id="2004" w:name="_Toc68325652"/>
      <w:bookmarkStart w:id="2005" w:name="_Toc68490827"/>
      <w:bookmarkStart w:id="2006" w:name="_Toc68494999"/>
      <w:bookmarkStart w:id="2007" w:name="_Toc68505816"/>
      <w:bookmarkStart w:id="2008" w:name="_Toc68506524"/>
      <w:bookmarkStart w:id="2009" w:name="_Toc68513236"/>
      <w:bookmarkStart w:id="2010" w:name="_Toc68515247"/>
      <w:bookmarkStart w:id="2011" w:name="_Toc68516450"/>
      <w:bookmarkStart w:id="2012" w:name="_Toc68517723"/>
      <w:bookmarkStart w:id="2013" w:name="_Toc68518042"/>
      <w:bookmarkStart w:id="2014" w:name="_Toc68518239"/>
      <w:bookmarkStart w:id="2015" w:name="_Toc68588043"/>
      <w:bookmarkStart w:id="2016" w:name="_Toc68943912"/>
      <w:bookmarkStart w:id="2017" w:name="_Toc68944674"/>
      <w:bookmarkStart w:id="2018" w:name="_Toc68945480"/>
      <w:bookmarkStart w:id="2019" w:name="_Toc68946881"/>
      <w:bookmarkStart w:id="2020" w:name="_Toc68950719"/>
      <w:bookmarkStart w:id="2021" w:name="_Toc69017046"/>
      <w:bookmarkStart w:id="2022" w:name="_Toc69021818"/>
      <w:bookmarkStart w:id="2023" w:name="_Toc69022074"/>
      <w:bookmarkStart w:id="2024" w:name="_Toc69030802"/>
      <w:bookmarkStart w:id="2025" w:name="_Toc69100495"/>
      <w:bookmarkStart w:id="2026" w:name="_Toc69102741"/>
      <w:bookmarkStart w:id="2027" w:name="_Toc69117297"/>
      <w:bookmarkStart w:id="2028" w:name="_Toc69118003"/>
      <w:bookmarkStart w:id="2029" w:name="_Toc69271726"/>
      <w:bookmarkStart w:id="2030" w:name="_Toc69274103"/>
      <w:bookmarkStart w:id="2031" w:name="_Toc69274552"/>
      <w:bookmarkStart w:id="2032" w:name="_Toc69275310"/>
      <w:bookmarkStart w:id="2033" w:name="_Toc69275605"/>
      <w:bookmarkStart w:id="2034" w:name="_Toc69278371"/>
      <w:bookmarkStart w:id="2035" w:name="_Toc69280721"/>
      <w:bookmarkStart w:id="2036" w:name="_Toc69281062"/>
      <w:bookmarkStart w:id="2037" w:name="_Toc69281171"/>
      <w:bookmarkStart w:id="2038" w:name="_Toc69281338"/>
      <w:bookmarkStart w:id="2039" w:name="_Toc70327081"/>
      <w:bookmarkStart w:id="2040" w:name="_Toc70405219"/>
      <w:bookmarkStart w:id="2041" w:name="_Toc70995382"/>
      <w:bookmarkStart w:id="2042" w:name="_Toc71712510"/>
      <w:bookmarkStart w:id="2043" w:name="_Toc71713965"/>
      <w:bookmarkStart w:id="2044" w:name="_Toc71878708"/>
      <w:bookmarkStart w:id="2045" w:name="_Toc71880052"/>
      <w:bookmarkStart w:id="2046" w:name="_Toc71884433"/>
      <w:bookmarkStart w:id="2047" w:name="_Toc71887011"/>
      <w:bookmarkStart w:id="2048" w:name="_Toc71887252"/>
      <w:bookmarkStart w:id="2049" w:name="_Toc71953158"/>
      <w:bookmarkStart w:id="2050" w:name="_Toc71953301"/>
      <w:bookmarkStart w:id="2051" w:name="_Toc71957048"/>
      <w:bookmarkStart w:id="2052" w:name="_Toc71963679"/>
      <w:bookmarkStart w:id="2053" w:name="_Toc71969771"/>
      <w:bookmarkStart w:id="2054" w:name="_Toc71969880"/>
      <w:bookmarkStart w:id="2055" w:name="_Toc71973483"/>
      <w:bookmarkStart w:id="2056" w:name="_Toc71975597"/>
      <w:bookmarkStart w:id="2057" w:name="_Toc71976405"/>
      <w:bookmarkStart w:id="2058" w:name="_Toc72026799"/>
      <w:bookmarkStart w:id="2059" w:name="_Toc72027057"/>
      <w:bookmarkStart w:id="2060" w:name="_Toc72029114"/>
      <w:bookmarkStart w:id="2061" w:name="_Toc72044641"/>
      <w:bookmarkStart w:id="2062" w:name="_Toc72044751"/>
      <w:bookmarkStart w:id="2063" w:name="_Toc72049670"/>
      <w:bookmarkStart w:id="2064" w:name="_Toc72049782"/>
      <w:bookmarkStart w:id="2065" w:name="_Toc72748182"/>
      <w:bookmarkStart w:id="2066" w:name="_Toc72812727"/>
      <w:bookmarkStart w:id="2067" w:name="_Toc72827592"/>
      <w:bookmarkStart w:id="2068" w:name="_Toc73154098"/>
      <w:bookmarkStart w:id="2069" w:name="_Toc73154524"/>
      <w:bookmarkStart w:id="2070" w:name="_Toc73156283"/>
      <w:bookmarkStart w:id="2071" w:name="_Toc73156403"/>
      <w:bookmarkStart w:id="2072" w:name="_Toc73158370"/>
      <w:bookmarkStart w:id="2073" w:name="_Toc73158698"/>
      <w:bookmarkStart w:id="2074" w:name="_Toc73159063"/>
      <w:bookmarkStart w:id="2075" w:name="_Toc73159204"/>
      <w:bookmarkStart w:id="2076" w:name="_Toc73159879"/>
      <w:bookmarkStart w:id="2077" w:name="_Toc73160806"/>
      <w:bookmarkStart w:id="2078" w:name="_Toc73161600"/>
      <w:bookmarkStart w:id="2079" w:name="_Toc73161771"/>
      <w:bookmarkStart w:id="2080" w:name="_Toc73164205"/>
      <w:bookmarkStart w:id="2081" w:name="_Toc73179774"/>
      <w:bookmarkStart w:id="2082" w:name="_Toc73184315"/>
      <w:bookmarkStart w:id="2083" w:name="_Toc73241584"/>
      <w:bookmarkStart w:id="2084" w:name="_Toc73242146"/>
      <w:bookmarkStart w:id="2085" w:name="_Toc73242886"/>
      <w:bookmarkStart w:id="2086" w:name="_Toc73243003"/>
      <w:bookmarkStart w:id="2087" w:name="_Toc73243120"/>
      <w:bookmarkStart w:id="2088" w:name="_Toc73245175"/>
      <w:bookmarkStart w:id="2089" w:name="_Toc73245985"/>
      <w:bookmarkStart w:id="2090" w:name="_Toc73251503"/>
      <w:bookmarkStart w:id="2091" w:name="_Toc73258499"/>
      <w:bookmarkStart w:id="2092" w:name="_Toc73259580"/>
      <w:bookmarkStart w:id="2093" w:name="_Toc73421917"/>
      <w:bookmarkStart w:id="2094" w:name="_Toc73427318"/>
      <w:bookmarkStart w:id="2095" w:name="_Toc73428244"/>
      <w:bookmarkStart w:id="2096" w:name="_Toc73428361"/>
      <w:bookmarkStart w:id="2097" w:name="_Toc73428478"/>
      <w:bookmarkStart w:id="2098" w:name="_Toc73428732"/>
      <w:bookmarkStart w:id="2099" w:name="_Toc73428965"/>
      <w:bookmarkStart w:id="2100" w:name="_Toc73429453"/>
      <w:bookmarkStart w:id="2101" w:name="_Toc73436605"/>
      <w:bookmarkStart w:id="2102" w:name="_Toc73437448"/>
      <w:bookmarkStart w:id="2103" w:name="_Toc81200135"/>
      <w:bookmarkStart w:id="2104" w:name="_Toc81201746"/>
      <w:bookmarkStart w:id="2105" w:name="_Toc81209000"/>
      <w:r>
        <w:rPr>
          <w:rStyle w:val="CharPartNo"/>
        </w:rPr>
        <w:t>Part 5 — Amendments about retention status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nzHeading5"/>
      </w:pPr>
      <w:bookmarkStart w:id="2106" w:name="_Toc87061471"/>
      <w:r>
        <w:rPr>
          <w:rStyle w:val="CharSectno"/>
        </w:rPr>
        <w:t>20</w:t>
      </w:r>
      <w:r>
        <w:t>.</w:t>
      </w:r>
      <w:r>
        <w:tab/>
        <w:t>Section 8 amended</w:t>
      </w:r>
      <w:bookmarkEnd w:id="2106"/>
    </w:p>
    <w:p>
      <w:pPr>
        <w:pStyle w:val="nzSubsection"/>
      </w:pPr>
      <w:r>
        <w:tab/>
        <w:t>(1)</w:t>
      </w:r>
      <w:r>
        <w:tab/>
        <w:t xml:space="preserve">Section 8(1) is amended by inserting in the appropriate alphabetical positions — </w:t>
      </w:r>
    </w:p>
    <w:p>
      <w:pPr>
        <w:pStyle w:val="MiscOpen"/>
        <w:ind w:left="880"/>
      </w:pPr>
      <w:r>
        <w:t xml:space="preserve">“    </w:t>
      </w:r>
    </w:p>
    <w:p>
      <w:pPr>
        <w:pStyle w:val="nzDefstart"/>
      </w:pPr>
      <w:r>
        <w:rPr>
          <w:b/>
        </w:rPr>
        <w:tab/>
        <w:t>“</w:t>
      </w:r>
      <w:r>
        <w:rPr>
          <w:rStyle w:val="CharDefText"/>
        </w:rPr>
        <w:t>identified mineral resource</w:t>
      </w:r>
      <w:r>
        <w:rPr>
          <w:b/>
        </w:rPr>
        <w:t>”</w:t>
      </w:r>
      <w:r>
        <w:t xml:space="preserve"> means a deposit of minerals identified in the prescribed manner;</w:t>
      </w:r>
    </w:p>
    <w:p>
      <w:pPr>
        <w:pStyle w:val="nzDefstart"/>
      </w:pPr>
      <w:r>
        <w:rPr>
          <w:b/>
        </w:rPr>
        <w:tab/>
        <w:t>“</w:t>
      </w:r>
      <w:r>
        <w:rPr>
          <w:rStyle w:val="CharDefText"/>
        </w:rPr>
        <w:t>retention status</w:t>
      </w:r>
      <w:r>
        <w:rPr>
          <w:b/>
        </w:rPr>
        <w:t>”</w:t>
      </w:r>
      <w:r>
        <w:t xml:space="preserve"> has a meaning affected by subsection (5);</w:t>
      </w:r>
    </w:p>
    <w:p>
      <w:pPr>
        <w:pStyle w:val="MiscClose"/>
      </w:pPr>
      <w:r>
        <w:t xml:space="preserve">    ”.</w:t>
      </w:r>
    </w:p>
    <w:p>
      <w:pPr>
        <w:pStyle w:val="nzSubsection"/>
      </w:pPr>
      <w:r>
        <w:tab/>
        <w:t>(2)</w:t>
      </w:r>
      <w:r>
        <w:tab/>
        <w:t xml:space="preserve">After section 8(4) the following subsection is inserted — </w:t>
      </w:r>
    </w:p>
    <w:p>
      <w:pPr>
        <w:pStyle w:val="MiscOpen"/>
        <w:ind w:left="600"/>
      </w:pPr>
      <w:r>
        <w:t xml:space="preserve">“    </w:t>
      </w:r>
    </w:p>
    <w:p>
      <w:pPr>
        <w:pStyle w:val="nzSubsection"/>
      </w:pPr>
      <w:r>
        <w:tab/>
        <w:t>(5)</w:t>
      </w:r>
      <w:r>
        <w:tab/>
        <w:t xml:space="preserve">For the purposes of this Act — </w:t>
      </w:r>
    </w:p>
    <w:p>
      <w:pPr>
        <w:pStyle w:val="nzIndenta"/>
      </w:pPr>
      <w:r>
        <w:tab/>
        <w:t>(a)</w:t>
      </w:r>
      <w:r>
        <w:tab/>
        <w:t>a prospecting licence has retention status if an approval under section 54 has effect in relation to the licence; and</w:t>
      </w:r>
    </w:p>
    <w:p>
      <w:pPr>
        <w:pStyle w:val="nzIndenta"/>
      </w:pPr>
      <w:r>
        <w:tab/>
        <w:t>(b)</w:t>
      </w:r>
      <w:r>
        <w:tab/>
        <w:t>an exploration licence has retention status if an approval under section 69B has effect in relation to the licence.</w:t>
      </w:r>
    </w:p>
    <w:p>
      <w:pPr>
        <w:pStyle w:val="MiscClose"/>
      </w:pPr>
      <w:r>
        <w:t xml:space="preserve">    ”.</w:t>
      </w:r>
    </w:p>
    <w:p>
      <w:pPr>
        <w:pStyle w:val="nzHeading5"/>
      </w:pPr>
      <w:bookmarkStart w:id="2107" w:name="_Toc87061472"/>
      <w:r>
        <w:rPr>
          <w:rStyle w:val="CharSectno"/>
        </w:rPr>
        <w:t>21</w:t>
      </w:r>
      <w:r>
        <w:t>.</w:t>
      </w:r>
      <w:r>
        <w:tab/>
        <w:t>Section 50 amended</w:t>
      </w:r>
      <w:bookmarkEnd w:id="2107"/>
    </w:p>
    <w:p>
      <w:pPr>
        <w:pStyle w:val="nzSubsection"/>
      </w:pPr>
      <w:r>
        <w:tab/>
        <w:t>(1)</w:t>
      </w:r>
      <w:r>
        <w:tab/>
        <w:t>Section 50 is amended by inserting before “During” the subsection designation “(1)”.</w:t>
      </w:r>
    </w:p>
    <w:p>
      <w:pPr>
        <w:pStyle w:val="nzSubsection"/>
      </w:pPr>
      <w:r>
        <w:tab/>
        <w:t>(2)</w:t>
      </w:r>
      <w:r>
        <w:tab/>
        <w:t xml:space="preserve">At the end of section 50 the following subsection is inserted — </w:t>
      </w:r>
    </w:p>
    <w:p>
      <w:pPr>
        <w:pStyle w:val="MiscOpen"/>
        <w:ind w:left="600"/>
      </w:pPr>
      <w:r>
        <w:t xml:space="preserve">“    </w:t>
      </w:r>
    </w:p>
    <w:p>
      <w:pPr>
        <w:pStyle w:val="nzSubsection"/>
      </w:pPr>
      <w:r>
        <w:tab/>
        <w:t>(2)</w:t>
      </w:r>
      <w:r>
        <w:tab/>
        <w:t xml:space="preserve">In the case of a prospecting licence that has retention status, expenditure conditions prescribed for the purposes of subsection (1) — </w:t>
      </w:r>
    </w:p>
    <w:p>
      <w:pPr>
        <w:pStyle w:val="nzIndenta"/>
      </w:pPr>
      <w:r>
        <w:tab/>
        <w:t>(a)</w:t>
      </w:r>
      <w:r>
        <w:tab/>
        <w:t>shall provide for a reduction calculated in the prescribed manner of the amount of expenditure required during the year of the term of the licence in which retention status is approved; and</w:t>
      </w:r>
    </w:p>
    <w:p>
      <w:pPr>
        <w:pStyle w:val="nzIndenta"/>
      </w:pPr>
      <w:r>
        <w:tab/>
        <w:t>(b)</w:t>
      </w:r>
      <w:r>
        <w:tab/>
        <w:t>shall not require expenditure during any subsequent year of the term of the licence.</w:t>
      </w:r>
    </w:p>
    <w:p>
      <w:pPr>
        <w:pStyle w:val="MiscClose"/>
      </w:pPr>
      <w:r>
        <w:t xml:space="preserve">    ”.</w:t>
      </w:r>
    </w:p>
    <w:p>
      <w:pPr>
        <w:pStyle w:val="nzHeading5"/>
      </w:pPr>
      <w:bookmarkStart w:id="2108" w:name="_Toc87061473"/>
      <w:r>
        <w:rPr>
          <w:rStyle w:val="CharSectno"/>
        </w:rPr>
        <w:t>22</w:t>
      </w:r>
      <w:r>
        <w:t>.</w:t>
      </w:r>
      <w:r>
        <w:tab/>
        <w:t>Sections 53 to 55B inserted</w:t>
      </w:r>
      <w:bookmarkEnd w:id="2108"/>
    </w:p>
    <w:p>
      <w:pPr>
        <w:pStyle w:val="nzSubsection"/>
      </w:pPr>
      <w:r>
        <w:tab/>
      </w:r>
      <w:r>
        <w:tab/>
        <w:t xml:space="preserve">After section 52 the following sections are inserted — </w:t>
      </w:r>
    </w:p>
    <w:p>
      <w:pPr>
        <w:pStyle w:val="MiscOpen"/>
      </w:pPr>
      <w:r>
        <w:t xml:space="preserve">“    </w:t>
      </w:r>
    </w:p>
    <w:p>
      <w:pPr>
        <w:pStyle w:val="nzHeading5"/>
      </w:pPr>
      <w:r>
        <w:t>53.</w:t>
      </w:r>
      <w:r>
        <w:tab/>
        <w:t>Application for retention status</w:t>
      </w:r>
    </w:p>
    <w:p>
      <w:pPr>
        <w:pStyle w:val="nzSubsection"/>
      </w:pPr>
      <w:r>
        <w:tab/>
        <w:t>(1)</w:t>
      </w:r>
      <w:r>
        <w:tab/>
        <w:t xml:space="preserve">In this section — </w:t>
      </w:r>
    </w:p>
    <w:p>
      <w:pPr>
        <w:pStyle w:val="nz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nzSubsection"/>
      </w:pPr>
      <w:r>
        <w:tab/>
        <w:t>(2)</w:t>
      </w:r>
      <w:r>
        <w:tab/>
        <w:t>The holder of a prospecting licence may apply to the Minister for approval of retention status under section 54.</w:t>
      </w:r>
    </w:p>
    <w:p>
      <w:pPr>
        <w:pStyle w:val="nzSubsection"/>
      </w:pPr>
      <w:r>
        <w:tab/>
        <w:t>(3)</w:t>
      </w:r>
      <w:r>
        <w:tab/>
        <w:t xml:space="preserve">An application under subsection (2) — </w:t>
      </w:r>
    </w:p>
    <w:p>
      <w:pPr>
        <w:pStyle w:val="nzIndenta"/>
      </w:pPr>
      <w:r>
        <w:tab/>
        <w:t>(a)</w:t>
      </w:r>
      <w:r>
        <w:tab/>
        <w:t>shall be in writing;</w:t>
      </w:r>
    </w:p>
    <w:p>
      <w:pPr>
        <w:pStyle w:val="nzIndenta"/>
      </w:pPr>
      <w:r>
        <w:tab/>
        <w:t>(b)</w:t>
      </w:r>
      <w:r>
        <w:tab/>
        <w:t>shall be made in the prescribed manner;</w:t>
      </w:r>
    </w:p>
    <w:p>
      <w:pPr>
        <w:pStyle w:val="nzIndenta"/>
      </w:pPr>
      <w:r>
        <w:tab/>
        <w:t>(c)</w:t>
      </w:r>
      <w:r>
        <w:tab/>
        <w:t>shall contain the prescribed information;</w:t>
      </w:r>
    </w:p>
    <w:p>
      <w:pPr>
        <w:pStyle w:val="nzIndenta"/>
      </w:pPr>
      <w:r>
        <w:tab/>
        <w:t>(d)</w:t>
      </w:r>
      <w:r>
        <w:tab/>
        <w:t>shall be accompanied by any map, statement or other information required by the regulations; and</w:t>
      </w:r>
    </w:p>
    <w:p>
      <w:pPr>
        <w:pStyle w:val="nzIndenta"/>
      </w:pPr>
      <w:r>
        <w:tab/>
        <w:t>(e)</w:t>
      </w:r>
      <w:r>
        <w:tab/>
        <w:t>shall be accompanied by the prescribed application fee.</w:t>
      </w:r>
    </w:p>
    <w:p>
      <w:pPr>
        <w:pStyle w:val="nzSubsection"/>
      </w:pPr>
      <w:r>
        <w:tab/>
        <w:t>(4)</w:t>
      </w:r>
      <w:r>
        <w:tab/>
        <w:t>For the purposes of subsection (3)(d), but without limiting section 162(5), the regulations may require a statement or other information to be in the form of a statutory declaration.</w:t>
      </w:r>
    </w:p>
    <w:p>
      <w:pPr>
        <w:pStyle w:val="nz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nzHeading5"/>
      </w:pPr>
      <w:r>
        <w:t>54.</w:t>
      </w:r>
      <w:r>
        <w:tab/>
        <w:t>Approval of retention status</w:t>
      </w:r>
    </w:p>
    <w:p>
      <w:pPr>
        <w:pStyle w:val="nzSubsection"/>
      </w:pPr>
      <w:r>
        <w:tab/>
        <w:t>(1)</w:t>
      </w:r>
      <w:r>
        <w:tab/>
        <w:t xml:space="preserve">The Minister may approve retention status for the whole or any part of the land the subject of a prospecting licence if satisfied that — </w:t>
      </w:r>
    </w:p>
    <w:p>
      <w:pPr>
        <w:pStyle w:val="nzIndenta"/>
      </w:pPr>
      <w:r>
        <w:tab/>
        <w:t>(a)</w:t>
      </w:r>
      <w:r>
        <w:tab/>
        <w:t>there is an identified mineral resource located in, on or under that land; and</w:t>
      </w:r>
    </w:p>
    <w:p>
      <w:pPr>
        <w:pStyle w:val="nzIndenta"/>
      </w:pPr>
      <w:r>
        <w:tab/>
        <w:t>(b)</w:t>
      </w:r>
      <w:r>
        <w:tab/>
        <w:t xml:space="preserve">the mining of that identified mineral resource is impracticable because — </w:t>
      </w:r>
    </w:p>
    <w:p>
      <w:pPr>
        <w:pStyle w:val="nzIndenti"/>
      </w:pPr>
      <w:r>
        <w:tab/>
        <w:t>(i)</w:t>
      </w:r>
      <w:r>
        <w:tab/>
        <w:t>the resource is uneconomic or subject to marketing problems although the resource may reasonably be expected to become economic or marketable in the future;</w:t>
      </w:r>
    </w:p>
    <w:p>
      <w:pPr>
        <w:pStyle w:val="nzIndenti"/>
      </w:pPr>
      <w:r>
        <w:tab/>
        <w:t>(ii)</w:t>
      </w:r>
      <w:r>
        <w:tab/>
        <w:t>the resource is required to sustain the future operations of an existing or proposed mining operation; or</w:t>
      </w:r>
    </w:p>
    <w:p>
      <w:pPr>
        <w:pStyle w:val="nzIndenti"/>
      </w:pPr>
      <w:r>
        <w:tab/>
        <w:t>(iii)</w:t>
      </w:r>
      <w:r>
        <w:tab/>
        <w:t>there are existing political, environmental or other difficulties in obtaining requisite approvals.</w:t>
      </w:r>
    </w:p>
    <w:p>
      <w:pPr>
        <w:pStyle w:val="nzSubsection"/>
      </w:pPr>
      <w:r>
        <w:tab/>
        <w:t>(2)</w:t>
      </w:r>
      <w:r>
        <w:tab/>
        <w:t>An approval shall be in writing.</w:t>
      </w:r>
    </w:p>
    <w:p>
      <w:pPr>
        <w:pStyle w:val="nzSubsection"/>
      </w:pPr>
      <w:r>
        <w:tab/>
        <w:t>(3)</w:t>
      </w:r>
      <w:r>
        <w:tab/>
        <w:t xml:space="preserve">An approval takes effect on the day on which notice of the approval is published in the </w:t>
      </w:r>
      <w:r>
        <w:rPr>
          <w:i/>
        </w:rPr>
        <w:t>Gazette</w:t>
      </w:r>
      <w:r>
        <w:t xml:space="preserve"> or on a later day specified in the notice.</w:t>
      </w:r>
    </w:p>
    <w:p>
      <w:pPr>
        <w:pStyle w:val="nzSubsection"/>
      </w:pPr>
      <w:r>
        <w:tab/>
        <w:t>(4)</w:t>
      </w:r>
      <w:r>
        <w:tab/>
        <w:t xml:space="preserve">The area of land to which an approval applies shall be an area that, in the opinion of the Minister, is sufficient to include — </w:t>
      </w:r>
    </w:p>
    <w:p>
      <w:pPr>
        <w:pStyle w:val="nzIndenta"/>
      </w:pPr>
      <w:r>
        <w:tab/>
        <w:t>(a)</w:t>
      </w:r>
      <w:r>
        <w:tab/>
        <w:t>the land in, on or under which the identified mineral resource is located; and</w:t>
      </w:r>
    </w:p>
    <w:p>
      <w:pPr>
        <w:pStyle w:val="nzIndenta"/>
      </w:pPr>
      <w:r>
        <w:tab/>
        <w:t>(b)</w:t>
      </w:r>
      <w:r>
        <w:tab/>
        <w:t>such other land as may be required for future mining operations in respect of that identified mineral resource.</w:t>
      </w:r>
    </w:p>
    <w:p>
      <w:pPr>
        <w:pStyle w:val="nzSubsection"/>
      </w:pPr>
      <w:r>
        <w:tab/>
        <w:t>(5)</w:t>
      </w:r>
      <w:r>
        <w:tab/>
        <w:t>The area of land to which an approval applies may be less than the area of land in respect of which the approval was sought.</w:t>
      </w:r>
    </w:p>
    <w:p>
      <w:pPr>
        <w:pStyle w:val="nz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nz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nzHeading5"/>
      </w:pPr>
      <w:r>
        <w:t>55.</w:t>
      </w:r>
      <w:r>
        <w:tab/>
        <w:t>Consultation with other Ministers</w:t>
      </w:r>
    </w:p>
    <w:p>
      <w:pPr>
        <w:pStyle w:val="nz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nz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nz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nz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nzHeading5"/>
      </w:pPr>
      <w:r>
        <w:t>55A.</w:t>
      </w:r>
      <w:r>
        <w:tab/>
        <w:t>Programme of work</w:t>
      </w:r>
    </w:p>
    <w:p>
      <w:pPr>
        <w:pStyle w:val="nz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nz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nzSubsection"/>
      </w:pPr>
      <w:r>
        <w:tab/>
        <w:t>(3)</w:t>
      </w:r>
      <w:r>
        <w:tab/>
        <w:t>A condition imposed under subsection (1) may be cancelled or varied by the Minister at any time.</w:t>
      </w:r>
    </w:p>
    <w:p>
      <w:pPr>
        <w:pStyle w:val="nzSubsection"/>
      </w:pPr>
      <w:r>
        <w:tab/>
        <w:t>(4)</w:t>
      </w:r>
      <w:r>
        <w:tab/>
        <w:t xml:space="preserve">A condition imposed under subsection (1) — </w:t>
      </w:r>
    </w:p>
    <w:p>
      <w:pPr>
        <w:pStyle w:val="nzIndenta"/>
      </w:pPr>
      <w:r>
        <w:tab/>
        <w:t>(a)</w:t>
      </w:r>
      <w:r>
        <w:tab/>
        <w:t>may be endorsed on the prospecting licence, for which purpose the holder of the licence shall produce the licence on demand; and</w:t>
      </w:r>
    </w:p>
    <w:p>
      <w:pPr>
        <w:pStyle w:val="nzIndenta"/>
      </w:pPr>
      <w:r>
        <w:tab/>
        <w:t>(b)</w:t>
      </w:r>
      <w:r>
        <w:tab/>
        <w:t>whether or not so endorsed, on notice of the imposition of the condition being given in writing to the holder of the licence shall for all purposes have effect as a condition to which the licence is subject.</w:t>
      </w:r>
    </w:p>
    <w:p>
      <w:pPr>
        <w:pStyle w:val="nzSubsection"/>
      </w:pPr>
      <w:r>
        <w:tab/>
        <w:t>(5)</w:t>
      </w:r>
      <w:r>
        <w:tab/>
        <w:t xml:space="preserve">In subsection (1) — </w:t>
      </w:r>
    </w:p>
    <w:p>
      <w:pPr>
        <w:pStyle w:val="nzDefstart"/>
      </w:pPr>
      <w:r>
        <w:rPr>
          <w:b/>
        </w:rPr>
        <w:tab/>
        <w:t>“</w:t>
      </w:r>
      <w:r>
        <w:rPr>
          <w:rStyle w:val="CharDefText"/>
        </w:rPr>
        <w:t>specified</w:t>
      </w:r>
      <w:r>
        <w:rPr>
          <w:b/>
        </w:rPr>
        <w:t>”</w:t>
      </w:r>
      <w:r>
        <w:t xml:space="preserve"> means specified in writing by the Minister.</w:t>
      </w:r>
    </w:p>
    <w:p>
      <w:pPr>
        <w:pStyle w:val="nzHeading5"/>
      </w:pPr>
      <w:r>
        <w:t>55B.</w:t>
      </w:r>
      <w:r>
        <w:tab/>
        <w:t>Holder of prospecting licence with retention status may be required to apply for mining lease</w:t>
      </w:r>
    </w:p>
    <w:p>
      <w:pPr>
        <w:pStyle w:val="nz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nzSubsection"/>
      </w:pPr>
      <w:r>
        <w:tab/>
        <w:t>(2)</w:t>
      </w:r>
      <w:r>
        <w:tab/>
        <w:t xml:space="preserve">Where — </w:t>
      </w:r>
    </w:p>
    <w:p>
      <w:pPr>
        <w:pStyle w:val="nzIndenta"/>
      </w:pPr>
      <w:r>
        <w:tab/>
        <w:t>(a)</w:t>
      </w:r>
      <w:r>
        <w:tab/>
        <w:t>the holder of a prospecting licence fails to show cause within the time specified in the notice referred to in subsection (1); or</w:t>
      </w:r>
    </w:p>
    <w:p>
      <w:pPr>
        <w:pStyle w:val="nzIndenta"/>
      </w:pPr>
      <w:r>
        <w:tab/>
        <w:t>(b)</w:t>
      </w:r>
      <w:r>
        <w:tab/>
        <w:t>the Minister is of the opinion that the holder of a prospecting licence has shown insufficient cause,</w:t>
      </w:r>
    </w:p>
    <w:p>
      <w:pPr>
        <w:pStyle w:val="nz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MiscClose"/>
      </w:pPr>
      <w:r>
        <w:t xml:space="preserve">    ”.</w:t>
      </w:r>
    </w:p>
    <w:p>
      <w:pPr>
        <w:pStyle w:val="nzHeading5"/>
      </w:pPr>
      <w:bookmarkStart w:id="2109" w:name="_Toc87061474"/>
      <w:r>
        <w:rPr>
          <w:rStyle w:val="CharSectno"/>
        </w:rPr>
        <w:t>23</w:t>
      </w:r>
      <w:r>
        <w:t>.</w:t>
      </w:r>
      <w:r>
        <w:tab/>
        <w:t>Section 62 amended</w:t>
      </w:r>
      <w:bookmarkEnd w:id="2109"/>
    </w:p>
    <w:p>
      <w:pPr>
        <w:pStyle w:val="nzSubsection"/>
      </w:pPr>
      <w:r>
        <w:tab/>
        <w:t>(1)</w:t>
      </w:r>
      <w:r>
        <w:tab/>
        <w:t>Section 62 is amended by inserting before “During” the subsection designation “(1)”.</w:t>
      </w:r>
    </w:p>
    <w:p>
      <w:pPr>
        <w:pStyle w:val="nzSubsection"/>
      </w:pPr>
      <w:r>
        <w:tab/>
        <w:t>(2)</w:t>
      </w:r>
      <w:r>
        <w:tab/>
        <w:t xml:space="preserve">At the end of section 62 the following subsection is inserted — </w:t>
      </w:r>
    </w:p>
    <w:p>
      <w:pPr>
        <w:pStyle w:val="MiscOpen"/>
        <w:ind w:left="600"/>
      </w:pPr>
      <w:r>
        <w:t xml:space="preserve">“    </w:t>
      </w:r>
    </w:p>
    <w:p>
      <w:pPr>
        <w:pStyle w:val="nzSubsection"/>
      </w:pPr>
      <w:r>
        <w:tab/>
        <w:t>(2)</w:t>
      </w:r>
      <w:r>
        <w:tab/>
        <w:t xml:space="preserve">In the case of an exploration licence that has retention status, expenditure conditions prescribed for the purposes of subsection (1) — </w:t>
      </w:r>
    </w:p>
    <w:p>
      <w:pPr>
        <w:pStyle w:val="nzIndenta"/>
      </w:pPr>
      <w:r>
        <w:tab/>
        <w:t>(a)</w:t>
      </w:r>
      <w:r>
        <w:tab/>
        <w:t>are to provide for a reduction calculated in the prescribed manner of the amount of expenditure required during the year of the term of the licence in which retention status is approved; and</w:t>
      </w:r>
    </w:p>
    <w:p>
      <w:pPr>
        <w:pStyle w:val="nzIndenta"/>
      </w:pPr>
      <w:r>
        <w:tab/>
        <w:t>(b)</w:t>
      </w:r>
      <w:r>
        <w:tab/>
        <w:t>are not to require expenditure during any subsequent year of the term of the licence.</w:t>
      </w:r>
    </w:p>
    <w:p>
      <w:pPr>
        <w:pStyle w:val="MiscClose"/>
      </w:pPr>
      <w:r>
        <w:t xml:space="preserve">    ”.</w:t>
      </w:r>
    </w:p>
    <w:p>
      <w:pPr>
        <w:pStyle w:val="nzHeading5"/>
      </w:pPr>
      <w:bookmarkStart w:id="2110" w:name="_Toc87061475"/>
      <w:r>
        <w:rPr>
          <w:rStyle w:val="CharSectno"/>
        </w:rPr>
        <w:t>24</w:t>
      </w:r>
      <w:r>
        <w:t>.</w:t>
      </w:r>
      <w:r>
        <w:tab/>
        <w:t>Sections 69A to 69E inserted</w:t>
      </w:r>
      <w:bookmarkEnd w:id="2110"/>
    </w:p>
    <w:p>
      <w:pPr>
        <w:pStyle w:val="nzSubsection"/>
      </w:pPr>
      <w:r>
        <w:tab/>
      </w:r>
      <w:r>
        <w:tab/>
        <w:t xml:space="preserve">After section 69 the following sections are inserted — </w:t>
      </w:r>
    </w:p>
    <w:p>
      <w:pPr>
        <w:pStyle w:val="MiscOpen"/>
      </w:pPr>
      <w:r>
        <w:t xml:space="preserve">“    </w:t>
      </w:r>
    </w:p>
    <w:p>
      <w:pPr>
        <w:pStyle w:val="nzHeading5"/>
      </w:pPr>
      <w:r>
        <w:t>69A.</w:t>
      </w:r>
      <w:r>
        <w:tab/>
        <w:t>Application for retention status</w:t>
      </w:r>
    </w:p>
    <w:p>
      <w:pPr>
        <w:pStyle w:val="nzSubsection"/>
      </w:pPr>
      <w:r>
        <w:tab/>
        <w:t>(1)</w:t>
      </w:r>
      <w:r>
        <w:tab/>
        <w:t xml:space="preserve">In this section — </w:t>
      </w:r>
    </w:p>
    <w:p>
      <w:pPr>
        <w:pStyle w:val="nz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nzSubsection"/>
      </w:pPr>
      <w:r>
        <w:tab/>
        <w:t>(2)</w:t>
      </w:r>
      <w:r>
        <w:tab/>
        <w:t>The holder of an exploration licence may apply to the Minister for approval of retention status under section 69B.</w:t>
      </w:r>
    </w:p>
    <w:p>
      <w:pPr>
        <w:pStyle w:val="nzSubsection"/>
      </w:pPr>
      <w:r>
        <w:tab/>
        <w:t>(3)</w:t>
      </w:r>
      <w:r>
        <w:tab/>
        <w:t xml:space="preserve">An application under subsection (2) — </w:t>
      </w:r>
    </w:p>
    <w:p>
      <w:pPr>
        <w:pStyle w:val="nzIndenta"/>
      </w:pPr>
      <w:r>
        <w:tab/>
        <w:t>(a)</w:t>
      </w:r>
      <w:r>
        <w:tab/>
        <w:t>shall be in writing;</w:t>
      </w:r>
    </w:p>
    <w:p>
      <w:pPr>
        <w:pStyle w:val="nzIndenta"/>
      </w:pPr>
      <w:r>
        <w:tab/>
        <w:t>(b)</w:t>
      </w:r>
      <w:r>
        <w:tab/>
        <w:t>shall be made in the prescribed manner;</w:t>
      </w:r>
    </w:p>
    <w:p>
      <w:pPr>
        <w:pStyle w:val="nzIndenta"/>
      </w:pPr>
      <w:r>
        <w:tab/>
        <w:t>(c)</w:t>
      </w:r>
      <w:r>
        <w:tab/>
        <w:t>shall contain the prescribed information;</w:t>
      </w:r>
    </w:p>
    <w:p>
      <w:pPr>
        <w:pStyle w:val="nzIndenta"/>
      </w:pPr>
      <w:r>
        <w:tab/>
        <w:t>(d)</w:t>
      </w:r>
      <w:r>
        <w:tab/>
        <w:t>shall be accompanied by any map, statement or other information required by the regulations; and</w:t>
      </w:r>
    </w:p>
    <w:p>
      <w:pPr>
        <w:pStyle w:val="nzIndenta"/>
      </w:pPr>
      <w:r>
        <w:tab/>
        <w:t>(e)</w:t>
      </w:r>
      <w:r>
        <w:tab/>
        <w:t>shall be accompanied by the prescribed application fee.</w:t>
      </w:r>
    </w:p>
    <w:p>
      <w:pPr>
        <w:pStyle w:val="nzSubsection"/>
      </w:pPr>
      <w:r>
        <w:tab/>
        <w:t>(4)</w:t>
      </w:r>
      <w:r>
        <w:tab/>
        <w:t>For the purposes of subsection (3)(d), but without limiting section 162(5), the regulations may require a statement or other information to be in the form of a statutory declaration.</w:t>
      </w:r>
    </w:p>
    <w:p>
      <w:pPr>
        <w:pStyle w:val="nz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nzHeading5"/>
      </w:pPr>
      <w:r>
        <w:t>69B.</w:t>
      </w:r>
      <w:r>
        <w:tab/>
        <w:t>Approval of retention status</w:t>
      </w:r>
    </w:p>
    <w:p>
      <w:pPr>
        <w:pStyle w:val="nzSubsection"/>
      </w:pPr>
      <w:r>
        <w:tab/>
        <w:t>(1)</w:t>
      </w:r>
      <w:r>
        <w:tab/>
        <w:t xml:space="preserve">The Minister may approve retention status for the whole or any part of the land the subject of an exploration licence if satisfied that — </w:t>
      </w:r>
    </w:p>
    <w:p>
      <w:pPr>
        <w:pStyle w:val="nzIndenta"/>
      </w:pPr>
      <w:r>
        <w:tab/>
        <w:t>(a)</w:t>
      </w:r>
      <w:r>
        <w:tab/>
        <w:t>there is an identified mineral resource located in, on or under that land; and</w:t>
      </w:r>
    </w:p>
    <w:p>
      <w:pPr>
        <w:pStyle w:val="nzIndenta"/>
      </w:pPr>
      <w:r>
        <w:tab/>
        <w:t>(b)</w:t>
      </w:r>
      <w:r>
        <w:tab/>
        <w:t xml:space="preserve">the mining of that identified mineral resource is impracticable because — </w:t>
      </w:r>
    </w:p>
    <w:p>
      <w:pPr>
        <w:pStyle w:val="nzIndenti"/>
      </w:pPr>
      <w:r>
        <w:tab/>
        <w:t>(i)</w:t>
      </w:r>
      <w:r>
        <w:tab/>
        <w:t>the resource is uneconomic or subject to marketing problems although the resource may reasonably be expected to become economic or marketable in the future;</w:t>
      </w:r>
    </w:p>
    <w:p>
      <w:pPr>
        <w:pStyle w:val="nzIndenti"/>
      </w:pPr>
      <w:r>
        <w:tab/>
        <w:t>(ii)</w:t>
      </w:r>
      <w:r>
        <w:tab/>
        <w:t>the resource is required to sustain the future operations of an existing or proposed mining operation; or</w:t>
      </w:r>
    </w:p>
    <w:p>
      <w:pPr>
        <w:pStyle w:val="nzIndenti"/>
      </w:pPr>
      <w:r>
        <w:tab/>
        <w:t>(iii)</w:t>
      </w:r>
      <w:r>
        <w:tab/>
        <w:t>there are existing political, environmental or other difficulties in obtaining requisite approvals.</w:t>
      </w:r>
    </w:p>
    <w:p>
      <w:pPr>
        <w:pStyle w:val="nzSubsection"/>
      </w:pPr>
      <w:r>
        <w:tab/>
        <w:t>(2)</w:t>
      </w:r>
      <w:r>
        <w:tab/>
        <w:t>An approval shall be in writing.</w:t>
      </w:r>
    </w:p>
    <w:p>
      <w:pPr>
        <w:pStyle w:val="nzSubsection"/>
      </w:pPr>
      <w:r>
        <w:tab/>
        <w:t>(3)</w:t>
      </w:r>
      <w:r>
        <w:tab/>
        <w:t xml:space="preserve">An approval takes effect on the day on which notice of the approval is published in the </w:t>
      </w:r>
      <w:r>
        <w:rPr>
          <w:i/>
        </w:rPr>
        <w:t>Gazette</w:t>
      </w:r>
      <w:r>
        <w:t xml:space="preserve"> or on a later day specified in the notice.</w:t>
      </w:r>
    </w:p>
    <w:p>
      <w:pPr>
        <w:pStyle w:val="nzSubsection"/>
      </w:pPr>
      <w:r>
        <w:tab/>
        <w:t>(4)</w:t>
      </w:r>
      <w:r>
        <w:tab/>
        <w:t xml:space="preserve">The area of land to which an approval applies — </w:t>
      </w:r>
    </w:p>
    <w:p>
      <w:pPr>
        <w:pStyle w:val="nzIndenta"/>
      </w:pPr>
      <w:r>
        <w:tab/>
        <w:t>(a)</w:t>
      </w:r>
      <w:r>
        <w:tab/>
        <w:t>shall be a block or blocks; and</w:t>
      </w:r>
    </w:p>
    <w:p>
      <w:pPr>
        <w:pStyle w:val="nzIndenta"/>
      </w:pPr>
      <w:r>
        <w:tab/>
        <w:t>(b)</w:t>
      </w:r>
      <w:r>
        <w:tab/>
        <w:t xml:space="preserve">shall be an area that, in the opinion of the Minister, is sufficient to include — </w:t>
      </w:r>
    </w:p>
    <w:p>
      <w:pPr>
        <w:pStyle w:val="nzIndenti"/>
      </w:pPr>
      <w:r>
        <w:tab/>
        <w:t>(i)</w:t>
      </w:r>
      <w:r>
        <w:tab/>
        <w:t>the land in, on or under which the identified mineral resource is located; and</w:t>
      </w:r>
    </w:p>
    <w:p>
      <w:pPr>
        <w:pStyle w:val="nzIndenti"/>
      </w:pPr>
      <w:r>
        <w:tab/>
        <w:t>(ii)</w:t>
      </w:r>
      <w:r>
        <w:tab/>
        <w:t>such other land as may be required for future mining operations in respect of that identified mineral resource.</w:t>
      </w:r>
    </w:p>
    <w:p>
      <w:pPr>
        <w:pStyle w:val="nzSubsection"/>
      </w:pPr>
      <w:r>
        <w:tab/>
        <w:t>(5)</w:t>
      </w:r>
      <w:r>
        <w:tab/>
        <w:t>The area of land to which an approval applies may be less than the area of land in respect of which the approval was sought.</w:t>
      </w:r>
    </w:p>
    <w:p>
      <w:pPr>
        <w:pStyle w:val="nz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nzHeading5"/>
      </w:pPr>
      <w:r>
        <w:t>69C.</w:t>
      </w:r>
      <w:r>
        <w:tab/>
        <w:t>Consultation with other Ministers</w:t>
      </w:r>
    </w:p>
    <w:p>
      <w:pPr>
        <w:pStyle w:val="nzSubsection"/>
      </w:pPr>
      <w:r>
        <w:tab/>
        <w:t>(1)</w:t>
      </w:r>
      <w:r>
        <w:tab/>
        <w:t>Before approving retention status under section 69B for land of a class referred to in section 24(1), the Minister shall consult and obtain the recommendations of the relevant responsible Minister under section 24(8).</w:t>
      </w:r>
    </w:p>
    <w:p>
      <w:pPr>
        <w:pStyle w:val="nzSubsection"/>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nz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nz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nzHeading5"/>
      </w:pPr>
      <w:r>
        <w:t>69D.</w:t>
      </w:r>
      <w:r>
        <w:tab/>
        <w:t>Programme of work</w:t>
      </w:r>
    </w:p>
    <w:p>
      <w:pPr>
        <w:pStyle w:val="nz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nz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nzSubsection"/>
      </w:pPr>
      <w:r>
        <w:tab/>
        <w:t>(3)</w:t>
      </w:r>
      <w:r>
        <w:tab/>
        <w:t>A condition imposed under subsection (1) may be cancelled or varied by the Minister at any time.</w:t>
      </w:r>
    </w:p>
    <w:p>
      <w:pPr>
        <w:pStyle w:val="nzSubsection"/>
      </w:pPr>
      <w:r>
        <w:tab/>
        <w:t>(4)</w:t>
      </w:r>
      <w:r>
        <w:tab/>
        <w:t xml:space="preserve">A condition imposed under subsection (1) — </w:t>
      </w:r>
    </w:p>
    <w:p>
      <w:pPr>
        <w:pStyle w:val="nzIndenta"/>
      </w:pPr>
      <w:r>
        <w:tab/>
        <w:t>(a)</w:t>
      </w:r>
      <w:r>
        <w:tab/>
        <w:t>may be endorsed on the exploration licence, for which purpose the holder of the licence shall produce the licence on demand; and</w:t>
      </w:r>
    </w:p>
    <w:p>
      <w:pPr>
        <w:pStyle w:val="nzIndenta"/>
      </w:pPr>
      <w:r>
        <w:tab/>
        <w:t>(b)</w:t>
      </w:r>
      <w:r>
        <w:tab/>
        <w:t>whether or not so endorsed, on notice of the imposition of the condition being given in writing to the holder of the licence shall for all purposes have effect as a condition to which the licence is subject.</w:t>
      </w:r>
    </w:p>
    <w:p>
      <w:pPr>
        <w:pStyle w:val="nzSubsection"/>
      </w:pPr>
      <w:r>
        <w:tab/>
        <w:t>(5)</w:t>
      </w:r>
      <w:r>
        <w:tab/>
        <w:t xml:space="preserve">In subsection (1) — </w:t>
      </w:r>
    </w:p>
    <w:p>
      <w:pPr>
        <w:pStyle w:val="nzDefstart"/>
      </w:pPr>
      <w:r>
        <w:rPr>
          <w:b/>
        </w:rPr>
        <w:tab/>
        <w:t>“</w:t>
      </w:r>
      <w:r>
        <w:rPr>
          <w:rStyle w:val="CharDefText"/>
        </w:rPr>
        <w:t>specified</w:t>
      </w:r>
      <w:r>
        <w:rPr>
          <w:b/>
        </w:rPr>
        <w:t>”</w:t>
      </w:r>
      <w:r>
        <w:t xml:space="preserve"> means specified in writing by the Minister.</w:t>
      </w:r>
    </w:p>
    <w:p>
      <w:pPr>
        <w:pStyle w:val="nzHeading5"/>
      </w:pPr>
      <w:r>
        <w:t>69E.</w:t>
      </w:r>
      <w:r>
        <w:tab/>
        <w:t>Holder of exploration licence with retention status may be required to apply for mining lease</w:t>
      </w:r>
    </w:p>
    <w:p>
      <w:pPr>
        <w:pStyle w:val="nzSubsection"/>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nzSubsection"/>
      </w:pPr>
      <w:r>
        <w:tab/>
        <w:t>(2)</w:t>
      </w:r>
      <w:r>
        <w:tab/>
        <w:t xml:space="preserve">Where — </w:t>
      </w:r>
    </w:p>
    <w:p>
      <w:pPr>
        <w:pStyle w:val="nzIndenta"/>
      </w:pPr>
      <w:r>
        <w:tab/>
        <w:t>(a)</w:t>
      </w:r>
      <w:r>
        <w:tab/>
        <w:t>the holder of an exploration licence fails to show cause within the time specified in the notice referred to in subsection (1); or</w:t>
      </w:r>
    </w:p>
    <w:p>
      <w:pPr>
        <w:pStyle w:val="nzIndenta"/>
      </w:pPr>
      <w:r>
        <w:tab/>
        <w:t>(b)</w:t>
      </w:r>
      <w:r>
        <w:tab/>
        <w:t>the Minister is of the opinion that the holder of an exploration licence has shown insufficient cause,</w:t>
      </w:r>
    </w:p>
    <w:p>
      <w:pPr>
        <w:pStyle w:val="nzSubsection"/>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MiscClose"/>
      </w:pPr>
      <w:r>
        <w:t xml:space="preserve">    ”.</w:t>
      </w:r>
    </w:p>
    <w:p>
      <w:pPr>
        <w:pStyle w:val="nzHeading5"/>
      </w:pPr>
      <w:bookmarkStart w:id="2111" w:name="_Toc64964349"/>
      <w:bookmarkStart w:id="2112" w:name="_Toc87061476"/>
      <w:r>
        <w:rPr>
          <w:rStyle w:val="CharSectno"/>
        </w:rPr>
        <w:t>25</w:t>
      </w:r>
      <w:r>
        <w:t>.</w:t>
      </w:r>
      <w:r>
        <w:tab/>
        <w:t>Section 70A replaced</w:t>
      </w:r>
      <w:bookmarkEnd w:id="2111"/>
      <w:bookmarkEnd w:id="2112"/>
    </w:p>
    <w:p>
      <w:pPr>
        <w:pStyle w:val="nzSubsection"/>
      </w:pPr>
      <w:r>
        <w:tab/>
      </w:r>
      <w:r>
        <w:tab/>
        <w:t xml:space="preserve">Section 70A is repealed and the following section is inserted instead — </w:t>
      </w:r>
    </w:p>
    <w:p>
      <w:pPr>
        <w:pStyle w:val="MiscOpen"/>
      </w:pPr>
      <w:r>
        <w:t xml:space="preserve">“    </w:t>
      </w:r>
    </w:p>
    <w:p>
      <w:pPr>
        <w:pStyle w:val="nzHeading5"/>
      </w:pPr>
      <w:r>
        <w:t>70A.</w:t>
      </w:r>
      <w:r>
        <w:tab/>
        <w:t>Meaning of “primary tenement”</w:t>
      </w:r>
    </w:p>
    <w:p>
      <w:pPr>
        <w:pStyle w:val="nzSubsection"/>
      </w:pPr>
      <w:r>
        <w:tab/>
      </w:r>
      <w:r>
        <w:tab/>
        <w:t xml:space="preserve">In this Division — </w:t>
      </w:r>
    </w:p>
    <w:p>
      <w:pPr>
        <w:pStyle w:val="nzDefstart"/>
      </w:pPr>
      <w:r>
        <w:rPr>
          <w:b/>
        </w:rPr>
        <w:tab/>
        <w:t>“</w:t>
      </w:r>
      <w:r>
        <w:rPr>
          <w:rStyle w:val="CharDefText"/>
        </w:rPr>
        <w:t>primary tenement</w:t>
      </w:r>
      <w:r>
        <w:rPr>
          <w:b/>
        </w:rPr>
        <w:t>”</w:t>
      </w:r>
      <w:r>
        <w:t xml:space="preserve"> means — </w:t>
      </w:r>
    </w:p>
    <w:p>
      <w:pPr>
        <w:pStyle w:val="nzDefpara"/>
      </w:pPr>
      <w:r>
        <w:tab/>
        <w:t>(a)</w:t>
      </w:r>
      <w:r>
        <w:tab/>
        <w:t xml:space="preserve">a prospecting licence that — </w:t>
      </w:r>
    </w:p>
    <w:p>
      <w:pPr>
        <w:pStyle w:val="nzDefsubpara"/>
      </w:pPr>
      <w:r>
        <w:tab/>
        <w:t>(i)</w:t>
      </w:r>
      <w:r>
        <w:tab/>
        <w:t xml:space="preserve">is in force immediately before the commencement of section 25 of the </w:t>
      </w:r>
      <w:r>
        <w:rPr>
          <w:i/>
        </w:rPr>
        <w:t>Mining Amendment Act 2004</w:t>
      </w:r>
      <w:r>
        <w:t>; or</w:t>
      </w:r>
    </w:p>
    <w:p>
      <w:pPr>
        <w:pStyle w:val="nzDefsubpara"/>
      </w:pPr>
      <w:r>
        <w:tab/>
        <w:t>(ii)</w:t>
      </w:r>
      <w:r>
        <w:tab/>
        <w:t>is granted after that commencement in respect of an application made before that commencement;</w:t>
      </w:r>
    </w:p>
    <w:p>
      <w:pPr>
        <w:pStyle w:val="nzDefpara"/>
      </w:pPr>
      <w:r>
        <w:tab/>
        <w:t>(b)</w:t>
      </w:r>
      <w:r>
        <w:tab/>
        <w:t xml:space="preserve">an exploration licence that — </w:t>
      </w:r>
    </w:p>
    <w:p>
      <w:pPr>
        <w:pStyle w:val="nzDefsubpara"/>
      </w:pPr>
      <w:r>
        <w:tab/>
        <w:t>(i)</w:t>
      </w:r>
      <w:r>
        <w:tab/>
        <w:t xml:space="preserve">is in force immediately before the commencement of section 25 of the </w:t>
      </w:r>
      <w:r>
        <w:rPr>
          <w:i/>
        </w:rPr>
        <w:t>Mining Amendment Act 2004</w:t>
      </w:r>
      <w:r>
        <w:t>; or</w:t>
      </w:r>
    </w:p>
    <w:p>
      <w:pPr>
        <w:pStyle w:val="nzDefsubpara"/>
      </w:pPr>
      <w:r>
        <w:tab/>
        <w:t>(ii)</w:t>
      </w:r>
      <w:r>
        <w:tab/>
        <w:t>is granted after that commencement in respect of an application made before that commencement;</w:t>
      </w:r>
    </w:p>
    <w:p>
      <w:pPr>
        <w:pStyle w:val="nzDefpara"/>
      </w:pPr>
      <w:r>
        <w:tab/>
      </w:r>
      <w:r>
        <w:tab/>
        <w:t>or</w:t>
      </w:r>
    </w:p>
    <w:p>
      <w:pPr>
        <w:pStyle w:val="nzDefpara"/>
      </w:pPr>
      <w:r>
        <w:tab/>
        <w:t>(c)</w:t>
      </w:r>
      <w:r>
        <w:tab/>
        <w:t>a mining lease.</w:t>
      </w:r>
    </w:p>
    <w:p>
      <w:pPr>
        <w:pStyle w:val="MiscClose"/>
      </w:pPr>
      <w:bookmarkStart w:id="2113" w:name="_Toc73164212"/>
      <w:bookmarkStart w:id="2114" w:name="_Toc67302123"/>
      <w:bookmarkStart w:id="2115" w:name="_Toc67721794"/>
      <w:bookmarkStart w:id="2116" w:name="_Toc67722004"/>
      <w:bookmarkStart w:id="2117" w:name="_Toc67722250"/>
      <w:bookmarkStart w:id="2118" w:name="_Toc67724596"/>
      <w:bookmarkStart w:id="2119" w:name="_Toc67799506"/>
      <w:bookmarkStart w:id="2120" w:name="_Toc67806311"/>
      <w:bookmarkStart w:id="2121" w:name="_Toc67807133"/>
      <w:bookmarkStart w:id="2122" w:name="_Toc67808147"/>
      <w:bookmarkStart w:id="2123" w:name="_Toc67808424"/>
      <w:bookmarkStart w:id="2124" w:name="_Toc67809858"/>
      <w:bookmarkStart w:id="2125" w:name="_Toc67813907"/>
      <w:bookmarkStart w:id="2126" w:name="_Toc67814229"/>
      <w:bookmarkStart w:id="2127" w:name="_Toc67911088"/>
      <w:bookmarkStart w:id="2128" w:name="_Toc67912066"/>
      <w:bookmarkStart w:id="2129" w:name="_Toc67980303"/>
      <w:bookmarkStart w:id="2130" w:name="_Toc67980411"/>
      <w:bookmarkStart w:id="2131" w:name="_Toc67980695"/>
      <w:bookmarkStart w:id="2132" w:name="_Toc67981217"/>
      <w:bookmarkStart w:id="2133" w:name="_Toc67981404"/>
      <w:bookmarkStart w:id="2134" w:name="_Toc67981978"/>
      <w:bookmarkStart w:id="2135" w:name="_Toc67997376"/>
      <w:bookmarkStart w:id="2136" w:name="_Toc68063331"/>
      <w:bookmarkStart w:id="2137" w:name="_Toc68070428"/>
      <w:bookmarkStart w:id="2138" w:name="_Toc68315360"/>
      <w:bookmarkStart w:id="2139" w:name="_Toc68321123"/>
      <w:bookmarkStart w:id="2140" w:name="_Toc68321230"/>
      <w:bookmarkStart w:id="2141" w:name="_Toc68321338"/>
      <w:bookmarkStart w:id="2142" w:name="_Toc68323964"/>
      <w:bookmarkStart w:id="2143" w:name="_Toc68325661"/>
      <w:bookmarkStart w:id="2144" w:name="_Toc68490836"/>
      <w:bookmarkStart w:id="2145" w:name="_Toc68495008"/>
      <w:bookmarkStart w:id="2146" w:name="_Toc68505825"/>
      <w:bookmarkStart w:id="2147" w:name="_Toc68506533"/>
      <w:bookmarkStart w:id="2148" w:name="_Toc68513245"/>
      <w:bookmarkStart w:id="2149" w:name="_Toc68515256"/>
      <w:bookmarkStart w:id="2150" w:name="_Toc68516458"/>
      <w:bookmarkStart w:id="2151" w:name="_Toc68517730"/>
      <w:bookmarkStart w:id="2152" w:name="_Toc68518049"/>
      <w:bookmarkStart w:id="2153" w:name="_Toc68518246"/>
      <w:bookmarkStart w:id="2154" w:name="_Toc68588050"/>
      <w:bookmarkStart w:id="2155" w:name="_Toc68943919"/>
      <w:bookmarkStart w:id="2156" w:name="_Toc68944681"/>
      <w:bookmarkStart w:id="2157" w:name="_Toc68945487"/>
      <w:bookmarkStart w:id="2158" w:name="_Toc68946888"/>
      <w:bookmarkStart w:id="2159" w:name="_Toc68950726"/>
      <w:bookmarkStart w:id="2160" w:name="_Toc69017053"/>
      <w:bookmarkStart w:id="2161" w:name="_Toc69021825"/>
      <w:bookmarkStart w:id="2162" w:name="_Toc69022081"/>
      <w:bookmarkStart w:id="2163" w:name="_Toc69030809"/>
      <w:bookmarkStart w:id="2164" w:name="_Toc69100502"/>
      <w:bookmarkStart w:id="2165" w:name="_Toc69102748"/>
      <w:bookmarkStart w:id="2166" w:name="_Toc69117304"/>
      <w:bookmarkStart w:id="2167" w:name="_Toc69118010"/>
      <w:bookmarkStart w:id="2168" w:name="_Toc69271733"/>
      <w:bookmarkStart w:id="2169" w:name="_Toc69274110"/>
      <w:bookmarkStart w:id="2170" w:name="_Toc69274559"/>
      <w:bookmarkStart w:id="2171" w:name="_Toc69275317"/>
      <w:bookmarkStart w:id="2172" w:name="_Toc69275612"/>
      <w:bookmarkStart w:id="2173" w:name="_Toc69278378"/>
      <w:bookmarkStart w:id="2174" w:name="_Toc69280728"/>
      <w:bookmarkStart w:id="2175" w:name="_Toc69281069"/>
      <w:bookmarkStart w:id="2176" w:name="_Toc69281178"/>
      <w:bookmarkStart w:id="2177" w:name="_Toc69281345"/>
      <w:bookmarkStart w:id="2178" w:name="_Toc70327088"/>
      <w:bookmarkStart w:id="2179" w:name="_Toc70405226"/>
      <w:bookmarkStart w:id="2180" w:name="_Toc70995389"/>
      <w:bookmarkStart w:id="2181" w:name="_Toc71712517"/>
      <w:bookmarkStart w:id="2182" w:name="_Toc71713972"/>
      <w:bookmarkStart w:id="2183" w:name="_Toc71878715"/>
      <w:bookmarkStart w:id="2184" w:name="_Toc71880059"/>
      <w:bookmarkStart w:id="2185" w:name="_Toc71884440"/>
      <w:bookmarkStart w:id="2186" w:name="_Toc71887018"/>
      <w:bookmarkStart w:id="2187" w:name="_Toc71887259"/>
      <w:bookmarkStart w:id="2188" w:name="_Toc71953165"/>
      <w:bookmarkStart w:id="2189" w:name="_Toc71953308"/>
      <w:bookmarkStart w:id="2190" w:name="_Toc71957055"/>
      <w:bookmarkStart w:id="2191" w:name="_Toc71963686"/>
      <w:bookmarkStart w:id="2192" w:name="_Toc71969778"/>
      <w:bookmarkStart w:id="2193" w:name="_Toc71969887"/>
      <w:bookmarkStart w:id="2194" w:name="_Toc71973490"/>
      <w:bookmarkStart w:id="2195" w:name="_Toc71975604"/>
      <w:bookmarkStart w:id="2196" w:name="_Toc71976412"/>
      <w:bookmarkStart w:id="2197" w:name="_Toc72026806"/>
      <w:bookmarkStart w:id="2198" w:name="_Toc72027064"/>
      <w:bookmarkStart w:id="2199" w:name="_Toc72029121"/>
      <w:bookmarkStart w:id="2200" w:name="_Toc72044648"/>
      <w:bookmarkStart w:id="2201" w:name="_Toc72044758"/>
      <w:bookmarkStart w:id="2202" w:name="_Toc72049677"/>
      <w:bookmarkStart w:id="2203" w:name="_Toc72049789"/>
      <w:bookmarkStart w:id="2204" w:name="_Toc72748189"/>
      <w:bookmarkStart w:id="2205" w:name="_Toc72812734"/>
      <w:bookmarkStart w:id="2206" w:name="_Toc72827599"/>
      <w:bookmarkStart w:id="2207" w:name="_Toc73154105"/>
      <w:bookmarkStart w:id="2208" w:name="_Toc73154531"/>
      <w:bookmarkStart w:id="2209" w:name="_Toc73156290"/>
      <w:bookmarkStart w:id="2210" w:name="_Toc73156410"/>
      <w:bookmarkStart w:id="2211" w:name="_Toc73158377"/>
      <w:bookmarkStart w:id="2212" w:name="_Toc73158705"/>
      <w:bookmarkStart w:id="2213" w:name="_Toc73159070"/>
      <w:bookmarkStart w:id="2214" w:name="_Toc73159211"/>
      <w:bookmarkStart w:id="2215" w:name="_Toc73159886"/>
      <w:bookmarkStart w:id="2216" w:name="_Toc73160813"/>
      <w:bookmarkStart w:id="2217" w:name="_Toc73161607"/>
      <w:bookmarkStart w:id="2218" w:name="_Toc73161778"/>
      <w:bookmarkStart w:id="2219" w:name="_Toc65297828"/>
      <w:bookmarkStart w:id="2220" w:name="_Toc65297919"/>
      <w:bookmarkStart w:id="2221" w:name="_Toc65301686"/>
      <w:bookmarkStart w:id="2222" w:name="_Toc65379303"/>
      <w:bookmarkStart w:id="2223" w:name="_Toc65389318"/>
      <w:bookmarkStart w:id="2224" w:name="_Toc65390243"/>
      <w:bookmarkStart w:id="2225" w:name="_Toc65390792"/>
      <w:bookmarkStart w:id="2226" w:name="_Toc65395237"/>
      <w:bookmarkStart w:id="2227" w:name="_Toc65396531"/>
      <w:bookmarkStart w:id="2228" w:name="_Toc65397456"/>
      <w:bookmarkStart w:id="2229" w:name="_Toc65999780"/>
      <w:bookmarkStart w:id="2230" w:name="_Toc65999935"/>
      <w:bookmarkStart w:id="2231" w:name="_Toc66000063"/>
      <w:bookmarkStart w:id="2232" w:name="_Toc66097246"/>
      <w:bookmarkStart w:id="2233" w:name="_Toc66173289"/>
      <w:bookmarkStart w:id="2234" w:name="_Toc66512439"/>
      <w:bookmarkStart w:id="2235" w:name="_Toc66523467"/>
      <w:bookmarkStart w:id="2236" w:name="_Toc66523564"/>
      <w:bookmarkStart w:id="2237" w:name="_Toc66527948"/>
      <w:bookmarkStart w:id="2238" w:name="_Toc66528342"/>
      <w:bookmarkStart w:id="2239" w:name="_Toc66528819"/>
      <w:bookmarkStart w:id="2240" w:name="_Toc66584497"/>
      <w:bookmarkStart w:id="2241" w:name="_Toc66584881"/>
      <w:bookmarkStart w:id="2242" w:name="_Toc66586520"/>
      <w:bookmarkStart w:id="2243" w:name="_Toc66586962"/>
      <w:bookmarkStart w:id="2244" w:name="_Toc66589383"/>
      <w:bookmarkStart w:id="2245" w:name="_Toc66589582"/>
      <w:bookmarkStart w:id="2246" w:name="_Toc66610326"/>
      <w:bookmarkStart w:id="2247" w:name="_Toc66614320"/>
      <w:bookmarkStart w:id="2248" w:name="_Toc66673570"/>
      <w:bookmarkStart w:id="2249" w:name="_Toc66673932"/>
      <w:bookmarkStart w:id="2250" w:name="_Toc66699350"/>
      <w:bookmarkStart w:id="2251" w:name="_Toc66700206"/>
      <w:bookmarkStart w:id="2252" w:name="_Toc66700547"/>
      <w:bookmarkStart w:id="2253" w:name="_Toc66700701"/>
      <w:bookmarkStart w:id="2254" w:name="_Toc66701280"/>
      <w:r>
        <w:t xml:space="preserve">    ”.</w:t>
      </w:r>
    </w:p>
    <w:p>
      <w:pPr>
        <w:pStyle w:val="nzHeading2"/>
        <w:rPr>
          <w:rStyle w:val="CharPartNo"/>
        </w:rPr>
      </w:pPr>
      <w:bookmarkStart w:id="2255" w:name="_Toc73179781"/>
      <w:bookmarkStart w:id="2256" w:name="_Toc73184322"/>
      <w:bookmarkStart w:id="2257" w:name="_Toc73241591"/>
      <w:bookmarkStart w:id="2258" w:name="_Toc73242153"/>
      <w:bookmarkStart w:id="2259" w:name="_Toc73242893"/>
      <w:bookmarkStart w:id="2260" w:name="_Toc73243010"/>
      <w:bookmarkStart w:id="2261" w:name="_Toc73243127"/>
      <w:bookmarkStart w:id="2262" w:name="_Toc73245182"/>
      <w:bookmarkStart w:id="2263" w:name="_Toc73245992"/>
      <w:bookmarkStart w:id="2264" w:name="_Toc73251510"/>
      <w:bookmarkStart w:id="2265" w:name="_Toc73258506"/>
      <w:bookmarkStart w:id="2266" w:name="_Toc73259587"/>
      <w:bookmarkStart w:id="2267" w:name="_Toc73421924"/>
      <w:bookmarkStart w:id="2268" w:name="_Toc73427325"/>
      <w:bookmarkStart w:id="2269" w:name="_Toc73428251"/>
      <w:bookmarkStart w:id="2270" w:name="_Toc73428368"/>
      <w:bookmarkStart w:id="2271" w:name="_Toc73428485"/>
      <w:bookmarkStart w:id="2272" w:name="_Toc73428739"/>
      <w:bookmarkStart w:id="2273" w:name="_Toc73428972"/>
      <w:bookmarkStart w:id="2274" w:name="_Toc73429460"/>
      <w:bookmarkStart w:id="2275" w:name="_Toc73436612"/>
      <w:bookmarkStart w:id="2276" w:name="_Toc73437455"/>
      <w:bookmarkStart w:id="2277" w:name="_Toc81200142"/>
      <w:bookmarkStart w:id="2278" w:name="_Toc81201753"/>
      <w:bookmarkStart w:id="2279" w:name="_Toc81209007"/>
      <w:r>
        <w:rPr>
          <w:rStyle w:val="CharPartNo"/>
        </w:rPr>
        <w:t>Part 6 — Amendments about mining leases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nzHeading5"/>
      </w:pPr>
      <w:bookmarkStart w:id="2280" w:name="_Toc87061477"/>
      <w:r>
        <w:rPr>
          <w:rStyle w:val="CharSectno"/>
        </w:rPr>
        <w:t>26</w:t>
      </w:r>
      <w:r>
        <w:t>.</w:t>
      </w:r>
      <w:r>
        <w:tab/>
        <w:t>Section 6 amended</w:t>
      </w:r>
      <w:bookmarkEnd w:id="2280"/>
    </w:p>
    <w:p>
      <w:pPr>
        <w:pStyle w:val="nzSubsection"/>
      </w:pPr>
      <w:r>
        <w:tab/>
      </w:r>
      <w:r>
        <w:tab/>
        <w:t xml:space="preserve">After section 6(1) the following subsections are inserted — </w:t>
      </w:r>
    </w:p>
    <w:p>
      <w:pPr>
        <w:pStyle w:val="MiscOpen"/>
        <w:spacing w:before="60"/>
        <w:ind w:left="601"/>
      </w:pPr>
      <w:r>
        <w:t xml:space="preserve">“    </w:t>
      </w:r>
    </w:p>
    <w:p>
      <w:pPr>
        <w:pStyle w:val="nz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nzIndenta"/>
      </w:pPr>
      <w:r>
        <w:tab/>
        <w:t>(a)</w:t>
      </w:r>
      <w:r>
        <w:tab/>
        <w:t>only the applicant can refer a proposal to which the application relates under section 38(1) of that Act; and</w:t>
      </w:r>
    </w:p>
    <w:p>
      <w:pPr>
        <w:pStyle w:val="nzIndenta"/>
      </w:pPr>
      <w:r>
        <w:tab/>
        <w:t>(b)</w:t>
      </w:r>
      <w:r>
        <w:tab/>
        <w:t>section 38(5) of that Act does not apply to such a proposal.</w:t>
      </w:r>
    </w:p>
    <w:p>
      <w:pPr>
        <w:pStyle w:val="nzSubsection"/>
      </w:pPr>
      <w:r>
        <w:tab/>
        <w:t>(1b)</w:t>
      </w:r>
      <w:r>
        <w:tab/>
        <w:t xml:space="preserve">In subsection (1a) — </w:t>
      </w:r>
    </w:p>
    <w:p>
      <w:pPr>
        <w:pStyle w:val="nz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nz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nz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nzIndenta"/>
      </w:pPr>
      <w:r>
        <w:tab/>
        <w:t>(a)</w:t>
      </w:r>
      <w:r>
        <w:tab/>
        <w:t>a programme of work lodged by the holder of the mining lease in compliance with the condition referred to in section 82(1)(ca); or</w:t>
      </w:r>
    </w:p>
    <w:p>
      <w:pPr>
        <w:pStyle w:val="nzIndenta"/>
      </w:pPr>
      <w:r>
        <w:tab/>
        <w:t>(b)</w:t>
      </w:r>
      <w:r>
        <w:tab/>
        <w:t>a mining proposal lodged by the holder of the mining lease in compliance with the condition referred to in section 82A.</w:t>
      </w:r>
    </w:p>
    <w:p>
      <w:pPr>
        <w:pStyle w:val="MiscClose"/>
      </w:pPr>
      <w:r>
        <w:t xml:space="preserve">    ”.</w:t>
      </w:r>
    </w:p>
    <w:p>
      <w:pPr>
        <w:pStyle w:val="nzHeading5"/>
      </w:pPr>
      <w:bookmarkStart w:id="2281" w:name="_Toc87061478"/>
      <w:r>
        <w:rPr>
          <w:rStyle w:val="CharSectno"/>
        </w:rPr>
        <w:t>27</w:t>
      </w:r>
      <w:r>
        <w:t>.</w:t>
      </w:r>
      <w:r>
        <w:tab/>
        <w:t>Sections 70O and 70P inserted</w:t>
      </w:r>
      <w:bookmarkEnd w:id="2281"/>
    </w:p>
    <w:p>
      <w:pPr>
        <w:pStyle w:val="nzSubsection"/>
      </w:pPr>
      <w:r>
        <w:tab/>
      </w:r>
      <w:r>
        <w:tab/>
        <w:t xml:space="preserve">Before section 71 the following sections are inserted in Part IV Division 3 — </w:t>
      </w:r>
    </w:p>
    <w:p>
      <w:pPr>
        <w:pStyle w:val="MiscOpen"/>
      </w:pPr>
      <w:r>
        <w:t xml:space="preserve">“    </w:t>
      </w:r>
    </w:p>
    <w:p>
      <w:pPr>
        <w:pStyle w:val="nzHeading5"/>
      </w:pPr>
      <w:r>
        <w:t>70O.</w:t>
      </w:r>
      <w:r>
        <w:tab/>
        <w:t>Definitions</w:t>
      </w:r>
    </w:p>
    <w:p>
      <w:pPr>
        <w:pStyle w:val="nzSubsection"/>
      </w:pPr>
      <w:r>
        <w:tab/>
        <w:t>(1)</w:t>
      </w:r>
      <w:r>
        <w:tab/>
        <w:t xml:space="preserve">In this Division — </w:t>
      </w:r>
    </w:p>
    <w:p>
      <w:pPr>
        <w:pStyle w:val="nzDefstart"/>
      </w:pPr>
      <w:r>
        <w:rPr>
          <w:b/>
        </w:rPr>
        <w:tab/>
        <w:t>“</w:t>
      </w:r>
      <w:r>
        <w:rPr>
          <w:rStyle w:val="CharDefText"/>
        </w:rPr>
        <w:t>guidelines</w:t>
      </w:r>
      <w:r>
        <w:rPr>
          <w:b/>
        </w:rPr>
        <w:t>”</w:t>
      </w:r>
      <w:r>
        <w:t xml:space="preserve"> means guidelines approved by the Director General of Mines for the purposes of this Division;</w:t>
      </w:r>
    </w:p>
    <w:p>
      <w:pPr>
        <w:pStyle w:val="nzDefstart"/>
      </w:pPr>
      <w:r>
        <w:rPr>
          <w:b/>
        </w:rPr>
        <w:tab/>
        <w:t>“</w:t>
      </w:r>
      <w:r>
        <w:rPr>
          <w:rStyle w:val="CharDefText"/>
        </w:rPr>
        <w:t>mining proposal</w:t>
      </w:r>
      <w:r>
        <w:rPr>
          <w:b/>
        </w:rPr>
        <w:t>”</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proposed mining operations in, on or under the land in respect of which a mining lease is sought or granted, as the case requires;</w:t>
      </w:r>
    </w:p>
    <w:p>
      <w:pPr>
        <w:pStyle w:val="nzDefstart"/>
      </w:pPr>
      <w:r>
        <w:rPr>
          <w:b/>
        </w:rPr>
        <w:tab/>
        <w:t>“</w:t>
      </w:r>
      <w:r>
        <w:rPr>
          <w:rStyle w:val="CharDefText"/>
        </w:rPr>
        <w:t>significant mineralisation</w:t>
      </w:r>
      <w:r>
        <w:rPr>
          <w:b/>
        </w:rPr>
        <w:t>”</w:t>
      </w:r>
      <w:r>
        <w:t xml:space="preserve"> has the meaning given in subsection (2).</w:t>
      </w:r>
    </w:p>
    <w:p>
      <w:pPr>
        <w:pStyle w:val="nzSubsection"/>
      </w:pPr>
      <w:r>
        <w:tab/>
        <w:t>(2)</w:t>
      </w:r>
      <w:r>
        <w:tab/>
        <w: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t>
      </w:r>
    </w:p>
    <w:p>
      <w:pPr>
        <w:pStyle w:val="nzHeading5"/>
      </w:pPr>
      <w:r>
        <w:t>70P.</w:t>
      </w:r>
      <w:r>
        <w:tab/>
        <w:t>Guidelines to be publicly available</w:t>
      </w:r>
    </w:p>
    <w:p>
      <w:pPr>
        <w:pStyle w:val="nzSubsection"/>
      </w:pPr>
      <w:r>
        <w:tab/>
      </w:r>
      <w:r>
        <w:tab/>
        <w:t>The Director General of Mines shall ensure that the guidelines are made available, without charge, for public inspection in the prescribed manner.</w:t>
      </w:r>
    </w:p>
    <w:p>
      <w:pPr>
        <w:pStyle w:val="MiscClose"/>
      </w:pPr>
      <w:r>
        <w:t xml:space="preserve">    ”.</w:t>
      </w:r>
    </w:p>
    <w:p>
      <w:pPr>
        <w:pStyle w:val="nzHeading5"/>
      </w:pPr>
      <w:bookmarkStart w:id="2282" w:name="_Toc87061479"/>
      <w:r>
        <w:rPr>
          <w:rStyle w:val="CharSectno"/>
        </w:rPr>
        <w:t>28</w:t>
      </w:r>
      <w:r>
        <w:t>.</w:t>
      </w:r>
      <w:r>
        <w:tab/>
        <w:t>Section 73 replaced</w:t>
      </w:r>
      <w:bookmarkEnd w:id="2282"/>
    </w:p>
    <w:p>
      <w:pPr>
        <w:pStyle w:val="nzSubsection"/>
      </w:pPr>
      <w:r>
        <w:tab/>
      </w:r>
      <w:r>
        <w:tab/>
        <w:t xml:space="preserve">Section 73 is repealed and the following section is inserted instead — </w:t>
      </w:r>
    </w:p>
    <w:p>
      <w:pPr>
        <w:pStyle w:val="MiscOpen"/>
        <w:spacing w:before="60"/>
      </w:pPr>
      <w:r>
        <w:t xml:space="preserve">“    </w:t>
      </w:r>
    </w:p>
    <w:p>
      <w:pPr>
        <w:pStyle w:val="nzHeading5"/>
      </w:pPr>
      <w:r>
        <w:t>73.</w:t>
      </w:r>
      <w:r>
        <w:tab/>
        <w:t>Area of mining lease may be less than area sought</w:t>
      </w:r>
    </w:p>
    <w:p>
      <w:pPr>
        <w:pStyle w:val="nzSubsection"/>
      </w:pPr>
      <w:r>
        <w:tab/>
        <w:t>(1)</w:t>
      </w:r>
      <w:r>
        <w:tab/>
        <w:t>The area of land in respect of which a mining lease is granted may be less than the area of land in respect of which the mining lease is sought.</w:t>
      </w:r>
    </w:p>
    <w:p>
      <w:pPr>
        <w:pStyle w:val="nzSubsection"/>
      </w:pPr>
      <w:r>
        <w:tab/>
        <w:t>(2)</w:t>
      </w:r>
      <w:r>
        <w:tab/>
        <w:t>If the area of land in respect of which a mining lease is granted is as described in subsection (1), the holder of the lease shall mark out in the prescribed manner the boundaries of that area as soon as practicable after the grant of the lease.</w:t>
      </w:r>
    </w:p>
    <w:p>
      <w:pPr>
        <w:pStyle w:val="MiscClose"/>
      </w:pPr>
      <w:r>
        <w:t xml:space="preserve">    ”.</w:t>
      </w:r>
    </w:p>
    <w:p>
      <w:pPr>
        <w:pStyle w:val="nzHeading5"/>
      </w:pPr>
      <w:bookmarkStart w:id="2283" w:name="_Toc87061480"/>
      <w:r>
        <w:rPr>
          <w:rStyle w:val="CharSectno"/>
        </w:rPr>
        <w:t>29</w:t>
      </w:r>
      <w:r>
        <w:t>.</w:t>
      </w:r>
      <w:r>
        <w:tab/>
        <w:t>Section 74 amended</w:t>
      </w:r>
      <w:bookmarkEnd w:id="2283"/>
    </w:p>
    <w:p>
      <w:pPr>
        <w:pStyle w:val="nzSubsection"/>
      </w:pPr>
      <w:r>
        <w:tab/>
        <w:t>(1)</w:t>
      </w:r>
      <w:r>
        <w:tab/>
        <w:t xml:space="preserve">After section 74(1)(c) the following is inserted — </w:t>
      </w:r>
    </w:p>
    <w:p>
      <w:pPr>
        <w:pStyle w:val="MiscOpen"/>
        <w:spacing w:before="60"/>
        <w:ind w:left="1338"/>
      </w:pPr>
      <w:r>
        <w:t xml:space="preserve">“    </w:t>
      </w:r>
    </w:p>
    <w:p>
      <w:pPr>
        <w:pStyle w:val="nzIndenta"/>
      </w:pPr>
      <w:r>
        <w:tab/>
        <w:t>(ca)</w:t>
      </w:r>
      <w:r>
        <w:tab/>
        <w:t xml:space="preserve">shall be accompanied by — </w:t>
      </w:r>
    </w:p>
    <w:p>
      <w:pPr>
        <w:pStyle w:val="nzIndenti"/>
      </w:pPr>
      <w:r>
        <w:tab/>
        <w:t>(i)</w:t>
      </w:r>
      <w:r>
        <w:tab/>
        <w:t>a mining proposal; or</w:t>
      </w:r>
    </w:p>
    <w:p>
      <w:pPr>
        <w:pStyle w:val="nzIndenti"/>
      </w:pPr>
      <w:r>
        <w:tab/>
        <w:t>(ii)</w:t>
      </w:r>
      <w:r>
        <w:tab/>
        <w:t>a statement in accordance with subsection (1a) and a mineralisation report prepared by a qualified person;</w:t>
      </w:r>
    </w:p>
    <w:p>
      <w:pPr>
        <w:pStyle w:val="nzIndenta"/>
      </w:pPr>
      <w:r>
        <w:tab/>
      </w:r>
      <w:r>
        <w:tab/>
        <w:t>and</w:t>
      </w:r>
    </w:p>
    <w:p>
      <w:pPr>
        <w:pStyle w:val="MiscClose"/>
      </w:pPr>
      <w:r>
        <w:t xml:space="preserve">    ”.</w:t>
      </w:r>
    </w:p>
    <w:p>
      <w:pPr>
        <w:pStyle w:val="nzSubsection"/>
      </w:pPr>
      <w:r>
        <w:tab/>
        <w:t>(2)</w:t>
      </w:r>
      <w:r>
        <w:tab/>
        <w:t xml:space="preserve">After section 74(1) the following subsection is inserted — </w:t>
      </w:r>
    </w:p>
    <w:p>
      <w:pPr>
        <w:pStyle w:val="MiscOpen"/>
        <w:spacing w:before="60"/>
        <w:ind w:left="601"/>
      </w:pPr>
      <w:r>
        <w:t xml:space="preserve">“    </w:t>
      </w:r>
    </w:p>
    <w:p>
      <w:pPr>
        <w:pStyle w:val="nz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nzIndenta"/>
      </w:pPr>
      <w:r>
        <w:tab/>
        <w:t>(a)</w:t>
      </w:r>
      <w:r>
        <w:tab/>
        <w:t>when mining is likely to commence;</w:t>
      </w:r>
    </w:p>
    <w:p>
      <w:pPr>
        <w:pStyle w:val="nzIndenta"/>
      </w:pPr>
      <w:r>
        <w:tab/>
        <w:t>(b)</w:t>
      </w:r>
      <w:r>
        <w:tab/>
        <w:t>the most likely method of mining; and</w:t>
      </w:r>
    </w:p>
    <w:p>
      <w:pPr>
        <w:pStyle w:val="nzIndenta"/>
        <w:rPr>
          <w:i/>
        </w:rPr>
      </w:pPr>
      <w:r>
        <w:tab/>
        <w:t>(c)</w:t>
      </w:r>
      <w:r>
        <w:tab/>
        <w:t>the location, and the area, of land that is likely to be required for the operation of plant, machinery and equipment and for other activities associated with those mining operations.</w:t>
      </w:r>
    </w:p>
    <w:p>
      <w:pPr>
        <w:pStyle w:val="MiscClose"/>
      </w:pPr>
      <w:r>
        <w:t xml:space="preserve">    ”.</w:t>
      </w:r>
    </w:p>
    <w:p>
      <w:pPr>
        <w:pStyle w:val="nzSubsection"/>
      </w:pPr>
      <w:r>
        <w:tab/>
        <w:t>(3)</w:t>
      </w:r>
      <w:r>
        <w:tab/>
        <w:t xml:space="preserve">After section 74(4) the following subsections are inserted — </w:t>
      </w:r>
    </w:p>
    <w:p>
      <w:pPr>
        <w:pStyle w:val="MiscOpen"/>
        <w:spacing w:before="60"/>
        <w:ind w:left="601"/>
      </w:pPr>
      <w:r>
        <w:t xml:space="preserve">“    </w:t>
      </w:r>
    </w:p>
    <w:p>
      <w:pPr>
        <w:pStyle w:val="nzSubsection"/>
      </w:pPr>
      <w:r>
        <w:tab/>
        <w:t>(5)</w:t>
      </w:r>
      <w:r>
        <w:tab/>
        <w:t xml:space="preserve">The Director General of Mines shall ensure that — </w:t>
      </w:r>
    </w:p>
    <w:p>
      <w:pPr>
        <w:pStyle w:val="nzIndenta"/>
      </w:pPr>
      <w:r>
        <w:tab/>
        <w:t>(a)</w:t>
      </w:r>
      <w:r>
        <w:tab/>
        <w:t>any document referred to in subsection (1)(ca) that accompanies the application; and</w:t>
      </w:r>
    </w:p>
    <w:p>
      <w:pPr>
        <w:pStyle w:val="nzIndenta"/>
      </w:pPr>
      <w:r>
        <w:tab/>
        <w:t>(b)</w:t>
      </w:r>
      <w:r>
        <w:tab/>
        <w:t>any document furnished by the applicant in response to a request under subsection (2),</w:t>
      </w:r>
    </w:p>
    <w:p>
      <w:pPr>
        <w:pStyle w:val="nzSubsection"/>
      </w:pPr>
      <w:r>
        <w:tab/>
      </w:r>
      <w:r>
        <w:tab/>
        <w:t>are made available for public inspection at reasonable times.</w:t>
      </w:r>
    </w:p>
    <w:p>
      <w:pPr>
        <w:pStyle w:val="nzSubsection"/>
      </w:pPr>
      <w:r>
        <w:tab/>
        <w:t>(6)</w:t>
      </w:r>
      <w:r>
        <w:tab/>
        <w:t xml:space="preserve">The regulations may require a person to pay a fee specified in the regulations — </w:t>
      </w:r>
    </w:p>
    <w:p>
      <w:pPr>
        <w:pStyle w:val="nzIndenta"/>
      </w:pPr>
      <w:r>
        <w:tab/>
        <w:t>(a)</w:t>
      </w:r>
      <w:r>
        <w:tab/>
        <w:t>for inspecting a document referred to in subsection (5); or</w:t>
      </w:r>
    </w:p>
    <w:p>
      <w:pPr>
        <w:pStyle w:val="nzIndenta"/>
      </w:pPr>
      <w:r>
        <w:tab/>
        <w:t>(b)</w:t>
      </w:r>
      <w:r>
        <w:tab/>
        <w:t>for obtaining a copy of the document or any part of it.</w:t>
      </w:r>
    </w:p>
    <w:p>
      <w:pPr>
        <w:pStyle w:val="nzSubsection"/>
      </w:pPr>
      <w:r>
        <w:tab/>
        <w:t>(7)</w:t>
      </w:r>
      <w:r>
        <w:tab/>
        <w:t xml:space="preserve">In this section — </w:t>
      </w:r>
    </w:p>
    <w:p>
      <w:pPr>
        <w:pStyle w:val="nz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nz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nzDefpara"/>
      </w:pPr>
      <w:r>
        <w:tab/>
        <w:t>(a)</w:t>
      </w:r>
      <w:r>
        <w:tab/>
        <w:t>the type of minerals located in, on or under that land;</w:t>
      </w:r>
    </w:p>
    <w:p>
      <w:pPr>
        <w:pStyle w:val="nzDefpara"/>
      </w:pPr>
      <w:r>
        <w:tab/>
        <w:t>(b)</w:t>
      </w:r>
      <w:r>
        <w:tab/>
        <w:t>the location, depth and extent of those minerals and the way in which that extent has been determined; and</w:t>
      </w:r>
    </w:p>
    <w:p>
      <w:pPr>
        <w:pStyle w:val="nzDefpara"/>
      </w:pPr>
      <w:r>
        <w:tab/>
        <w:t>(c)</w:t>
      </w:r>
      <w:r>
        <w:tab/>
        <w:t>analytical results obtained from samples of those minerals;</w:t>
      </w:r>
    </w:p>
    <w:p>
      <w:pPr>
        <w:pStyle w:val="nzDefstart"/>
      </w:pPr>
      <w:r>
        <w:rPr>
          <w:b/>
        </w:rPr>
        <w:tab/>
        <w:t>“</w:t>
      </w:r>
      <w:r>
        <w:rPr>
          <w:rStyle w:val="CharDefText"/>
        </w:rPr>
        <w:t>qualified person</w:t>
      </w:r>
      <w:r>
        <w:rPr>
          <w:b/>
        </w:rPr>
        <w:t>”</w:t>
      </w:r>
      <w:r>
        <w:t xml:space="preserve"> means a person who — </w:t>
      </w:r>
    </w:p>
    <w:p>
      <w:pPr>
        <w:pStyle w:val="nzDefpara"/>
      </w:pPr>
      <w:r>
        <w:tab/>
        <w:t>(a)</w:t>
      </w:r>
      <w:r>
        <w:tab/>
        <w:t>is a member of a prescribed body; and</w:t>
      </w:r>
    </w:p>
    <w:p>
      <w:pPr>
        <w:pStyle w:val="nzDefpara"/>
      </w:pPr>
      <w:r>
        <w:tab/>
        <w:t>(b)</w:t>
      </w:r>
      <w:r>
        <w:tab/>
        <w:t>complies with any requirement of the regulations as to relevant qualifications or experience.</w:t>
      </w:r>
    </w:p>
    <w:p>
      <w:pPr>
        <w:pStyle w:val="MiscClose"/>
      </w:pPr>
      <w:bookmarkStart w:id="2284" w:name="_Toc66772318"/>
      <w:r>
        <w:t xml:space="preserve">    ”.</w:t>
      </w:r>
    </w:p>
    <w:p>
      <w:pPr>
        <w:pStyle w:val="nzHeading5"/>
      </w:pPr>
      <w:bookmarkStart w:id="2285" w:name="_Toc87061481"/>
      <w:r>
        <w:rPr>
          <w:rStyle w:val="CharSectno"/>
        </w:rPr>
        <w:t>30</w:t>
      </w:r>
      <w:r>
        <w:t>.</w:t>
      </w:r>
      <w:r>
        <w:tab/>
        <w:t>Section 74A inserted</w:t>
      </w:r>
      <w:bookmarkEnd w:id="2285"/>
    </w:p>
    <w:p>
      <w:pPr>
        <w:pStyle w:val="nzSubsection"/>
      </w:pPr>
      <w:r>
        <w:tab/>
      </w:r>
      <w:r>
        <w:tab/>
        <w:t xml:space="preserve">After section 74 the following section is inserted — </w:t>
      </w:r>
    </w:p>
    <w:p>
      <w:pPr>
        <w:pStyle w:val="MiscOpen"/>
      </w:pPr>
      <w:r>
        <w:t xml:space="preserve">“    </w:t>
      </w:r>
    </w:p>
    <w:p>
      <w:pPr>
        <w:pStyle w:val="nzHeading5"/>
      </w:pPr>
      <w:r>
        <w:t>74A.</w:t>
      </w:r>
      <w:r>
        <w:tab/>
        <w:t>Report on significant mineralisation required for certain applications</w:t>
      </w:r>
    </w:p>
    <w:p>
      <w:pPr>
        <w:pStyle w:val="nz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nzSubsection"/>
      </w:pPr>
      <w:r>
        <w:tab/>
        <w:t>(2)</w:t>
      </w:r>
      <w:r>
        <w:tab/>
        <w:t>For the purposes of preparing the report, the Director, Geological Survey may request the applicant to provide further information in relation to matters dealt with in the mineralisation report.</w:t>
      </w:r>
    </w:p>
    <w:p>
      <w:pPr>
        <w:pStyle w:val="nzSubsection"/>
      </w:pPr>
      <w:r>
        <w:tab/>
        <w:t>(3)</w:t>
      </w:r>
      <w:r>
        <w:tab/>
        <w:t>The report shall be based solely on information contained in the mineralisation report and any further information provided by the applicant in response to a request under subsection (2).</w:t>
      </w:r>
    </w:p>
    <w:p>
      <w:pPr>
        <w:pStyle w:val="nzSubsection"/>
      </w:pPr>
      <w:r>
        <w:tab/>
        <w:t>(4)</w:t>
      </w:r>
      <w:r>
        <w:tab/>
        <w:t>The Director, Geological Survey shall give a copy of the report to the mining registrar and the warden.</w:t>
      </w:r>
    </w:p>
    <w:p>
      <w:pPr>
        <w:pStyle w:val="nzSubsection"/>
      </w:pPr>
      <w:r>
        <w:tab/>
        <w:t>(5)</w:t>
      </w:r>
      <w:r>
        <w:tab/>
        <w:t>The Director General of Mines shall ensure that the report is made available for public inspection at reasonable times.</w:t>
      </w:r>
    </w:p>
    <w:p>
      <w:pPr>
        <w:pStyle w:val="nzSubsection"/>
      </w:pPr>
      <w:r>
        <w:tab/>
        <w:t>(6)</w:t>
      </w:r>
      <w:r>
        <w:tab/>
        <w:t xml:space="preserve">The regulations may require a person to pay a fee specified in the regulations — </w:t>
      </w:r>
    </w:p>
    <w:p>
      <w:pPr>
        <w:pStyle w:val="nzIndenta"/>
      </w:pPr>
      <w:r>
        <w:tab/>
        <w:t>(a)</w:t>
      </w:r>
      <w:r>
        <w:tab/>
        <w:t>for inspecting the report; or</w:t>
      </w:r>
    </w:p>
    <w:p>
      <w:pPr>
        <w:pStyle w:val="nzIndenta"/>
      </w:pPr>
      <w:r>
        <w:tab/>
        <w:t>(b)</w:t>
      </w:r>
      <w:r>
        <w:tab/>
        <w:t>for obtaining a copy of the report or any part of it.</w:t>
      </w:r>
    </w:p>
    <w:p>
      <w:pPr>
        <w:pStyle w:val="nzSubsection"/>
      </w:pPr>
      <w:r>
        <w:tab/>
        <w:t>(7)</w:t>
      </w:r>
      <w:r>
        <w:tab/>
        <w:t xml:space="preserve">In this section — </w:t>
      </w:r>
    </w:p>
    <w:p>
      <w:pPr>
        <w:pStyle w:val="nzDefstart"/>
      </w:pPr>
      <w:r>
        <w:rPr>
          <w:b/>
        </w:rPr>
        <w:tab/>
        <w:t>“</w:t>
      </w:r>
      <w:r>
        <w:rPr>
          <w:rStyle w:val="CharDefText"/>
        </w:rPr>
        <w:t>mineralisation report</w:t>
      </w:r>
      <w:r>
        <w:rPr>
          <w:b/>
        </w:rPr>
        <w:t>”</w:t>
      </w:r>
      <w:r>
        <w:t xml:space="preserve"> means the mineralisation report that accompanied the application.</w:t>
      </w:r>
    </w:p>
    <w:p>
      <w:pPr>
        <w:pStyle w:val="MiscClose"/>
      </w:pPr>
      <w:r>
        <w:t xml:space="preserve">    ”.</w:t>
      </w:r>
    </w:p>
    <w:p>
      <w:pPr>
        <w:pStyle w:val="nzHeading5"/>
      </w:pPr>
      <w:bookmarkStart w:id="2286" w:name="_Toc87061482"/>
      <w:r>
        <w:rPr>
          <w:rStyle w:val="CharSectno"/>
        </w:rPr>
        <w:t>31</w:t>
      </w:r>
      <w:r>
        <w:t>.</w:t>
      </w:r>
      <w:r>
        <w:tab/>
        <w:t>Section 75 amended</w:t>
      </w:r>
      <w:bookmarkEnd w:id="2286"/>
    </w:p>
    <w:p>
      <w:pPr>
        <w:pStyle w:val="nzSubsection"/>
      </w:pPr>
      <w:r>
        <w:tab/>
        <w:t>(1)</w:t>
      </w:r>
      <w:r>
        <w:tab/>
        <w:t xml:space="preserve">After section 75(1) the following subsection is inserted — </w:t>
      </w:r>
    </w:p>
    <w:p>
      <w:pPr>
        <w:pStyle w:val="MiscOpen"/>
        <w:spacing w:before="60"/>
        <w:ind w:left="601"/>
      </w:pPr>
      <w:r>
        <w:t xml:space="preserve">“    </w:t>
      </w:r>
    </w:p>
    <w:p>
      <w:pPr>
        <w:pStyle w:val="nzSubsection"/>
      </w:pPr>
      <w:r>
        <w:tab/>
        <w:t>(1a)</w:t>
      </w:r>
      <w:r>
        <w:tab/>
        <w:t>A person is not entitled to lodge a notice of objection if the basis for the objection is that there is no significant mineralisation in, on or under the land to which the application relates.</w:t>
      </w:r>
    </w:p>
    <w:p>
      <w:pPr>
        <w:pStyle w:val="MiscClose"/>
      </w:pPr>
      <w:r>
        <w:t xml:space="preserve">    ”.</w:t>
      </w:r>
    </w:p>
    <w:p>
      <w:pPr>
        <w:pStyle w:val="nzSubsection"/>
      </w:pPr>
      <w:r>
        <w:tab/>
        <w:t>(2)</w:t>
      </w:r>
      <w:r>
        <w:tab/>
        <w:t xml:space="preserve">Section 75(2) is amended by deleting “Where” and inserting instead — </w:t>
      </w:r>
    </w:p>
    <w:p>
      <w:pPr>
        <w:pStyle w:val="nzSubsection"/>
      </w:pPr>
      <w:r>
        <w:tab/>
      </w:r>
      <w:r>
        <w:tab/>
        <w:t>“    Subject to subsection (2a), if    ”.</w:t>
      </w:r>
    </w:p>
    <w:p>
      <w:pPr>
        <w:pStyle w:val="nzSubsection"/>
      </w:pPr>
      <w:r>
        <w:tab/>
        <w:t>(3)</w:t>
      </w:r>
      <w:r>
        <w:tab/>
        <w:t xml:space="preserve">After section 75(2) the following subsection is inserted — </w:t>
      </w:r>
    </w:p>
    <w:p>
      <w:pPr>
        <w:pStyle w:val="MiscOpen"/>
        <w:ind w:left="600"/>
      </w:pPr>
      <w:r>
        <w:t xml:space="preserve">“    </w:t>
      </w:r>
    </w:p>
    <w:p>
      <w:pPr>
        <w:pStyle w:val="nzSubsection"/>
      </w:pPr>
      <w:r>
        <w:tab/>
        <w:t>(2a)</w:t>
      </w:r>
      <w:r>
        <w:tab/>
        <w:t xml:space="preserve">If the application for the mining lease is accompanied by the documentation referred to in section 74(1)(ca)(ii), the mining registrar shall not forward a report under subsection (2) unless — </w:t>
      </w:r>
    </w:p>
    <w:p>
      <w:pPr>
        <w:pStyle w:val="nzIndenta"/>
      </w:pPr>
      <w:r>
        <w:tab/>
        <w:t>(a)</w:t>
      </w:r>
      <w:r>
        <w:tab/>
        <w:t>the mining registrar has received a copy of the section 74A report in relation to the application; and</w:t>
      </w:r>
    </w:p>
    <w:p>
      <w:pPr>
        <w:pStyle w:val="nzIndenta"/>
      </w:pPr>
      <w:r>
        <w:tab/>
        <w:t>(b)</w:t>
      </w:r>
      <w:r>
        <w:tab/>
        <w:t>the section 74A report states that there is significant mineralisation in, on or under the land to which the application relates.</w:t>
      </w:r>
    </w:p>
    <w:p>
      <w:pPr>
        <w:pStyle w:val="MiscClose"/>
      </w:pPr>
      <w:r>
        <w:t xml:space="preserve">    ”.</w:t>
      </w:r>
    </w:p>
    <w:p>
      <w:pPr>
        <w:pStyle w:val="nzSubsection"/>
      </w:pPr>
      <w:r>
        <w:tab/>
        <w:t>(4)</w:t>
      </w:r>
      <w:r>
        <w:tab/>
        <w:t xml:space="preserve">Section 75(4) is amended by deleting “Where” and inserting instead — </w:t>
      </w:r>
    </w:p>
    <w:p>
      <w:pPr>
        <w:pStyle w:val="MiscOpen"/>
        <w:ind w:left="880"/>
      </w:pPr>
      <w:r>
        <w:t>“    Subject to subsection (4a), if    ”.</w:t>
      </w:r>
    </w:p>
    <w:p>
      <w:pPr>
        <w:pStyle w:val="nzSubsection"/>
      </w:pPr>
      <w:r>
        <w:tab/>
        <w:t>(5)</w:t>
      </w:r>
      <w:r>
        <w:tab/>
        <w:t xml:space="preserve">After section 75(4) the following subsection is inserted — </w:t>
      </w:r>
    </w:p>
    <w:p>
      <w:pPr>
        <w:pStyle w:val="MiscOpen"/>
        <w:ind w:left="600"/>
      </w:pPr>
      <w:r>
        <w:t xml:space="preserve">“    </w:t>
      </w:r>
    </w:p>
    <w:p>
      <w:pPr>
        <w:pStyle w:val="nzSubsection"/>
      </w:pPr>
      <w:r>
        <w:tab/>
        <w:t>(4a)</w:t>
      </w:r>
      <w:r>
        <w:tab/>
        <w:t xml:space="preserve">If the application for the mining lease is accompanied by the documentation referred to in section 74(1)(ca)(ii), the warden shall not hear the application unless — </w:t>
      </w:r>
    </w:p>
    <w:p>
      <w:pPr>
        <w:pStyle w:val="nzIndenta"/>
      </w:pPr>
      <w:r>
        <w:tab/>
        <w:t>(a)</w:t>
      </w:r>
      <w:r>
        <w:tab/>
        <w:t>the warden has received a copy of the section 74A report in relation to the application; and</w:t>
      </w:r>
    </w:p>
    <w:p>
      <w:pPr>
        <w:pStyle w:val="nzIndenta"/>
      </w:pPr>
      <w:r>
        <w:tab/>
        <w:t>(b)</w:t>
      </w:r>
      <w:r>
        <w:tab/>
        <w:t>the section 74A report states that there is significant mineralisation in, on or under the land to which the application relates.</w:t>
      </w:r>
    </w:p>
    <w:p>
      <w:pPr>
        <w:pStyle w:val="MiscClose"/>
      </w:pPr>
      <w:r>
        <w:t xml:space="preserve">    ”.</w:t>
      </w:r>
    </w:p>
    <w:p>
      <w:pPr>
        <w:pStyle w:val="nzSubsection"/>
      </w:pPr>
      <w:r>
        <w:tab/>
        <w:t>(6)</w:t>
      </w:r>
      <w:r>
        <w:tab/>
        <w:t xml:space="preserve">Section 75(7) is amended by inserting after “subject to” — </w:t>
      </w:r>
    </w:p>
    <w:p>
      <w:pPr>
        <w:pStyle w:val="nzSubsection"/>
      </w:pPr>
      <w:r>
        <w:tab/>
      </w:r>
      <w:r>
        <w:tab/>
        <w:t>“    subsection (8) and the other provisions of    ”.</w:t>
      </w:r>
    </w:p>
    <w:p>
      <w:pPr>
        <w:pStyle w:val="nzSubsection"/>
      </w:pPr>
      <w:r>
        <w:tab/>
        <w:t>(7)</w:t>
      </w:r>
      <w:r>
        <w:tab/>
        <w:t xml:space="preserve">After section 75(7) the following subsection is inserted — </w:t>
      </w:r>
    </w:p>
    <w:p>
      <w:pPr>
        <w:pStyle w:val="MiscOpen"/>
        <w:ind w:left="600"/>
      </w:pPr>
      <w:r>
        <w:t xml:space="preserve">“    </w:t>
      </w:r>
    </w:p>
    <w:p>
      <w:pPr>
        <w:pStyle w:val="nz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MiscClose"/>
      </w:pPr>
      <w:r>
        <w:t xml:space="preserve">    ”.</w:t>
      </w:r>
    </w:p>
    <w:p>
      <w:pPr>
        <w:pStyle w:val="nzSubsection"/>
      </w:pPr>
      <w:r>
        <w:tab/>
        <w:t>(8)</w:t>
      </w:r>
      <w:r>
        <w:tab/>
        <w:t xml:space="preserve">After section 75(9) the following subsection is inserted — </w:t>
      </w:r>
    </w:p>
    <w:p>
      <w:pPr>
        <w:pStyle w:val="MiscOpen"/>
        <w:ind w:left="600"/>
      </w:pPr>
      <w:r>
        <w:t xml:space="preserve">“    </w:t>
      </w:r>
    </w:p>
    <w:p>
      <w:pPr>
        <w:pStyle w:val="nzSubsection"/>
      </w:pPr>
      <w:r>
        <w:tab/>
        <w:t>(10)</w:t>
      </w:r>
      <w:r>
        <w:tab/>
        <w:t xml:space="preserve">In this section — </w:t>
      </w:r>
    </w:p>
    <w:p>
      <w:pPr>
        <w:pStyle w:val="nzDefstart"/>
      </w:pPr>
      <w:r>
        <w:rPr>
          <w:b/>
        </w:rPr>
        <w:tab/>
        <w:t>“</w:t>
      </w:r>
      <w:r>
        <w:rPr>
          <w:rStyle w:val="CharDefText"/>
        </w:rPr>
        <w:t>section 74A report</w:t>
      </w:r>
      <w:r>
        <w:rPr>
          <w:b/>
        </w:rPr>
        <w:t>”</w:t>
      </w:r>
      <w:r>
        <w:t xml:space="preserve"> means the report given to the Minister under section 74A.</w:t>
      </w:r>
    </w:p>
    <w:p>
      <w:pPr>
        <w:pStyle w:val="MiscClose"/>
      </w:pPr>
      <w:r>
        <w:t xml:space="preserve">    ”.</w:t>
      </w:r>
    </w:p>
    <w:p>
      <w:pPr>
        <w:pStyle w:val="nzHeading5"/>
      </w:pPr>
      <w:bookmarkStart w:id="2287" w:name="_Toc87061483"/>
      <w:r>
        <w:rPr>
          <w:rStyle w:val="CharSectno"/>
        </w:rPr>
        <w:t>32</w:t>
      </w:r>
      <w:r>
        <w:t>.</w:t>
      </w:r>
      <w:r>
        <w:tab/>
        <w:t>Section 82 amended and transitional provision</w:t>
      </w:r>
      <w:bookmarkEnd w:id="2287"/>
    </w:p>
    <w:p>
      <w:pPr>
        <w:pStyle w:val="nzSubsection"/>
      </w:pPr>
      <w:r>
        <w:tab/>
        <w:t>(1)</w:t>
      </w:r>
      <w:r>
        <w:tab/>
        <w:t xml:space="preserve">After section 82(1)(c) the following paragraph is inserted — </w:t>
      </w:r>
    </w:p>
    <w:p>
      <w:pPr>
        <w:pStyle w:val="MiscOpen"/>
        <w:ind w:left="1340"/>
      </w:pPr>
      <w:r>
        <w:t xml:space="preserve">“    </w:t>
      </w:r>
    </w:p>
    <w:p>
      <w:pPr>
        <w:pStyle w:val="nzIndenta"/>
      </w:pPr>
      <w:r>
        <w:tab/>
        <w:t>(ca)</w:t>
      </w:r>
      <w:r>
        <w:tab/>
        <w:t xml:space="preserve">not use ground disturbing equipment when mining on such land unless — </w:t>
      </w:r>
    </w:p>
    <w:p>
      <w:pPr>
        <w:pStyle w:val="nzIndenti"/>
      </w:pPr>
      <w:r>
        <w:tab/>
        <w:t>(i)</w:t>
      </w:r>
      <w:r>
        <w:tab/>
        <w:t>the lessee has lodged in the prescribed manner a programme of work in respect of that use and the programme has been approved in writing by the Minister or a prescribed official; or</w:t>
      </w:r>
    </w:p>
    <w:p>
      <w:pPr>
        <w:pStyle w:val="nzIndenti"/>
      </w:pPr>
      <w:r>
        <w:tab/>
        <w:t>(ii)</w:t>
      </w:r>
      <w:r>
        <w:tab/>
        <w:t>that use is dealt with in a relevant mining proposal;</w:t>
      </w:r>
    </w:p>
    <w:p>
      <w:pPr>
        <w:pStyle w:val="MiscClose"/>
      </w:pPr>
      <w:r>
        <w:t xml:space="preserve">    ”.</w:t>
      </w:r>
    </w:p>
    <w:p>
      <w:pPr>
        <w:pStyle w:val="nzSubsection"/>
      </w:pPr>
      <w:r>
        <w:tab/>
        <w:t>(2)</w:t>
      </w:r>
      <w:r>
        <w:tab/>
        <w:t xml:space="preserve">After section 82(1) the following subsections are inserted — </w:t>
      </w:r>
    </w:p>
    <w:p>
      <w:pPr>
        <w:pStyle w:val="MiscOpen"/>
        <w:ind w:left="600"/>
      </w:pPr>
      <w:r>
        <w:t xml:space="preserve">“    </w:t>
      </w:r>
    </w:p>
    <w:p>
      <w:pPr>
        <w:pStyle w:val="nzSubsection"/>
      </w:pPr>
      <w:r>
        <w:tab/>
        <w:t>(1a)</w:t>
      </w:r>
      <w:r>
        <w:tab/>
        <w:t xml:space="preserve">In subsection (1)(ca)(ii) — </w:t>
      </w:r>
    </w:p>
    <w:p>
      <w:pPr>
        <w:pStyle w:val="nzDefstart"/>
      </w:pPr>
      <w:r>
        <w:rPr>
          <w:b/>
        </w:rPr>
        <w:tab/>
        <w:t>“</w:t>
      </w:r>
      <w:r>
        <w:rPr>
          <w:rStyle w:val="CharDefText"/>
        </w:rPr>
        <w:t>relevant mining proposal</w:t>
      </w:r>
      <w:r>
        <w:rPr>
          <w:b/>
        </w:rPr>
        <w:t>”</w:t>
      </w:r>
      <w:r>
        <w:t xml:space="preserve"> means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MiscClose"/>
      </w:pPr>
      <w:r>
        <w:t xml:space="preserve">    ”.</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bookmarkStart w:id="2288" w:name="_Toc87061484"/>
      <w:r>
        <w:rPr>
          <w:rStyle w:val="CharSectno"/>
        </w:rPr>
        <w:t>33</w:t>
      </w:r>
      <w:r>
        <w:t>.</w:t>
      </w:r>
      <w:r>
        <w:tab/>
        <w:t>Section 82A inserted</w:t>
      </w:r>
      <w:bookmarkEnd w:id="2288"/>
    </w:p>
    <w:p>
      <w:pPr>
        <w:pStyle w:val="nzSubsection"/>
      </w:pPr>
      <w:r>
        <w:tab/>
      </w:r>
      <w:r>
        <w:tab/>
        <w:t xml:space="preserve">After section 82 the following section is inserted — </w:t>
      </w:r>
    </w:p>
    <w:p>
      <w:pPr>
        <w:pStyle w:val="MiscOpen"/>
      </w:pPr>
      <w:r>
        <w:t xml:space="preserve">“    </w:t>
      </w:r>
    </w:p>
    <w:p>
      <w:pPr>
        <w:pStyle w:val="nzHeading5"/>
      </w:pPr>
      <w:r>
        <w:t>82A.</w:t>
      </w:r>
      <w:r>
        <w:tab/>
        <w:t>Condition to be included in certain mining leases</w:t>
      </w:r>
    </w:p>
    <w:p>
      <w:pPr>
        <w:pStyle w:val="nzSubsection"/>
      </w:pPr>
      <w:r>
        <w:tab/>
        <w:t>(1)</w:t>
      </w:r>
      <w:r>
        <w:tab/>
        <w:t>This section applies to a mining lease if —</w:t>
      </w:r>
    </w:p>
    <w:p>
      <w:pPr>
        <w:pStyle w:val="nzIndenta"/>
      </w:pPr>
      <w:r>
        <w:tab/>
        <w:t>(a)</w:t>
      </w:r>
      <w:r>
        <w:tab/>
        <w:t xml:space="preserve">the application for the mining lease was made under this Act, but was not determined, before the commencement of section 33 of the </w:t>
      </w:r>
      <w:r>
        <w:rPr>
          <w:i/>
        </w:rPr>
        <w:t>Mining Amendment Act 2004</w:t>
      </w:r>
      <w:r>
        <w:t>; or</w:t>
      </w:r>
    </w:p>
    <w:p>
      <w:pPr>
        <w:pStyle w:val="nzIndenta"/>
      </w:pPr>
      <w:r>
        <w:tab/>
        <w:t>(b)</w:t>
      </w:r>
      <w:r>
        <w:tab/>
        <w:t>the application for the mining lease was accompanied by the documentation referred to in section 74(1)(ca)(ii).</w:t>
      </w:r>
    </w:p>
    <w:p>
      <w:pPr>
        <w:pStyle w:val="nz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nzIndenta"/>
      </w:pPr>
      <w:r>
        <w:tab/>
        <w:t>(a)</w:t>
      </w:r>
      <w:r>
        <w:tab/>
        <w:t>to lodge in the prescribed manner a mining proposal in respect of those operations; and</w:t>
      </w:r>
    </w:p>
    <w:p>
      <w:pPr>
        <w:pStyle w:val="nzIndenta"/>
      </w:pPr>
      <w:r>
        <w:tab/>
        <w:t>(b)</w:t>
      </w:r>
      <w:r>
        <w:tab/>
        <w:t>to obtain written approval for the mining proposal from a prescribed official.</w:t>
      </w:r>
    </w:p>
    <w:p>
      <w:pPr>
        <w:pStyle w:val="MiscClose"/>
      </w:pPr>
      <w:r>
        <w:t xml:space="preserve">    ”.</w:t>
      </w:r>
    </w:p>
    <w:p>
      <w:pPr>
        <w:pStyle w:val="nzHeading5"/>
      </w:pPr>
      <w:bookmarkStart w:id="2289" w:name="_Toc87061485"/>
      <w:r>
        <w:rPr>
          <w:rStyle w:val="CharSectno"/>
        </w:rPr>
        <w:t>34</w:t>
      </w:r>
      <w:r>
        <w:t>.</w:t>
      </w:r>
      <w:r>
        <w:tab/>
        <w:t>Section 85 amended</w:t>
      </w:r>
      <w:bookmarkEnd w:id="2289"/>
    </w:p>
    <w:p>
      <w:pPr>
        <w:pStyle w:val="nzSubsection"/>
      </w:pPr>
      <w:r>
        <w:tab/>
      </w:r>
      <w:r>
        <w:tab/>
        <w:t xml:space="preserve">Section 85(1) and (2) are each amended by inserting after “this Act” — </w:t>
      </w:r>
    </w:p>
    <w:p>
      <w:pPr>
        <w:pStyle w:val="MiscOpen"/>
        <w:ind w:left="880"/>
      </w:pPr>
      <w:r>
        <w:t xml:space="preserve">“    </w:t>
      </w:r>
    </w:p>
    <w:p>
      <w:pPr>
        <w:pStyle w:val="nzSubsection"/>
      </w:pPr>
      <w:r>
        <w:tab/>
      </w:r>
      <w:r>
        <w:tab/>
        <w:t>and to any conditions to which the mining lease is subject</w:t>
      </w:r>
    </w:p>
    <w:p>
      <w:pPr>
        <w:pStyle w:val="MiscClose"/>
      </w:pPr>
      <w:r>
        <w:t xml:space="preserve">    ”.</w:t>
      </w:r>
    </w:p>
    <w:p>
      <w:pPr>
        <w:pStyle w:val="nzHeading5"/>
      </w:pPr>
      <w:bookmarkStart w:id="2290" w:name="_Toc87061486"/>
      <w:r>
        <w:rPr>
          <w:rStyle w:val="CharSectno"/>
        </w:rPr>
        <w:t>35</w:t>
      </w:r>
      <w:r>
        <w:t>.</w:t>
      </w:r>
      <w:r>
        <w:tab/>
        <w:t>Transitional provision</w:t>
      </w:r>
      <w:bookmarkEnd w:id="2290"/>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2"/>
        <w:rPr>
          <w:rStyle w:val="CharPartNo"/>
        </w:rPr>
      </w:pPr>
      <w:bookmarkStart w:id="2291" w:name="_Toc66772761"/>
      <w:bookmarkStart w:id="2292" w:name="_Toc66774162"/>
      <w:bookmarkStart w:id="2293" w:name="_Toc66774393"/>
      <w:bookmarkStart w:id="2294" w:name="_Toc67107357"/>
      <w:bookmarkStart w:id="2295" w:name="_Toc67107834"/>
      <w:bookmarkStart w:id="2296" w:name="_Toc67113515"/>
      <w:bookmarkStart w:id="2297" w:name="_Toc67118765"/>
      <w:bookmarkStart w:id="2298" w:name="_Toc67119376"/>
      <w:bookmarkStart w:id="2299" w:name="_Toc67119551"/>
      <w:bookmarkStart w:id="2300" w:name="_Toc67130660"/>
      <w:bookmarkStart w:id="2301" w:name="_Toc67133695"/>
      <w:bookmarkStart w:id="2302" w:name="_Toc67193857"/>
      <w:bookmarkStart w:id="2303" w:name="_Toc67206022"/>
      <w:bookmarkStart w:id="2304" w:name="_Toc67209208"/>
      <w:bookmarkStart w:id="2305" w:name="_Toc67209447"/>
      <w:bookmarkStart w:id="2306" w:name="_Toc67291537"/>
      <w:bookmarkStart w:id="2307" w:name="_Toc67300483"/>
      <w:bookmarkStart w:id="2308" w:name="_Toc67301629"/>
      <w:bookmarkStart w:id="2309" w:name="_Toc67301835"/>
      <w:bookmarkStart w:id="2310" w:name="_Toc67302131"/>
      <w:bookmarkStart w:id="2311" w:name="_Toc67721802"/>
      <w:bookmarkStart w:id="2312" w:name="_Toc67722012"/>
      <w:bookmarkStart w:id="2313" w:name="_Toc67722258"/>
      <w:bookmarkStart w:id="2314" w:name="_Toc67724604"/>
      <w:bookmarkStart w:id="2315" w:name="_Toc67799515"/>
      <w:bookmarkStart w:id="2316" w:name="_Toc67806320"/>
      <w:bookmarkStart w:id="2317" w:name="_Toc67807142"/>
      <w:bookmarkStart w:id="2318" w:name="_Toc67808156"/>
      <w:bookmarkStart w:id="2319" w:name="_Toc67808433"/>
      <w:bookmarkStart w:id="2320" w:name="_Toc67809867"/>
      <w:bookmarkStart w:id="2321" w:name="_Toc67813916"/>
      <w:bookmarkStart w:id="2322" w:name="_Toc67814238"/>
      <w:bookmarkStart w:id="2323" w:name="_Toc67911097"/>
      <w:bookmarkStart w:id="2324" w:name="_Toc67912075"/>
      <w:bookmarkStart w:id="2325" w:name="_Toc67980312"/>
      <w:bookmarkStart w:id="2326" w:name="_Toc67980420"/>
      <w:bookmarkStart w:id="2327" w:name="_Toc67980704"/>
      <w:bookmarkStart w:id="2328" w:name="_Toc67981226"/>
      <w:bookmarkStart w:id="2329" w:name="_Toc67981413"/>
      <w:bookmarkStart w:id="2330" w:name="_Toc67981987"/>
      <w:bookmarkStart w:id="2331" w:name="_Toc67997385"/>
      <w:bookmarkStart w:id="2332" w:name="_Toc68063340"/>
      <w:bookmarkStart w:id="2333" w:name="_Toc68070437"/>
      <w:bookmarkStart w:id="2334" w:name="_Toc68315369"/>
      <w:bookmarkStart w:id="2335" w:name="_Toc68321132"/>
      <w:bookmarkStart w:id="2336" w:name="_Toc68321239"/>
      <w:bookmarkStart w:id="2337" w:name="_Toc68321346"/>
      <w:bookmarkStart w:id="2338" w:name="_Toc68323972"/>
      <w:bookmarkStart w:id="2339" w:name="_Toc68325669"/>
      <w:bookmarkStart w:id="2340" w:name="_Toc68490844"/>
      <w:bookmarkStart w:id="2341" w:name="_Toc68495016"/>
      <w:bookmarkStart w:id="2342" w:name="_Toc68505833"/>
      <w:bookmarkStart w:id="2343" w:name="_Toc68506541"/>
      <w:bookmarkStart w:id="2344" w:name="_Toc68513253"/>
      <w:bookmarkStart w:id="2345" w:name="_Toc68515264"/>
      <w:bookmarkStart w:id="2346" w:name="_Toc68516466"/>
      <w:bookmarkStart w:id="2347" w:name="_Toc68517738"/>
      <w:bookmarkStart w:id="2348" w:name="_Toc68518057"/>
      <w:bookmarkStart w:id="2349" w:name="_Toc68518254"/>
      <w:bookmarkStart w:id="2350" w:name="_Toc68588058"/>
      <w:bookmarkStart w:id="2351" w:name="_Toc68943927"/>
      <w:bookmarkStart w:id="2352" w:name="_Toc68944689"/>
      <w:bookmarkStart w:id="2353" w:name="_Toc68945496"/>
      <w:bookmarkStart w:id="2354" w:name="_Toc68946897"/>
      <w:bookmarkStart w:id="2355" w:name="_Toc68950735"/>
      <w:bookmarkStart w:id="2356" w:name="_Toc69017062"/>
      <w:bookmarkStart w:id="2357" w:name="_Toc69021834"/>
      <w:bookmarkStart w:id="2358" w:name="_Toc69022090"/>
      <w:bookmarkStart w:id="2359" w:name="_Toc69030818"/>
      <w:bookmarkStart w:id="2360" w:name="_Toc69100511"/>
      <w:bookmarkStart w:id="2361" w:name="_Toc69102757"/>
      <w:bookmarkStart w:id="2362" w:name="_Toc69117313"/>
      <w:bookmarkStart w:id="2363" w:name="_Toc69118019"/>
      <w:bookmarkStart w:id="2364" w:name="_Toc69271742"/>
      <w:bookmarkStart w:id="2365" w:name="_Toc69274119"/>
      <w:bookmarkStart w:id="2366" w:name="_Toc69274568"/>
      <w:bookmarkStart w:id="2367" w:name="_Toc69275326"/>
      <w:bookmarkStart w:id="2368" w:name="_Toc69275621"/>
      <w:bookmarkStart w:id="2369" w:name="_Toc69278387"/>
      <w:bookmarkStart w:id="2370" w:name="_Toc69280737"/>
      <w:bookmarkStart w:id="2371" w:name="_Toc69281078"/>
      <w:bookmarkStart w:id="2372" w:name="_Toc69281187"/>
      <w:bookmarkStart w:id="2373" w:name="_Toc69281354"/>
      <w:bookmarkStart w:id="2374" w:name="_Toc70327097"/>
      <w:bookmarkStart w:id="2375" w:name="_Toc70405235"/>
      <w:bookmarkStart w:id="2376" w:name="_Toc70995398"/>
      <w:bookmarkStart w:id="2377" w:name="_Toc71712526"/>
      <w:bookmarkStart w:id="2378" w:name="_Toc71713981"/>
      <w:bookmarkStart w:id="2379" w:name="_Toc71878724"/>
      <w:bookmarkStart w:id="2380" w:name="_Toc71880068"/>
      <w:bookmarkStart w:id="2381" w:name="_Toc71884449"/>
      <w:bookmarkStart w:id="2382" w:name="_Toc71887027"/>
      <w:bookmarkStart w:id="2383" w:name="_Toc71887268"/>
      <w:bookmarkStart w:id="2384" w:name="_Toc71953174"/>
      <w:bookmarkStart w:id="2385" w:name="_Toc71953317"/>
      <w:bookmarkStart w:id="2386" w:name="_Toc71957064"/>
      <w:bookmarkStart w:id="2387" w:name="_Toc71963695"/>
      <w:bookmarkStart w:id="2388" w:name="_Toc71969787"/>
      <w:bookmarkStart w:id="2389" w:name="_Toc71969896"/>
      <w:bookmarkStart w:id="2390" w:name="_Toc71973499"/>
      <w:bookmarkStart w:id="2391" w:name="_Toc71975613"/>
      <w:bookmarkStart w:id="2392" w:name="_Toc71976421"/>
      <w:bookmarkStart w:id="2393" w:name="_Toc72026815"/>
      <w:bookmarkStart w:id="2394" w:name="_Toc72027073"/>
      <w:bookmarkStart w:id="2395" w:name="_Toc72029130"/>
      <w:bookmarkStart w:id="2396" w:name="_Toc72044657"/>
      <w:bookmarkStart w:id="2397" w:name="_Toc72044767"/>
      <w:bookmarkStart w:id="2398" w:name="_Toc72049686"/>
      <w:bookmarkStart w:id="2399" w:name="_Toc72049798"/>
      <w:bookmarkStart w:id="2400" w:name="_Toc72748200"/>
      <w:bookmarkStart w:id="2401" w:name="_Toc72812745"/>
      <w:bookmarkStart w:id="2402" w:name="_Toc72827610"/>
      <w:bookmarkStart w:id="2403" w:name="_Toc73154116"/>
      <w:bookmarkStart w:id="2404" w:name="_Toc73154543"/>
      <w:bookmarkStart w:id="2405" w:name="_Toc73156302"/>
      <w:bookmarkStart w:id="2406" w:name="_Toc73156422"/>
      <w:bookmarkStart w:id="2407" w:name="_Toc73158389"/>
      <w:bookmarkStart w:id="2408" w:name="_Toc73158717"/>
      <w:bookmarkStart w:id="2409" w:name="_Toc73159082"/>
      <w:bookmarkStart w:id="2410" w:name="_Toc73159223"/>
      <w:bookmarkStart w:id="2411" w:name="_Toc73159898"/>
      <w:bookmarkStart w:id="2412" w:name="_Toc73160825"/>
      <w:bookmarkStart w:id="2413" w:name="_Toc73161619"/>
      <w:bookmarkStart w:id="2414" w:name="_Toc73161790"/>
      <w:bookmarkStart w:id="2415" w:name="_Toc73164223"/>
      <w:bookmarkStart w:id="2416" w:name="_Toc73179792"/>
      <w:bookmarkStart w:id="2417" w:name="_Toc73184333"/>
      <w:bookmarkStart w:id="2418" w:name="_Toc73241602"/>
      <w:bookmarkStart w:id="2419" w:name="_Toc73242164"/>
      <w:bookmarkStart w:id="2420" w:name="_Toc73242904"/>
      <w:bookmarkStart w:id="2421" w:name="_Toc73243021"/>
      <w:bookmarkStart w:id="2422" w:name="_Toc73243138"/>
      <w:bookmarkStart w:id="2423" w:name="_Toc73245193"/>
      <w:bookmarkStart w:id="2424" w:name="_Toc73246003"/>
      <w:bookmarkStart w:id="2425" w:name="_Toc73251521"/>
      <w:bookmarkStart w:id="2426" w:name="_Toc73258517"/>
      <w:bookmarkStart w:id="2427" w:name="_Toc73259598"/>
      <w:bookmarkStart w:id="2428" w:name="_Toc73421935"/>
      <w:bookmarkStart w:id="2429" w:name="_Toc73427336"/>
      <w:bookmarkStart w:id="2430" w:name="_Toc73428262"/>
      <w:bookmarkStart w:id="2431" w:name="_Toc73428379"/>
      <w:bookmarkStart w:id="2432" w:name="_Toc73428496"/>
      <w:bookmarkStart w:id="2433" w:name="_Toc73428750"/>
      <w:bookmarkStart w:id="2434" w:name="_Toc73428983"/>
      <w:bookmarkStart w:id="2435" w:name="_Toc73429471"/>
      <w:bookmarkStart w:id="2436" w:name="_Toc73436623"/>
      <w:bookmarkStart w:id="2437" w:name="_Toc73437466"/>
      <w:bookmarkStart w:id="2438" w:name="_Toc81200153"/>
      <w:bookmarkStart w:id="2439" w:name="_Toc81201764"/>
      <w:bookmarkStart w:id="2440" w:name="_Toc81209018"/>
      <w:r>
        <w:rPr>
          <w:rStyle w:val="CharPartNo"/>
        </w:rPr>
        <w:t>Part 7 — Amendments about securities</w:t>
      </w:r>
      <w:bookmarkEnd w:id="1909"/>
      <w:bookmarkEnd w:id="1910"/>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84"/>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nzHeading5"/>
      </w:pPr>
      <w:bookmarkStart w:id="2441" w:name="_Toc87061487"/>
      <w:r>
        <w:rPr>
          <w:rStyle w:val="CharSectno"/>
        </w:rPr>
        <w:t>36</w:t>
      </w:r>
      <w:r>
        <w:t>.</w:t>
      </w:r>
      <w:r>
        <w:tab/>
        <w:t>Section 70F replaced and transitional provision</w:t>
      </w:r>
      <w:bookmarkEnd w:id="2441"/>
    </w:p>
    <w:p>
      <w:pPr>
        <w:pStyle w:val="nzSubsection"/>
      </w:pPr>
      <w:r>
        <w:tab/>
        <w:t>(1)</w:t>
      </w:r>
      <w:r>
        <w:tab/>
        <w:t xml:space="preserve">Section 70F is repealed and the following section is inserted instead — </w:t>
      </w:r>
    </w:p>
    <w:p>
      <w:pPr>
        <w:pStyle w:val="MiscOpen"/>
      </w:pPr>
      <w:r>
        <w:t xml:space="preserve">“    </w:t>
      </w:r>
    </w:p>
    <w:p>
      <w:pPr>
        <w:pStyle w:val="nzHeading5"/>
      </w:pPr>
      <w:r>
        <w:t>70F.</w:t>
      </w:r>
      <w:r>
        <w:tab/>
        <w:t>Security relating to retention licence</w:t>
      </w:r>
    </w:p>
    <w:p>
      <w:pPr>
        <w:pStyle w:val="nzSubsection"/>
      </w:pPr>
      <w:r>
        <w:tab/>
        <w:t>(1)</w:t>
      </w:r>
      <w:r>
        <w:tab/>
        <w:t>The applicant for a retention licence shall lodge at the office of the mining registrar, within the prescribed period, a security for compliance with —</w:t>
      </w:r>
    </w:p>
    <w:p>
      <w:pPr>
        <w:pStyle w:val="nzIndenta"/>
      </w:pPr>
      <w:r>
        <w:tab/>
        <w:t>(a)</w:t>
      </w:r>
      <w:r>
        <w:tab/>
        <w:t>the conditions to which the retention licence, if granted, will from time to time be subject; and</w:t>
      </w:r>
    </w:p>
    <w:p>
      <w:pPr>
        <w:pStyle w:val="nzIndenta"/>
      </w:pPr>
      <w:r>
        <w:tab/>
        <w:t>(b)</w:t>
      </w:r>
      <w:r>
        <w:tab/>
        <w:t>the provisions of this Part and the regulations.</w:t>
      </w:r>
    </w:p>
    <w:p>
      <w:pPr>
        <w:pStyle w:val="nzSubsection"/>
      </w:pPr>
      <w:r>
        <w:tab/>
        <w:t>(2)</w:t>
      </w:r>
      <w:r>
        <w:tab/>
        <w: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t>
      </w:r>
    </w:p>
    <w:p>
      <w:pPr>
        <w:pStyle w:val="nzSubsection"/>
      </w:pPr>
      <w:r>
        <w:tab/>
        <w:t>(3)</w:t>
      </w:r>
      <w:r>
        <w:tab/>
        <w:t>A security referred to in subsection (1) or (2) shall be in accordance with and subject to section 126.</w:t>
      </w:r>
    </w:p>
    <w:p>
      <w:pPr>
        <w:pStyle w:val="nzSubsection"/>
      </w:pPr>
      <w:r>
        <w:tab/>
        <w:t>(4)</w:t>
      </w:r>
      <w:r>
        <w:tab/>
        <w:t>A retention licence shall not be granted unless a security has been lodged by the applicant for the retention licence in accordance with subsection (1).</w:t>
      </w:r>
    </w:p>
    <w:p>
      <w:pPr>
        <w:pStyle w:val="nzSubsection"/>
      </w:pPr>
      <w:r>
        <w:tab/>
        <w:t>(5)</w:t>
      </w:r>
      <w:r>
        <w:tab/>
        <w:t>Notwithstanding section 154(1), an applicant for a retention licence who fails to comply with subsection (1) does not commit an offence against this Act.</w:t>
      </w:r>
    </w:p>
    <w:p>
      <w:pPr>
        <w:pStyle w:val="MiscClose"/>
      </w:pPr>
      <w:r>
        <w:t xml:space="preserve">    ”.</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pPr>
      <w:bookmarkStart w:id="2442" w:name="_Toc87061488"/>
      <w:r>
        <w:rPr>
          <w:rStyle w:val="CharSectno"/>
        </w:rPr>
        <w:t>37</w:t>
      </w:r>
      <w:r>
        <w:t>.</w:t>
      </w:r>
      <w:r>
        <w:tab/>
        <w:t>Section 70K amended</w:t>
      </w:r>
      <w:bookmarkEnd w:id="2442"/>
    </w:p>
    <w:p>
      <w:pPr>
        <w:pStyle w:val="nzSubsection"/>
      </w:pPr>
      <w:r>
        <w:tab/>
      </w:r>
      <w:r>
        <w:tab/>
        <w:t xml:space="preserve">Section 70K(bb) is amended by deleting “70F(1)” and inserting instead — </w:t>
      </w:r>
    </w:p>
    <w:p>
      <w:pPr>
        <w:pStyle w:val="nzSubsection"/>
      </w:pPr>
      <w:r>
        <w:tab/>
      </w:r>
      <w:r>
        <w:tab/>
        <w:t>“    70F(2)    ”.</w:t>
      </w:r>
    </w:p>
    <w:p>
      <w:pPr>
        <w:pStyle w:val="nzHeading5"/>
      </w:pPr>
      <w:bookmarkStart w:id="2443" w:name="_Toc87061489"/>
      <w:r>
        <w:rPr>
          <w:rStyle w:val="CharSectno"/>
        </w:rPr>
        <w:t>38</w:t>
      </w:r>
      <w:r>
        <w:t>.</w:t>
      </w:r>
      <w:r>
        <w:tab/>
        <w:t>Section 82 amended</w:t>
      </w:r>
      <w:bookmarkEnd w:id="2443"/>
    </w:p>
    <w:p>
      <w:pPr>
        <w:pStyle w:val="nzSubsection"/>
      </w:pPr>
      <w:r>
        <w:tab/>
      </w:r>
      <w:r>
        <w:tab/>
        <w:t xml:space="preserve">Section 82(1)(g) is amended by deleting “84A(1)” and inserting instead — </w:t>
      </w:r>
    </w:p>
    <w:p>
      <w:pPr>
        <w:pStyle w:val="nzSubsection"/>
      </w:pPr>
      <w:r>
        <w:tab/>
      </w:r>
      <w:r>
        <w:tab/>
        <w:t>“    84A(2)    ”.</w:t>
      </w:r>
    </w:p>
    <w:p>
      <w:pPr>
        <w:pStyle w:val="nzHeading5"/>
      </w:pPr>
      <w:bookmarkStart w:id="2444" w:name="_Toc87061490"/>
      <w:r>
        <w:rPr>
          <w:rStyle w:val="CharSectno"/>
        </w:rPr>
        <w:t>39</w:t>
      </w:r>
      <w:r>
        <w:t>.</w:t>
      </w:r>
      <w:r>
        <w:tab/>
        <w:t>Section 84A replaced and transitional provision</w:t>
      </w:r>
      <w:bookmarkEnd w:id="2444"/>
    </w:p>
    <w:p>
      <w:pPr>
        <w:pStyle w:val="nzSubsection"/>
      </w:pPr>
      <w:r>
        <w:tab/>
        <w:t>(1)</w:t>
      </w:r>
      <w:r>
        <w:tab/>
        <w:t xml:space="preserve">Section 84A is repealed and the following section is inserted instead — </w:t>
      </w:r>
    </w:p>
    <w:p>
      <w:pPr>
        <w:pStyle w:val="MiscOpen"/>
      </w:pPr>
      <w:r>
        <w:t xml:space="preserve">“    </w:t>
      </w:r>
    </w:p>
    <w:p>
      <w:pPr>
        <w:pStyle w:val="nzHeading5"/>
      </w:pPr>
      <w:r>
        <w:t>84A.</w:t>
      </w:r>
      <w:r>
        <w:tab/>
        <w:t>Security relating to mining lease</w:t>
      </w:r>
    </w:p>
    <w:p>
      <w:pPr>
        <w:pStyle w:val="nzSubsection"/>
      </w:pPr>
      <w:r>
        <w:tab/>
        <w:t>(1)</w:t>
      </w:r>
      <w:r>
        <w:tab/>
        <w:t xml:space="preserve">The applicant for a mining lease shall lodge at the office of the mining registrar, within the prescribed period, a security for compliance with — </w:t>
      </w:r>
    </w:p>
    <w:p>
      <w:pPr>
        <w:pStyle w:val="nzIndenta"/>
      </w:pPr>
      <w:r>
        <w:tab/>
        <w:t>(a)</w:t>
      </w:r>
      <w:r>
        <w:tab/>
        <w:t>the conditions to which the mining lease, if granted, will from time to time be subject; and</w:t>
      </w:r>
    </w:p>
    <w:p>
      <w:pPr>
        <w:pStyle w:val="nzIndenta"/>
      </w:pPr>
      <w:r>
        <w:tab/>
        <w:t>(b)</w:t>
      </w:r>
      <w:r>
        <w:tab/>
        <w:t>the provisions of this Part and the regulations.</w:t>
      </w:r>
    </w:p>
    <w:p>
      <w:pPr>
        <w:pStyle w:val="nz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nzSubsection"/>
      </w:pPr>
      <w:r>
        <w:tab/>
        <w:t>(3)</w:t>
      </w:r>
      <w:r>
        <w:tab/>
        <w:t>A security referred to in subsection (1) or (2) shall be in accordance with and subject to section 126.</w:t>
      </w:r>
    </w:p>
    <w:p>
      <w:pPr>
        <w:pStyle w:val="nzSubsection"/>
      </w:pPr>
      <w:r>
        <w:tab/>
        <w:t>(4)</w:t>
      </w:r>
      <w:r>
        <w:tab/>
        <w:t>A mining lease shall not be granted unless a security has been lodged by the applicant for the mining lease in accordance with subsection (1).</w:t>
      </w:r>
    </w:p>
    <w:p>
      <w:pPr>
        <w:pStyle w:val="nzSubsection"/>
      </w:pPr>
      <w:r>
        <w:tab/>
        <w:t>(5)</w:t>
      </w:r>
      <w:r>
        <w:tab/>
        <w:t>Notwithstanding section 154(1), an applicant for a mining lease who fails to comply with subsection (1) does not commit an offence against this Act.</w:t>
      </w:r>
    </w:p>
    <w:p>
      <w:pPr>
        <w:pStyle w:val="MiscClose"/>
      </w:pPr>
      <w:r>
        <w:t xml:space="preserve">    ”.</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pPr>
      <w:bookmarkStart w:id="2445" w:name="_Toc87061491"/>
      <w:r>
        <w:rPr>
          <w:rStyle w:val="CharSectno"/>
        </w:rPr>
        <w:t>40</w:t>
      </w:r>
      <w:r>
        <w:t>.</w:t>
      </w:r>
      <w:r>
        <w:tab/>
        <w:t>Section 92 amended</w:t>
      </w:r>
      <w:bookmarkEnd w:id="2445"/>
    </w:p>
    <w:p>
      <w:pPr>
        <w:pStyle w:val="nzSubsection"/>
      </w:pPr>
      <w:r>
        <w:tab/>
      </w:r>
      <w:r>
        <w:tab/>
        <w:t>Section 92 is amended by deleting “(1a)”.</w:t>
      </w:r>
    </w:p>
    <w:p>
      <w:pPr>
        <w:pStyle w:val="nzHeading5"/>
      </w:pPr>
      <w:bookmarkStart w:id="2446" w:name="_Toc87061492"/>
      <w:r>
        <w:rPr>
          <w:rStyle w:val="CharSectno"/>
        </w:rPr>
        <w:t>41</w:t>
      </w:r>
      <w:r>
        <w:t>.</w:t>
      </w:r>
      <w:r>
        <w:tab/>
        <w:t>Section 126 amended</w:t>
      </w:r>
      <w:bookmarkEnd w:id="2446"/>
    </w:p>
    <w:p>
      <w:pPr>
        <w:pStyle w:val="nzSubsection"/>
      </w:pPr>
      <w:r>
        <w:tab/>
        <w:t>(1)</w:t>
      </w:r>
      <w:r>
        <w:tab/>
        <w:t>Section 126(1)(a) is amended as follows:</w:t>
      </w:r>
    </w:p>
    <w:p>
      <w:pPr>
        <w:pStyle w:val="nzIndenta"/>
      </w:pPr>
      <w:r>
        <w:tab/>
        <w:t>(a)</w:t>
      </w:r>
      <w:r>
        <w:tab/>
        <w:t xml:space="preserve">in subparagraph (i) by deleting “70F or 84A” and inserting instead — </w:t>
      </w:r>
    </w:p>
    <w:p>
      <w:pPr>
        <w:pStyle w:val="nzIndenta"/>
      </w:pPr>
      <w:r>
        <w:tab/>
      </w:r>
      <w:r>
        <w:tab/>
        <w:t>“    70F(2) or 84A(2)    ”;</w:t>
      </w:r>
    </w:p>
    <w:p>
      <w:pPr>
        <w:pStyle w:val="nzIndenta"/>
      </w:pPr>
      <w:r>
        <w:tab/>
        <w:t>(b)</w:t>
      </w:r>
      <w:r>
        <w:tab/>
        <w:t xml:space="preserve">by deleting subparagraph (ii) and inserting the following subparagraph instead — </w:t>
      </w:r>
    </w:p>
    <w:p>
      <w:pPr>
        <w:pStyle w:val="MiscOpen"/>
        <w:ind w:left="2041"/>
      </w:pPr>
      <w:r>
        <w:t xml:space="preserve">“    </w:t>
      </w:r>
    </w:p>
    <w:p>
      <w:pPr>
        <w:pStyle w:val="nzIndenti"/>
      </w:pPr>
      <w:r>
        <w:tab/>
        <w:t>(ii)</w:t>
      </w:r>
      <w:r>
        <w:tab/>
        <w:t>in the case of a security referred to in section 52(1), 60(1), 70F(1) or 84A(1), as is prescribed;</w:t>
      </w:r>
    </w:p>
    <w:p>
      <w:pPr>
        <w:pStyle w:val="MiscClose"/>
      </w:pPr>
      <w:r>
        <w:t xml:space="preserve">    ”.</w:t>
      </w:r>
    </w:p>
    <w:p>
      <w:pPr>
        <w:pStyle w:val="nzSubsection"/>
      </w:pPr>
      <w:r>
        <w:tab/>
        <w:t>(2)</w:t>
      </w:r>
      <w:r>
        <w:tab/>
        <w:t xml:space="preserve">After section 126(7) the following subsection is inserted — </w:t>
      </w:r>
    </w:p>
    <w:p>
      <w:pPr>
        <w:pStyle w:val="MiscOpen"/>
        <w:ind w:left="595"/>
      </w:pPr>
      <w:r>
        <w:t xml:space="preserve">“    </w:t>
      </w:r>
    </w:p>
    <w:p>
      <w:pPr>
        <w:pStyle w:val="nz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MiscClose"/>
      </w:pPr>
      <w:r>
        <w:t xml:space="preserve">    ”.</w:t>
      </w:r>
    </w:p>
    <w:p>
      <w:pPr>
        <w:pStyle w:val="nzHeading2"/>
        <w:rPr>
          <w:rStyle w:val="CharPartNo"/>
        </w:rPr>
      </w:pPr>
      <w:bookmarkStart w:id="2447" w:name="_Toc57629794"/>
      <w:bookmarkStart w:id="2448" w:name="_Toc57689970"/>
      <w:bookmarkStart w:id="2449" w:name="_Toc65297835"/>
      <w:bookmarkStart w:id="2450" w:name="_Toc65297926"/>
      <w:bookmarkStart w:id="2451" w:name="_Toc65301693"/>
      <w:bookmarkStart w:id="2452" w:name="_Toc65379310"/>
      <w:bookmarkStart w:id="2453" w:name="_Toc65389325"/>
      <w:bookmarkStart w:id="2454" w:name="_Toc65390250"/>
      <w:bookmarkStart w:id="2455" w:name="_Toc65390799"/>
      <w:bookmarkStart w:id="2456" w:name="_Toc65395244"/>
      <w:bookmarkStart w:id="2457" w:name="_Toc65396538"/>
      <w:bookmarkStart w:id="2458" w:name="_Toc65397463"/>
      <w:bookmarkStart w:id="2459" w:name="_Toc65999787"/>
      <w:bookmarkStart w:id="2460" w:name="_Toc65999942"/>
      <w:bookmarkStart w:id="2461" w:name="_Toc66000070"/>
      <w:bookmarkStart w:id="2462" w:name="_Toc66097253"/>
      <w:bookmarkStart w:id="2463" w:name="_Toc66173296"/>
      <w:bookmarkStart w:id="2464" w:name="_Toc66512446"/>
      <w:bookmarkStart w:id="2465" w:name="_Toc66523474"/>
      <w:bookmarkStart w:id="2466" w:name="_Toc66523571"/>
      <w:bookmarkStart w:id="2467" w:name="_Toc66527955"/>
      <w:bookmarkStart w:id="2468" w:name="_Toc66528349"/>
      <w:bookmarkStart w:id="2469" w:name="_Toc66528826"/>
      <w:bookmarkStart w:id="2470" w:name="_Toc66584504"/>
      <w:bookmarkStart w:id="2471" w:name="_Toc66584888"/>
      <w:bookmarkStart w:id="2472" w:name="_Toc66586527"/>
      <w:bookmarkStart w:id="2473" w:name="_Toc66586969"/>
      <w:bookmarkStart w:id="2474" w:name="_Toc66589390"/>
      <w:bookmarkStart w:id="2475" w:name="_Toc66589589"/>
      <w:bookmarkStart w:id="2476" w:name="_Toc66610333"/>
      <w:bookmarkStart w:id="2477" w:name="_Toc66614327"/>
      <w:bookmarkStart w:id="2478" w:name="_Toc66673577"/>
      <w:bookmarkStart w:id="2479" w:name="_Toc66673939"/>
      <w:bookmarkStart w:id="2480" w:name="_Toc66699357"/>
      <w:bookmarkStart w:id="2481" w:name="_Toc66700213"/>
      <w:bookmarkStart w:id="2482" w:name="_Toc66700554"/>
      <w:bookmarkStart w:id="2483" w:name="_Toc66700708"/>
      <w:bookmarkStart w:id="2484" w:name="_Toc66701287"/>
      <w:bookmarkStart w:id="2485" w:name="_Toc66772325"/>
      <w:bookmarkStart w:id="2486" w:name="_Toc66772768"/>
      <w:bookmarkStart w:id="2487" w:name="_Toc66774169"/>
      <w:bookmarkStart w:id="2488" w:name="_Toc66774400"/>
      <w:bookmarkStart w:id="2489" w:name="_Toc67107364"/>
      <w:bookmarkStart w:id="2490" w:name="_Toc67107841"/>
      <w:bookmarkStart w:id="2491" w:name="_Toc67113522"/>
      <w:bookmarkStart w:id="2492" w:name="_Toc67118772"/>
      <w:bookmarkStart w:id="2493" w:name="_Toc67119383"/>
      <w:bookmarkStart w:id="2494" w:name="_Toc67119558"/>
      <w:bookmarkStart w:id="2495" w:name="_Toc67130667"/>
      <w:bookmarkStart w:id="2496" w:name="_Toc67133702"/>
      <w:bookmarkStart w:id="2497" w:name="_Toc67193864"/>
      <w:bookmarkStart w:id="2498" w:name="_Toc67206029"/>
      <w:bookmarkStart w:id="2499" w:name="_Toc67209215"/>
      <w:bookmarkStart w:id="2500" w:name="_Toc67209454"/>
      <w:bookmarkStart w:id="2501" w:name="_Toc67291544"/>
      <w:bookmarkStart w:id="2502" w:name="_Toc67300490"/>
      <w:bookmarkStart w:id="2503" w:name="_Toc67301636"/>
      <w:bookmarkStart w:id="2504" w:name="_Toc67301842"/>
      <w:bookmarkStart w:id="2505" w:name="_Toc67302138"/>
      <w:bookmarkStart w:id="2506" w:name="_Toc67721809"/>
      <w:bookmarkStart w:id="2507" w:name="_Toc67722019"/>
      <w:bookmarkStart w:id="2508" w:name="_Toc67722265"/>
      <w:bookmarkStart w:id="2509" w:name="_Toc67724611"/>
      <w:bookmarkStart w:id="2510" w:name="_Toc67799522"/>
      <w:bookmarkStart w:id="2511" w:name="_Toc67806327"/>
      <w:bookmarkStart w:id="2512" w:name="_Toc67807149"/>
      <w:bookmarkStart w:id="2513" w:name="_Toc67808163"/>
      <w:bookmarkStart w:id="2514" w:name="_Toc67808440"/>
      <w:bookmarkStart w:id="2515" w:name="_Toc67809874"/>
      <w:bookmarkStart w:id="2516" w:name="_Toc67813923"/>
      <w:bookmarkStart w:id="2517" w:name="_Toc67814245"/>
      <w:bookmarkStart w:id="2518" w:name="_Toc67911104"/>
      <w:bookmarkStart w:id="2519" w:name="_Toc67912082"/>
      <w:bookmarkStart w:id="2520" w:name="_Toc67980319"/>
      <w:bookmarkStart w:id="2521" w:name="_Toc67980427"/>
      <w:bookmarkStart w:id="2522" w:name="_Toc67980711"/>
      <w:bookmarkStart w:id="2523" w:name="_Toc67981233"/>
      <w:bookmarkStart w:id="2524" w:name="_Toc67981420"/>
      <w:bookmarkStart w:id="2525" w:name="_Toc67981994"/>
      <w:bookmarkStart w:id="2526" w:name="_Toc67997392"/>
      <w:bookmarkStart w:id="2527" w:name="_Toc68063347"/>
      <w:bookmarkStart w:id="2528" w:name="_Toc68070444"/>
      <w:bookmarkStart w:id="2529" w:name="_Toc68315376"/>
      <w:bookmarkStart w:id="2530" w:name="_Toc68321139"/>
      <w:bookmarkStart w:id="2531" w:name="_Toc68321246"/>
      <w:bookmarkStart w:id="2532" w:name="_Toc68321353"/>
      <w:bookmarkStart w:id="2533" w:name="_Toc68323979"/>
      <w:bookmarkStart w:id="2534" w:name="_Toc68325676"/>
      <w:bookmarkStart w:id="2535" w:name="_Toc68490851"/>
      <w:bookmarkStart w:id="2536" w:name="_Toc68495023"/>
      <w:bookmarkStart w:id="2537" w:name="_Toc68505840"/>
      <w:bookmarkStart w:id="2538" w:name="_Toc68506548"/>
      <w:bookmarkStart w:id="2539" w:name="_Toc68513260"/>
      <w:bookmarkStart w:id="2540" w:name="_Toc68515271"/>
      <w:bookmarkStart w:id="2541" w:name="_Toc68516473"/>
      <w:bookmarkStart w:id="2542" w:name="_Toc68517745"/>
      <w:bookmarkStart w:id="2543" w:name="_Toc68518064"/>
      <w:bookmarkStart w:id="2544" w:name="_Toc68518261"/>
      <w:bookmarkStart w:id="2545" w:name="_Toc68588065"/>
      <w:bookmarkStart w:id="2546" w:name="_Toc68943934"/>
      <w:bookmarkStart w:id="2547" w:name="_Toc68944696"/>
      <w:bookmarkStart w:id="2548" w:name="_Toc68945503"/>
      <w:bookmarkStart w:id="2549" w:name="_Toc68946904"/>
      <w:bookmarkStart w:id="2550" w:name="_Toc68950742"/>
      <w:bookmarkStart w:id="2551" w:name="_Toc69017069"/>
      <w:bookmarkStart w:id="2552" w:name="_Toc69021841"/>
      <w:bookmarkStart w:id="2553" w:name="_Toc69022097"/>
      <w:bookmarkStart w:id="2554" w:name="_Toc69030825"/>
      <w:bookmarkStart w:id="2555" w:name="_Toc69100518"/>
      <w:bookmarkStart w:id="2556" w:name="_Toc69102764"/>
      <w:bookmarkStart w:id="2557" w:name="_Toc69117320"/>
      <w:bookmarkStart w:id="2558" w:name="_Toc69118026"/>
      <w:bookmarkStart w:id="2559" w:name="_Toc69271749"/>
      <w:bookmarkStart w:id="2560" w:name="_Toc69274126"/>
      <w:bookmarkStart w:id="2561" w:name="_Toc69274575"/>
      <w:bookmarkStart w:id="2562" w:name="_Toc69275333"/>
      <w:bookmarkStart w:id="2563" w:name="_Toc69275628"/>
      <w:bookmarkStart w:id="2564" w:name="_Toc69278394"/>
      <w:bookmarkStart w:id="2565" w:name="_Toc69280744"/>
      <w:bookmarkStart w:id="2566" w:name="_Toc69281085"/>
      <w:bookmarkStart w:id="2567" w:name="_Toc69281194"/>
      <w:bookmarkStart w:id="2568" w:name="_Toc69281361"/>
      <w:bookmarkStart w:id="2569" w:name="_Toc70327104"/>
      <w:bookmarkStart w:id="2570" w:name="_Toc70405242"/>
      <w:bookmarkStart w:id="2571" w:name="_Toc70995405"/>
      <w:bookmarkStart w:id="2572" w:name="_Toc71712533"/>
      <w:bookmarkStart w:id="2573" w:name="_Toc71713988"/>
      <w:bookmarkStart w:id="2574" w:name="_Toc71878731"/>
      <w:bookmarkStart w:id="2575" w:name="_Toc71880075"/>
      <w:bookmarkStart w:id="2576" w:name="_Toc71884456"/>
      <w:bookmarkStart w:id="2577" w:name="_Toc71887034"/>
      <w:bookmarkStart w:id="2578" w:name="_Toc71887275"/>
      <w:bookmarkStart w:id="2579" w:name="_Toc71953181"/>
      <w:bookmarkStart w:id="2580" w:name="_Toc71953324"/>
      <w:bookmarkStart w:id="2581" w:name="_Toc71957071"/>
      <w:bookmarkStart w:id="2582" w:name="_Toc71963702"/>
      <w:bookmarkStart w:id="2583" w:name="_Toc71969794"/>
      <w:bookmarkStart w:id="2584" w:name="_Toc71969903"/>
      <w:bookmarkStart w:id="2585" w:name="_Toc71973506"/>
      <w:bookmarkStart w:id="2586" w:name="_Toc71975620"/>
      <w:bookmarkStart w:id="2587" w:name="_Toc71976428"/>
      <w:bookmarkStart w:id="2588" w:name="_Toc72026822"/>
      <w:bookmarkStart w:id="2589" w:name="_Toc72027080"/>
      <w:bookmarkStart w:id="2590" w:name="_Toc72029137"/>
      <w:bookmarkStart w:id="2591" w:name="_Toc72044664"/>
      <w:bookmarkStart w:id="2592" w:name="_Toc72044774"/>
      <w:bookmarkStart w:id="2593" w:name="_Toc72049693"/>
      <w:bookmarkStart w:id="2594" w:name="_Toc72049805"/>
      <w:bookmarkStart w:id="2595" w:name="_Toc72748207"/>
      <w:bookmarkStart w:id="2596" w:name="_Toc72812752"/>
      <w:bookmarkStart w:id="2597" w:name="_Toc72827617"/>
      <w:bookmarkStart w:id="2598" w:name="_Toc73154123"/>
      <w:bookmarkStart w:id="2599" w:name="_Toc73154550"/>
      <w:bookmarkStart w:id="2600" w:name="_Toc73156309"/>
      <w:bookmarkStart w:id="2601" w:name="_Toc73156429"/>
      <w:bookmarkStart w:id="2602" w:name="_Toc73158396"/>
      <w:bookmarkStart w:id="2603" w:name="_Toc73158724"/>
      <w:bookmarkStart w:id="2604" w:name="_Toc73159089"/>
      <w:bookmarkStart w:id="2605" w:name="_Toc73159230"/>
      <w:bookmarkStart w:id="2606" w:name="_Toc73159905"/>
      <w:bookmarkStart w:id="2607" w:name="_Toc73160832"/>
      <w:bookmarkStart w:id="2608" w:name="_Toc73161626"/>
      <w:bookmarkStart w:id="2609" w:name="_Toc73161797"/>
      <w:bookmarkStart w:id="2610" w:name="_Toc73164230"/>
      <w:bookmarkStart w:id="2611" w:name="_Toc73179799"/>
      <w:bookmarkStart w:id="2612" w:name="_Toc73184340"/>
      <w:bookmarkStart w:id="2613" w:name="_Toc73241609"/>
      <w:bookmarkStart w:id="2614" w:name="_Toc73242171"/>
      <w:bookmarkStart w:id="2615" w:name="_Toc73242911"/>
      <w:bookmarkStart w:id="2616" w:name="_Toc73243028"/>
      <w:bookmarkStart w:id="2617" w:name="_Toc73243145"/>
      <w:bookmarkStart w:id="2618" w:name="_Toc73245200"/>
      <w:bookmarkStart w:id="2619" w:name="_Toc73246010"/>
      <w:bookmarkStart w:id="2620" w:name="_Toc73251528"/>
      <w:bookmarkStart w:id="2621" w:name="_Toc73258524"/>
      <w:bookmarkStart w:id="2622" w:name="_Toc73259605"/>
      <w:bookmarkStart w:id="2623" w:name="_Toc73421942"/>
      <w:bookmarkStart w:id="2624" w:name="_Toc73427343"/>
      <w:bookmarkStart w:id="2625" w:name="_Toc73428269"/>
      <w:bookmarkStart w:id="2626" w:name="_Toc73428386"/>
      <w:bookmarkStart w:id="2627" w:name="_Toc73428503"/>
      <w:bookmarkStart w:id="2628" w:name="_Toc73428757"/>
      <w:bookmarkStart w:id="2629" w:name="_Toc73428990"/>
      <w:bookmarkStart w:id="2630" w:name="_Toc73429478"/>
      <w:bookmarkStart w:id="2631" w:name="_Toc73436630"/>
      <w:bookmarkStart w:id="2632" w:name="_Toc73437473"/>
      <w:bookmarkStart w:id="2633" w:name="_Toc81200160"/>
      <w:bookmarkStart w:id="2634" w:name="_Toc81201771"/>
      <w:bookmarkStart w:id="2635" w:name="_Toc81209025"/>
      <w:r>
        <w:rPr>
          <w:rStyle w:val="CharPartNo"/>
        </w:rPr>
        <w:t>Part 8 — Amendments about geological samples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nzHeading5"/>
      </w:pPr>
      <w:bookmarkStart w:id="2636" w:name="_Toc87061493"/>
      <w:r>
        <w:rPr>
          <w:rStyle w:val="CharSectno"/>
        </w:rPr>
        <w:t>42</w:t>
      </w:r>
      <w:r>
        <w:t>.</w:t>
      </w:r>
      <w:r>
        <w:tab/>
        <w:t>Section 8 amended</w:t>
      </w:r>
      <w:bookmarkEnd w:id="2636"/>
    </w:p>
    <w:p>
      <w:pPr>
        <w:pStyle w:val="nzSubsection"/>
      </w:pPr>
      <w:r>
        <w:tab/>
      </w:r>
      <w:r>
        <w:tab/>
        <w:t xml:space="preserve">Section 8(1) is amended by inserting after the definition of “fossick” the following definition — </w:t>
      </w:r>
    </w:p>
    <w:p>
      <w:pPr>
        <w:pStyle w:val="MiscOpen"/>
        <w:ind w:left="879"/>
      </w:pPr>
      <w:r>
        <w:t xml:space="preserve">“    </w:t>
      </w:r>
    </w:p>
    <w:p>
      <w:pPr>
        <w:pStyle w:val="nzDefstart"/>
      </w:pPr>
      <w:r>
        <w:rPr>
          <w:b/>
        </w:rPr>
        <w:tab/>
        <w:t>“</w:t>
      </w:r>
      <w:r>
        <w:rPr>
          <w:rStyle w:val="CharDefText"/>
        </w:rPr>
        <w:t>geological sample</w:t>
      </w:r>
      <w:r>
        <w:rPr>
          <w:b/>
        </w:rPr>
        <w:t>”</w:t>
      </w:r>
      <w:r>
        <w:t xml:space="preserve"> includes a drill core;</w:t>
      </w:r>
    </w:p>
    <w:p>
      <w:pPr>
        <w:pStyle w:val="MiscClose"/>
      </w:pPr>
      <w:r>
        <w:t xml:space="preserve">    ”.</w:t>
      </w:r>
    </w:p>
    <w:p>
      <w:pPr>
        <w:pStyle w:val="nzHeading5"/>
      </w:pPr>
      <w:bookmarkStart w:id="2637" w:name="_Toc87061494"/>
      <w:r>
        <w:rPr>
          <w:rStyle w:val="CharSectno"/>
        </w:rPr>
        <w:t>43</w:t>
      </w:r>
      <w:r>
        <w:t>.</w:t>
      </w:r>
      <w:r>
        <w:tab/>
        <w:t>Section 51A inserted</w:t>
      </w:r>
      <w:bookmarkEnd w:id="2637"/>
    </w:p>
    <w:p>
      <w:pPr>
        <w:pStyle w:val="nzSubsection"/>
      </w:pPr>
      <w:r>
        <w:tab/>
      </w:r>
      <w:r>
        <w:tab/>
        <w:t xml:space="preserve">After section 51 the following section is inserted — </w:t>
      </w:r>
    </w:p>
    <w:p>
      <w:pPr>
        <w:pStyle w:val="MiscOpen"/>
      </w:pPr>
      <w:r>
        <w:t xml:space="preserve">“    </w:t>
      </w:r>
    </w:p>
    <w:p>
      <w:pPr>
        <w:pStyle w:val="nzHeading5"/>
      </w:pPr>
      <w:r>
        <w:t>51A.</w:t>
      </w:r>
      <w:r>
        <w:tab/>
        <w:t>Geological samples</w:t>
      </w:r>
    </w:p>
    <w:p>
      <w:pPr>
        <w:pStyle w:val="nzSubsection"/>
      </w:pPr>
      <w:r>
        <w:tab/>
      </w:r>
      <w:r>
        <w:tab/>
        <w:t>The holder of a prospecting licence shall furnish to the Minister such geological samples obtained in the course of operations conducted by the holder under the licence as the Minister may request.</w:t>
      </w:r>
    </w:p>
    <w:p>
      <w:pPr>
        <w:pStyle w:val="MiscClose"/>
      </w:pPr>
      <w:r>
        <w:t xml:space="preserve">    ”.</w:t>
      </w:r>
    </w:p>
    <w:p>
      <w:pPr>
        <w:pStyle w:val="nzHeading5"/>
      </w:pPr>
      <w:bookmarkStart w:id="2638" w:name="_Toc87061495"/>
      <w:r>
        <w:rPr>
          <w:rStyle w:val="CharSectno"/>
        </w:rPr>
        <w:t>44</w:t>
      </w:r>
      <w:r>
        <w:t>.</w:t>
      </w:r>
      <w:r>
        <w:tab/>
        <w:t>Section 70H amended</w:t>
      </w:r>
      <w:bookmarkEnd w:id="2638"/>
    </w:p>
    <w:p>
      <w:pPr>
        <w:pStyle w:val="nzSubsection"/>
      </w:pPr>
      <w:r>
        <w:tab/>
      </w:r>
      <w:r>
        <w:tab/>
        <w:t>Section 70H(1) is amended as follows:</w:t>
      </w:r>
    </w:p>
    <w:p>
      <w:pPr>
        <w:pStyle w:val="nzIndenta"/>
      </w:pPr>
      <w:r>
        <w:tab/>
        <w:t>(a)</w:t>
      </w:r>
      <w:r>
        <w:tab/>
        <w:t>after paragraph (e) by deleting “and”;</w:t>
      </w:r>
    </w:p>
    <w:p>
      <w:pPr>
        <w:pStyle w:val="nzIndenta"/>
      </w:pPr>
      <w:r>
        <w:tab/>
        <w:t>(b)</w:t>
      </w:r>
      <w:r>
        <w:tab/>
        <w:t xml:space="preserve">after paragraph (f) by deleting the full stop and inserting — </w:t>
      </w:r>
    </w:p>
    <w:p>
      <w:pPr>
        <w:pStyle w:val="MiscOpen"/>
        <w:ind w:left="1616"/>
      </w:pPr>
      <w:r>
        <w:t xml:space="preserve">“    </w:t>
      </w:r>
    </w:p>
    <w:p>
      <w:pPr>
        <w:pStyle w:val="nzIndenta"/>
      </w:pPr>
      <w:r>
        <w:tab/>
      </w:r>
      <w:r>
        <w:tab/>
        <w:t>; and</w:t>
      </w:r>
    </w:p>
    <w:p>
      <w:pPr>
        <w:pStyle w:val="nzIndenta"/>
      </w:pPr>
      <w:r>
        <w:tab/>
        <w:t>(g)</w:t>
      </w:r>
      <w:r>
        <w:tab/>
        <w:t>furnish to the Minister such geological samples obtained in the course of operations conducted by the holder under the licence as the Minister may request.</w:t>
      </w:r>
    </w:p>
    <w:p>
      <w:pPr>
        <w:pStyle w:val="MiscClose"/>
      </w:pPr>
      <w:r>
        <w:t xml:space="preserve">    ”.</w:t>
      </w:r>
    </w:p>
    <w:p>
      <w:pPr>
        <w:pStyle w:val="nzHeading5"/>
      </w:pPr>
      <w:bookmarkStart w:id="2639" w:name="_Toc87061496"/>
      <w:r>
        <w:rPr>
          <w:rStyle w:val="CharSectno"/>
        </w:rPr>
        <w:t>45</w:t>
      </w:r>
      <w:r>
        <w:t>.</w:t>
      </w:r>
      <w:r>
        <w:tab/>
        <w:t>Section 82 amended</w:t>
      </w:r>
      <w:bookmarkEnd w:id="2639"/>
    </w:p>
    <w:p>
      <w:pPr>
        <w:pStyle w:val="nzSubsection"/>
      </w:pPr>
      <w:r>
        <w:tab/>
      </w:r>
      <w:r>
        <w:tab/>
        <w:t xml:space="preserve">After section 82(1)(e) the following paragraph is inserted — </w:t>
      </w:r>
    </w:p>
    <w:p>
      <w:pPr>
        <w:pStyle w:val="MiscOpen"/>
        <w:ind w:left="1332"/>
      </w:pPr>
      <w:r>
        <w:t xml:space="preserve">“    </w:t>
      </w:r>
    </w:p>
    <w:p>
      <w:pPr>
        <w:pStyle w:val="nzIndenta"/>
      </w:pPr>
      <w:r>
        <w:tab/>
        <w:t>(ea)</w:t>
      </w:r>
      <w:r>
        <w:tab/>
        <w:t>furnish to the Minister such geological samples obtained in the course of operations conducted by the lessee under the lease as the Minister may request;</w:t>
      </w:r>
    </w:p>
    <w:p>
      <w:pPr>
        <w:pStyle w:val="MiscClose"/>
      </w:pPr>
      <w:r>
        <w:t xml:space="preserve">    ”.</w:t>
      </w:r>
    </w:p>
    <w:p>
      <w:pPr>
        <w:pStyle w:val="nzHeading5"/>
      </w:pPr>
      <w:bookmarkStart w:id="2640" w:name="_Toc87061497"/>
      <w:r>
        <w:rPr>
          <w:rStyle w:val="CharSectno"/>
        </w:rPr>
        <w:t>46</w:t>
      </w:r>
      <w:r>
        <w:t>.</w:t>
      </w:r>
      <w:r>
        <w:tab/>
        <w:t>Section 96 amended</w:t>
      </w:r>
      <w:bookmarkEnd w:id="2640"/>
    </w:p>
    <w:p>
      <w:pPr>
        <w:pStyle w:val="nzSubsection"/>
      </w:pPr>
      <w:r>
        <w:tab/>
      </w:r>
      <w:r>
        <w:tab/>
        <w:t xml:space="preserve">After section 96(2)(ba) the following paragraph is inserted — </w:t>
      </w:r>
    </w:p>
    <w:p>
      <w:pPr>
        <w:pStyle w:val="MiscOpen"/>
        <w:ind w:left="1332"/>
      </w:pPr>
      <w:r>
        <w:t xml:space="preserve">“    </w:t>
      </w:r>
    </w:p>
    <w:p>
      <w:pPr>
        <w:pStyle w:val="nzIndenta"/>
      </w:pPr>
      <w:r>
        <w:tab/>
        <w:t>(baa)</w:t>
      </w:r>
      <w:r>
        <w:tab/>
        <w:t>any request under section 51A is not complied with;</w:t>
      </w:r>
    </w:p>
    <w:p>
      <w:pPr>
        <w:pStyle w:val="MiscClose"/>
      </w:pPr>
      <w:r>
        <w:t xml:space="preserve">    ”.</w:t>
      </w:r>
    </w:p>
    <w:p>
      <w:pPr>
        <w:pStyle w:val="nzHeading2"/>
      </w:pPr>
      <w:bookmarkStart w:id="2641" w:name="_Toc57629800"/>
      <w:bookmarkStart w:id="2642" w:name="_Toc57689976"/>
      <w:bookmarkStart w:id="2643" w:name="_Toc65297841"/>
      <w:bookmarkStart w:id="2644" w:name="_Toc65297932"/>
      <w:bookmarkStart w:id="2645" w:name="_Toc65301699"/>
      <w:bookmarkStart w:id="2646" w:name="_Toc65379316"/>
      <w:bookmarkStart w:id="2647" w:name="_Toc65389331"/>
      <w:bookmarkStart w:id="2648" w:name="_Toc65390256"/>
      <w:bookmarkStart w:id="2649" w:name="_Toc65390805"/>
      <w:bookmarkStart w:id="2650" w:name="_Toc65395250"/>
      <w:bookmarkStart w:id="2651" w:name="_Toc65396544"/>
      <w:bookmarkStart w:id="2652" w:name="_Toc65397469"/>
      <w:bookmarkStart w:id="2653" w:name="_Toc65999793"/>
      <w:bookmarkStart w:id="2654" w:name="_Toc65999948"/>
      <w:bookmarkStart w:id="2655" w:name="_Toc66000076"/>
      <w:bookmarkStart w:id="2656" w:name="_Toc66097259"/>
      <w:bookmarkStart w:id="2657" w:name="_Toc66173302"/>
      <w:bookmarkStart w:id="2658" w:name="_Toc66512452"/>
      <w:bookmarkStart w:id="2659" w:name="_Toc66523480"/>
      <w:bookmarkStart w:id="2660" w:name="_Toc66523577"/>
      <w:bookmarkStart w:id="2661" w:name="_Toc66527961"/>
      <w:bookmarkStart w:id="2662" w:name="_Toc66528355"/>
      <w:bookmarkStart w:id="2663" w:name="_Toc66528832"/>
      <w:bookmarkStart w:id="2664" w:name="_Toc66584510"/>
      <w:bookmarkStart w:id="2665" w:name="_Toc66584894"/>
      <w:bookmarkStart w:id="2666" w:name="_Toc66586533"/>
      <w:bookmarkStart w:id="2667" w:name="_Toc66586975"/>
      <w:bookmarkStart w:id="2668" w:name="_Toc66589396"/>
      <w:bookmarkStart w:id="2669" w:name="_Toc66589595"/>
      <w:bookmarkStart w:id="2670" w:name="_Toc66610339"/>
      <w:bookmarkStart w:id="2671" w:name="_Toc66614333"/>
      <w:bookmarkStart w:id="2672" w:name="_Toc66673583"/>
      <w:bookmarkStart w:id="2673" w:name="_Toc66673945"/>
      <w:bookmarkStart w:id="2674" w:name="_Toc66699363"/>
      <w:bookmarkStart w:id="2675" w:name="_Toc66700219"/>
      <w:bookmarkStart w:id="2676" w:name="_Toc66700560"/>
      <w:bookmarkStart w:id="2677" w:name="_Toc66700714"/>
      <w:bookmarkStart w:id="2678" w:name="_Toc66701293"/>
      <w:bookmarkStart w:id="2679" w:name="_Toc66772331"/>
      <w:bookmarkStart w:id="2680" w:name="_Toc66772774"/>
      <w:bookmarkStart w:id="2681" w:name="_Toc66774175"/>
      <w:bookmarkStart w:id="2682" w:name="_Toc66774406"/>
      <w:bookmarkStart w:id="2683" w:name="_Toc67107370"/>
      <w:bookmarkStart w:id="2684" w:name="_Toc67107847"/>
      <w:bookmarkStart w:id="2685" w:name="_Toc67113528"/>
      <w:bookmarkStart w:id="2686" w:name="_Toc67118778"/>
      <w:bookmarkStart w:id="2687" w:name="_Toc67119389"/>
      <w:bookmarkStart w:id="2688" w:name="_Toc67119564"/>
      <w:bookmarkStart w:id="2689" w:name="_Toc67130673"/>
      <w:bookmarkStart w:id="2690" w:name="_Toc67133708"/>
      <w:bookmarkStart w:id="2691" w:name="_Toc67193870"/>
      <w:bookmarkStart w:id="2692" w:name="_Toc67206035"/>
      <w:bookmarkStart w:id="2693" w:name="_Toc67209221"/>
      <w:bookmarkStart w:id="2694" w:name="_Toc67209460"/>
      <w:bookmarkStart w:id="2695" w:name="_Toc67291550"/>
      <w:bookmarkStart w:id="2696" w:name="_Toc67300496"/>
      <w:bookmarkStart w:id="2697" w:name="_Toc67301642"/>
      <w:bookmarkStart w:id="2698" w:name="_Toc67301848"/>
      <w:bookmarkStart w:id="2699" w:name="_Toc67302144"/>
      <w:bookmarkStart w:id="2700" w:name="_Toc67721815"/>
      <w:bookmarkStart w:id="2701" w:name="_Toc67722025"/>
      <w:bookmarkStart w:id="2702" w:name="_Toc67722271"/>
      <w:bookmarkStart w:id="2703" w:name="_Toc67724617"/>
      <w:bookmarkStart w:id="2704" w:name="_Toc67799528"/>
      <w:bookmarkStart w:id="2705" w:name="_Toc67806333"/>
      <w:bookmarkStart w:id="2706" w:name="_Toc67807155"/>
      <w:bookmarkStart w:id="2707" w:name="_Toc67808169"/>
      <w:bookmarkStart w:id="2708" w:name="_Toc67808446"/>
      <w:bookmarkStart w:id="2709" w:name="_Toc67809880"/>
      <w:bookmarkStart w:id="2710" w:name="_Toc67813929"/>
      <w:bookmarkStart w:id="2711" w:name="_Toc67814251"/>
      <w:bookmarkStart w:id="2712" w:name="_Toc67911110"/>
      <w:bookmarkStart w:id="2713" w:name="_Toc67912088"/>
      <w:bookmarkStart w:id="2714" w:name="_Toc67980325"/>
      <w:bookmarkStart w:id="2715" w:name="_Toc67980433"/>
      <w:bookmarkStart w:id="2716" w:name="_Toc67980717"/>
      <w:bookmarkStart w:id="2717" w:name="_Toc67981239"/>
      <w:bookmarkStart w:id="2718" w:name="_Toc67981426"/>
      <w:bookmarkStart w:id="2719" w:name="_Toc67982000"/>
      <w:bookmarkStart w:id="2720" w:name="_Toc67997398"/>
      <w:bookmarkStart w:id="2721" w:name="_Toc68063353"/>
      <w:bookmarkStart w:id="2722" w:name="_Toc68070450"/>
      <w:bookmarkStart w:id="2723" w:name="_Toc68315382"/>
      <w:bookmarkStart w:id="2724" w:name="_Toc68321145"/>
      <w:bookmarkStart w:id="2725" w:name="_Toc68321252"/>
      <w:bookmarkStart w:id="2726" w:name="_Toc68321359"/>
      <w:bookmarkStart w:id="2727" w:name="_Toc68323985"/>
      <w:bookmarkStart w:id="2728" w:name="_Toc68325682"/>
      <w:bookmarkStart w:id="2729" w:name="_Toc68490857"/>
      <w:bookmarkStart w:id="2730" w:name="_Toc68495029"/>
      <w:bookmarkStart w:id="2731" w:name="_Toc68505846"/>
      <w:bookmarkStart w:id="2732" w:name="_Toc68506554"/>
      <w:bookmarkStart w:id="2733" w:name="_Toc68513266"/>
      <w:bookmarkStart w:id="2734" w:name="_Toc68515277"/>
      <w:bookmarkStart w:id="2735" w:name="_Toc68516479"/>
      <w:bookmarkStart w:id="2736" w:name="_Toc68517751"/>
      <w:bookmarkStart w:id="2737" w:name="_Toc68518070"/>
      <w:bookmarkStart w:id="2738" w:name="_Toc68518267"/>
      <w:bookmarkStart w:id="2739" w:name="_Toc68588071"/>
      <w:bookmarkStart w:id="2740" w:name="_Toc68943940"/>
      <w:bookmarkStart w:id="2741" w:name="_Toc68944702"/>
      <w:bookmarkStart w:id="2742" w:name="_Toc68945509"/>
      <w:bookmarkStart w:id="2743" w:name="_Toc68946910"/>
      <w:bookmarkStart w:id="2744" w:name="_Toc68950748"/>
      <w:bookmarkStart w:id="2745" w:name="_Toc69017075"/>
      <w:bookmarkStart w:id="2746" w:name="_Toc69021847"/>
      <w:bookmarkStart w:id="2747" w:name="_Toc69022103"/>
      <w:bookmarkStart w:id="2748" w:name="_Toc69030831"/>
      <w:bookmarkStart w:id="2749" w:name="_Toc69100524"/>
      <w:bookmarkStart w:id="2750" w:name="_Toc69102770"/>
      <w:bookmarkStart w:id="2751" w:name="_Toc69117326"/>
      <w:bookmarkStart w:id="2752" w:name="_Toc69118032"/>
      <w:bookmarkStart w:id="2753" w:name="_Toc69271755"/>
      <w:bookmarkStart w:id="2754" w:name="_Toc69274132"/>
      <w:bookmarkStart w:id="2755" w:name="_Toc69274581"/>
      <w:bookmarkStart w:id="2756" w:name="_Toc69275339"/>
      <w:bookmarkStart w:id="2757" w:name="_Toc69275634"/>
      <w:bookmarkStart w:id="2758" w:name="_Toc69278400"/>
      <w:bookmarkStart w:id="2759" w:name="_Toc69280750"/>
      <w:bookmarkStart w:id="2760" w:name="_Toc69281091"/>
      <w:bookmarkStart w:id="2761" w:name="_Toc69281200"/>
      <w:bookmarkStart w:id="2762" w:name="_Toc69281367"/>
      <w:bookmarkStart w:id="2763" w:name="_Toc70327110"/>
      <w:bookmarkStart w:id="2764" w:name="_Toc70405248"/>
      <w:bookmarkStart w:id="2765" w:name="_Toc70995411"/>
      <w:bookmarkStart w:id="2766" w:name="_Toc71712539"/>
      <w:bookmarkStart w:id="2767" w:name="_Toc71713994"/>
      <w:bookmarkStart w:id="2768" w:name="_Toc71878737"/>
      <w:bookmarkStart w:id="2769" w:name="_Toc71880081"/>
      <w:bookmarkStart w:id="2770" w:name="_Toc71884462"/>
      <w:bookmarkStart w:id="2771" w:name="_Toc71887040"/>
      <w:bookmarkStart w:id="2772" w:name="_Toc71887281"/>
      <w:bookmarkStart w:id="2773" w:name="_Toc71953187"/>
      <w:bookmarkStart w:id="2774" w:name="_Toc71953330"/>
      <w:bookmarkStart w:id="2775" w:name="_Toc71957077"/>
      <w:bookmarkStart w:id="2776" w:name="_Toc71963708"/>
      <w:bookmarkStart w:id="2777" w:name="_Toc71969800"/>
      <w:bookmarkStart w:id="2778" w:name="_Toc71969909"/>
      <w:bookmarkStart w:id="2779" w:name="_Toc71973512"/>
      <w:bookmarkStart w:id="2780" w:name="_Toc71975626"/>
      <w:bookmarkStart w:id="2781" w:name="_Toc71976434"/>
      <w:bookmarkStart w:id="2782" w:name="_Toc72026828"/>
      <w:bookmarkStart w:id="2783" w:name="_Toc72027086"/>
      <w:bookmarkStart w:id="2784" w:name="_Toc72029143"/>
      <w:bookmarkStart w:id="2785" w:name="_Toc72044670"/>
      <w:bookmarkStart w:id="2786" w:name="_Toc72044780"/>
      <w:bookmarkStart w:id="2787" w:name="_Toc72049699"/>
      <w:bookmarkStart w:id="2788" w:name="_Toc72049811"/>
      <w:bookmarkStart w:id="2789" w:name="_Toc72748213"/>
      <w:bookmarkStart w:id="2790" w:name="_Toc72812758"/>
      <w:bookmarkStart w:id="2791" w:name="_Toc72827623"/>
      <w:bookmarkStart w:id="2792" w:name="_Toc73154129"/>
      <w:bookmarkStart w:id="2793" w:name="_Toc73154556"/>
      <w:bookmarkStart w:id="2794" w:name="_Toc73156315"/>
      <w:bookmarkStart w:id="2795" w:name="_Toc73156435"/>
      <w:bookmarkStart w:id="2796" w:name="_Toc73158402"/>
      <w:bookmarkStart w:id="2797" w:name="_Toc73158730"/>
      <w:bookmarkStart w:id="2798" w:name="_Toc73159095"/>
      <w:bookmarkStart w:id="2799" w:name="_Toc73159236"/>
      <w:bookmarkStart w:id="2800" w:name="_Toc73159911"/>
      <w:bookmarkStart w:id="2801" w:name="_Toc73160838"/>
      <w:bookmarkStart w:id="2802" w:name="_Toc73161632"/>
      <w:bookmarkStart w:id="2803" w:name="_Toc73161803"/>
      <w:bookmarkStart w:id="2804" w:name="_Toc73164236"/>
      <w:bookmarkStart w:id="2805" w:name="_Toc73179805"/>
      <w:bookmarkStart w:id="2806" w:name="_Toc73184346"/>
      <w:bookmarkStart w:id="2807" w:name="_Toc73241615"/>
      <w:bookmarkStart w:id="2808" w:name="_Toc73242177"/>
      <w:bookmarkStart w:id="2809" w:name="_Toc73242917"/>
      <w:bookmarkStart w:id="2810" w:name="_Toc73243034"/>
      <w:bookmarkStart w:id="2811" w:name="_Toc73243151"/>
      <w:bookmarkStart w:id="2812" w:name="_Toc73245206"/>
      <w:bookmarkStart w:id="2813" w:name="_Toc73246016"/>
      <w:bookmarkStart w:id="2814" w:name="_Toc73251534"/>
      <w:bookmarkStart w:id="2815" w:name="_Toc73258530"/>
      <w:bookmarkStart w:id="2816" w:name="_Toc73259611"/>
      <w:bookmarkStart w:id="2817" w:name="_Toc73421948"/>
      <w:bookmarkStart w:id="2818" w:name="_Toc73427349"/>
      <w:bookmarkStart w:id="2819" w:name="_Toc73428275"/>
      <w:bookmarkStart w:id="2820" w:name="_Toc73428392"/>
      <w:bookmarkStart w:id="2821" w:name="_Toc73428509"/>
      <w:bookmarkStart w:id="2822" w:name="_Toc73428763"/>
      <w:bookmarkStart w:id="2823" w:name="_Toc73428996"/>
      <w:bookmarkStart w:id="2824" w:name="_Toc73429484"/>
      <w:bookmarkStart w:id="2825" w:name="_Toc73436636"/>
      <w:bookmarkStart w:id="2826" w:name="_Toc73437479"/>
      <w:bookmarkStart w:id="2827" w:name="_Toc81200166"/>
      <w:bookmarkStart w:id="2828" w:name="_Toc81201777"/>
      <w:bookmarkStart w:id="2829" w:name="_Toc81209031"/>
      <w:r>
        <w:rPr>
          <w:rStyle w:val="CharPartNo"/>
        </w:rPr>
        <w:t>Part 9</w:t>
      </w:r>
      <w:r>
        <w:rPr>
          <w:rStyle w:val="CharDivNo"/>
        </w:rPr>
        <w:t> </w:t>
      </w:r>
      <w:r>
        <w:t>—</w:t>
      </w:r>
      <w:r>
        <w:rPr>
          <w:rStyle w:val="CharDivText"/>
        </w:rPr>
        <w:t> </w:t>
      </w:r>
      <w:r>
        <w:rPr>
          <w:rStyle w:val="CharPartText"/>
        </w:rPr>
        <w:t>Amendments about wardens and wardens’ courts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nzHeading5"/>
      </w:pPr>
      <w:bookmarkStart w:id="2830" w:name="_Toc87061498"/>
      <w:r>
        <w:rPr>
          <w:rStyle w:val="CharSectno"/>
        </w:rPr>
        <w:t>47</w:t>
      </w:r>
      <w:r>
        <w:t>.</w:t>
      </w:r>
      <w:r>
        <w:tab/>
        <w:t>Section 8 amended</w:t>
      </w:r>
      <w:bookmarkEnd w:id="2830"/>
    </w:p>
    <w:p>
      <w:pPr>
        <w:pStyle w:val="nzSubsection"/>
      </w:pPr>
      <w:r>
        <w:tab/>
      </w:r>
      <w:r>
        <w:tab/>
        <w:t>Section 8(1) is amended in the definition of “warden” by deleting “or deemed so to be and includes a person appointed to be an acting warden”.</w:t>
      </w:r>
    </w:p>
    <w:p>
      <w:pPr>
        <w:pStyle w:val="nzHeading5"/>
      </w:pPr>
      <w:bookmarkStart w:id="2831" w:name="_Toc87061499"/>
      <w:r>
        <w:rPr>
          <w:rStyle w:val="CharSectno"/>
        </w:rPr>
        <w:t>48</w:t>
      </w:r>
      <w:r>
        <w:t>.</w:t>
      </w:r>
      <w:r>
        <w:tab/>
        <w:t>Section 13 amended</w:t>
      </w:r>
      <w:bookmarkEnd w:id="2831"/>
    </w:p>
    <w:p>
      <w:pPr>
        <w:pStyle w:val="nzSubsection"/>
      </w:pPr>
      <w:r>
        <w:tab/>
      </w:r>
      <w:r>
        <w:tab/>
        <w:t>Section 13(2) and (3) are repealed.</w:t>
      </w:r>
    </w:p>
    <w:p>
      <w:pPr>
        <w:pStyle w:val="nzHeading5"/>
      </w:pPr>
      <w:bookmarkStart w:id="2832" w:name="_Toc87061500"/>
      <w:r>
        <w:rPr>
          <w:rStyle w:val="CharSectno"/>
        </w:rPr>
        <w:t>49</w:t>
      </w:r>
      <w:r>
        <w:t>.</w:t>
      </w:r>
      <w:r>
        <w:tab/>
        <w:t>Section 14 repealed</w:t>
      </w:r>
      <w:bookmarkEnd w:id="2832"/>
    </w:p>
    <w:p>
      <w:pPr>
        <w:pStyle w:val="nzSubsection"/>
      </w:pPr>
      <w:r>
        <w:tab/>
      </w:r>
      <w:r>
        <w:tab/>
        <w:t>Section 14 is repealed.</w:t>
      </w:r>
    </w:p>
    <w:p>
      <w:pPr>
        <w:pStyle w:val="nzHeading5"/>
      </w:pPr>
      <w:bookmarkStart w:id="2833" w:name="_Toc87061501"/>
      <w:r>
        <w:rPr>
          <w:rStyle w:val="CharSectno"/>
        </w:rPr>
        <w:t>50</w:t>
      </w:r>
      <w:r>
        <w:t>.</w:t>
      </w:r>
      <w:r>
        <w:tab/>
        <w:t>Section 20 amended</w:t>
      </w:r>
      <w:bookmarkEnd w:id="2833"/>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2834" w:name="_Toc87061502"/>
      <w:r>
        <w:rPr>
          <w:rStyle w:val="CharSectno"/>
        </w:rPr>
        <w:t>51</w:t>
      </w:r>
      <w:r>
        <w:t>.</w:t>
      </w:r>
      <w:r>
        <w:tab/>
        <w:t>Section 28 amended</w:t>
      </w:r>
      <w:bookmarkEnd w:id="2834"/>
    </w:p>
    <w:p>
      <w:pPr>
        <w:pStyle w:val="nzSubsection"/>
      </w:pPr>
      <w:r>
        <w:tab/>
      </w:r>
      <w:r>
        <w:tab/>
        <w:t>Section 28(b) is amended by deleting “by the warden”.</w:t>
      </w:r>
    </w:p>
    <w:p>
      <w:pPr>
        <w:pStyle w:val="nzHeading5"/>
      </w:pPr>
      <w:bookmarkStart w:id="2835" w:name="_Toc87061503"/>
      <w:r>
        <w:rPr>
          <w:rStyle w:val="CharSectno"/>
        </w:rPr>
        <w:t>52</w:t>
      </w:r>
      <w:r>
        <w:t>.</w:t>
      </w:r>
      <w:r>
        <w:tab/>
        <w:t>Section 29 amended</w:t>
      </w:r>
      <w:bookmarkEnd w:id="2835"/>
    </w:p>
    <w:p>
      <w:pPr>
        <w:pStyle w:val="nzSubsection"/>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2836" w:name="_Toc87061504"/>
      <w:r>
        <w:rPr>
          <w:rStyle w:val="CharSectno"/>
        </w:rPr>
        <w:t>53</w:t>
      </w:r>
      <w:r>
        <w:t>.</w:t>
      </w:r>
      <w:r>
        <w:tab/>
        <w:t>Section 30 amended</w:t>
      </w:r>
      <w:bookmarkEnd w:id="2836"/>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2837" w:name="_Toc87061505"/>
      <w:r>
        <w:rPr>
          <w:rStyle w:val="CharSectno"/>
        </w:rPr>
        <w:t>54</w:t>
      </w:r>
      <w:r>
        <w:t>.</w:t>
      </w:r>
      <w:r>
        <w:tab/>
        <w:t>Section 32 amended</w:t>
      </w:r>
      <w:bookmarkEnd w:id="2837"/>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2838" w:name="_Toc87061506"/>
      <w:r>
        <w:rPr>
          <w:rStyle w:val="CharSectno"/>
        </w:rPr>
        <w:t>55</w:t>
      </w:r>
      <w:r>
        <w:t>.</w:t>
      </w:r>
      <w:r>
        <w:tab/>
        <w:t>Section 33 amended</w:t>
      </w:r>
      <w:bookmarkEnd w:id="2838"/>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2839" w:name="_Toc87061507"/>
      <w:r>
        <w:rPr>
          <w:rStyle w:val="CharSectno"/>
        </w:rPr>
        <w:t>56</w:t>
      </w:r>
      <w:r>
        <w:t>.</w:t>
      </w:r>
      <w:r>
        <w:tab/>
        <w:t>Section 42 amended</w:t>
      </w:r>
      <w:bookmarkEnd w:id="2839"/>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2840" w:name="_Toc87061508"/>
      <w:r>
        <w:rPr>
          <w:rStyle w:val="CharSectno"/>
        </w:rPr>
        <w:t>57</w:t>
      </w:r>
      <w:r>
        <w:t>.</w:t>
      </w:r>
      <w:r>
        <w:tab/>
        <w:t>Section 47 amended</w:t>
      </w:r>
      <w:bookmarkEnd w:id="2840"/>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2841" w:name="_Toc87061509"/>
      <w:r>
        <w:rPr>
          <w:rStyle w:val="CharSectno"/>
        </w:rPr>
        <w:t>58</w:t>
      </w:r>
      <w:r>
        <w:t>.</w:t>
      </w:r>
      <w:r>
        <w:tab/>
        <w:t>Section 58 amended</w:t>
      </w:r>
      <w:bookmarkEnd w:id="2841"/>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2842" w:name="_Toc87061510"/>
      <w:r>
        <w:rPr>
          <w:rStyle w:val="CharSectno"/>
        </w:rPr>
        <w:t>59</w:t>
      </w:r>
      <w:r>
        <w:t>.</w:t>
      </w:r>
      <w:r>
        <w:tab/>
        <w:t>Section 59 amended</w:t>
      </w:r>
      <w:bookmarkEnd w:id="2842"/>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2843" w:name="_Toc87061511"/>
      <w:r>
        <w:rPr>
          <w:rStyle w:val="CharSectno"/>
        </w:rPr>
        <w:t>60</w:t>
      </w:r>
      <w:r>
        <w:t>.</w:t>
      </w:r>
      <w:r>
        <w:tab/>
        <w:t>Section 67A amended</w:t>
      </w:r>
      <w:bookmarkEnd w:id="2843"/>
    </w:p>
    <w:p>
      <w:pPr>
        <w:pStyle w:val="nzSubsection"/>
      </w:pPr>
      <w:r>
        <w:tab/>
      </w:r>
      <w:r>
        <w:tab/>
        <w:t>Section 67A(4) is amended by deleting “, whether or not the Minister refers the matter to the warden for a recommendation”.</w:t>
      </w:r>
    </w:p>
    <w:p>
      <w:pPr>
        <w:pStyle w:val="nzHeading5"/>
      </w:pPr>
      <w:bookmarkStart w:id="2844" w:name="_Toc87061512"/>
      <w:r>
        <w:rPr>
          <w:rStyle w:val="CharSectno"/>
        </w:rPr>
        <w:t>61</w:t>
      </w:r>
      <w:r>
        <w:t>.</w:t>
      </w:r>
      <w:r>
        <w:tab/>
        <w:t>Section 70D amended</w:t>
      </w:r>
      <w:bookmarkEnd w:id="2844"/>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2845" w:name="_Toc87061513"/>
      <w:r>
        <w:rPr>
          <w:rStyle w:val="CharSectno"/>
        </w:rPr>
        <w:t>62</w:t>
      </w:r>
      <w:r>
        <w:t>.</w:t>
      </w:r>
      <w:r>
        <w:tab/>
        <w:t>Section 70G amended</w:t>
      </w:r>
      <w:bookmarkEnd w:id="2845"/>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2846" w:name="_Toc87061514"/>
      <w:r>
        <w:rPr>
          <w:rStyle w:val="CharSectno"/>
        </w:rPr>
        <w:t>63</w:t>
      </w:r>
      <w:r>
        <w:t>.</w:t>
      </w:r>
      <w:r>
        <w:tab/>
        <w:t>Section 75 amended</w:t>
      </w:r>
      <w:bookmarkEnd w:id="2846"/>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2847" w:name="_Toc87061515"/>
      <w:r>
        <w:rPr>
          <w:rStyle w:val="CharSectno"/>
        </w:rPr>
        <w:t>64</w:t>
      </w:r>
      <w:r>
        <w:t>.</w:t>
      </w:r>
      <w:r>
        <w:tab/>
        <w:t>Section 97A amended</w:t>
      </w:r>
      <w:bookmarkEnd w:id="2847"/>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2848" w:name="_Toc87061516"/>
      <w:r>
        <w:rPr>
          <w:rStyle w:val="CharSectno"/>
        </w:rPr>
        <w:t>65</w:t>
      </w:r>
      <w:r>
        <w:t>.</w:t>
      </w:r>
      <w:r>
        <w:tab/>
        <w:t>Section 98 amended</w:t>
      </w:r>
      <w:bookmarkEnd w:id="2848"/>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2849" w:name="_Toc87061517"/>
      <w:r>
        <w:rPr>
          <w:rStyle w:val="CharSectno"/>
        </w:rPr>
        <w:t>66</w:t>
      </w:r>
      <w:r>
        <w:t>.</w:t>
      </w:r>
      <w:r>
        <w:tab/>
        <w:t>Section 102 amended</w:t>
      </w:r>
      <w:bookmarkEnd w:id="2849"/>
    </w:p>
    <w:p>
      <w:pPr>
        <w:pStyle w:val="nzSubsection"/>
      </w:pPr>
      <w:r>
        <w:tab/>
      </w:r>
      <w:r>
        <w:tab/>
        <w:t>Section 102(5)(a) is amended by deleting “in open court”.</w:t>
      </w:r>
    </w:p>
    <w:p>
      <w:pPr>
        <w:pStyle w:val="nzHeading5"/>
      </w:pPr>
      <w:bookmarkStart w:id="2850" w:name="_Toc87061518"/>
      <w:r>
        <w:rPr>
          <w:rStyle w:val="CharSectno"/>
        </w:rPr>
        <w:t>67</w:t>
      </w:r>
      <w:r>
        <w:t>.</w:t>
      </w:r>
      <w:r>
        <w:tab/>
        <w:t>Section 105A amended</w:t>
      </w:r>
      <w:bookmarkEnd w:id="2850"/>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2851" w:name="_Toc87061519"/>
      <w:r>
        <w:rPr>
          <w:rStyle w:val="CharSectno"/>
        </w:rPr>
        <w:t>68</w:t>
      </w:r>
      <w:r>
        <w:t>.</w:t>
      </w:r>
      <w:r>
        <w:tab/>
        <w:t>Section 130 amended</w:t>
      </w:r>
      <w:bookmarkEnd w:id="2851"/>
    </w:p>
    <w:p>
      <w:pPr>
        <w:pStyle w:val="nzSubsection"/>
      </w:pPr>
      <w:r>
        <w:tab/>
      </w:r>
      <w:r>
        <w:tab/>
        <w:t>Section 130 is amended by deleting “before the warden”.</w:t>
      </w:r>
    </w:p>
    <w:p>
      <w:pPr>
        <w:pStyle w:val="nzHeading5"/>
      </w:pPr>
      <w:bookmarkStart w:id="2852" w:name="_Toc87061520"/>
      <w:r>
        <w:rPr>
          <w:rStyle w:val="CharSectno"/>
        </w:rPr>
        <w:t>69</w:t>
      </w:r>
      <w:r>
        <w:t>.</w:t>
      </w:r>
      <w:r>
        <w:tab/>
        <w:t>Section 131 amended</w:t>
      </w:r>
      <w:bookmarkEnd w:id="2852"/>
    </w:p>
    <w:p>
      <w:pPr>
        <w:pStyle w:val="nzSubsection"/>
      </w:pPr>
      <w:r>
        <w:tab/>
      </w:r>
      <w:r>
        <w:tab/>
        <w:t>Section 131 is amended by deleting “, not being a person appointed under section 13(2),”.</w:t>
      </w:r>
    </w:p>
    <w:p>
      <w:pPr>
        <w:pStyle w:val="nzHeading5"/>
      </w:pPr>
      <w:bookmarkStart w:id="2853" w:name="_Toc87061521"/>
      <w:r>
        <w:rPr>
          <w:rStyle w:val="CharSectno"/>
        </w:rPr>
        <w:t>70</w:t>
      </w:r>
      <w:r>
        <w:t>.</w:t>
      </w:r>
      <w:r>
        <w:tab/>
        <w:t>Section 132 amended</w:t>
      </w:r>
      <w:bookmarkEnd w:id="2853"/>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2854" w:name="_Toc87061522"/>
      <w:r>
        <w:rPr>
          <w:rStyle w:val="CharSectno"/>
        </w:rPr>
        <w:t>71</w:t>
      </w:r>
      <w:r>
        <w:t>.</w:t>
      </w:r>
      <w:r>
        <w:tab/>
        <w:t>Section 134 amended</w:t>
      </w:r>
      <w:bookmarkEnd w:id="2854"/>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2855" w:name="_Toc87061523"/>
      <w:r>
        <w:rPr>
          <w:rStyle w:val="CharSectno"/>
        </w:rPr>
        <w:t>72</w:t>
      </w:r>
      <w:r>
        <w:t>.</w:t>
      </w:r>
      <w:r>
        <w:tab/>
        <w:t>Section 135 amended</w:t>
      </w:r>
      <w:bookmarkEnd w:id="2855"/>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2856" w:name="_Toc87061524"/>
      <w:r>
        <w:rPr>
          <w:rStyle w:val="CharSectno"/>
        </w:rPr>
        <w:t>73</w:t>
      </w:r>
      <w:r>
        <w:t>.</w:t>
      </w:r>
      <w:r>
        <w:tab/>
        <w:t>Section 137 amended</w:t>
      </w:r>
      <w:bookmarkEnd w:id="2856"/>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2857" w:name="_Toc87061525"/>
      <w:r>
        <w:rPr>
          <w:rStyle w:val="CharSectno"/>
        </w:rPr>
        <w:t>74</w:t>
      </w:r>
      <w:r>
        <w:t>.</w:t>
      </w:r>
      <w:r>
        <w:tab/>
        <w:t>Section 138 amended</w:t>
      </w:r>
      <w:bookmarkEnd w:id="2857"/>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2858" w:name="_Toc87061526"/>
      <w:r>
        <w:rPr>
          <w:rStyle w:val="CharSectno"/>
        </w:rPr>
        <w:t>75</w:t>
      </w:r>
      <w:r>
        <w:t>.</w:t>
      </w:r>
      <w:r>
        <w:tab/>
        <w:t>Section 142 amended</w:t>
      </w:r>
      <w:bookmarkEnd w:id="2858"/>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2859" w:name="_Toc87061527"/>
      <w:r>
        <w:rPr>
          <w:rStyle w:val="CharSectno"/>
        </w:rPr>
        <w:t>76</w:t>
      </w:r>
      <w:r>
        <w:t>.</w:t>
      </w:r>
      <w:r>
        <w:tab/>
        <w:t>Sections 144 and 145 repealed</w:t>
      </w:r>
      <w:bookmarkEnd w:id="2859"/>
    </w:p>
    <w:p>
      <w:pPr>
        <w:pStyle w:val="nzSubsection"/>
      </w:pPr>
      <w:r>
        <w:tab/>
      </w:r>
      <w:r>
        <w:tab/>
        <w:t>Sections 144 and 145 are repealed.</w:t>
      </w:r>
    </w:p>
    <w:p>
      <w:pPr>
        <w:pStyle w:val="nzHeading5"/>
      </w:pPr>
      <w:bookmarkStart w:id="2860" w:name="_Toc87061528"/>
      <w:r>
        <w:rPr>
          <w:rStyle w:val="CharSectno"/>
        </w:rPr>
        <w:t>77</w:t>
      </w:r>
      <w:r>
        <w:t>.</w:t>
      </w:r>
      <w:r>
        <w:tab/>
        <w:t>Section 146 amended</w:t>
      </w:r>
      <w:bookmarkEnd w:id="2860"/>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2861" w:name="_Toc87061529"/>
      <w:r>
        <w:rPr>
          <w:rStyle w:val="CharSectno"/>
        </w:rPr>
        <w:t>78</w:t>
      </w:r>
      <w:r>
        <w:t>.</w:t>
      </w:r>
      <w:r>
        <w:tab/>
        <w:t>Section 147 amended</w:t>
      </w:r>
      <w:bookmarkEnd w:id="2861"/>
    </w:p>
    <w:p>
      <w:pPr>
        <w:pStyle w:val="nzSubsection"/>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2862" w:name="_Toc87061530"/>
      <w:r>
        <w:rPr>
          <w:rStyle w:val="CharSectno"/>
        </w:rPr>
        <w:t>79</w:t>
      </w:r>
      <w:r>
        <w:t>.</w:t>
      </w:r>
      <w:r>
        <w:tab/>
        <w:t>Section 148 amended</w:t>
      </w:r>
      <w:bookmarkEnd w:id="2862"/>
    </w:p>
    <w:p>
      <w:pPr>
        <w:pStyle w:val="nzSubsection"/>
      </w:pPr>
      <w:r>
        <w:tab/>
      </w:r>
      <w:r>
        <w:tab/>
        <w:t>Section 148(4) is amended by deleting “and served upon the warden”.</w:t>
      </w:r>
    </w:p>
    <w:p>
      <w:pPr>
        <w:pStyle w:val="nzHeading5"/>
      </w:pPr>
      <w:bookmarkStart w:id="2863" w:name="_Toc87061531"/>
      <w:r>
        <w:rPr>
          <w:rStyle w:val="CharSectno"/>
        </w:rPr>
        <w:t>80</w:t>
      </w:r>
      <w:r>
        <w:t>.</w:t>
      </w:r>
      <w:r>
        <w:tab/>
        <w:t>Section 151 amended</w:t>
      </w:r>
      <w:bookmarkEnd w:id="2863"/>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2864" w:name="_Toc87061532"/>
      <w:r>
        <w:rPr>
          <w:rStyle w:val="CharSectno"/>
        </w:rPr>
        <w:t>81</w:t>
      </w:r>
      <w:r>
        <w:t>.</w:t>
      </w:r>
      <w:r>
        <w:tab/>
        <w:t>Section 156 amended</w:t>
      </w:r>
      <w:bookmarkEnd w:id="2864"/>
    </w:p>
    <w:p>
      <w:pPr>
        <w:pStyle w:val="nzSubsection"/>
      </w:pPr>
      <w:r>
        <w:tab/>
      </w:r>
      <w:r>
        <w:tab/>
        <w:t>Section 156(1)(b)(i) is amended by deleting “or acting warden,”.</w:t>
      </w:r>
    </w:p>
    <w:p>
      <w:pPr>
        <w:pStyle w:val="nzHeading5"/>
      </w:pPr>
      <w:bookmarkStart w:id="2865" w:name="_Toc87061533"/>
      <w:r>
        <w:rPr>
          <w:rStyle w:val="CharSectno"/>
        </w:rPr>
        <w:t>82</w:t>
      </w:r>
      <w:r>
        <w:t>.</w:t>
      </w:r>
      <w:r>
        <w:tab/>
        <w:t>Sections 160C and 160D inserted</w:t>
      </w:r>
      <w:bookmarkEnd w:id="2865"/>
    </w:p>
    <w:p>
      <w:pPr>
        <w:pStyle w:val="nzSubsection"/>
      </w:pPr>
      <w:r>
        <w:tab/>
      </w:r>
      <w:r>
        <w:tab/>
        <w:t xml:space="preserve">After section 160B the following sections are inserted — </w:t>
      </w:r>
    </w:p>
    <w:p>
      <w:pPr>
        <w:pStyle w:val="MiscOpen"/>
      </w:pPr>
      <w:r>
        <w:t xml:space="preserve">“    </w:t>
      </w:r>
    </w:p>
    <w:p>
      <w:pPr>
        <w:pStyle w:val="nzHeading5"/>
      </w:pPr>
      <w:r>
        <w:t>160C.</w:t>
      </w:r>
      <w:r>
        <w:tab/>
        <w:t>No right of appeal from certain decisions of warden, mining registrar or Minister</w:t>
      </w:r>
    </w:p>
    <w:p>
      <w:pPr>
        <w:pStyle w:val="nzSubsection"/>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pPr>
      <w:r>
        <w:t xml:space="preserve">    ”.</w:t>
      </w:r>
    </w:p>
    <w:p>
      <w:pPr>
        <w:pStyle w:val="nzHeading5"/>
      </w:pPr>
      <w:bookmarkStart w:id="2866" w:name="_Toc87061534"/>
      <w:r>
        <w:rPr>
          <w:rStyle w:val="CharSectno"/>
        </w:rPr>
        <w:t>83</w:t>
      </w:r>
      <w:r>
        <w:t>.</w:t>
      </w:r>
      <w:r>
        <w:tab/>
        <w:t>Section 161 amended</w:t>
      </w:r>
      <w:bookmarkEnd w:id="2866"/>
    </w:p>
    <w:p>
      <w:pPr>
        <w:pStyle w:val="nzSubsection"/>
      </w:pPr>
      <w:r>
        <w:tab/>
      </w:r>
      <w:r>
        <w:tab/>
        <w:t xml:space="preserve">After section 161(3) the following subsection is inserted — </w:t>
      </w:r>
    </w:p>
    <w:p>
      <w:pPr>
        <w:pStyle w:val="MiscOpen"/>
        <w:ind w:left="600"/>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2867" w:name="_Toc87061535"/>
      <w:r>
        <w:rPr>
          <w:rStyle w:val="CharSectno"/>
        </w:rPr>
        <w:t>84</w:t>
      </w:r>
      <w:r>
        <w:t>.</w:t>
      </w:r>
      <w:r>
        <w:tab/>
        <w:t>Section 162 amended</w:t>
      </w:r>
      <w:bookmarkEnd w:id="2867"/>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2868" w:name="_Toc87061536"/>
      <w:r>
        <w:rPr>
          <w:rStyle w:val="CharSectno"/>
        </w:rPr>
        <w:t>85</w:t>
      </w:r>
      <w:r>
        <w:t>.</w:t>
      </w:r>
      <w:r>
        <w:tab/>
        <w:t>Various references to “warden” changed to “warden’s court”</w:t>
      </w:r>
      <w:bookmarkEnd w:id="2868"/>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2869" w:name="_Toc87061537"/>
      <w:r>
        <w:rPr>
          <w:rStyle w:val="CharSectno"/>
        </w:rPr>
        <w:t>86</w:t>
      </w:r>
      <w:r>
        <w:t>.</w:t>
      </w:r>
      <w:r>
        <w:tab/>
        <w:t>Transitional provision</w:t>
      </w:r>
      <w:bookmarkEnd w:id="2869"/>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2"/>
        <w:rPr>
          <w:rStyle w:val="CharPartNo"/>
        </w:rPr>
      </w:pPr>
      <w:bookmarkStart w:id="2870" w:name="_Toc57629841"/>
      <w:bookmarkStart w:id="2871" w:name="_Toc57690017"/>
      <w:bookmarkStart w:id="2872" w:name="_Toc65297882"/>
      <w:bookmarkStart w:id="2873" w:name="_Toc65297973"/>
      <w:bookmarkStart w:id="2874" w:name="_Toc65301740"/>
      <w:bookmarkStart w:id="2875" w:name="_Toc65379357"/>
      <w:bookmarkStart w:id="2876" w:name="_Toc65389372"/>
      <w:bookmarkStart w:id="2877" w:name="_Toc65390297"/>
      <w:bookmarkStart w:id="2878" w:name="_Toc65390846"/>
      <w:bookmarkStart w:id="2879" w:name="_Toc65395291"/>
      <w:bookmarkStart w:id="2880" w:name="_Toc65396585"/>
      <w:bookmarkStart w:id="2881" w:name="_Toc65397510"/>
      <w:bookmarkStart w:id="2882" w:name="_Toc65999834"/>
      <w:bookmarkStart w:id="2883" w:name="_Toc65999989"/>
      <w:bookmarkStart w:id="2884" w:name="_Toc66000117"/>
      <w:bookmarkStart w:id="2885" w:name="_Toc66097300"/>
      <w:bookmarkStart w:id="2886" w:name="_Toc66173343"/>
      <w:bookmarkStart w:id="2887" w:name="_Toc66512493"/>
      <w:bookmarkStart w:id="2888" w:name="_Toc66523521"/>
      <w:bookmarkStart w:id="2889" w:name="_Toc66523618"/>
      <w:bookmarkStart w:id="2890" w:name="_Toc66528002"/>
      <w:bookmarkStart w:id="2891" w:name="_Toc66528396"/>
      <w:bookmarkStart w:id="2892" w:name="_Toc66528873"/>
      <w:bookmarkStart w:id="2893" w:name="_Toc66584551"/>
      <w:bookmarkStart w:id="2894" w:name="_Toc66584935"/>
      <w:bookmarkStart w:id="2895" w:name="_Toc66586574"/>
      <w:bookmarkStart w:id="2896" w:name="_Toc66587016"/>
      <w:bookmarkStart w:id="2897" w:name="_Toc66589437"/>
      <w:bookmarkStart w:id="2898" w:name="_Toc66589636"/>
      <w:bookmarkStart w:id="2899" w:name="_Toc66610380"/>
      <w:bookmarkStart w:id="2900" w:name="_Toc66614374"/>
      <w:bookmarkStart w:id="2901" w:name="_Toc66673624"/>
      <w:bookmarkStart w:id="2902" w:name="_Toc66673986"/>
      <w:bookmarkStart w:id="2903" w:name="_Toc66699404"/>
      <w:bookmarkStart w:id="2904" w:name="_Toc66700260"/>
      <w:bookmarkStart w:id="2905" w:name="_Toc66700601"/>
      <w:bookmarkStart w:id="2906" w:name="_Toc66700755"/>
      <w:bookmarkStart w:id="2907" w:name="_Toc66701334"/>
      <w:bookmarkStart w:id="2908" w:name="_Toc66772372"/>
      <w:bookmarkStart w:id="2909" w:name="_Toc66772815"/>
      <w:bookmarkStart w:id="2910" w:name="_Toc66774216"/>
      <w:bookmarkStart w:id="2911" w:name="_Toc66774447"/>
      <w:bookmarkStart w:id="2912" w:name="_Toc67107411"/>
      <w:bookmarkStart w:id="2913" w:name="_Toc67107888"/>
      <w:bookmarkStart w:id="2914" w:name="_Toc67113569"/>
      <w:bookmarkStart w:id="2915" w:name="_Toc67118819"/>
      <w:bookmarkStart w:id="2916" w:name="_Toc67119430"/>
      <w:bookmarkStart w:id="2917" w:name="_Toc67119605"/>
      <w:bookmarkStart w:id="2918" w:name="_Toc67130714"/>
      <w:bookmarkStart w:id="2919" w:name="_Toc67133749"/>
      <w:bookmarkStart w:id="2920" w:name="_Toc67193911"/>
      <w:bookmarkStart w:id="2921" w:name="_Toc67206076"/>
      <w:bookmarkStart w:id="2922" w:name="_Toc67209262"/>
      <w:bookmarkStart w:id="2923" w:name="_Toc67209501"/>
      <w:bookmarkStart w:id="2924" w:name="_Toc67291591"/>
      <w:bookmarkStart w:id="2925" w:name="_Toc67300537"/>
      <w:bookmarkStart w:id="2926" w:name="_Toc67301683"/>
      <w:bookmarkStart w:id="2927" w:name="_Toc67301889"/>
      <w:bookmarkStart w:id="2928" w:name="_Toc67302185"/>
      <w:bookmarkStart w:id="2929" w:name="_Toc67721856"/>
      <w:bookmarkStart w:id="2930" w:name="_Toc67722066"/>
      <w:bookmarkStart w:id="2931" w:name="_Toc67722312"/>
      <w:bookmarkStart w:id="2932" w:name="_Toc67724658"/>
      <w:bookmarkStart w:id="2933" w:name="_Toc67799569"/>
      <w:bookmarkStart w:id="2934" w:name="_Toc67806374"/>
      <w:bookmarkStart w:id="2935" w:name="_Toc67807196"/>
      <w:bookmarkStart w:id="2936" w:name="_Toc67808210"/>
      <w:bookmarkStart w:id="2937" w:name="_Toc67808487"/>
      <w:bookmarkStart w:id="2938" w:name="_Toc67809921"/>
      <w:bookmarkStart w:id="2939" w:name="_Toc67813970"/>
      <w:bookmarkStart w:id="2940" w:name="_Toc67814292"/>
      <w:bookmarkStart w:id="2941" w:name="_Toc67911151"/>
      <w:bookmarkStart w:id="2942" w:name="_Toc67912129"/>
      <w:bookmarkStart w:id="2943" w:name="_Toc67980366"/>
      <w:bookmarkStart w:id="2944" w:name="_Toc67980474"/>
      <w:bookmarkStart w:id="2945" w:name="_Toc67980758"/>
      <w:bookmarkStart w:id="2946" w:name="_Toc67981280"/>
      <w:bookmarkStart w:id="2947" w:name="_Toc67981467"/>
      <w:bookmarkStart w:id="2948" w:name="_Toc67982041"/>
      <w:bookmarkStart w:id="2949" w:name="_Toc67997439"/>
      <w:bookmarkStart w:id="2950" w:name="_Toc68063394"/>
      <w:bookmarkStart w:id="2951" w:name="_Toc68070491"/>
      <w:bookmarkStart w:id="2952" w:name="_Toc68315423"/>
      <w:bookmarkStart w:id="2953" w:name="_Toc68321186"/>
      <w:bookmarkStart w:id="2954" w:name="_Toc68321293"/>
      <w:bookmarkStart w:id="2955" w:name="_Toc68321400"/>
      <w:bookmarkStart w:id="2956" w:name="_Toc68324026"/>
      <w:bookmarkStart w:id="2957" w:name="_Toc68325723"/>
      <w:bookmarkStart w:id="2958" w:name="_Toc68490898"/>
      <w:bookmarkStart w:id="2959" w:name="_Toc68495070"/>
      <w:bookmarkStart w:id="2960" w:name="_Toc68505887"/>
      <w:bookmarkStart w:id="2961" w:name="_Toc68506595"/>
      <w:bookmarkStart w:id="2962" w:name="_Toc68513307"/>
      <w:bookmarkStart w:id="2963" w:name="_Toc68515318"/>
      <w:bookmarkStart w:id="2964" w:name="_Toc68516520"/>
      <w:bookmarkStart w:id="2965" w:name="_Toc68517792"/>
      <w:bookmarkStart w:id="2966" w:name="_Toc68518111"/>
      <w:bookmarkStart w:id="2967" w:name="_Toc68518308"/>
      <w:bookmarkStart w:id="2968" w:name="_Toc68588112"/>
      <w:bookmarkStart w:id="2969" w:name="_Toc68943981"/>
      <w:bookmarkStart w:id="2970" w:name="_Toc68944743"/>
      <w:bookmarkStart w:id="2971" w:name="_Toc68945550"/>
      <w:bookmarkStart w:id="2972" w:name="_Toc68946951"/>
      <w:bookmarkStart w:id="2973" w:name="_Toc68950789"/>
      <w:bookmarkStart w:id="2974" w:name="_Toc69017116"/>
      <w:bookmarkStart w:id="2975" w:name="_Toc69021888"/>
      <w:bookmarkStart w:id="2976" w:name="_Toc69022144"/>
      <w:bookmarkStart w:id="2977" w:name="_Toc69030872"/>
      <w:bookmarkStart w:id="2978" w:name="_Toc69100565"/>
      <w:bookmarkStart w:id="2979" w:name="_Toc69102811"/>
      <w:bookmarkStart w:id="2980" w:name="_Toc69117367"/>
      <w:bookmarkStart w:id="2981" w:name="_Toc69118073"/>
      <w:bookmarkStart w:id="2982" w:name="_Toc69271796"/>
      <w:bookmarkStart w:id="2983" w:name="_Toc69274173"/>
      <w:bookmarkStart w:id="2984" w:name="_Toc69274622"/>
      <w:bookmarkStart w:id="2985" w:name="_Toc69275380"/>
      <w:bookmarkStart w:id="2986" w:name="_Toc69275675"/>
      <w:bookmarkStart w:id="2987" w:name="_Toc69278441"/>
      <w:bookmarkStart w:id="2988" w:name="_Toc69280791"/>
      <w:bookmarkStart w:id="2989" w:name="_Toc69281132"/>
      <w:bookmarkStart w:id="2990" w:name="_Toc69281241"/>
      <w:bookmarkStart w:id="2991" w:name="_Toc69281408"/>
      <w:bookmarkStart w:id="2992" w:name="_Toc70327151"/>
      <w:bookmarkStart w:id="2993" w:name="_Toc70405289"/>
      <w:bookmarkStart w:id="2994" w:name="_Toc70995452"/>
      <w:bookmarkStart w:id="2995" w:name="_Toc71712580"/>
      <w:bookmarkStart w:id="2996" w:name="_Toc71714035"/>
      <w:bookmarkStart w:id="2997" w:name="_Toc71878778"/>
      <w:bookmarkStart w:id="2998" w:name="_Toc71880122"/>
      <w:bookmarkStart w:id="2999" w:name="_Toc71884503"/>
      <w:bookmarkStart w:id="3000" w:name="_Toc71887081"/>
      <w:bookmarkStart w:id="3001" w:name="_Toc71887322"/>
      <w:bookmarkStart w:id="3002" w:name="_Toc71953228"/>
      <w:bookmarkStart w:id="3003" w:name="_Toc71953371"/>
      <w:bookmarkStart w:id="3004" w:name="_Toc71957118"/>
      <w:bookmarkStart w:id="3005" w:name="_Toc71963749"/>
      <w:bookmarkStart w:id="3006" w:name="_Toc71969841"/>
      <w:bookmarkStart w:id="3007" w:name="_Toc71969950"/>
      <w:bookmarkStart w:id="3008" w:name="_Toc71973553"/>
      <w:bookmarkStart w:id="3009" w:name="_Toc71975667"/>
      <w:bookmarkStart w:id="3010" w:name="_Toc71976475"/>
      <w:bookmarkStart w:id="3011" w:name="_Toc72026869"/>
      <w:bookmarkStart w:id="3012" w:name="_Toc72027127"/>
      <w:bookmarkStart w:id="3013" w:name="_Toc72029184"/>
      <w:bookmarkStart w:id="3014" w:name="_Toc72044711"/>
      <w:bookmarkStart w:id="3015" w:name="_Toc72044821"/>
      <w:bookmarkStart w:id="3016" w:name="_Toc72049740"/>
      <w:bookmarkStart w:id="3017" w:name="_Toc72049852"/>
      <w:bookmarkStart w:id="3018" w:name="_Toc72748254"/>
      <w:bookmarkStart w:id="3019" w:name="_Toc72812799"/>
      <w:bookmarkStart w:id="3020" w:name="_Toc72827664"/>
      <w:bookmarkStart w:id="3021" w:name="_Toc73154170"/>
      <w:bookmarkStart w:id="3022" w:name="_Toc73154597"/>
      <w:bookmarkStart w:id="3023" w:name="_Toc73156356"/>
      <w:bookmarkStart w:id="3024" w:name="_Toc73156476"/>
      <w:bookmarkStart w:id="3025" w:name="_Toc73158443"/>
      <w:bookmarkStart w:id="3026" w:name="_Toc73158771"/>
      <w:bookmarkStart w:id="3027" w:name="_Toc73159136"/>
      <w:bookmarkStart w:id="3028" w:name="_Toc73159277"/>
      <w:bookmarkStart w:id="3029" w:name="_Toc73159952"/>
      <w:bookmarkStart w:id="3030" w:name="_Toc73160879"/>
      <w:bookmarkStart w:id="3031" w:name="_Toc73161673"/>
      <w:bookmarkStart w:id="3032" w:name="_Toc73161844"/>
      <w:bookmarkStart w:id="3033" w:name="_Toc73164277"/>
      <w:bookmarkStart w:id="3034" w:name="_Toc73179846"/>
      <w:bookmarkStart w:id="3035" w:name="_Toc73184387"/>
      <w:bookmarkStart w:id="3036" w:name="_Toc73241656"/>
      <w:bookmarkStart w:id="3037" w:name="_Toc73242218"/>
      <w:bookmarkStart w:id="3038" w:name="_Toc73242958"/>
      <w:bookmarkStart w:id="3039" w:name="_Toc73243075"/>
      <w:bookmarkStart w:id="3040" w:name="_Toc73243192"/>
      <w:bookmarkStart w:id="3041" w:name="_Toc73245247"/>
      <w:bookmarkStart w:id="3042" w:name="_Toc73246057"/>
      <w:bookmarkStart w:id="3043" w:name="_Toc73251575"/>
      <w:bookmarkStart w:id="3044" w:name="_Toc73258571"/>
      <w:bookmarkStart w:id="3045" w:name="_Toc73259652"/>
      <w:bookmarkStart w:id="3046" w:name="_Toc73421989"/>
      <w:bookmarkStart w:id="3047" w:name="_Toc73427390"/>
      <w:bookmarkStart w:id="3048" w:name="_Toc73428316"/>
      <w:bookmarkStart w:id="3049" w:name="_Toc73428433"/>
      <w:bookmarkStart w:id="3050" w:name="_Toc73428550"/>
      <w:bookmarkStart w:id="3051" w:name="_Toc73428804"/>
      <w:bookmarkStart w:id="3052" w:name="_Toc73429037"/>
      <w:bookmarkStart w:id="3053" w:name="_Toc73429525"/>
      <w:bookmarkStart w:id="3054" w:name="_Toc73436677"/>
      <w:bookmarkStart w:id="3055" w:name="_Toc73437520"/>
      <w:bookmarkStart w:id="3056" w:name="_Toc81200207"/>
      <w:bookmarkStart w:id="3057" w:name="_Toc81201818"/>
      <w:bookmarkStart w:id="3058" w:name="_Toc81209072"/>
      <w:r>
        <w:rPr>
          <w:rStyle w:val="CharPartNo"/>
        </w:rPr>
        <w:t>Part 10 — Other amendments</w:t>
      </w:r>
      <w:bookmarkEnd w:id="2870"/>
      <w:bookmarkEnd w:id="2871"/>
      <w:r>
        <w:rPr>
          <w:rStyle w:val="CharPartNo"/>
        </w:rPr>
        <w:t xml:space="preserve"> to the Mining Act 1978</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nzHeading5"/>
      </w:pPr>
      <w:bookmarkStart w:id="3059" w:name="_Toc87061538"/>
      <w:r>
        <w:rPr>
          <w:rStyle w:val="CharSectno"/>
        </w:rPr>
        <w:t>87</w:t>
      </w:r>
      <w:r>
        <w:t>.</w:t>
      </w:r>
      <w:r>
        <w:tab/>
        <w:t>Section 8 amended</w:t>
      </w:r>
      <w:bookmarkEnd w:id="3059"/>
    </w:p>
    <w:p>
      <w:pPr>
        <w:pStyle w:val="nzSubsection"/>
      </w:pPr>
      <w:r>
        <w:tab/>
      </w:r>
      <w:r>
        <w:tab/>
        <w:t xml:space="preserve">Section 8(1) is amended by inserting in the appropriate alphabetical positions the following definitions — </w:t>
      </w:r>
    </w:p>
    <w:p>
      <w:pPr>
        <w:pStyle w:val="MiscOpen"/>
        <w:ind w:left="880"/>
      </w:pPr>
      <w:r>
        <w:t xml:space="preserve">“    </w:t>
      </w:r>
    </w:p>
    <w:p>
      <w:pPr>
        <w:pStyle w:val="nz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nzDefstart"/>
      </w:pPr>
      <w:r>
        <w:rPr>
          <w:b/>
        </w:rPr>
        <w:tab/>
        <w:t>“</w:t>
      </w:r>
      <w:r>
        <w:rPr>
          <w:rStyle w:val="CharDefText"/>
        </w:rPr>
        <w:t>ground disturbing equipment</w:t>
      </w:r>
      <w:r>
        <w:rPr>
          <w:b/>
        </w:rPr>
        <w:t>”</w:t>
      </w:r>
      <w:r>
        <w:t xml:space="preserve"> means — </w:t>
      </w:r>
    </w:p>
    <w:p>
      <w:pPr>
        <w:pStyle w:val="nzDefpara"/>
      </w:pPr>
      <w:r>
        <w:tab/>
        <w:t>(a)</w:t>
      </w:r>
      <w:r>
        <w:tab/>
        <w:t>mechanical drilling equipment;</w:t>
      </w:r>
    </w:p>
    <w:p>
      <w:pPr>
        <w:pStyle w:val="nzDefpara"/>
      </w:pPr>
      <w:r>
        <w:tab/>
        <w:t>(b)</w:t>
      </w:r>
      <w:r>
        <w:tab/>
        <w:t>a backhoe, bulldozer, grader or scraper; or</w:t>
      </w:r>
    </w:p>
    <w:p>
      <w:pPr>
        <w:pStyle w:val="nzDefpara"/>
      </w:pPr>
      <w:r>
        <w:tab/>
        <w:t>(c)</w:t>
      </w:r>
      <w:r>
        <w:tab/>
        <w:t>any other machinery of a kind prescribed for the purposes of this definition;</w:t>
      </w:r>
    </w:p>
    <w:p>
      <w:pPr>
        <w:pStyle w:val="nz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MiscClose"/>
      </w:pPr>
      <w:r>
        <w:t xml:space="preserve">    ”.</w:t>
      </w:r>
    </w:p>
    <w:p>
      <w:pPr>
        <w:pStyle w:val="nzHeading5"/>
      </w:pPr>
      <w:bookmarkStart w:id="3060" w:name="_Toc87061539"/>
      <w:r>
        <w:rPr>
          <w:rStyle w:val="CharSectno"/>
        </w:rPr>
        <w:t>88</w:t>
      </w:r>
      <w:r>
        <w:t>.</w:t>
      </w:r>
      <w:r>
        <w:tab/>
        <w:t>Section 20 amended</w:t>
      </w:r>
      <w:bookmarkEnd w:id="3060"/>
    </w:p>
    <w:p>
      <w:pPr>
        <w:pStyle w:val="nzSubsection"/>
      </w:pPr>
      <w:r>
        <w:tab/>
      </w:r>
      <w:r>
        <w:tab/>
        <w:t xml:space="preserve">Section 20(2) is amended by deleting paragraph (e), and “and” after it, and inserting instead — </w:t>
      </w:r>
    </w:p>
    <w:p>
      <w:pPr>
        <w:pStyle w:val="MiscOpen"/>
        <w:ind w:left="1340"/>
      </w:pPr>
      <w:r>
        <w:t xml:space="preserve">“    </w:t>
      </w:r>
    </w:p>
    <w:p>
      <w:pPr>
        <w:pStyle w:val="nzIndenta"/>
      </w:pPr>
      <w:r>
        <w:tab/>
        <w:t>(e)</w:t>
      </w:r>
      <w:r>
        <w:tab/>
        <w:t>to camp on Crown land, for the purpose of prospecting, in such manner and subject to such conditions as may be prescribed; and</w:t>
      </w:r>
    </w:p>
    <w:p>
      <w:pPr>
        <w:pStyle w:val="MiscClose"/>
      </w:pPr>
      <w:r>
        <w:t xml:space="preserve">    ”.</w:t>
      </w:r>
    </w:p>
    <w:p>
      <w:pPr>
        <w:pStyle w:val="nzHeading5"/>
      </w:pPr>
      <w:bookmarkStart w:id="3061" w:name="_Toc87061540"/>
      <w:r>
        <w:rPr>
          <w:rStyle w:val="CharSectno"/>
        </w:rPr>
        <w:t>89</w:t>
      </w:r>
      <w:r>
        <w:t>.</w:t>
      </w:r>
      <w:r>
        <w:tab/>
        <w:t>Section 63A amended</w:t>
      </w:r>
      <w:bookmarkEnd w:id="3061"/>
    </w:p>
    <w:p>
      <w:pPr>
        <w:pStyle w:val="nzSubsection"/>
      </w:pPr>
      <w:r>
        <w:tab/>
      </w:r>
      <w:r>
        <w:tab/>
        <w:t>Section 63A is amended as follows:</w:t>
      </w:r>
    </w:p>
    <w:p>
      <w:pPr>
        <w:pStyle w:val="nzIndenta"/>
      </w:pPr>
      <w:r>
        <w:tab/>
        <w:t>(a)</w:t>
      </w:r>
      <w:r>
        <w:tab/>
        <w:t xml:space="preserve">in paragraph (aa) by inserting after “60(1a)” — </w:t>
      </w:r>
    </w:p>
    <w:p>
      <w:pPr>
        <w:pStyle w:val="nzIndenta"/>
      </w:pPr>
      <w:r>
        <w:tab/>
      </w:r>
      <w:r>
        <w:tab/>
        <w:t>“    65(4), 69E(2) or 115B(2)    ”;</w:t>
      </w:r>
    </w:p>
    <w:p>
      <w:pPr>
        <w:pStyle w:val="nzIndenta"/>
      </w:pPr>
      <w:r>
        <w:tab/>
        <w:t>(b)</w:t>
      </w:r>
      <w:r>
        <w:tab/>
        <w:t xml:space="preserve">after paragraph (b) by inserting the following paragraph — </w:t>
      </w:r>
    </w:p>
    <w:p>
      <w:pPr>
        <w:pStyle w:val="MiscOpen"/>
        <w:ind w:left="1340"/>
      </w:pPr>
      <w:r>
        <w:t xml:space="preserve">“    </w:t>
      </w:r>
    </w:p>
    <w:p>
      <w:pPr>
        <w:pStyle w:val="nzIndenta"/>
      </w:pPr>
      <w:r>
        <w:tab/>
        <w:t>(baa)</w:t>
      </w:r>
      <w:r>
        <w:tab/>
        <w:t>any request under section 68(1) or (2) in relation to the exploration licence is not complied with;</w:t>
      </w:r>
    </w:p>
    <w:p>
      <w:pPr>
        <w:pStyle w:val="MiscClose"/>
      </w:pPr>
      <w:r>
        <w:t xml:space="preserve">    ”.</w:t>
      </w:r>
    </w:p>
    <w:p>
      <w:pPr>
        <w:pStyle w:val="nzHeading5"/>
      </w:pPr>
      <w:bookmarkStart w:id="3062" w:name="_Toc87061541"/>
      <w:r>
        <w:rPr>
          <w:rStyle w:val="CharSectno"/>
        </w:rPr>
        <w:t>90</w:t>
      </w:r>
      <w:r>
        <w:t>.</w:t>
      </w:r>
      <w:r>
        <w:tab/>
        <w:t>Section 70H amended and transitional provision</w:t>
      </w:r>
      <w:bookmarkEnd w:id="3062"/>
    </w:p>
    <w:p>
      <w:pPr>
        <w:pStyle w:val="nzSubsection"/>
      </w:pPr>
      <w:r>
        <w:tab/>
        <w:t>(1)</w:t>
      </w:r>
      <w:r>
        <w:tab/>
        <w:t>Section 70H(1) is amended as follows:</w:t>
      </w:r>
    </w:p>
    <w:p>
      <w:pPr>
        <w:pStyle w:val="nzIndenta"/>
      </w:pPr>
      <w:r>
        <w:tab/>
        <w:t>(a)</w:t>
      </w:r>
      <w:r>
        <w:tab/>
        <w:t xml:space="preserve">before paragraph (a) by inserting the following paragraph — </w:t>
      </w:r>
    </w:p>
    <w:p>
      <w:pPr>
        <w:pStyle w:val="MiscOpen"/>
        <w:ind w:left="1340"/>
      </w:pPr>
      <w:r>
        <w:t xml:space="preserve">“    </w:t>
      </w:r>
    </w:p>
    <w:p>
      <w:pPr>
        <w:pStyle w:val="nzIndenta"/>
      </w:pPr>
      <w:r>
        <w:tab/>
        <w:t>(aa)</w:t>
      </w:r>
      <w:r>
        <w:tab/>
        <w:t xml:space="preserve">not use ground disturbing equipment when exploring for minerals on the land the subject of the licence unless — </w:t>
      </w:r>
    </w:p>
    <w:p>
      <w:pPr>
        <w:pStyle w:val="nzIndenti"/>
      </w:pPr>
      <w:r>
        <w:tab/>
        <w:t>(i)</w:t>
      </w:r>
      <w:r>
        <w:tab/>
        <w:t>the holder has lodged in the prescribed manner a programme of work in respect of that use; and</w:t>
      </w:r>
    </w:p>
    <w:p>
      <w:pPr>
        <w:pStyle w:val="nzIndenti"/>
      </w:pPr>
      <w:r>
        <w:tab/>
        <w:t>(ii)</w:t>
      </w:r>
      <w:r>
        <w:tab/>
        <w:t>the programme of work has been approved in writing by the Minister or a prescribed official;</w:t>
      </w:r>
    </w:p>
    <w:p>
      <w:pPr>
        <w:pStyle w:val="MiscClose"/>
      </w:pPr>
      <w:r>
        <w:t xml:space="preserve">    ”;</w:t>
      </w:r>
    </w:p>
    <w:p>
      <w:pPr>
        <w:pStyle w:val="nzIndenta"/>
      </w:pPr>
      <w:r>
        <w:tab/>
        <w:t>(b)</w:t>
      </w:r>
      <w:r>
        <w:tab/>
        <w:t xml:space="preserve">in paragraph (a) — </w:t>
      </w:r>
    </w:p>
    <w:p>
      <w:pPr>
        <w:pStyle w:val="nzIndenti"/>
      </w:pPr>
      <w:r>
        <w:tab/>
        <w:t>(i)</w:t>
      </w:r>
      <w:r>
        <w:tab/>
        <w:t xml:space="preserve">by deleting “the State Mining Engineer” in the first place where it occurs and inserting instead — </w:t>
      </w:r>
    </w:p>
    <w:p>
      <w:pPr>
        <w:pStyle w:val="nzIndenti"/>
      </w:pPr>
      <w:r>
        <w:tab/>
      </w:r>
      <w:r>
        <w:tab/>
        <w:t>“    a prescribed official    ”;</w:t>
      </w:r>
    </w:p>
    <w:p>
      <w:pPr>
        <w:pStyle w:val="nzIndenti"/>
      </w:pPr>
      <w:r>
        <w:tab/>
        <w:t>(ii)</w:t>
      </w:r>
      <w:r>
        <w:tab/>
        <w:t xml:space="preserve">by deleting “the State Mining Engineer” in the second place where it occurs and inserting instead — </w:t>
      </w:r>
    </w:p>
    <w:p>
      <w:pPr>
        <w:pStyle w:val="nzIndenti"/>
      </w:pPr>
      <w:r>
        <w:tab/>
      </w:r>
      <w:r>
        <w:tab/>
        <w:t>“    the prescribed official    ”.</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pPr>
      <w:bookmarkStart w:id="3063" w:name="_Toc87061542"/>
      <w:r>
        <w:rPr>
          <w:rStyle w:val="CharSectno"/>
        </w:rPr>
        <w:t>91</w:t>
      </w:r>
      <w:r>
        <w:t>.</w:t>
      </w:r>
      <w:r>
        <w:tab/>
        <w:t>Section 90 replaced</w:t>
      </w:r>
      <w:bookmarkEnd w:id="3063"/>
    </w:p>
    <w:p>
      <w:pPr>
        <w:pStyle w:val="nzSubsection"/>
      </w:pPr>
      <w:r>
        <w:tab/>
      </w:r>
      <w:r>
        <w:tab/>
        <w:t xml:space="preserve">Section 90 is repealed and the following section is inserted instead — </w:t>
      </w:r>
    </w:p>
    <w:p>
      <w:pPr>
        <w:pStyle w:val="MiscOpen"/>
      </w:pPr>
      <w:r>
        <w:t xml:space="preserve">“    </w:t>
      </w:r>
    </w:p>
    <w:p>
      <w:pPr>
        <w:pStyle w:val="nzHeading5"/>
      </w:pPr>
      <w:r>
        <w:t>90.</w:t>
      </w:r>
      <w:r>
        <w:tab/>
        <w:t>Application of certain provisions to general purpose leases</w:t>
      </w:r>
    </w:p>
    <w:p>
      <w:pPr>
        <w:pStyle w:val="nzSubsection"/>
      </w:pPr>
      <w:r>
        <w:tab/>
        <w:t>(1)</w:t>
      </w:r>
      <w:r>
        <w:tab/>
        <w:t xml:space="preserve">Section 6(1a), (1c) and (1d) apply, with such modifications as the circumstances require, to and in relation to a general purpose lease as if — </w:t>
      </w:r>
    </w:p>
    <w:p>
      <w:pPr>
        <w:pStyle w:val="nzIndenta"/>
      </w:pPr>
      <w:r>
        <w:tab/>
        <w:t>(a)</w:t>
      </w:r>
      <w:r>
        <w:tab/>
        <w:t>a reference in those subsections to a mining lease were a reference to a general purpose lease; and</w:t>
      </w:r>
    </w:p>
    <w:p>
      <w:pPr>
        <w:pStyle w:val="nzIndenta"/>
      </w:pPr>
      <w:r>
        <w:tab/>
        <w:t>(b)</w:t>
      </w:r>
      <w:r>
        <w:tab/>
        <w:t>the reference in subsection (1d)(a) to the condition referred to in section 82(1)(ca) were a reference to a condition prescribed by the regulations for the purposes of section 89.</w:t>
      </w:r>
    </w:p>
    <w:p>
      <w:pPr>
        <w:pStyle w:val="nzSubsection"/>
      </w:pPr>
      <w:r>
        <w:tab/>
        <w:t>(2)</w:t>
      </w:r>
      <w:r>
        <w:tab/>
        <w:t xml:space="preserve">Section 74 applies, with such modifications as the circumstances require, to and in relation to a general purpose lease as if — </w:t>
      </w:r>
    </w:p>
    <w:p>
      <w:pPr>
        <w:pStyle w:val="nzIndenta"/>
      </w:pPr>
      <w:r>
        <w:tab/>
        <w:t>(a)</w:t>
      </w:r>
      <w:r>
        <w:tab/>
        <w:t>a reference in that section to a mining lease were a reference to a general purpose lease; and</w:t>
      </w:r>
    </w:p>
    <w:p>
      <w:pPr>
        <w:pStyle w:val="nzIndenta"/>
      </w:pPr>
      <w:r>
        <w:tab/>
        <w:t>(b)</w:t>
      </w:r>
      <w:r>
        <w:tab/>
        <w:t>in subsection (1)(ca)(ii) “and a mineralisation report prepared by a qualified person” were deleted.</w:t>
      </w:r>
    </w:p>
    <w:p>
      <w:pPr>
        <w:pStyle w:val="nzSubsection"/>
      </w:pPr>
      <w:r>
        <w:tab/>
        <w:t>(3)</w:t>
      </w:r>
      <w:r>
        <w:tab/>
        <w:t xml:space="preserve">Section 75 applies, with such modifications as the circumstances require, to and in relation to a general purpose lease as if — </w:t>
      </w:r>
    </w:p>
    <w:p>
      <w:pPr>
        <w:pStyle w:val="nzIndenta"/>
      </w:pPr>
      <w:r>
        <w:tab/>
        <w:t>(a)</w:t>
      </w:r>
      <w:r>
        <w:tab/>
        <w:t>a reference in that section to a mining lease were a reference to a general purpose lease; and</w:t>
      </w:r>
    </w:p>
    <w:p>
      <w:pPr>
        <w:pStyle w:val="nzIndenta"/>
      </w:pPr>
      <w:r>
        <w:tab/>
        <w:t>(b)</w:t>
      </w:r>
      <w:r>
        <w:tab/>
        <w:t xml:space="preserve">the amendments made to that section by section 31 of the </w:t>
      </w:r>
      <w:r>
        <w:rPr>
          <w:i/>
        </w:rPr>
        <w:t>Mining Amendment Act 2004</w:t>
      </w:r>
      <w:r>
        <w:t xml:space="preserve"> had not come into operation.</w:t>
      </w:r>
    </w:p>
    <w:p>
      <w:pPr>
        <w:pStyle w:val="nz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MiscClose"/>
      </w:pPr>
      <w:r>
        <w:t xml:space="preserve">    ”.</w:t>
      </w:r>
    </w:p>
    <w:p>
      <w:pPr>
        <w:pStyle w:val="nzHeading5"/>
      </w:pPr>
      <w:bookmarkStart w:id="3064" w:name="_Toc87061543"/>
      <w:r>
        <w:rPr>
          <w:rStyle w:val="CharSectno"/>
        </w:rPr>
        <w:t>92</w:t>
      </w:r>
      <w:r>
        <w:t>.</w:t>
      </w:r>
      <w:r>
        <w:tab/>
        <w:t>Section 95 amended</w:t>
      </w:r>
      <w:bookmarkEnd w:id="3064"/>
    </w:p>
    <w:p>
      <w:pPr>
        <w:pStyle w:val="nzSubsection"/>
      </w:pPr>
      <w:r>
        <w:tab/>
      </w:r>
      <w:r>
        <w:tab/>
        <w:t>Section 95(2) is repealed.</w:t>
      </w:r>
    </w:p>
    <w:p>
      <w:pPr>
        <w:pStyle w:val="nzHeading5"/>
      </w:pPr>
      <w:bookmarkStart w:id="3065" w:name="_Toc87061544"/>
      <w:r>
        <w:rPr>
          <w:rStyle w:val="CharSectno"/>
        </w:rPr>
        <w:t>93</w:t>
      </w:r>
      <w:r>
        <w:t>.</w:t>
      </w:r>
      <w:r>
        <w:tab/>
        <w:t>Section 96 amended</w:t>
      </w:r>
      <w:bookmarkEnd w:id="3065"/>
    </w:p>
    <w:p>
      <w:pPr>
        <w:pStyle w:val="nzSubsection"/>
      </w:pPr>
      <w:r>
        <w:tab/>
      </w:r>
      <w:r>
        <w:tab/>
        <w:t xml:space="preserve">Section 96(2)(bb) is amended by inserting after “52(1a)” — </w:t>
      </w:r>
    </w:p>
    <w:p>
      <w:pPr>
        <w:pStyle w:val="nzSubsection"/>
      </w:pPr>
      <w:r>
        <w:tab/>
      </w:r>
      <w:r>
        <w:tab/>
        <w:t>“    , 55B(2) or 115B(2)    ”.</w:t>
      </w:r>
    </w:p>
    <w:p>
      <w:pPr>
        <w:pStyle w:val="nzHeading5"/>
      </w:pPr>
      <w:bookmarkStart w:id="3066" w:name="_Toc87061545"/>
      <w:r>
        <w:rPr>
          <w:rStyle w:val="CharSectno"/>
        </w:rPr>
        <w:t>94</w:t>
      </w:r>
      <w:r>
        <w:t>.</w:t>
      </w:r>
      <w:r>
        <w:tab/>
        <w:t>Section 102 amended</w:t>
      </w:r>
      <w:bookmarkEnd w:id="3066"/>
    </w:p>
    <w:p>
      <w:pPr>
        <w:pStyle w:val="nzSubsection"/>
      </w:pPr>
      <w:r>
        <w:tab/>
        <w:t>(1)</w:t>
      </w:r>
      <w:r>
        <w:tab/>
        <w:t xml:space="preserve">Section 102(2)(h) is deleted and the following paragraph is inserted instead — </w:t>
      </w:r>
    </w:p>
    <w:p>
      <w:pPr>
        <w:pStyle w:val="MiscOpen"/>
        <w:ind w:left="1332"/>
      </w:pPr>
      <w:r>
        <w:t xml:space="preserve">“    </w:t>
      </w:r>
    </w:p>
    <w:p>
      <w:pPr>
        <w:pStyle w:val="nzIndenta"/>
      </w:pPr>
      <w:r>
        <w:tab/>
        <w:t>(h)</w:t>
      </w:r>
      <w:r>
        <w:tab/>
        <w:t xml:space="preserve">that — </w:t>
      </w:r>
    </w:p>
    <w:p>
      <w:pPr>
        <w:pStyle w:val="nz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nz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MiscClose"/>
      </w:pPr>
      <w:r>
        <w:t xml:space="preserve">    ”.</w:t>
      </w:r>
    </w:p>
    <w:p>
      <w:pPr>
        <w:pStyle w:val="nzSubsection"/>
      </w:pPr>
      <w:r>
        <w:tab/>
        <w:t>(2)</w:t>
      </w:r>
      <w:r>
        <w:tab/>
        <w:t xml:space="preserve">After section 102(2) the following subsection is inserted — </w:t>
      </w:r>
    </w:p>
    <w:p>
      <w:pPr>
        <w:pStyle w:val="MiscOpen"/>
        <w:ind w:left="595"/>
      </w:pPr>
      <w:r>
        <w:t xml:space="preserve">“    </w:t>
      </w:r>
    </w:p>
    <w:p>
      <w:pPr>
        <w:pStyle w:val="nzSubsection"/>
      </w:pPr>
      <w:r>
        <w:tab/>
        <w:t>(2a)</w:t>
      </w:r>
      <w:r>
        <w:tab/>
        <w:t xml:space="preserve">In subsection (2)(h) — </w:t>
      </w:r>
    </w:p>
    <w:p>
      <w:pPr>
        <w:pStyle w:val="nzDefstart"/>
      </w:pPr>
      <w:r>
        <w:tab/>
      </w:r>
      <w:r>
        <w:rPr>
          <w:b/>
        </w:rPr>
        <w:t>“</w:t>
      </w:r>
      <w:r>
        <w:rPr>
          <w:rStyle w:val="CharDefText"/>
        </w:rPr>
        <w:t>aggregate exploration expenditure</w:t>
      </w:r>
      <w:r>
        <w:rPr>
          <w:b/>
        </w:rPr>
        <w:t>”</w:t>
      </w:r>
      <w:r>
        <w:t xml:space="preserve"> means expenditure — </w:t>
      </w:r>
    </w:p>
    <w:p>
      <w:pPr>
        <w:pStyle w:val="nzDefpara"/>
      </w:pPr>
      <w:r>
        <w:tab/>
        <w:t>(a)</w:t>
      </w:r>
      <w:r>
        <w:tab/>
        <w:t>on, or in connection with, exploration for minerals on the combined reporting tenements; and</w:t>
      </w:r>
    </w:p>
    <w:p>
      <w:pPr>
        <w:pStyle w:val="nzDefpara"/>
      </w:pPr>
      <w:r>
        <w:tab/>
        <w:t>(b)</w:t>
      </w:r>
      <w:r>
        <w:tab/>
        <w:t>worked out in a manner specified in the regulations.</w:t>
      </w:r>
    </w:p>
    <w:p>
      <w:pPr>
        <w:pStyle w:val="MiscClose"/>
      </w:pPr>
      <w:r>
        <w:t xml:space="preserve">    ”.</w:t>
      </w:r>
    </w:p>
    <w:p>
      <w:pPr>
        <w:pStyle w:val="nzHeading5"/>
      </w:pPr>
      <w:bookmarkStart w:id="3067" w:name="_Toc87061546"/>
      <w:r>
        <w:rPr>
          <w:rStyle w:val="CharSectno"/>
        </w:rPr>
        <w:t>95</w:t>
      </w:r>
      <w:r>
        <w:t>.</w:t>
      </w:r>
      <w:r>
        <w:tab/>
        <w:t>Section 105A amended</w:t>
      </w:r>
      <w:bookmarkEnd w:id="3067"/>
    </w:p>
    <w:p>
      <w:pPr>
        <w:pStyle w:val="nzSubsection"/>
      </w:pPr>
      <w:r>
        <w:tab/>
      </w:r>
      <w:r>
        <w:tab/>
        <w:t>Section 105A(4)(b) is amended as follows:</w:t>
      </w:r>
    </w:p>
    <w:p>
      <w:pPr>
        <w:pStyle w:val="nzIndenta"/>
      </w:pPr>
      <w:r>
        <w:tab/>
        <w:t>(a)</w:t>
      </w:r>
      <w:r>
        <w:tab/>
        <w:t xml:space="preserve">in subparagraph (i) by inserting after “subparagraph” — </w:t>
      </w:r>
    </w:p>
    <w:p>
      <w:pPr>
        <w:pStyle w:val="nzIndenta"/>
      </w:pPr>
      <w:r>
        <w:tab/>
      </w:r>
      <w:r>
        <w:tab/>
        <w:t>“    (ia),    ”;</w:t>
      </w:r>
    </w:p>
    <w:p>
      <w:pPr>
        <w:pStyle w:val="nzIndenta"/>
      </w:pPr>
      <w:r>
        <w:tab/>
        <w:t>(b)</w:t>
      </w:r>
      <w:r>
        <w:tab/>
        <w:t xml:space="preserve">after subparagraph (i) by inserting the following subparagraph — </w:t>
      </w:r>
    </w:p>
    <w:p>
      <w:pPr>
        <w:pStyle w:val="MiscOpen"/>
        <w:ind w:left="2040"/>
      </w:pPr>
      <w:r>
        <w:t xml:space="preserve">“    </w:t>
      </w:r>
    </w:p>
    <w:p>
      <w:pPr>
        <w:pStyle w:val="nzIndenti"/>
      </w:pPr>
      <w:r>
        <w:tab/>
        <w:t>(ia)</w:t>
      </w:r>
      <w:r>
        <w:tab/>
        <w:t>where the land concerned is land to which section 65(6) applies, lodging that application at the office of the mining registrar;</w:t>
      </w:r>
    </w:p>
    <w:p>
      <w:pPr>
        <w:pStyle w:val="MiscClose"/>
      </w:pPr>
      <w:r>
        <w:t xml:space="preserve">    ”.</w:t>
      </w:r>
    </w:p>
    <w:p>
      <w:pPr>
        <w:pStyle w:val="nzHeading5"/>
      </w:pPr>
      <w:bookmarkStart w:id="3068" w:name="_Toc87061547"/>
      <w:r>
        <w:rPr>
          <w:rStyle w:val="CharSectno"/>
        </w:rPr>
        <w:t>96</w:t>
      </w:r>
      <w:r>
        <w:t>.</w:t>
      </w:r>
      <w:r>
        <w:tab/>
        <w:t>Sections 114B and 114C inserted</w:t>
      </w:r>
      <w:bookmarkEnd w:id="3068"/>
    </w:p>
    <w:p>
      <w:pPr>
        <w:pStyle w:val="nzSubsection"/>
      </w:pPr>
      <w:r>
        <w:tab/>
      </w:r>
      <w:r>
        <w:tab/>
        <w:t xml:space="preserve">After section 114A the following sections are inserted — </w:t>
      </w:r>
    </w:p>
    <w:p>
      <w:pPr>
        <w:pStyle w:val="MiscOpen"/>
      </w:pPr>
      <w:r>
        <w:t xml:space="preserve">“    </w:t>
      </w:r>
    </w:p>
    <w:p>
      <w:pPr>
        <w:pStyle w:val="nzHeading5"/>
      </w:pPr>
      <w:r>
        <w:t>114B.</w:t>
      </w:r>
      <w:r>
        <w:tab/>
        <w:t>Continuation of liability after expiry, surrender or forfeiture of mining tenement</w:t>
      </w:r>
    </w:p>
    <w:p>
      <w:pPr>
        <w:pStyle w:val="nzSubsection"/>
      </w:pPr>
      <w:r>
        <w:tab/>
      </w:r>
      <w:r>
        <w:tab/>
        <w:t xml:space="preserve">The expiry, surrender or forfeiture of a mining tenement does not affect the liability of the person who was the holder of the mining tenement immediately before its expiry, surrender or forfeiture — </w:t>
      </w:r>
    </w:p>
    <w:p>
      <w:pPr>
        <w:pStyle w:val="nzIndenta"/>
      </w:pPr>
      <w:r>
        <w:tab/>
        <w:t>(a)</w:t>
      </w:r>
      <w:r>
        <w:tab/>
        <w:t>to pay any rent, fee, royalty, penalty, or other money on any other account, payable on or before the date of expiry, surrender or forfeiture under or in relation to the mining tenement;</w:t>
      </w:r>
    </w:p>
    <w:p>
      <w:pPr>
        <w:pStyle w:val="nzIndenta"/>
      </w:pPr>
      <w:r>
        <w:tab/>
        <w:t>(b)</w:t>
      </w:r>
      <w:r>
        <w:tab/>
        <w:t>to comply with any obligation imposed on or before that date under or in relation to the mining tenement; or</w:t>
      </w:r>
    </w:p>
    <w:p>
      <w:pPr>
        <w:pStyle w:val="nzIndenta"/>
      </w:pPr>
      <w:r>
        <w:tab/>
        <w:t>(c)</w:t>
      </w:r>
      <w:r>
        <w:tab/>
        <w:t>for any act done or default made on or before that date under or in relation to the mining tenement.</w:t>
      </w:r>
    </w:p>
    <w:p>
      <w:pPr>
        <w:pStyle w:val="nzHeading5"/>
      </w:pPr>
      <w:r>
        <w:t>114C.</w:t>
      </w:r>
      <w:r>
        <w:tab/>
        <w:t>Right to enter land to carry out remedial work after expiry, surrender or forfeiture of mining tenement</w:t>
      </w:r>
    </w:p>
    <w:p>
      <w:pPr>
        <w:pStyle w:val="nzSubsection"/>
      </w:pPr>
      <w:r>
        <w:tab/>
        <w:t>(1)</w:t>
      </w:r>
      <w:r>
        <w:tab/>
        <w:t xml:space="preserve">In this section — </w:t>
      </w:r>
    </w:p>
    <w:p>
      <w:pPr>
        <w:pStyle w:val="nz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nz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nz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MiscClose"/>
      </w:pPr>
      <w:r>
        <w:t xml:space="preserve">    ”.</w:t>
      </w:r>
    </w:p>
    <w:p>
      <w:pPr>
        <w:pStyle w:val="nzHeading5"/>
      </w:pPr>
      <w:bookmarkStart w:id="3069" w:name="_Toc87061548"/>
      <w:r>
        <w:rPr>
          <w:rStyle w:val="CharSectno"/>
        </w:rPr>
        <w:t>97</w:t>
      </w:r>
      <w:r>
        <w:t>.</w:t>
      </w:r>
      <w:r>
        <w:tab/>
        <w:t>Section 115B inserted and consequential amendments</w:t>
      </w:r>
      <w:bookmarkEnd w:id="3069"/>
    </w:p>
    <w:p>
      <w:pPr>
        <w:pStyle w:val="nzSubsection"/>
      </w:pPr>
      <w:r>
        <w:tab/>
        <w:t>(1)</w:t>
      </w:r>
      <w:r>
        <w:tab/>
        <w:t xml:space="preserve">After section 115A the following section is inserted — </w:t>
      </w:r>
    </w:p>
    <w:p>
      <w:pPr>
        <w:pStyle w:val="MiscOpen"/>
      </w:pPr>
      <w:r>
        <w:t xml:space="preserve">“    </w:t>
      </w:r>
    </w:p>
    <w:p>
      <w:pPr>
        <w:pStyle w:val="nzHeading5"/>
      </w:pPr>
      <w:r>
        <w:t>115B.</w:t>
      </w:r>
      <w:r>
        <w:tab/>
        <w:t>Verification of expenditure amounts in operations reports</w:t>
      </w:r>
    </w:p>
    <w:p>
      <w:pPr>
        <w:pStyle w:val="nzSubsection"/>
      </w:pPr>
      <w:r>
        <w:tab/>
        <w:t>(1)</w:t>
      </w:r>
      <w:r>
        <w:tab/>
        <w:t xml:space="preserve">In this section — </w:t>
      </w:r>
    </w:p>
    <w:p>
      <w:pPr>
        <w:pStyle w:val="nzDefstart"/>
      </w:pPr>
      <w:r>
        <w:rPr>
          <w:b/>
        </w:rPr>
        <w:tab/>
        <w:t>“</w:t>
      </w:r>
      <w:r>
        <w:rPr>
          <w:rStyle w:val="CharDefText"/>
        </w:rPr>
        <w:t>audit amount</w:t>
      </w:r>
      <w:r>
        <w:rPr>
          <w:b/>
        </w:rPr>
        <w:t>”</w:t>
      </w:r>
      <w:r>
        <w:t xml:space="preserve"> means the amount of expenditure shown in an audit statement;</w:t>
      </w:r>
    </w:p>
    <w:p>
      <w:pPr>
        <w:pStyle w:val="nz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nzDefstart"/>
      </w:pPr>
      <w:r>
        <w:rPr>
          <w:b/>
        </w:rPr>
        <w:tab/>
        <w:t>“</w:t>
      </w:r>
      <w:r>
        <w:rPr>
          <w:rStyle w:val="CharDefText"/>
        </w:rPr>
        <w:t>expenditure</w:t>
      </w:r>
      <w:r>
        <w:rPr>
          <w:b/>
        </w:rPr>
        <w:t>”</w:t>
      </w:r>
      <w:r>
        <w:t xml:space="preserve"> means expenditure on or in connection with mining on a mining tenement;</w:t>
      </w:r>
    </w:p>
    <w:p>
      <w:pPr>
        <w:pStyle w:val="nzDefstart"/>
      </w:pPr>
      <w:r>
        <w:rPr>
          <w:b/>
        </w:rPr>
        <w:tab/>
        <w:t>“</w:t>
      </w:r>
      <w:r>
        <w:rPr>
          <w:rStyle w:val="CharDefText"/>
        </w:rPr>
        <w:t>expenditure amount</w:t>
      </w:r>
      <w:r>
        <w:rPr>
          <w:b/>
        </w:rPr>
        <w:t>”</w:t>
      </w:r>
      <w:r>
        <w:t xml:space="preserve"> means the amount of expenditure during the period to which an operations report relates;</w:t>
      </w:r>
    </w:p>
    <w:p>
      <w:pPr>
        <w:pStyle w:val="nzDefstart"/>
      </w:pPr>
      <w:r>
        <w:rPr>
          <w:b/>
        </w:rPr>
        <w:tab/>
        <w:t>“</w:t>
      </w:r>
      <w:r>
        <w:rPr>
          <w:rStyle w:val="CharDefText"/>
        </w:rPr>
        <w:t>operations report</w:t>
      </w:r>
      <w:r>
        <w:rPr>
          <w:b/>
        </w:rPr>
        <w:t>”</w:t>
      </w:r>
      <w:r>
        <w:t xml:space="preserve"> has the meaning given to that term in section 115A(1).</w:t>
      </w:r>
    </w:p>
    <w:p>
      <w:pPr>
        <w:pStyle w:val="nz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nzSubsection"/>
      </w:pPr>
      <w:r>
        <w:tab/>
        <w:t>(3)</w:t>
      </w:r>
      <w:r>
        <w:tab/>
        <w:t xml:space="preserve">An audit statement is to be prepared and signed by — </w:t>
      </w:r>
    </w:p>
    <w:p>
      <w:pPr>
        <w:pStyle w:val="nzIndenta"/>
      </w:pPr>
      <w:r>
        <w:tab/>
        <w:t>(a)</w:t>
      </w:r>
      <w:r>
        <w:tab/>
        <w:t>a person registered as an auditor, or taken to be registered as an auditor, under Part 9.2 of the Corporations Act; or</w:t>
      </w:r>
    </w:p>
    <w:p>
      <w:pPr>
        <w:pStyle w:val="nzIndenta"/>
      </w:pPr>
      <w:r>
        <w:tab/>
        <w:t>(b)</w:t>
      </w:r>
      <w:r>
        <w:tab/>
        <w:t>another suitably qualified person approved by the Minister for the purposes of this section.</w:t>
      </w:r>
    </w:p>
    <w:p>
      <w:pPr>
        <w:pStyle w:val="nz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MiscClose"/>
      </w:pPr>
      <w:r>
        <w:t xml:space="preserve">    ”.</w:t>
      </w:r>
    </w:p>
    <w:p>
      <w:pPr>
        <w:pStyle w:val="nzSubsection"/>
      </w:pPr>
      <w:r>
        <w:tab/>
        <w:t>(2)</w:t>
      </w:r>
      <w:r>
        <w:tab/>
        <w:t>Section 70K is amended as follows:</w:t>
      </w:r>
    </w:p>
    <w:p>
      <w:pPr>
        <w:pStyle w:val="nzIndenta"/>
      </w:pPr>
      <w:r>
        <w:tab/>
        <w:t>(a)</w:t>
      </w:r>
      <w:r>
        <w:tab/>
        <w:t>after paragraph (c) by deleting “or”;</w:t>
      </w:r>
    </w:p>
    <w:p>
      <w:pPr>
        <w:pStyle w:val="nzIndenta"/>
      </w:pPr>
      <w:r>
        <w:tab/>
        <w:t>(b)</w:t>
      </w:r>
      <w:r>
        <w:tab/>
        <w:t xml:space="preserve">after paragraph (d) by deleting the full stop and inserting — </w:t>
      </w:r>
    </w:p>
    <w:p>
      <w:pPr>
        <w:pStyle w:val="MiscOpen"/>
        <w:ind w:left="1616"/>
      </w:pPr>
      <w:r>
        <w:t xml:space="preserve">“    </w:t>
      </w:r>
    </w:p>
    <w:p>
      <w:pPr>
        <w:pStyle w:val="nzIndenta"/>
      </w:pPr>
      <w:r>
        <w:tab/>
      </w:r>
      <w:r>
        <w:tab/>
        <w:t>; or</w:t>
      </w:r>
    </w:p>
    <w:p>
      <w:pPr>
        <w:pStyle w:val="nzIndenta"/>
      </w:pPr>
      <w:r>
        <w:tab/>
        <w:t>(e)</w:t>
      </w:r>
      <w:r>
        <w:tab/>
        <w:t>the holder of the licence fails to comply with a notice under section 115B(2) requiring that person to file an audit statement or cause an audit statement to be filed.</w:t>
      </w:r>
    </w:p>
    <w:p>
      <w:pPr>
        <w:pStyle w:val="MiscClose"/>
      </w:pPr>
      <w:r>
        <w:t xml:space="preserve">    ”.</w:t>
      </w:r>
    </w:p>
    <w:p>
      <w:pPr>
        <w:pStyle w:val="nzSubsection"/>
      </w:pPr>
      <w:r>
        <w:tab/>
        <w:t>(3)</w:t>
      </w:r>
      <w:r>
        <w:tab/>
        <w:t xml:space="preserve">Section 82(1)(g) is amended by inserting before “in relation to the lease” — </w:t>
      </w:r>
    </w:p>
    <w:p>
      <w:pPr>
        <w:pStyle w:val="nzSubsection"/>
      </w:pPr>
      <w:r>
        <w:tab/>
      </w:r>
      <w:r>
        <w:tab/>
        <w:t>“    or 115B(2)    ”.</w:t>
      </w:r>
    </w:p>
    <w:p>
      <w:pPr>
        <w:pStyle w:val="nzHeading5"/>
      </w:pPr>
      <w:bookmarkStart w:id="3070" w:name="_Toc87061549"/>
      <w:r>
        <w:rPr>
          <w:rStyle w:val="CharSectno"/>
        </w:rPr>
        <w:t>98</w:t>
      </w:r>
      <w:r>
        <w:t>.</w:t>
      </w:r>
      <w:r>
        <w:tab/>
        <w:t>Section 118A inserted and validation and transitional provisions</w:t>
      </w:r>
      <w:bookmarkEnd w:id="3070"/>
    </w:p>
    <w:p>
      <w:pPr>
        <w:pStyle w:val="nzSubsection"/>
      </w:pPr>
      <w:r>
        <w:tab/>
        <w:t>(1)</w:t>
      </w:r>
      <w:r>
        <w:tab/>
        <w:t xml:space="preserve">After section 118 the following section is inserted — </w:t>
      </w:r>
    </w:p>
    <w:p>
      <w:pPr>
        <w:pStyle w:val="MiscOpen"/>
      </w:pPr>
      <w:r>
        <w:t xml:space="preserve">“    </w:t>
      </w:r>
    </w:p>
    <w:p>
      <w:pPr>
        <w:pStyle w:val="nzHeading5"/>
      </w:pPr>
      <w:r>
        <w:t>118A.</w:t>
      </w:r>
      <w:r>
        <w:tab/>
        <w:t>Tenement holder may authorise mining by third party</w:t>
      </w:r>
    </w:p>
    <w:p>
      <w:pPr>
        <w:pStyle w:val="nzSubsection"/>
      </w:pPr>
      <w:r>
        <w:tab/>
        <w:t>(1)</w:t>
      </w:r>
      <w:r>
        <w:tab/>
        <w:t xml:space="preserve">In this section — </w:t>
      </w:r>
    </w:p>
    <w:p>
      <w:pPr>
        <w:pStyle w:val="nzDefstart"/>
      </w:pPr>
      <w:r>
        <w:rPr>
          <w:b/>
        </w:rPr>
        <w:tab/>
        <w:t>“</w:t>
      </w:r>
      <w:r>
        <w:rPr>
          <w:rStyle w:val="CharDefText"/>
        </w:rPr>
        <w:t>authorisation</w:t>
      </w:r>
      <w:r>
        <w:rPr>
          <w:b/>
        </w:rPr>
        <w:t>”</w:t>
      </w:r>
      <w:r>
        <w:t xml:space="preserve"> means an authorisation under subsection (2).</w:t>
      </w:r>
    </w:p>
    <w:p>
      <w:pPr>
        <w:pStyle w:val="nz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nzSubsection"/>
      </w:pPr>
      <w:r>
        <w:tab/>
        <w:t>(3)</w:t>
      </w:r>
      <w:r>
        <w:tab/>
        <w:t>An authorisation may be given subject to conditions specified in the authorisation.</w:t>
      </w:r>
    </w:p>
    <w:p>
      <w:pPr>
        <w:pStyle w:val="nzSubsection"/>
      </w:pPr>
      <w:r>
        <w:tab/>
        <w:t>(4)</w:t>
      </w:r>
      <w:r>
        <w:tab/>
        <w:t>Mining carried out under an authorisation is to be regarded for the purposes of this Act as mining carried out by the holder of the relevant tenement.</w:t>
      </w:r>
    </w:p>
    <w:p>
      <w:pPr>
        <w:pStyle w:val="nz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nzSubsection"/>
      </w:pPr>
      <w:r>
        <w:tab/>
        <w:t>(6)</w:t>
      </w:r>
      <w:r>
        <w:tab/>
        <w:t>The giving of an authorisation does not affect the duties or obligations of the holder of the relevant tenement under this Act.</w:t>
      </w:r>
    </w:p>
    <w:p>
      <w:pPr>
        <w:pStyle w:val="MiscClose"/>
      </w:pPr>
      <w:r>
        <w:t xml:space="preserve">    ”.</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existing mining authorisation</w:t>
      </w:r>
      <w:r>
        <w:rPr>
          <w:b/>
        </w:rPr>
        <w:t>”</w:t>
      </w:r>
      <w:r>
        <w:t xml:space="preserve"> means a mining authorisation in force immediately before the commencement;</w:t>
      </w:r>
    </w:p>
    <w:p>
      <w:pPr>
        <w:pStyle w:val="nzDefstart"/>
      </w:pPr>
      <w:r>
        <w:rPr>
          <w:b/>
        </w:rPr>
        <w:tab/>
        <w:t>“</w:t>
      </w:r>
      <w:r>
        <w:rPr>
          <w:rStyle w:val="CharDefText"/>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5"/>
      </w:pPr>
      <w:bookmarkStart w:id="3071" w:name="_Toc64964409"/>
      <w:bookmarkStart w:id="3072" w:name="_Toc87061550"/>
      <w:r>
        <w:rPr>
          <w:rStyle w:val="CharSectno"/>
        </w:rPr>
        <w:t>99</w:t>
      </w:r>
      <w:r>
        <w:t>.</w:t>
      </w:r>
      <w:r>
        <w:tab/>
        <w:t>Section 120AA inserted</w:t>
      </w:r>
      <w:bookmarkEnd w:id="3071"/>
      <w:bookmarkEnd w:id="3072"/>
    </w:p>
    <w:p>
      <w:pPr>
        <w:pStyle w:val="nzSubsection"/>
      </w:pPr>
      <w:r>
        <w:tab/>
      </w:r>
      <w:r>
        <w:tab/>
        <w:t xml:space="preserve">After section 120 the following section is inserted in Part V — </w:t>
      </w:r>
    </w:p>
    <w:p>
      <w:pPr>
        <w:pStyle w:val="MiscOpen"/>
      </w:pPr>
      <w:r>
        <w:t xml:space="preserve">“    </w:t>
      </w:r>
    </w:p>
    <w:p>
      <w:pPr>
        <w:pStyle w:val="nzHeading5"/>
      </w:pPr>
      <w:r>
        <w:t>120AA.</w:t>
      </w:r>
      <w:r>
        <w:tab/>
        <w:t>Scheme for reversion licence applications</w:t>
      </w:r>
    </w:p>
    <w:p>
      <w:pPr>
        <w:pStyle w:val="nzSubsection"/>
      </w:pPr>
      <w:r>
        <w:tab/>
        <w:t>(1)</w:t>
      </w:r>
      <w:r>
        <w:tab/>
        <w:t xml:space="preserve">In this section — </w:t>
      </w:r>
    </w:p>
    <w:p>
      <w:pPr>
        <w:pStyle w:val="nzDefstart"/>
      </w:pPr>
      <w:r>
        <w:rPr>
          <w:b/>
        </w:rPr>
        <w:tab/>
        <w:t>“</w:t>
      </w:r>
      <w:r>
        <w:rPr>
          <w:rStyle w:val="CharDefText"/>
        </w:rPr>
        <w:t>amending Act</w:t>
      </w:r>
      <w:r>
        <w:rPr>
          <w:b/>
        </w:rPr>
        <w:t>”</w:t>
      </w:r>
      <w:r>
        <w:t xml:space="preserve"> means an Act that amends this Act;</w:t>
      </w:r>
    </w:p>
    <w:p>
      <w:pPr>
        <w:pStyle w:val="nzDefstart"/>
      </w:pPr>
      <w:r>
        <w:rPr>
          <w:b/>
        </w:rPr>
        <w:tab/>
        <w:t>“</w:t>
      </w:r>
      <w:r>
        <w:rPr>
          <w:rStyle w:val="CharDefText"/>
        </w:rPr>
        <w:t>continued licence</w:t>
      </w:r>
      <w:r>
        <w:rPr>
          <w:b/>
        </w:rPr>
        <w:t>”</w:t>
      </w:r>
      <w:r>
        <w:t xml:space="preserve"> means — </w:t>
      </w:r>
    </w:p>
    <w:p>
      <w:pPr>
        <w:pStyle w:val="nzDefpara"/>
      </w:pPr>
      <w:r>
        <w:tab/>
        <w:t>(a)</w:t>
      </w:r>
      <w:r>
        <w:tab/>
        <w:t>a prospecting licence continued in force under section 49(2);</w:t>
      </w:r>
    </w:p>
    <w:p>
      <w:pPr>
        <w:pStyle w:val="nzDefpara"/>
      </w:pPr>
      <w:r>
        <w:tab/>
        <w:t>(b)</w:t>
      </w:r>
      <w:r>
        <w:tab/>
        <w:t>an exploration licence continued in force under section 67(2); or</w:t>
      </w:r>
    </w:p>
    <w:p>
      <w:pPr>
        <w:pStyle w:val="nzDefpara"/>
      </w:pPr>
      <w:r>
        <w:tab/>
        <w:t>(c)</w:t>
      </w:r>
      <w:r>
        <w:tab/>
        <w:t>a retention licence continued in force under section 70L(2);</w:t>
      </w:r>
    </w:p>
    <w:p>
      <w:pPr>
        <w:pStyle w:val="nz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nzDefstart"/>
      </w:pPr>
      <w:r>
        <w:rPr>
          <w:b/>
        </w:rPr>
        <w:tab/>
        <w:t>“</w:t>
      </w:r>
      <w:r>
        <w:rPr>
          <w:rStyle w:val="CharDefText"/>
        </w:rPr>
        <w:t>reversion licence application</w:t>
      </w:r>
      <w:r>
        <w:rPr>
          <w:b/>
        </w:rPr>
        <w:t>”</w:t>
      </w:r>
      <w:r>
        <w:t xml:space="preserve"> means an application for a prospecting licence or an exploration licence under this Act.</w:t>
      </w:r>
    </w:p>
    <w:p>
      <w:pPr>
        <w:pStyle w:val="nz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reversion licence applications in respect of land the subject of the lease application or lease applications.</w:t>
      </w:r>
    </w:p>
    <w:p>
      <w:pPr>
        <w:pStyle w:val="nzSubsection"/>
      </w:pPr>
      <w:r>
        <w:tab/>
        <w:t>(3)</w:t>
      </w:r>
      <w:r>
        <w:tab/>
        <w:t xml:space="preserve">An order under subsection (2) may provide for and in relation to — </w:t>
      </w:r>
    </w:p>
    <w:p>
      <w:pPr>
        <w:pStyle w:val="nzIndenta"/>
      </w:pPr>
      <w:r>
        <w:tab/>
        <w:t>(a)</w:t>
      </w:r>
      <w:r>
        <w:tab/>
        <w:t>the making of reversion licence applications and related matters including marking out and advertising;</w:t>
      </w:r>
    </w:p>
    <w:p>
      <w:pPr>
        <w:pStyle w:val="nzIndenta"/>
      </w:pPr>
      <w:r>
        <w:tab/>
        <w:t>(b)</w:t>
      </w:r>
      <w:r>
        <w:tab/>
        <w:t xml:space="preserve">the operation and effect of a reversion licence application including its effect on — </w:t>
      </w:r>
    </w:p>
    <w:p>
      <w:pPr>
        <w:pStyle w:val="nzIndenti"/>
      </w:pPr>
      <w:r>
        <w:tab/>
        <w:t>(i)</w:t>
      </w:r>
      <w:r>
        <w:tab/>
        <w:t>the lease application or lease applications to which it relates; and</w:t>
      </w:r>
    </w:p>
    <w:p>
      <w:pPr>
        <w:pStyle w:val="nzIndenti"/>
      </w:pPr>
      <w:r>
        <w:tab/>
        <w:t>(ii)</w:t>
      </w:r>
      <w:r>
        <w:tab/>
        <w:t>any continued licence held by the applicant;</w:t>
      </w:r>
    </w:p>
    <w:p>
      <w:pPr>
        <w:pStyle w:val="nzIndenta"/>
      </w:pPr>
      <w:r>
        <w:tab/>
        <w:t>(c)</w:t>
      </w:r>
      <w:r>
        <w:tab/>
        <w:t>priority as between reversion licence applications and other mining tenement applications;</w:t>
      </w:r>
    </w:p>
    <w:p>
      <w:pPr>
        <w:pStyle w:val="nzIndenta"/>
      </w:pPr>
      <w:r>
        <w:tab/>
        <w:t>(d)</w:t>
      </w:r>
      <w:r>
        <w:tab/>
        <w:t>the circumstances in which objections may be made to reversion licence applications;</w:t>
      </w:r>
    </w:p>
    <w:p>
      <w:pPr>
        <w:pStyle w:val="nzIndenta"/>
      </w:pPr>
      <w:r>
        <w:tab/>
        <w:t>(e)</w:t>
      </w:r>
      <w:r>
        <w:tab/>
        <w:t>the operation and effect of prospecting licences and exploration licences granted as a result of reversion licence applications;</w:t>
      </w:r>
    </w:p>
    <w:p>
      <w:pPr>
        <w:pStyle w:val="nzIndenta"/>
      </w:pPr>
      <w:r>
        <w:tab/>
        <w:t>(f)</w:t>
      </w:r>
      <w:r>
        <w:tab/>
        <w:t>the refund of rent paid in respect of a lease application or lease applications if a prospecting licence or an exploration licence is granted as a result of a reversion licence application; and</w:t>
      </w:r>
    </w:p>
    <w:p>
      <w:pPr>
        <w:pStyle w:val="nzIndenta"/>
      </w:pPr>
      <w:r>
        <w:tab/>
        <w:t>(g)</w:t>
      </w:r>
      <w:r>
        <w:tab/>
        <w:t>any other matters of an incidental, supplementary, savings or transitional nature that are necessary or expedient for the purposes of the scheme referred to in subsection (2).</w:t>
      </w:r>
    </w:p>
    <w:p>
      <w:pPr>
        <w:pStyle w:val="nzSubsection"/>
      </w:pPr>
      <w:r>
        <w:tab/>
        <w:t>(4)</w:t>
      </w:r>
      <w:r>
        <w:tab/>
        <w:t>Without limiting subsection (3), an order under subsection (2) may provide for a reversion licence application to include land that is not the subject of the relevant lease application or lease applications.</w:t>
      </w:r>
    </w:p>
    <w:p>
      <w:pPr>
        <w:pStyle w:val="nzSubsection"/>
      </w:pPr>
      <w:r>
        <w:tab/>
        <w:t>(5)</w:t>
      </w:r>
      <w:r>
        <w:tab/>
        <w:t>An order under subsection (2) has effect for the period specified in the order.</w:t>
      </w:r>
    </w:p>
    <w:p>
      <w:pPr>
        <w:pStyle w:val="nzSubsection"/>
      </w:pPr>
      <w:r>
        <w:tab/>
        <w:t>(6)</w:t>
      </w:r>
      <w:r>
        <w:tab/>
        <w:t xml:space="preserve">The Governor, by order published in the </w:t>
      </w:r>
      <w:r>
        <w:rPr>
          <w:i/>
        </w:rPr>
        <w:t>Gazette</w:t>
      </w:r>
      <w:r>
        <w:t>, may amend or revoke an order under subsection (2).</w:t>
      </w:r>
    </w:p>
    <w:p>
      <w:pPr>
        <w:pStyle w:val="nzSubsection"/>
      </w:pPr>
      <w:r>
        <w:tab/>
        <w:t>(7)</w:t>
      </w:r>
      <w:r>
        <w:tab/>
        <w:t xml:space="preserve">Section 42 of the </w:t>
      </w:r>
      <w:r>
        <w:rPr>
          <w:i/>
        </w:rPr>
        <w:t>Interpretation Act 1984</w:t>
      </w:r>
      <w:r>
        <w:t xml:space="preserve"> applies to an order under this section as if it were a regulation.</w:t>
      </w:r>
    </w:p>
    <w:p>
      <w:pPr>
        <w:pStyle w:val="MiscClose"/>
      </w:pPr>
      <w:r>
        <w:t xml:space="preserve">    ”.</w:t>
      </w:r>
    </w:p>
    <w:p>
      <w:pPr>
        <w:pStyle w:val="nzHeading5"/>
      </w:pPr>
      <w:bookmarkStart w:id="3073" w:name="_Toc87061551"/>
      <w:r>
        <w:rPr>
          <w:rStyle w:val="CharSectno"/>
        </w:rPr>
        <w:t>100</w:t>
      </w:r>
      <w:r>
        <w:t>.</w:t>
      </w:r>
      <w:r>
        <w:tab/>
        <w:t>Section 162 amended</w:t>
      </w:r>
      <w:bookmarkEnd w:id="3073"/>
    </w:p>
    <w:p>
      <w:pPr>
        <w:pStyle w:val="nzSubsection"/>
      </w:pPr>
      <w:r>
        <w:tab/>
        <w:t>(1)</w:t>
      </w:r>
      <w:r>
        <w:tab/>
        <w:t>Section 162(2) is amended as follows:</w:t>
      </w:r>
    </w:p>
    <w:p>
      <w:pPr>
        <w:pStyle w:val="nzIndenta"/>
      </w:pPr>
      <w:r>
        <w:tab/>
        <w:t>(a)</w:t>
      </w:r>
      <w:r>
        <w:tab/>
        <w:t xml:space="preserve">after paragraph (g) by inserting the following paragraphs — </w:t>
      </w:r>
    </w:p>
    <w:p>
      <w:pPr>
        <w:pStyle w:val="MiscOpen"/>
        <w:ind w:left="1340"/>
      </w:pPr>
      <w:r>
        <w:t xml:space="preserve">“    </w:t>
      </w:r>
    </w:p>
    <w:p>
      <w:pPr>
        <w:pStyle w:val="nzIndenta"/>
      </w:pPr>
      <w:r>
        <w:tab/>
        <w:t>(ga)</w:t>
      </w:r>
      <w:r>
        <w:tab/>
        <w:t>prescribe grounds for extension for the purposes of section 45(1a) and 61(2);</w:t>
      </w:r>
    </w:p>
    <w:p>
      <w:pPr>
        <w:pStyle w:val="nzIndenta"/>
      </w:pPr>
      <w:r>
        <w:tab/>
        <w:t>(gb)</w:t>
      </w:r>
      <w:r>
        <w:tab/>
        <w:t>prescribe grounds for deferral for the purposes of section 65(3a);</w:t>
      </w:r>
    </w:p>
    <w:p>
      <w:pPr>
        <w:pStyle w:val="MiscClose"/>
      </w:pPr>
      <w:r>
        <w:t xml:space="preserve">    ”;</w:t>
      </w:r>
    </w:p>
    <w:p>
      <w:pPr>
        <w:pStyle w:val="nzIndenta"/>
      </w:pPr>
      <w:r>
        <w:tab/>
        <w:t>(b)</w:t>
      </w:r>
      <w:r>
        <w:tab/>
        <w:t xml:space="preserve">in paragraph (k) by deleting “and records” and inserting instead — </w:t>
      </w:r>
    </w:p>
    <w:p>
      <w:pPr>
        <w:pStyle w:val="nzIndenta"/>
      </w:pPr>
      <w:r>
        <w:tab/>
      </w:r>
      <w:r>
        <w:tab/>
        <w:t>“    , and the keeping and furnishing of records,    ”.</w:t>
      </w:r>
    </w:p>
    <w:p>
      <w:pPr>
        <w:pStyle w:val="nzSubsection"/>
      </w:pPr>
      <w:r>
        <w:tab/>
        <w:t>(2)</w:t>
      </w:r>
      <w:r>
        <w:tab/>
        <w:t xml:space="preserve">After section 162(2) the following subsection is inserted — </w:t>
      </w:r>
    </w:p>
    <w:p>
      <w:pPr>
        <w:pStyle w:val="MiscOpen"/>
        <w:ind w:left="600"/>
      </w:pPr>
      <w:r>
        <w:t xml:space="preserve">“    </w:t>
      </w:r>
    </w:p>
    <w:p>
      <w:pPr>
        <w:pStyle w:val="nzSubsection"/>
      </w:pPr>
      <w:r>
        <w:tab/>
        <w:t>(2a)</w:t>
      </w:r>
      <w:r>
        <w:tab/>
        <w:t xml:space="preserve">Subsection (2)(x) applies to information irrespective of when — </w:t>
      </w:r>
    </w:p>
    <w:p>
      <w:pPr>
        <w:pStyle w:val="nzIndenta"/>
      </w:pPr>
      <w:r>
        <w:tab/>
        <w:t>(a)</w:t>
      </w:r>
      <w:r>
        <w:tab/>
        <w:t>any application or report containing the information was made or given; or</w:t>
      </w:r>
    </w:p>
    <w:p>
      <w:pPr>
        <w:pStyle w:val="nzIndenta"/>
      </w:pPr>
      <w:r>
        <w:tab/>
        <w:t>(b)</w:t>
      </w:r>
      <w:r>
        <w:tab/>
        <w:t>the information was supplied to the Minister, a warden or an official,</w:t>
      </w:r>
    </w:p>
    <w:p>
      <w:pPr>
        <w:pStyle w:val="nzSubsection"/>
      </w:pPr>
      <w:r>
        <w:tab/>
      </w:r>
      <w:r>
        <w:tab/>
        <w:t>as the case may be.</w:t>
      </w:r>
    </w:p>
    <w:p>
      <w:pPr>
        <w:pStyle w:val="MiscClose"/>
      </w:pPr>
      <w:r>
        <w:t xml:space="preserve">    ”.</w:t>
      </w:r>
    </w:p>
    <w:p>
      <w:pPr>
        <w:pStyle w:val="nzHeading5"/>
      </w:pPr>
      <w:bookmarkStart w:id="3074" w:name="_Toc87061552"/>
      <w:r>
        <w:rPr>
          <w:rStyle w:val="CharSectno"/>
        </w:rPr>
        <w:t>101</w:t>
      </w:r>
      <w:r>
        <w:t>.</w:t>
      </w:r>
      <w:r>
        <w:tab/>
        <w:t>Section 163 inserted</w:t>
      </w:r>
      <w:bookmarkEnd w:id="3074"/>
    </w:p>
    <w:p>
      <w:pPr>
        <w:pStyle w:val="nzSubsection"/>
      </w:pPr>
      <w:r>
        <w:tab/>
      </w:r>
      <w:r>
        <w:tab/>
        <w:t>After section 162 the following section is inserted —</w:t>
      </w:r>
    </w:p>
    <w:p>
      <w:pPr>
        <w:pStyle w:val="MiscOpen"/>
      </w:pPr>
      <w:r>
        <w:t xml:space="preserve">“    </w:t>
      </w:r>
    </w:p>
    <w:p>
      <w:pPr>
        <w:pStyle w:val="nzHeading5"/>
      </w:pPr>
      <w:r>
        <w:t>163.</w:t>
      </w:r>
      <w:r>
        <w:tab/>
        <w:t>Review of Act</w:t>
      </w:r>
    </w:p>
    <w:p>
      <w:pPr>
        <w:pStyle w:val="nz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nzSubsection"/>
      </w:pPr>
      <w:r>
        <w:tab/>
        <w:t>(2)</w:t>
      </w:r>
      <w:r>
        <w:tab/>
        <w:t>The Minister is to prepare a report based on the review and, as soon as is practicable after the report is prepared, is to cause the report to be laid before each House of Parliament.</w:t>
      </w:r>
    </w:p>
    <w:p>
      <w:pPr>
        <w:pStyle w:val="MiscClose"/>
      </w:pPr>
      <w:r>
        <w:t xml:space="preserve">    ”.</w:t>
      </w:r>
    </w:p>
    <w:p>
      <w:pPr>
        <w:pStyle w:val="nzHeading2"/>
        <w:rPr>
          <w:rStyle w:val="CharPartNo"/>
        </w:rPr>
      </w:pPr>
      <w:bookmarkStart w:id="3075" w:name="_Toc68505906"/>
      <w:bookmarkStart w:id="3076" w:name="_Toc68506614"/>
      <w:bookmarkStart w:id="3077" w:name="_Toc68513326"/>
      <w:bookmarkStart w:id="3078" w:name="_Toc68515335"/>
      <w:bookmarkStart w:id="3079" w:name="_Toc68516538"/>
      <w:bookmarkStart w:id="3080" w:name="_Toc68517811"/>
      <w:bookmarkStart w:id="3081" w:name="_Toc68518130"/>
      <w:bookmarkStart w:id="3082" w:name="_Toc68518327"/>
      <w:bookmarkStart w:id="3083" w:name="_Toc68588131"/>
      <w:bookmarkStart w:id="3084" w:name="_Toc68944000"/>
      <w:bookmarkStart w:id="3085" w:name="_Toc68944762"/>
      <w:bookmarkStart w:id="3086" w:name="_Toc68945569"/>
      <w:bookmarkStart w:id="3087" w:name="_Toc68946970"/>
      <w:bookmarkStart w:id="3088" w:name="_Toc68950808"/>
      <w:bookmarkStart w:id="3089" w:name="_Toc69017135"/>
      <w:bookmarkStart w:id="3090" w:name="_Toc69021907"/>
      <w:bookmarkStart w:id="3091" w:name="_Toc69022163"/>
      <w:bookmarkStart w:id="3092" w:name="_Toc69030891"/>
      <w:bookmarkStart w:id="3093" w:name="_Toc69100584"/>
      <w:bookmarkStart w:id="3094" w:name="_Toc69102830"/>
      <w:bookmarkStart w:id="3095" w:name="_Toc69117386"/>
      <w:bookmarkStart w:id="3096" w:name="_Toc69118092"/>
      <w:bookmarkStart w:id="3097" w:name="_Toc69271815"/>
      <w:bookmarkStart w:id="3098" w:name="_Toc69274192"/>
      <w:bookmarkStart w:id="3099" w:name="_Toc69274641"/>
      <w:bookmarkStart w:id="3100" w:name="_Toc69275399"/>
      <w:bookmarkStart w:id="3101" w:name="_Toc69275694"/>
      <w:bookmarkStart w:id="3102" w:name="_Toc69278460"/>
      <w:bookmarkStart w:id="3103" w:name="_Toc69280810"/>
      <w:bookmarkStart w:id="3104" w:name="_Toc69281151"/>
      <w:bookmarkStart w:id="3105" w:name="_Toc69281260"/>
      <w:bookmarkStart w:id="3106" w:name="_Toc69281427"/>
      <w:bookmarkStart w:id="3107" w:name="_Toc70327170"/>
      <w:bookmarkStart w:id="3108" w:name="_Toc70405308"/>
      <w:bookmarkStart w:id="3109" w:name="_Toc70995471"/>
      <w:bookmarkStart w:id="3110" w:name="_Toc71712599"/>
      <w:bookmarkStart w:id="3111" w:name="_Toc71714054"/>
      <w:bookmarkStart w:id="3112" w:name="_Toc71878797"/>
      <w:bookmarkStart w:id="3113" w:name="_Toc71880142"/>
      <w:bookmarkStart w:id="3114" w:name="_Toc71884523"/>
      <w:bookmarkStart w:id="3115" w:name="_Toc71887101"/>
      <w:bookmarkStart w:id="3116" w:name="_Toc71887342"/>
      <w:bookmarkStart w:id="3117" w:name="_Toc71953248"/>
      <w:bookmarkStart w:id="3118" w:name="_Toc71953391"/>
      <w:bookmarkStart w:id="3119" w:name="_Toc71957139"/>
      <w:bookmarkStart w:id="3120" w:name="_Toc71963769"/>
      <w:bookmarkStart w:id="3121" w:name="_Toc71969861"/>
      <w:bookmarkStart w:id="3122" w:name="_Toc71969970"/>
      <w:bookmarkStart w:id="3123" w:name="_Toc71973573"/>
      <w:bookmarkStart w:id="3124" w:name="_Toc71975687"/>
      <w:bookmarkStart w:id="3125" w:name="_Toc71976495"/>
      <w:bookmarkStart w:id="3126" w:name="_Toc72026889"/>
      <w:bookmarkStart w:id="3127" w:name="_Toc72027147"/>
      <w:bookmarkStart w:id="3128" w:name="_Toc72029204"/>
      <w:bookmarkStart w:id="3129" w:name="_Toc72044732"/>
      <w:bookmarkStart w:id="3130" w:name="_Toc72044842"/>
      <w:bookmarkStart w:id="3131" w:name="_Toc72049762"/>
      <w:bookmarkStart w:id="3132" w:name="_Toc72049874"/>
      <w:bookmarkStart w:id="3133" w:name="_Toc72748278"/>
      <w:bookmarkStart w:id="3134" w:name="_Toc72812825"/>
      <w:bookmarkStart w:id="3135" w:name="_Toc72827690"/>
      <w:bookmarkStart w:id="3136" w:name="_Toc73154196"/>
      <w:bookmarkStart w:id="3137" w:name="_Toc73154621"/>
      <w:bookmarkStart w:id="3138" w:name="_Toc73156379"/>
      <w:bookmarkStart w:id="3139" w:name="_Toc73156499"/>
      <w:bookmarkStart w:id="3140" w:name="_Toc73158466"/>
      <w:bookmarkStart w:id="3141" w:name="_Toc73158794"/>
      <w:bookmarkStart w:id="3142" w:name="_Toc73159159"/>
      <w:bookmarkStart w:id="3143" w:name="_Toc73159300"/>
      <w:bookmarkStart w:id="3144" w:name="_Toc73159972"/>
      <w:bookmarkStart w:id="3145" w:name="_Toc73160899"/>
      <w:bookmarkStart w:id="3146" w:name="_Toc73161693"/>
      <w:bookmarkStart w:id="3147" w:name="_Toc73161864"/>
      <w:bookmarkStart w:id="3148" w:name="_Toc73164297"/>
      <w:bookmarkStart w:id="3149" w:name="_Toc73179866"/>
      <w:bookmarkStart w:id="3150" w:name="_Toc73184407"/>
      <w:bookmarkStart w:id="3151" w:name="_Toc73241676"/>
      <w:bookmarkStart w:id="3152" w:name="_Toc73242238"/>
      <w:bookmarkStart w:id="3153" w:name="_Toc73242978"/>
      <w:bookmarkStart w:id="3154" w:name="_Toc73243095"/>
      <w:bookmarkStart w:id="3155" w:name="_Toc73243212"/>
      <w:bookmarkStart w:id="3156" w:name="_Toc73245267"/>
      <w:bookmarkStart w:id="3157" w:name="_Toc73246077"/>
      <w:bookmarkStart w:id="3158" w:name="_Toc73251595"/>
      <w:bookmarkStart w:id="3159" w:name="_Toc73258591"/>
      <w:bookmarkStart w:id="3160" w:name="_Toc73259672"/>
      <w:bookmarkStart w:id="3161" w:name="_Toc73422009"/>
      <w:bookmarkStart w:id="3162" w:name="_Toc73427410"/>
      <w:bookmarkStart w:id="3163" w:name="_Toc73428336"/>
      <w:bookmarkStart w:id="3164" w:name="_Toc73428453"/>
      <w:bookmarkStart w:id="3165" w:name="_Toc73428570"/>
      <w:bookmarkStart w:id="3166" w:name="_Toc73428824"/>
      <w:bookmarkStart w:id="3167" w:name="_Toc73429057"/>
      <w:bookmarkStart w:id="3168" w:name="_Toc73429545"/>
      <w:bookmarkStart w:id="3169" w:name="_Toc73436697"/>
      <w:bookmarkStart w:id="3170" w:name="_Toc73437540"/>
      <w:bookmarkStart w:id="3171" w:name="_Toc81200227"/>
      <w:bookmarkStart w:id="3172" w:name="_Toc81201837"/>
      <w:bookmarkStart w:id="3173" w:name="_Toc81209091"/>
      <w:r>
        <w:rPr>
          <w:rStyle w:val="CharPartNo"/>
        </w:rPr>
        <w:t>Part 12 — Transitional regulations</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nzHeading5"/>
      </w:pPr>
      <w:bookmarkStart w:id="3174" w:name="_Toc87061556"/>
      <w:r>
        <w:rPr>
          <w:rStyle w:val="CharSectno"/>
        </w:rPr>
        <w:t>105</w:t>
      </w:r>
      <w:r>
        <w:t>.</w:t>
      </w:r>
      <w:r>
        <w:tab/>
        <w:t>Further transitional provisions may be made</w:t>
      </w:r>
      <w:bookmarkEnd w:id="3174"/>
    </w:p>
    <w:p>
      <w:pPr>
        <w:pStyle w:val="nzSubsection"/>
      </w:pPr>
      <w:r>
        <w:tab/>
        <w:t>(1)</w:t>
      </w:r>
      <w:r>
        <w:tab/>
        <w:t xml:space="preserve">In this section — </w:t>
      </w:r>
    </w:p>
    <w:p>
      <w:pPr>
        <w:pStyle w:val="nzDefstart"/>
      </w:pPr>
      <w:r>
        <w:rPr>
          <w:b/>
        </w:rPr>
        <w:tab/>
        <w:t>“</w:t>
      </w:r>
      <w:r>
        <w:rPr>
          <w:rStyle w:val="CharDefText"/>
        </w:rPr>
        <w:t>amending provision</w:t>
      </w:r>
      <w:r>
        <w:rPr>
          <w:b/>
        </w:rPr>
        <w:t>”</w:t>
      </w:r>
      <w:r>
        <w:t xml:space="preserve"> means a provision of this Act;</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specified</w:t>
      </w:r>
      <w:r>
        <w:rPr>
          <w:b/>
        </w:rPr>
        <w:t>”</w:t>
      </w:r>
      <w:r>
        <w:t xml:space="preserve"> means specified or described in the regulations;</w:t>
      </w:r>
    </w:p>
    <w:p>
      <w:pPr>
        <w:pStyle w:val="nzDefstart"/>
      </w:pPr>
      <w:r>
        <w:rPr>
          <w:b/>
        </w:rPr>
        <w:tab/>
        <w:t>“</w:t>
      </w:r>
      <w:r>
        <w:rPr>
          <w:rStyle w:val="CharDefText"/>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pStyle w:val="nSubsection"/>
      </w:pPr>
      <w:r>
        <w:rPr>
          <w:vertAlign w:val="superscript"/>
        </w:rPr>
        <w:t>20</w:t>
      </w:r>
      <w:r>
        <w:tab/>
        <w:t>Footnote no longer applicable.</w:t>
      </w:r>
    </w:p>
    <w:p>
      <w:pPr>
        <w:pStyle w:val="nSubsection"/>
      </w:pPr>
      <w:r>
        <w:rPr>
          <w:vertAlign w:val="superscript"/>
        </w:rPr>
        <w:t>21</w:t>
      </w:r>
      <w:r>
        <w:tab/>
        <w:t>Footnote no longer applicable.</w:t>
      </w:r>
    </w:p>
    <w:p>
      <w:pPr>
        <w:pStyle w:val="nSubsection"/>
        <w:rPr>
          <w:snapToGrid w:val="0"/>
        </w:rPr>
      </w:pPr>
      <w:r>
        <w:rPr>
          <w:vertAlign w:val="superscript"/>
        </w:rPr>
        <w:t>22</w:t>
      </w:r>
      <w:r>
        <w:tab/>
      </w:r>
      <w:r>
        <w:rPr>
          <w:snapToGrid w:val="0"/>
        </w:rPr>
        <w:t>Footnote no longer applicable.</w:t>
      </w:r>
    </w:p>
    <w:p>
      <w:pPr>
        <w:pStyle w:val="nSubsection"/>
      </w:pPr>
      <w:r>
        <w:rPr>
          <w:vertAlign w:val="superscript"/>
        </w:rPr>
        <w:t>23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MiscClose"/>
      </w:pPr>
    </w:p>
    <w:p>
      <w:pPr>
        <w:pStyle w:val="nSubsection"/>
        <w:rPr>
          <w:snapToGrid w:val="0"/>
        </w:rPr>
      </w:pPr>
      <w:r>
        <w:rPr>
          <w:vertAlign w:val="superscript"/>
        </w:rPr>
        <w:t>24</w:t>
      </w:r>
      <w:r>
        <w:tab/>
      </w:r>
      <w:r>
        <w:rPr>
          <w:snapToGrid w:val="0"/>
        </w:rPr>
        <w:t xml:space="preserve">On the date as at which this compilation was prepared, the </w:t>
      </w:r>
      <w:r>
        <w:rPr>
          <w:i/>
          <w:noProof/>
          <w:snapToGrid w:val="0"/>
        </w:rPr>
        <w:t>Mining Amendment Act 2005</w:t>
      </w:r>
      <w:r>
        <w:rPr>
          <w:snapToGrid w:val="0"/>
        </w:rPr>
        <w:t xml:space="preserve"> had not come into operation.  It reads as follows:</w:t>
      </w:r>
    </w:p>
    <w:p>
      <w:pPr>
        <w:pStyle w:val="MiscOpen"/>
        <w:rPr>
          <w:snapToGrid w:val="0"/>
        </w:rPr>
      </w:pPr>
      <w:r>
        <w:rPr>
          <w:snapToGrid w:val="0"/>
        </w:rPr>
        <w:t>“</w:t>
      </w:r>
    </w:p>
    <w:p>
      <w:pPr>
        <w:pStyle w:val="nzHeading5"/>
      </w:pPr>
      <w:bookmarkStart w:id="3175" w:name="_Toc121208337"/>
      <w:bookmarkStart w:id="3176" w:name="_Toc122327937"/>
      <w:r>
        <w:rPr>
          <w:rStyle w:val="CharSectno"/>
        </w:rPr>
        <w:t>4</w:t>
      </w:r>
      <w:r>
        <w:t>.</w:t>
      </w:r>
      <w:r>
        <w:tab/>
        <w:t>Section 8 amended</w:t>
      </w:r>
      <w:bookmarkEnd w:id="3175"/>
      <w:bookmarkEnd w:id="3176"/>
    </w:p>
    <w:p>
      <w:pPr>
        <w:pStyle w:val="nzSubsection"/>
      </w:pPr>
      <w:r>
        <w:tab/>
      </w:r>
      <w:r>
        <w:tab/>
        <w:t xml:space="preserve">Section 8(1) is amended by inserting in the appropriate alphabetical position — </w:t>
      </w:r>
    </w:p>
    <w:p>
      <w:pPr>
        <w:pStyle w:val="MiscOpen"/>
        <w:ind w:left="880"/>
      </w:pPr>
      <w:r>
        <w:t xml:space="preserve">“    </w:t>
      </w:r>
    </w:p>
    <w:p>
      <w:pPr>
        <w:pStyle w:val="nzDefstart"/>
      </w:pPr>
      <w:r>
        <w:rPr>
          <w:b/>
        </w:rPr>
        <w:tab/>
        <w:t>“</w:t>
      </w:r>
      <w:r>
        <w:rPr>
          <w:rStyle w:val="CharDefText"/>
        </w:rPr>
        <w:t>reversion licence application</w:t>
      </w:r>
      <w:r>
        <w:rPr>
          <w:b/>
        </w:rPr>
        <w:t>”</w:t>
      </w:r>
      <w:r>
        <w:t xml:space="preserve"> means a reversion licence application authorised by an order under section 120AA(2);</w:t>
      </w:r>
    </w:p>
    <w:p>
      <w:pPr>
        <w:pStyle w:val="MiscClose"/>
      </w:pPr>
      <w:r>
        <w:t xml:space="preserve">    ”.</w:t>
      </w:r>
    </w:p>
    <w:p>
      <w:pPr>
        <w:pStyle w:val="nzHeading5"/>
      </w:pPr>
      <w:bookmarkStart w:id="3177" w:name="_Toc121208338"/>
      <w:bookmarkStart w:id="3178" w:name="_Toc122327938"/>
      <w:r>
        <w:rPr>
          <w:rStyle w:val="CharSectno"/>
        </w:rPr>
        <w:t>5</w:t>
      </w:r>
      <w:r>
        <w:t>.</w:t>
      </w:r>
      <w:r>
        <w:tab/>
        <w:t>Section 43 amended</w:t>
      </w:r>
      <w:bookmarkEnd w:id="3177"/>
      <w:bookmarkEnd w:id="3178"/>
    </w:p>
    <w:p>
      <w:pPr>
        <w:pStyle w:val="nzSubsection"/>
      </w:pPr>
      <w:r>
        <w:tab/>
      </w:r>
      <w:r>
        <w:tab/>
        <w:t>Section 43(2) is amended as follows:</w:t>
      </w:r>
    </w:p>
    <w:p>
      <w:pPr>
        <w:pStyle w:val="nzIndenta"/>
      </w:pPr>
      <w:r>
        <w:tab/>
        <w:t>(a)</w:t>
      </w:r>
      <w:r>
        <w:tab/>
        <w:t xml:space="preserve">by inserting after “special prospecting licence” — </w:t>
      </w:r>
    </w:p>
    <w:p>
      <w:pPr>
        <w:pStyle w:val="nzIndenta"/>
      </w:pPr>
      <w:r>
        <w:tab/>
      </w:r>
      <w:r>
        <w:tab/>
        <w:t>“    granted    ”;</w:t>
      </w:r>
    </w:p>
    <w:p>
      <w:pPr>
        <w:pStyle w:val="nzIndenta"/>
      </w:pPr>
      <w:r>
        <w:tab/>
        <w:t>(b)</w:t>
      </w:r>
      <w:r>
        <w:tab/>
        <w:t xml:space="preserve">by inserting after “section 56A” — </w:t>
      </w:r>
    </w:p>
    <w:p>
      <w:pPr>
        <w:pStyle w:val="nzIndenta"/>
      </w:pPr>
      <w:r>
        <w:tab/>
      </w:r>
      <w:r>
        <w:tab/>
        <w:t>“     , 70 or 85B     ”;</w:t>
      </w:r>
    </w:p>
    <w:p>
      <w:pPr>
        <w:pStyle w:val="nzIndenta"/>
      </w:pPr>
      <w:r>
        <w:tab/>
        <w:t>(c)</w:t>
      </w:r>
      <w:r>
        <w:tab/>
        <w:t xml:space="preserve">by inserting after “section 56B” — </w:t>
      </w:r>
    </w:p>
    <w:p>
      <w:pPr>
        <w:pStyle w:val="nzIndenta"/>
      </w:pPr>
      <w:r>
        <w:tab/>
      </w:r>
      <w:r>
        <w:tab/>
        <w:t>“    or a reversion licence application    ”.</w:t>
      </w:r>
    </w:p>
    <w:p>
      <w:pPr>
        <w:pStyle w:val="nzHeading5"/>
      </w:pPr>
      <w:bookmarkStart w:id="3179" w:name="_Toc121208339"/>
      <w:bookmarkStart w:id="3180" w:name="_Toc122327939"/>
      <w:r>
        <w:rPr>
          <w:rStyle w:val="CharSectno"/>
        </w:rPr>
        <w:t>6</w:t>
      </w:r>
      <w:r>
        <w:t>.</w:t>
      </w:r>
      <w:r>
        <w:tab/>
        <w:t>Section 56A amended</w:t>
      </w:r>
      <w:bookmarkEnd w:id="3179"/>
      <w:bookmarkEnd w:id="3180"/>
    </w:p>
    <w:p>
      <w:pPr>
        <w:pStyle w:val="nzSubsection"/>
      </w:pPr>
      <w:r>
        <w:tab/>
        <w:t>(1)</w:t>
      </w:r>
      <w:r>
        <w:tab/>
        <w:t xml:space="preserve">Section 56A(1)(b) is amended by inserting after “case,” — </w:t>
      </w:r>
    </w:p>
    <w:p>
      <w:pPr>
        <w:pStyle w:val="nzSubsection"/>
      </w:pPr>
      <w:r>
        <w:tab/>
      </w:r>
      <w:r>
        <w:tab/>
        <w:t>“    unless subsection (1aa) applies,    ”.</w:t>
      </w:r>
    </w:p>
    <w:p>
      <w:pPr>
        <w:pStyle w:val="nzSubsection"/>
      </w:pPr>
      <w:r>
        <w:tab/>
        <w:t>(2)</w:t>
      </w:r>
      <w:r>
        <w:tab/>
        <w:t xml:space="preserve">After section 56A(1) the following subsection is inserted — </w:t>
      </w:r>
    </w:p>
    <w:p>
      <w:pPr>
        <w:pStyle w:val="MiscOpen"/>
        <w:ind w:left="600"/>
      </w:pPr>
      <w:r>
        <w:t xml:space="preserve">“    </w:t>
      </w:r>
    </w:p>
    <w:p>
      <w:pPr>
        <w:pStyle w:val="nz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MiscClose"/>
      </w:pPr>
      <w:bookmarkStart w:id="3181" w:name="_Toc98149992"/>
      <w:r>
        <w:t xml:space="preserve">    ”.</w:t>
      </w:r>
    </w:p>
    <w:p>
      <w:pPr>
        <w:pStyle w:val="nzSubsection"/>
      </w:pPr>
      <w:r>
        <w:tab/>
        <w:t>(3)</w:t>
      </w:r>
      <w:r>
        <w:tab/>
        <w:t>Section 56A(12) is amended as follows:</w:t>
      </w:r>
    </w:p>
    <w:p>
      <w:pPr>
        <w:pStyle w:val="nzIndenta"/>
      </w:pPr>
      <w:r>
        <w:tab/>
        <w:t>(a)</w:t>
      </w:r>
      <w:r>
        <w:tab/>
        <w:t>after paragraph (a) by deleting “or”;</w:t>
      </w:r>
    </w:p>
    <w:p>
      <w:pPr>
        <w:pStyle w:val="nzIndenta"/>
      </w:pPr>
      <w:r>
        <w:tab/>
        <w:t>(b)</w:t>
      </w:r>
      <w:r>
        <w:tab/>
        <w:t xml:space="preserve">by deleting “special prospecting licence.” at the end of paragraph (b) and inserting instead — </w:t>
      </w:r>
    </w:p>
    <w:p>
      <w:pPr>
        <w:pStyle w:val="MiscOpen"/>
        <w:ind w:left="1620"/>
      </w:pPr>
      <w:r>
        <w:t xml:space="preserve">“    </w:t>
      </w:r>
    </w:p>
    <w:p>
      <w:pPr>
        <w:pStyle w:val="nzIndenta"/>
        <w:rPr>
          <w:snapToGrid w:val="0"/>
        </w:rPr>
      </w:pPr>
      <w:r>
        <w:tab/>
      </w:r>
      <w:r>
        <w:tab/>
      </w:r>
      <w:r>
        <w:rPr>
          <w:snapToGrid w:val="0"/>
        </w:rPr>
        <w:t>application for a special prospecting licence or the special prospecting licence</w:t>
      </w:r>
      <w:r>
        <w:rPr>
          <w:snapToGrid w:val="0"/>
          <w:color w:val="000000"/>
        </w:rPr>
        <w:t>, as the case requires;</w:t>
      </w:r>
    </w:p>
    <w:p>
      <w:pPr>
        <w:pStyle w:val="nz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nz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MiscClose"/>
      </w:pPr>
      <w:r>
        <w:t xml:space="preserve">    ”.</w:t>
      </w:r>
    </w:p>
    <w:p>
      <w:pPr>
        <w:pStyle w:val="nzHeading5"/>
      </w:pPr>
      <w:bookmarkStart w:id="3182" w:name="_Toc121208340"/>
      <w:bookmarkStart w:id="3183" w:name="_Toc122327940"/>
      <w:bookmarkStart w:id="3184" w:name="_Toc98150266"/>
      <w:r>
        <w:rPr>
          <w:rStyle w:val="CharSectno"/>
        </w:rPr>
        <w:t>7</w:t>
      </w:r>
      <w:r>
        <w:t>.</w:t>
      </w:r>
      <w:r>
        <w:tab/>
        <w:t>Section 57 amended</w:t>
      </w:r>
      <w:bookmarkEnd w:id="3182"/>
      <w:bookmarkEnd w:id="3183"/>
    </w:p>
    <w:p>
      <w:pPr>
        <w:pStyle w:val="nzSubsection"/>
      </w:pPr>
      <w:r>
        <w:tab/>
      </w:r>
      <w:r>
        <w:tab/>
        <w:t xml:space="preserve">After section 57(2e) the following subsection is inserted — </w:t>
      </w:r>
    </w:p>
    <w:p>
      <w:pPr>
        <w:pStyle w:val="MiscOpen"/>
        <w:ind w:left="600"/>
      </w:pPr>
      <w:r>
        <w:t xml:space="preserve">“    </w:t>
      </w:r>
    </w:p>
    <w:p>
      <w:pPr>
        <w:pStyle w:val="nz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MiscClose"/>
      </w:pPr>
      <w:r>
        <w:t xml:space="preserve">    ”.</w:t>
      </w:r>
    </w:p>
    <w:p>
      <w:pPr>
        <w:pStyle w:val="nzHeading5"/>
      </w:pPr>
      <w:bookmarkStart w:id="3185" w:name="_Toc121208341"/>
      <w:bookmarkStart w:id="3186" w:name="_Toc122327941"/>
      <w:r>
        <w:rPr>
          <w:rStyle w:val="CharSectno"/>
        </w:rPr>
        <w:t>8</w:t>
      </w:r>
      <w:r>
        <w:t>.</w:t>
      </w:r>
      <w:r>
        <w:tab/>
        <w:t>Section 63A amended</w:t>
      </w:r>
      <w:bookmarkEnd w:id="3185"/>
      <w:bookmarkEnd w:id="3186"/>
    </w:p>
    <w:p>
      <w:pPr>
        <w:pStyle w:val="nzSubsection"/>
      </w:pPr>
      <w:r>
        <w:tab/>
      </w:r>
      <w:r>
        <w:tab/>
        <w:t>Section 63A(aa) is amended by inserting a comma after “60(1a)”.</w:t>
      </w:r>
    </w:p>
    <w:p>
      <w:pPr>
        <w:pStyle w:val="nzHeading5"/>
      </w:pPr>
      <w:bookmarkStart w:id="3187" w:name="_Toc121208342"/>
      <w:bookmarkStart w:id="3188" w:name="_Toc122327942"/>
      <w:r>
        <w:rPr>
          <w:rStyle w:val="CharSectno"/>
        </w:rPr>
        <w:t>9</w:t>
      </w:r>
      <w:r>
        <w:t>.</w:t>
      </w:r>
      <w:r>
        <w:tab/>
        <w:t>Section 65 amended</w:t>
      </w:r>
      <w:bookmarkEnd w:id="3187"/>
      <w:bookmarkEnd w:id="3188"/>
    </w:p>
    <w:p>
      <w:pPr>
        <w:pStyle w:val="nzSubsection"/>
      </w:pPr>
      <w:r>
        <w:tab/>
      </w:r>
      <w:r>
        <w:tab/>
        <w:t xml:space="preserve">Section 65(1) is amended in paragraph (b) of the definition of “surrender day” by deleting “(3c)” and inserting instead — </w:t>
      </w:r>
    </w:p>
    <w:p>
      <w:pPr>
        <w:pStyle w:val="nzSubsection"/>
      </w:pPr>
      <w:r>
        <w:tab/>
      </w:r>
      <w:r>
        <w:tab/>
        <w:t>“    (3d)    ”.</w:t>
      </w:r>
    </w:p>
    <w:p>
      <w:pPr>
        <w:pStyle w:val="nzHeading5"/>
      </w:pPr>
      <w:bookmarkStart w:id="3189" w:name="_Toc121208343"/>
      <w:bookmarkStart w:id="3190" w:name="_Toc122327943"/>
      <w:r>
        <w:rPr>
          <w:rStyle w:val="CharSectno"/>
        </w:rPr>
        <w:t>10</w:t>
      </w:r>
      <w:r>
        <w:t>.</w:t>
      </w:r>
      <w:r>
        <w:tab/>
        <w:t>Section 70 amended</w:t>
      </w:r>
      <w:bookmarkEnd w:id="3189"/>
      <w:bookmarkEnd w:id="3190"/>
    </w:p>
    <w:p>
      <w:pPr>
        <w:pStyle w:val="nzSubsection"/>
      </w:pPr>
      <w:r>
        <w:tab/>
        <w:t>(1)</w:t>
      </w:r>
      <w:r>
        <w:tab/>
        <w:t xml:space="preserve">Section 70(1)(b) is amended by inserting after “case,” — </w:t>
      </w:r>
    </w:p>
    <w:p>
      <w:pPr>
        <w:pStyle w:val="nzSubsection"/>
      </w:pPr>
      <w:r>
        <w:tab/>
      </w:r>
      <w:r>
        <w:tab/>
        <w:t>“    unless subsection (1aa) applies,    ”.</w:t>
      </w:r>
    </w:p>
    <w:p>
      <w:pPr>
        <w:pStyle w:val="nzSubsection"/>
      </w:pPr>
      <w:r>
        <w:tab/>
        <w:t>(2)</w:t>
      </w:r>
      <w:r>
        <w:tab/>
        <w:t xml:space="preserve">After section 70(1) the following subsection is inserted — </w:t>
      </w:r>
    </w:p>
    <w:p>
      <w:pPr>
        <w:pStyle w:val="MiscOpen"/>
        <w:ind w:left="600"/>
      </w:pPr>
      <w:r>
        <w:t xml:space="preserve">“    </w:t>
      </w:r>
    </w:p>
    <w:p>
      <w:pPr>
        <w:pStyle w:val="nz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MiscClose"/>
      </w:pPr>
      <w:r>
        <w:t xml:space="preserve">    ”.</w:t>
      </w:r>
    </w:p>
    <w:p>
      <w:pPr>
        <w:pStyle w:val="nzSubsection"/>
      </w:pPr>
      <w:r>
        <w:tab/>
        <w:t>(3)</w:t>
      </w:r>
      <w:r>
        <w:tab/>
        <w:t>Section 70(12) is amended as follows:</w:t>
      </w:r>
    </w:p>
    <w:p>
      <w:pPr>
        <w:pStyle w:val="nzIndenta"/>
      </w:pPr>
      <w:r>
        <w:tab/>
        <w:t>(a)</w:t>
      </w:r>
      <w:r>
        <w:tab/>
        <w:t>after paragraph (a) by deleting “or”;</w:t>
      </w:r>
    </w:p>
    <w:p>
      <w:pPr>
        <w:pStyle w:val="nzIndenta"/>
      </w:pPr>
      <w:r>
        <w:tab/>
        <w:t>(b)</w:t>
      </w:r>
      <w:r>
        <w:tab/>
        <w:t xml:space="preserve">by deleting “special prospecting licence.” at the end of paragraph (b) and inserting instead — </w:t>
      </w:r>
    </w:p>
    <w:p>
      <w:pPr>
        <w:pStyle w:val="MiscOpen"/>
        <w:ind w:left="1620"/>
      </w:pPr>
      <w:r>
        <w:t xml:space="preserve">“    </w:t>
      </w:r>
    </w:p>
    <w:p>
      <w:pPr>
        <w:pStyle w:val="nzIndenta"/>
        <w:rPr>
          <w:snapToGrid w:val="0"/>
        </w:rPr>
      </w:pPr>
      <w:r>
        <w:tab/>
      </w:r>
      <w:r>
        <w:tab/>
      </w:r>
      <w:r>
        <w:rPr>
          <w:snapToGrid w:val="0"/>
        </w:rPr>
        <w:t>application for a special prospecting licence or the special prospecting licence</w:t>
      </w:r>
      <w:r>
        <w:rPr>
          <w:snapToGrid w:val="0"/>
          <w:color w:val="000000"/>
        </w:rPr>
        <w:t>, as the case requires; or</w:t>
      </w:r>
    </w:p>
    <w:p>
      <w:pPr>
        <w:pStyle w:val="nz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MiscClose"/>
      </w:pPr>
      <w:r>
        <w:t xml:space="preserve">    ”.</w:t>
      </w:r>
    </w:p>
    <w:p>
      <w:pPr>
        <w:pStyle w:val="nzHeading5"/>
      </w:pPr>
      <w:bookmarkStart w:id="3191" w:name="_Toc121208344"/>
      <w:bookmarkStart w:id="3192" w:name="_Toc122327944"/>
      <w:r>
        <w:rPr>
          <w:rStyle w:val="CharSectno"/>
        </w:rPr>
        <w:t>11</w:t>
      </w:r>
      <w:r>
        <w:t>.</w:t>
      </w:r>
      <w:r>
        <w:tab/>
        <w:t>Section 120AA amended</w:t>
      </w:r>
      <w:bookmarkEnd w:id="3191"/>
      <w:bookmarkEnd w:id="3192"/>
    </w:p>
    <w:p>
      <w:pPr>
        <w:pStyle w:val="nzSubsection"/>
      </w:pPr>
      <w:r>
        <w:tab/>
        <w:t>(1)</w:t>
      </w:r>
      <w:r>
        <w:tab/>
        <w:t>Section 120AA(1) is amended as follows:</w:t>
      </w:r>
    </w:p>
    <w:p>
      <w:pPr>
        <w:pStyle w:val="nzIndenta"/>
      </w:pPr>
      <w:r>
        <w:tab/>
        <w:t>(a)</w:t>
      </w:r>
      <w:r>
        <w:tab/>
        <w:t>by deleting the definitions of “amending Act” and “reversion licence application”;</w:t>
      </w:r>
    </w:p>
    <w:p>
      <w:pPr>
        <w:pStyle w:val="nzIndenta"/>
      </w:pPr>
      <w:r>
        <w:tab/>
        <w:t>(b)</w:t>
      </w:r>
      <w:r>
        <w:tab/>
        <w:t xml:space="preserve">by deleting the definition of “continued licence” and inserting instead — </w:t>
      </w:r>
    </w:p>
    <w:p>
      <w:pPr>
        <w:pStyle w:val="MiscOpen"/>
        <w:ind w:left="880"/>
      </w:pPr>
      <w:r>
        <w:t xml:space="preserve">“    </w:t>
      </w:r>
    </w:p>
    <w:p>
      <w:pPr>
        <w:pStyle w:val="nz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MiscClose"/>
      </w:pPr>
      <w:r>
        <w:t xml:space="preserve">    ”;</w:t>
      </w:r>
    </w:p>
    <w:p>
      <w:pPr>
        <w:pStyle w:val="nzIndenta"/>
      </w:pPr>
      <w:r>
        <w:tab/>
        <w:t>(c)</w:t>
      </w:r>
      <w:r>
        <w:tab/>
        <w:t>by deleting the semicolon at the end of the definition of “lease application” and inserting a full stop instead.</w:t>
      </w:r>
    </w:p>
    <w:p>
      <w:pPr>
        <w:pStyle w:val="nzSubsection"/>
      </w:pPr>
      <w:r>
        <w:tab/>
        <w:t>(2)</w:t>
      </w:r>
      <w:r>
        <w:tab/>
        <w:t xml:space="preserve">Section 120AA(2) is amended by deleting “reversion licence applications” and inserting instead — </w:t>
      </w:r>
    </w:p>
    <w:p>
      <w:pPr>
        <w:pStyle w:val="MiscOpen"/>
        <w:ind w:left="880"/>
      </w:pPr>
      <w:r>
        <w:t xml:space="preserve">“    </w:t>
      </w:r>
    </w:p>
    <w:p>
      <w:pPr>
        <w:pStyle w:val="nzSubsection"/>
      </w:pPr>
      <w:r>
        <w:tab/>
      </w:r>
      <w:r>
        <w:tab/>
        <w:t>applications for a prospecting licence or an exploration licence</w:t>
      </w:r>
    </w:p>
    <w:p>
      <w:pPr>
        <w:pStyle w:val="MiscClose"/>
      </w:pPr>
      <w:r>
        <w:t xml:space="preserve">    ”.</w:t>
      </w:r>
    </w:p>
    <w:p>
      <w:pPr>
        <w:pStyle w:val="nzSubsection"/>
      </w:pPr>
      <w:r>
        <w:tab/>
        <w:t>(3)</w:t>
      </w:r>
      <w:r>
        <w:tab/>
        <w:t xml:space="preserve">Section 120AA(3)(b)(ii) is amended by deleting “continued” and inserting instead — </w:t>
      </w:r>
    </w:p>
    <w:p>
      <w:pPr>
        <w:pStyle w:val="nzSubsection"/>
      </w:pPr>
      <w:r>
        <w:tab/>
      </w:r>
      <w:r>
        <w:tab/>
        <w:t>“    continuing    ”.</w:t>
      </w:r>
    </w:p>
    <w:p>
      <w:pPr>
        <w:pStyle w:val="nzSubsection"/>
      </w:pPr>
      <w:r>
        <w:tab/>
        <w:t>(4)</w:t>
      </w:r>
      <w:r>
        <w:tab/>
        <w:t xml:space="preserve">After section 120AA(7) the following subsections are inserted — </w:t>
      </w:r>
    </w:p>
    <w:p>
      <w:pPr>
        <w:pStyle w:val="MiscOpen"/>
        <w:ind w:left="600"/>
      </w:pPr>
      <w:r>
        <w:t xml:space="preserve">“    </w:t>
      </w:r>
    </w:p>
    <w:p>
      <w:pPr>
        <w:pStyle w:val="nzSubsection"/>
      </w:pPr>
      <w:r>
        <w:tab/>
        <w:t>(8)</w:t>
      </w:r>
      <w:r>
        <w:tab/>
        <w:t>An order under subsection (2) has effect despite any other provision of this Act.</w:t>
      </w:r>
    </w:p>
    <w:p>
      <w:pPr>
        <w:pStyle w:val="nzSubsection"/>
      </w:pPr>
      <w:r>
        <w:tab/>
        <w:t>(9)</w:t>
      </w:r>
      <w:r>
        <w:tab/>
        <w:t>Despite sections 18, 23 and 27, a reversion licence application may be made in respect of land that is the subject of a mining tenement if the mining tenement is a continuing licence held by the applicant.</w:t>
      </w:r>
    </w:p>
    <w:p>
      <w:pPr>
        <w:pStyle w:val="nzSubsection"/>
      </w:pPr>
      <w:r>
        <w:tab/>
        <w:t>(10)</w:t>
      </w:r>
      <w:r>
        <w:tab/>
        <w:t xml:space="preserve">Section 40(1)(b) or (c) of the </w:t>
      </w:r>
      <w:r>
        <w:rPr>
          <w:i/>
          <w:iCs/>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MiscClose"/>
        <w:ind w:right="284"/>
      </w:pPr>
      <w:bookmarkStart w:id="3193" w:name="_Toc98151939"/>
      <w:bookmarkStart w:id="3194" w:name="_Toc98152202"/>
      <w:bookmarkStart w:id="3195" w:name="_Toc98217783"/>
      <w:bookmarkStart w:id="3196" w:name="_Toc98222647"/>
      <w:bookmarkStart w:id="3197" w:name="_Toc98563775"/>
      <w:bookmarkStart w:id="3198" w:name="_Toc98643381"/>
      <w:bookmarkStart w:id="3199" w:name="_Toc98643469"/>
      <w:bookmarkStart w:id="3200" w:name="_Toc98643998"/>
      <w:bookmarkStart w:id="3201" w:name="_Toc98644283"/>
      <w:r>
        <w:t xml:space="preserve">    ”.</w:t>
      </w:r>
    </w:p>
    <w:bookmarkEnd w:id="3181"/>
    <w:bookmarkEnd w:id="3184"/>
    <w:bookmarkEnd w:id="3193"/>
    <w:bookmarkEnd w:id="3194"/>
    <w:bookmarkEnd w:id="3195"/>
    <w:bookmarkEnd w:id="3196"/>
    <w:bookmarkEnd w:id="3197"/>
    <w:bookmarkEnd w:id="3198"/>
    <w:bookmarkEnd w:id="3199"/>
    <w:bookmarkEnd w:id="3200"/>
    <w:bookmarkEnd w:id="3201"/>
    <w:p>
      <w:pPr>
        <w:pStyle w:val="MiscClose"/>
        <w:rPr>
          <w:snapToGrid w:val="0"/>
        </w:rPr>
      </w:pPr>
      <w:r>
        <w:rPr>
          <w:snapToGrid w:val="0"/>
        </w:rPr>
        <w: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202" w:name="_Toc476631191"/>
      <w:bookmarkStart w:id="3203" w:name="_Toc477066412"/>
      <w:bookmarkStart w:id="3204" w:name="_Toc497301942"/>
      <w:bookmarkStart w:id="3205" w:name="_Toc83657956"/>
      <w:bookmarkStart w:id="3206" w:name="_Toc122243710"/>
      <w:bookmarkStart w:id="3207" w:name="_Toc122425166"/>
      <w:r>
        <w:rPr>
          <w:rStyle w:val="CharSectno"/>
        </w:rPr>
        <w:t>15</w:t>
      </w:r>
      <w:r>
        <w:t>.</w:t>
      </w:r>
      <w:r>
        <w:tab/>
        <w:t>Acts in Schedule 2 amended</w:t>
      </w:r>
      <w:bookmarkEnd w:id="3202"/>
      <w:bookmarkEnd w:id="3203"/>
      <w:bookmarkEnd w:id="3204"/>
      <w:bookmarkEnd w:id="3205"/>
      <w:bookmarkEnd w:id="3206"/>
      <w:bookmarkEnd w:id="320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42 reads as follows:</w:t>
      </w:r>
    </w:p>
    <w:p>
      <w:pPr>
        <w:pStyle w:val="MiscOpen"/>
      </w:pPr>
      <w:r>
        <w:t>“</w:t>
      </w:r>
    </w:p>
    <w:p>
      <w:pPr>
        <w:pStyle w:val="nzHeading2"/>
      </w:pPr>
      <w:bookmarkStart w:id="3208" w:name="_Toc122243734"/>
      <w:bookmarkStart w:id="3209" w:name="_Toc122425190"/>
      <w:r>
        <w:rPr>
          <w:rStyle w:val="CharSchNo"/>
        </w:rPr>
        <w:t>Schedule 2</w:t>
      </w:r>
      <w:r>
        <w:rPr>
          <w:rStyle w:val="CharSDivNo"/>
        </w:rPr>
        <w:t> </w:t>
      </w:r>
      <w:r>
        <w:t>—</w:t>
      </w:r>
      <w:r>
        <w:rPr>
          <w:rStyle w:val="CharSDivText"/>
        </w:rPr>
        <w:t> </w:t>
      </w:r>
      <w:r>
        <w:rPr>
          <w:rStyle w:val="CharSchText"/>
        </w:rPr>
        <w:t>Consequential amendments</w:t>
      </w:r>
      <w:bookmarkEnd w:id="3208"/>
      <w:bookmarkEnd w:id="3209"/>
    </w:p>
    <w:p>
      <w:pPr>
        <w:pStyle w:val="nzMiscellaneousBody"/>
        <w:jc w:val="right"/>
      </w:pPr>
      <w:r>
        <w:t>[s.</w:t>
      </w:r>
      <w:bookmarkStart w:id="3210" w:name="_Hlt485012328"/>
      <w:r>
        <w:t> 15</w:t>
      </w:r>
      <w:bookmarkEnd w:id="3210"/>
      <w:r>
        <w:t>]</w:t>
      </w:r>
    </w:p>
    <w:p>
      <w:pPr>
        <w:pStyle w:val="nzHeading5"/>
      </w:pPr>
      <w:bookmarkStart w:id="3211" w:name="_Toc476631242"/>
      <w:bookmarkStart w:id="3212" w:name="_Toc477066462"/>
      <w:bookmarkStart w:id="3213" w:name="_Toc497301990"/>
      <w:bookmarkStart w:id="3214" w:name="_Toc83658052"/>
      <w:bookmarkStart w:id="3215" w:name="_Toc122243776"/>
      <w:bookmarkStart w:id="3216" w:name="_Toc122425232"/>
      <w:r>
        <w:rPr>
          <w:rStyle w:val="CharSClsNo"/>
        </w:rPr>
        <w:t>42</w:t>
      </w:r>
      <w:r>
        <w:t>.</w:t>
      </w:r>
      <w:r>
        <w:tab/>
      </w:r>
      <w:r>
        <w:rPr>
          <w:i/>
        </w:rPr>
        <w:t>Mining Act 1978</w:t>
      </w:r>
      <w:bookmarkEnd w:id="3211"/>
      <w:bookmarkEnd w:id="3212"/>
      <w:bookmarkEnd w:id="3213"/>
      <w:bookmarkEnd w:id="3214"/>
      <w:bookmarkEnd w:id="3215"/>
      <w:bookmarkEnd w:id="3216"/>
    </w:p>
    <w:p>
      <w:pPr>
        <w:pStyle w:val="nzSubsection"/>
      </w:pPr>
      <w:r>
        <w:tab/>
        <w:t>(1)</w:t>
      </w:r>
      <w:r>
        <w:tab/>
        <w:t>Section 120(1) is amended as follows:</w:t>
      </w:r>
    </w:p>
    <w:p>
      <w:pPr>
        <w:pStyle w:val="nzIndenta"/>
      </w:pPr>
      <w:r>
        <w:tab/>
        <w:t>(a)</w:t>
      </w:r>
      <w:r>
        <w:tab/>
        <w:t xml:space="preserve">by deleting “town planning scheme in force under the </w:t>
      </w:r>
      <w:r>
        <w:rPr>
          <w:i/>
        </w:rPr>
        <w:t>Town Planning and Development Act 1928</w:t>
      </w:r>
      <w:r>
        <w:t xml:space="preserve"> or local laws in force under the </w:t>
      </w:r>
      <w:r>
        <w:rPr>
          <w:i/>
        </w:rPr>
        <w:t>Local Government Act 1995</w:t>
      </w:r>
      <w:r>
        <w:t xml:space="preserve">” and inserting instead — </w:t>
      </w:r>
    </w:p>
    <w:p>
      <w:pPr>
        <w:pStyle w:val="MiscOpen"/>
        <w:ind w:left="879"/>
        <w:rPr>
          <w:sz w:val="22"/>
        </w:rPr>
      </w:pPr>
      <w:r>
        <w:rPr>
          <w:sz w:val="22"/>
        </w:rPr>
        <w:t xml:space="preserve">“    </w:t>
      </w:r>
    </w:p>
    <w:p>
      <w:pPr>
        <w:pStyle w:val="nzSubsection"/>
      </w:pPr>
      <w:r>
        <w:rPr>
          <w:sz w:val="22"/>
        </w:rPr>
        <w:tab/>
      </w:r>
      <w:r>
        <w:rPr>
          <w:sz w:val="22"/>
        </w:rPr>
        <w:tab/>
      </w:r>
      <w:r>
        <w:t xml:space="preserve">planning scheme in force under the </w:t>
      </w:r>
      <w:r>
        <w:rPr>
          <w:i/>
        </w:rPr>
        <w:t>Planning and Development Act 2005</w:t>
      </w:r>
    </w:p>
    <w:p>
      <w:pPr>
        <w:pStyle w:val="MiscClose"/>
        <w:rPr>
          <w:sz w:val="22"/>
        </w:rPr>
      </w:pPr>
      <w:r>
        <w:rPr>
          <w:sz w:val="22"/>
        </w:rPr>
        <w:t xml:space="preserve">    ”;</w:t>
      </w:r>
    </w:p>
    <w:p>
      <w:pPr>
        <w:pStyle w:val="nzIndenta"/>
      </w:pPr>
      <w:r>
        <w:tab/>
        <w:t>(b)</w:t>
      </w:r>
      <w:r>
        <w:tab/>
        <w:t>by deleting “or local laws” in the second place where it occurs.</w:t>
      </w:r>
    </w:p>
    <w:p>
      <w:pPr>
        <w:pStyle w:val="nzSubsection"/>
      </w:pPr>
      <w:r>
        <w:tab/>
        <w:t>(2)</w:t>
      </w:r>
      <w:r>
        <w:tab/>
        <w:t>Section 120(2) is amended as follows:</w:t>
      </w:r>
    </w:p>
    <w:p>
      <w:pPr>
        <w:pStyle w:val="nzIndenta"/>
      </w:pPr>
      <w:r>
        <w:tab/>
        <w:t>(a)</w:t>
      </w:r>
      <w:r>
        <w:tab/>
        <w:t xml:space="preserve">by deleting “the </w:t>
      </w:r>
      <w:r>
        <w:rPr>
          <w:i/>
        </w:rPr>
        <w:t>Town Planning and Development Act 1928</w:t>
      </w:r>
      <w:r>
        <w:t xml:space="preserve">” in both places where it occurs and inserting instead — </w:t>
      </w:r>
    </w:p>
    <w:p>
      <w:pPr>
        <w:pStyle w:val="nzIndenta"/>
      </w:pPr>
      <w:r>
        <w:tab/>
      </w:r>
      <w:r>
        <w:tab/>
        <w:t xml:space="preserve">“    the </w:t>
      </w:r>
      <w:r>
        <w:rPr>
          <w:i/>
        </w:rPr>
        <w:t>Planning and Development Act 2005</w:t>
      </w:r>
      <w:r>
        <w:t xml:space="preserve">    ”;</w:t>
      </w:r>
    </w:p>
    <w:p>
      <w:pPr>
        <w:pStyle w:val="nzIndenta"/>
      </w:pPr>
      <w:r>
        <w:tab/>
        <w:t>(b)</w:t>
      </w:r>
      <w:r>
        <w:tab/>
        <w:t xml:space="preserve">in paragraph (b) — </w:t>
      </w:r>
    </w:p>
    <w:p>
      <w:pPr>
        <w:pStyle w:val="nzIndenti"/>
      </w:pPr>
      <w:r>
        <w:tab/>
        <w:t>(i)</w:t>
      </w:r>
      <w:r>
        <w:tab/>
        <w:t xml:space="preserve">by inserting after “local government” — </w:t>
      </w:r>
    </w:p>
    <w:p>
      <w:pPr>
        <w:pStyle w:val="MiscOpen"/>
        <w:ind w:left="1616"/>
        <w:rPr>
          <w:sz w:val="22"/>
        </w:rPr>
      </w:pPr>
      <w:r>
        <w:rPr>
          <w:sz w:val="22"/>
        </w:rPr>
        <w:t xml:space="preserve">“    </w:t>
      </w:r>
    </w:p>
    <w:p>
      <w:pPr>
        <w:pStyle w:val="nzIndenta"/>
      </w:pPr>
      <w:r>
        <w:rPr>
          <w:sz w:val="22"/>
        </w:rPr>
        <w:tab/>
      </w:r>
      <w:r>
        <w:rPr>
          <w:sz w:val="22"/>
        </w:rPr>
        <w:tab/>
      </w:r>
      <w:r>
        <w:t>or the Western Australian Planning Commission</w:t>
      </w:r>
    </w:p>
    <w:p>
      <w:pPr>
        <w:pStyle w:val="MiscClose"/>
        <w:rPr>
          <w:sz w:val="22"/>
        </w:rPr>
      </w:pPr>
      <w:r>
        <w:rPr>
          <w:sz w:val="22"/>
        </w:rPr>
        <w:t xml:space="preserve">    </w:t>
      </w:r>
      <w:r>
        <w:rPr>
          <w:sz w:val="20"/>
        </w:rPr>
        <w:t>”; and</w:t>
      </w:r>
    </w:p>
    <w:p>
      <w:pPr>
        <w:pStyle w:val="nzIndenti"/>
      </w:pPr>
      <w:r>
        <w:tab/>
        <w:t>(ii)</w:t>
      </w:r>
      <w:r>
        <w:tab/>
        <w:t xml:space="preserve">by deleting “town planning scheme or local laws” and inserting instead — </w:t>
      </w:r>
    </w:p>
    <w:p>
      <w:pPr>
        <w:pStyle w:val="nzIndenti"/>
      </w:pPr>
      <w:r>
        <w:tab/>
      </w:r>
      <w:r>
        <w:tab/>
        <w:t>“    planning scheme    ”.</w:t>
      </w:r>
    </w:p>
    <w:p>
      <w:pPr>
        <w:pStyle w:val="MiscClose"/>
        <w:rPr>
          <w:sz w:val="22"/>
        </w:rPr>
      </w:pPr>
      <w:r>
        <w:rPr>
          <w:sz w:val="22"/>
        </w:rPr>
        <w:t xml:space="preserve">    ”;</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21F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0AD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266F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46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14A8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985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432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2A74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0E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27C0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658FA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FACE8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EA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D23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330</Pages>
  <Words>92742</Words>
  <Characters>435892</Characters>
  <Application>Microsoft Office Word</Application>
  <DocSecurity>0</DocSecurity>
  <Lines>11470</Lines>
  <Paragraphs>5809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1978 - 05-n0-02</dc:title>
  <dc:subject/>
  <dc:creator/>
  <cp:keywords/>
  <dc:description/>
  <cp:lastModifiedBy>svcMRProcess</cp:lastModifiedBy>
  <cp:revision>4</cp:revision>
  <cp:lastPrinted>2001-09-17T04:33:00Z</cp:lastPrinted>
  <dcterms:created xsi:type="dcterms:W3CDTF">2020-02-18T14:27:00Z</dcterms:created>
  <dcterms:modified xsi:type="dcterms:W3CDTF">2020-02-18T14:28:00Z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517</vt:i4>
  </property>
  <property fmtid="{D5CDD505-2E9C-101B-9397-08002B2CF9AE}" pid="6" name="AsAtDate">
    <vt:lpwstr>01 Jan 2006</vt:lpwstr>
  </property>
  <property fmtid="{D5CDD505-2E9C-101B-9397-08002B2CF9AE}" pid="7" name="Suffix">
    <vt:lpwstr>05-n0-02</vt:lpwstr>
  </property>
</Properties>
</file>