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E2" w:rsidRDefault="00D80A18">
      <w:pPr>
        <w:pStyle w:val="WA"/>
      </w:pPr>
      <w:bookmarkStart w:id="0" w:name="_GoBack"/>
      <w:bookmarkEnd w:id="0"/>
      <w:r>
        <w:t>Western Australia</w:t>
      </w:r>
    </w:p>
    <w:p w:rsidR="00DA1BE2" w:rsidRDefault="00D80A18">
      <w:pPr>
        <w:pStyle w:val="NameofActRegPage1"/>
        <w:spacing w:before="3760" w:after="4200"/>
      </w:pPr>
      <w:r>
        <w:fldChar w:fldCharType="begin"/>
      </w:r>
      <w:r>
        <w:instrText xml:space="preserve"> STYLEREF "Name Of Act/Reg"</w:instrText>
      </w:r>
      <w:r>
        <w:fldChar w:fldCharType="separate"/>
      </w:r>
      <w:r w:rsidR="00F97C3F">
        <w:rPr>
          <w:noProof/>
        </w:rPr>
        <w:t>Mining on Private Property Act 1898</w:t>
      </w:r>
      <w:r>
        <w:fldChar w:fldCharType="end"/>
      </w:r>
    </w:p>
    <w:p w:rsidR="00DA1BE2" w:rsidRDefault="00DA1BE2">
      <w:pPr>
        <w:jc w:val="center"/>
        <w:rPr>
          <w:b/>
        </w:rPr>
        <w:sectPr w:rsidR="00DA1B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1BE2" w:rsidRDefault="00D80A18">
      <w:pPr>
        <w:pStyle w:val="WA"/>
      </w:pPr>
      <w:r>
        <w:lastRenderedPageBreak/>
        <w:t>Western Australia</w:t>
      </w:r>
    </w:p>
    <w:p w:rsidR="00DA1BE2" w:rsidRDefault="00D80A18">
      <w:pPr>
        <w:pStyle w:val="NameofActRegPage1"/>
      </w:pPr>
      <w:r>
        <w:fldChar w:fldCharType="begin"/>
      </w:r>
      <w:r>
        <w:instrText xml:space="preserve"> STYLEREF "Name Of Act/Reg"</w:instrText>
      </w:r>
      <w:r>
        <w:fldChar w:fldCharType="separate"/>
      </w:r>
      <w:r w:rsidR="00F97C3F">
        <w:rPr>
          <w:noProof/>
        </w:rPr>
        <w:t>Mining on Private Property Act 1898</w:t>
      </w:r>
      <w:r>
        <w:fldChar w:fldCharType="end"/>
      </w:r>
    </w:p>
    <w:p w:rsidR="00DA1BE2" w:rsidRDefault="00D80A18">
      <w:pPr>
        <w:pStyle w:val="Arrangement"/>
      </w:pPr>
      <w:r>
        <w:t>CONTENTS</w:t>
      </w:r>
    </w:p>
    <w:p w:rsidR="00DA1BE2" w:rsidRDefault="00D80A18">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56</w:t>
      </w:r>
      <w:r>
        <w:rPr>
          <w:noProof/>
          <w:snapToGrid w:val="0"/>
          <w:szCs w:val="24"/>
        </w:rPr>
        <w:t>.</w:t>
      </w:r>
      <w:r>
        <w:rPr>
          <w:noProof/>
          <w:sz w:val="24"/>
          <w:szCs w:val="24"/>
        </w:rPr>
        <w:tab/>
      </w:r>
      <w:r>
        <w:rPr>
          <w:noProof/>
          <w:snapToGrid w:val="0"/>
          <w:szCs w:val="24"/>
        </w:rPr>
        <w:t>The Hampton Lands and Railway Syndicate, Limited</w:t>
      </w:r>
      <w:r>
        <w:rPr>
          <w:noProof/>
        </w:rPr>
        <w:tab/>
      </w:r>
      <w:r>
        <w:rPr>
          <w:noProof/>
        </w:rPr>
        <w:fldChar w:fldCharType="begin"/>
      </w:r>
      <w:r>
        <w:rPr>
          <w:noProof/>
        </w:rPr>
        <w:instrText xml:space="preserve"> PAGEREF _Toc87083943 \h </w:instrText>
      </w:r>
      <w:r>
        <w:rPr>
          <w:noProof/>
        </w:rPr>
      </w:r>
      <w:r>
        <w:rPr>
          <w:noProof/>
        </w:rPr>
        <w:fldChar w:fldCharType="separate"/>
      </w:r>
      <w:r w:rsidR="00F97C3F">
        <w:rPr>
          <w:noProof/>
        </w:rPr>
        <w:t>1</w:t>
      </w:r>
      <w:r>
        <w:rPr>
          <w:noProof/>
        </w:rPr>
        <w:fldChar w:fldCharType="end"/>
      </w:r>
    </w:p>
    <w:p w:rsidR="00DA1BE2" w:rsidRDefault="00D80A18">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Regulations may be made</w:t>
      </w:r>
      <w:r>
        <w:rPr>
          <w:noProof/>
        </w:rPr>
        <w:tab/>
      </w:r>
      <w:r>
        <w:rPr>
          <w:noProof/>
        </w:rPr>
        <w:fldChar w:fldCharType="begin"/>
      </w:r>
      <w:r>
        <w:rPr>
          <w:noProof/>
        </w:rPr>
        <w:instrText xml:space="preserve"> PAGEREF _Toc87083944 \h </w:instrText>
      </w:r>
      <w:r>
        <w:rPr>
          <w:noProof/>
        </w:rPr>
      </w:r>
      <w:r>
        <w:rPr>
          <w:noProof/>
        </w:rPr>
        <w:fldChar w:fldCharType="separate"/>
      </w:r>
      <w:r w:rsidR="00F97C3F">
        <w:rPr>
          <w:noProof/>
        </w:rPr>
        <w:t>2</w:t>
      </w:r>
      <w:r>
        <w:rPr>
          <w:noProof/>
        </w:rPr>
        <w:fldChar w:fldCharType="end"/>
      </w:r>
    </w:p>
    <w:p w:rsidR="00DA1BE2" w:rsidRDefault="00D80A18">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Regulations on publication to have the force of the law</w:t>
      </w:r>
      <w:r>
        <w:rPr>
          <w:noProof/>
        </w:rPr>
        <w:tab/>
      </w:r>
      <w:r>
        <w:rPr>
          <w:noProof/>
        </w:rPr>
        <w:fldChar w:fldCharType="begin"/>
      </w:r>
      <w:r>
        <w:rPr>
          <w:noProof/>
        </w:rPr>
        <w:instrText xml:space="preserve"> PAGEREF _Toc87083945 \h </w:instrText>
      </w:r>
      <w:r>
        <w:rPr>
          <w:noProof/>
        </w:rPr>
      </w:r>
      <w:r>
        <w:rPr>
          <w:noProof/>
        </w:rPr>
        <w:fldChar w:fldCharType="separate"/>
      </w:r>
      <w:r w:rsidR="00F97C3F">
        <w:rPr>
          <w:noProof/>
        </w:rPr>
        <w:t>2</w:t>
      </w:r>
      <w:r>
        <w:rPr>
          <w:noProof/>
        </w:rPr>
        <w:fldChar w:fldCharType="end"/>
      </w:r>
    </w:p>
    <w:p w:rsidR="00DA1BE2" w:rsidRDefault="00D80A18">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Fines may be imposed</w:t>
      </w:r>
      <w:r>
        <w:rPr>
          <w:noProof/>
        </w:rPr>
        <w:tab/>
      </w:r>
      <w:r>
        <w:rPr>
          <w:noProof/>
        </w:rPr>
        <w:fldChar w:fldCharType="begin"/>
      </w:r>
      <w:r>
        <w:rPr>
          <w:noProof/>
        </w:rPr>
        <w:instrText xml:space="preserve"> PAGEREF _Toc87083946 \h </w:instrText>
      </w:r>
      <w:r>
        <w:rPr>
          <w:noProof/>
        </w:rPr>
      </w:r>
      <w:r>
        <w:rPr>
          <w:noProof/>
        </w:rPr>
        <w:fldChar w:fldCharType="separate"/>
      </w:r>
      <w:r w:rsidR="00F97C3F">
        <w:rPr>
          <w:noProof/>
        </w:rPr>
        <w:t>2</w:t>
      </w:r>
      <w:r>
        <w:rPr>
          <w:noProof/>
        </w:rPr>
        <w:fldChar w:fldCharType="end"/>
      </w:r>
    </w:p>
    <w:p w:rsidR="00DA1BE2" w:rsidRDefault="00D80A18">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Proceedings on breach of regulations</w:t>
      </w:r>
      <w:r>
        <w:rPr>
          <w:noProof/>
        </w:rPr>
        <w:tab/>
      </w:r>
      <w:r>
        <w:rPr>
          <w:noProof/>
        </w:rPr>
        <w:fldChar w:fldCharType="begin"/>
      </w:r>
      <w:r>
        <w:rPr>
          <w:noProof/>
        </w:rPr>
        <w:instrText xml:space="preserve"> PAGEREF _Toc87083947 \h </w:instrText>
      </w:r>
      <w:r>
        <w:rPr>
          <w:noProof/>
        </w:rPr>
      </w:r>
      <w:r>
        <w:rPr>
          <w:noProof/>
        </w:rPr>
        <w:fldChar w:fldCharType="separate"/>
      </w:r>
      <w:r w:rsidR="00F97C3F">
        <w:rPr>
          <w:noProof/>
        </w:rPr>
        <w:t>2</w:t>
      </w:r>
      <w:r>
        <w:rPr>
          <w:noProof/>
        </w:rPr>
        <w:fldChar w:fldCharType="end"/>
      </w:r>
    </w:p>
    <w:p w:rsidR="00DA1BE2" w:rsidRDefault="00D80A18">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Royalty released</w:t>
      </w:r>
      <w:r>
        <w:rPr>
          <w:noProof/>
        </w:rPr>
        <w:tab/>
      </w:r>
      <w:r>
        <w:rPr>
          <w:noProof/>
        </w:rPr>
        <w:fldChar w:fldCharType="begin"/>
      </w:r>
      <w:r>
        <w:rPr>
          <w:noProof/>
        </w:rPr>
        <w:instrText xml:space="preserve"> PAGEREF _Toc87083948 \h </w:instrText>
      </w:r>
      <w:r>
        <w:rPr>
          <w:noProof/>
        </w:rPr>
      </w:r>
      <w:r>
        <w:rPr>
          <w:noProof/>
        </w:rPr>
        <w:fldChar w:fldCharType="separate"/>
      </w:r>
      <w:r w:rsidR="00F97C3F">
        <w:rPr>
          <w:noProof/>
        </w:rPr>
        <w:t>3</w:t>
      </w:r>
      <w:r>
        <w:rPr>
          <w:noProof/>
        </w:rPr>
        <w:fldChar w:fldCharType="end"/>
      </w:r>
    </w:p>
    <w:p w:rsidR="00DA1BE2" w:rsidRDefault="00D80A18">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Provisions of preceding divisions of this Act not to apply</w:t>
      </w:r>
      <w:r>
        <w:rPr>
          <w:noProof/>
        </w:rPr>
        <w:tab/>
      </w:r>
      <w:r>
        <w:rPr>
          <w:noProof/>
        </w:rPr>
        <w:fldChar w:fldCharType="begin"/>
      </w:r>
      <w:r>
        <w:rPr>
          <w:noProof/>
        </w:rPr>
        <w:instrText xml:space="preserve"> PAGEREF _Toc87083949 \h </w:instrText>
      </w:r>
      <w:r>
        <w:rPr>
          <w:noProof/>
        </w:rPr>
      </w:r>
      <w:r>
        <w:rPr>
          <w:noProof/>
        </w:rPr>
        <w:fldChar w:fldCharType="separate"/>
      </w:r>
      <w:r w:rsidR="00F97C3F">
        <w:rPr>
          <w:noProof/>
        </w:rPr>
        <w:t>3</w:t>
      </w:r>
      <w:r>
        <w:rPr>
          <w:noProof/>
        </w:rPr>
        <w:fldChar w:fldCharType="end"/>
      </w:r>
    </w:p>
    <w:p w:rsidR="00DA1BE2" w:rsidRDefault="00D80A18">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_Toc87083950 \h </w:instrText>
      </w:r>
      <w:r>
        <w:rPr>
          <w:b w:val="0"/>
          <w:noProof/>
          <w:sz w:val="22"/>
        </w:rPr>
      </w:r>
      <w:r>
        <w:rPr>
          <w:b w:val="0"/>
          <w:noProof/>
          <w:sz w:val="22"/>
        </w:rPr>
        <w:fldChar w:fldCharType="separate"/>
      </w:r>
      <w:r w:rsidR="00F97C3F">
        <w:rPr>
          <w:b w:val="0"/>
          <w:noProof/>
          <w:sz w:val="22"/>
        </w:rPr>
        <w:t>4</w:t>
      </w:r>
      <w:r>
        <w:rPr>
          <w:b w:val="0"/>
          <w:noProof/>
          <w:sz w:val="22"/>
        </w:rPr>
        <w:fldChar w:fldCharType="end"/>
      </w:r>
    </w:p>
    <w:p w:rsidR="00DA1BE2" w:rsidRDefault="00D80A18">
      <w:pPr>
        <w:pStyle w:val="TOC2"/>
        <w:tabs>
          <w:tab w:val="right" w:leader="dot" w:pos="7086"/>
        </w:tabs>
        <w:rPr>
          <w:b w:val="0"/>
          <w:noProof/>
          <w:sz w:val="24"/>
          <w:szCs w:val="24"/>
        </w:rPr>
      </w:pPr>
      <w:r>
        <w:rPr>
          <w:noProof/>
          <w:szCs w:val="26"/>
        </w:rPr>
        <w:t>Notes</w:t>
      </w:r>
    </w:p>
    <w:p w:rsidR="00DA1BE2" w:rsidRDefault="00D80A1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_Toc87083952 \h </w:instrText>
      </w:r>
      <w:r>
        <w:rPr>
          <w:noProof/>
        </w:rPr>
      </w:r>
      <w:r>
        <w:rPr>
          <w:noProof/>
        </w:rPr>
        <w:fldChar w:fldCharType="separate"/>
      </w:r>
      <w:r w:rsidR="00F97C3F">
        <w:rPr>
          <w:noProof/>
        </w:rPr>
        <w:t>5</w:t>
      </w:r>
      <w:r>
        <w:rPr>
          <w:noProof/>
        </w:rPr>
        <w:fldChar w:fldCharType="end"/>
      </w:r>
    </w:p>
    <w:p w:rsidR="00DA1BE2" w:rsidRDefault="00D80A18">
      <w:pPr>
        <w:pStyle w:val="TOC2"/>
      </w:pPr>
      <w:r>
        <w:fldChar w:fldCharType="end"/>
      </w:r>
    </w:p>
    <w:p w:rsidR="00DA1BE2" w:rsidRDefault="00D80A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1BE2" w:rsidRDefault="00DA1BE2">
      <w:pPr>
        <w:pStyle w:val="NoteHeading"/>
        <w:sectPr w:rsidR="00DA1BE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A1BE2" w:rsidRDefault="00D80A18">
      <w:pPr>
        <w:pStyle w:val="WA"/>
        <w:spacing w:before="120"/>
      </w:pPr>
      <w:r>
        <w:t>Western Australia</w:t>
      </w:r>
    </w:p>
    <w:p w:rsidR="00DA1BE2" w:rsidRDefault="00D80A18">
      <w:pPr>
        <w:pStyle w:val="NameofActReg"/>
      </w:pPr>
      <w:r>
        <w:t xml:space="preserve">Mining on Private Property Act 1898 </w:t>
      </w:r>
    </w:p>
    <w:p w:rsidR="00DA1BE2" w:rsidRDefault="00D80A18">
      <w:pPr>
        <w:pStyle w:val="LongTitle"/>
        <w:rPr>
          <w:snapToGrid w:val="0"/>
        </w:rPr>
      </w:pPr>
      <w:r>
        <w:rPr>
          <w:snapToGrid w:val="0"/>
        </w:rPr>
        <w:t xml:space="preserve">An Act to permit mining on private property. </w:t>
      </w:r>
    </w:p>
    <w:p w:rsidR="00DA1BE2" w:rsidRDefault="00D80A18">
      <w:pPr>
        <w:pStyle w:val="Ednotesection"/>
      </w:pPr>
      <w:r>
        <w:t>[</w:t>
      </w:r>
      <w:r>
        <w:rPr>
          <w:b/>
        </w:rPr>
        <w:t>1</w:t>
      </w:r>
      <w:r>
        <w:rPr>
          <w:b/>
        </w:rPr>
        <w:noBreakHyphen/>
        <w:t>55</w:t>
      </w:r>
      <w:r>
        <w:rPr>
          <w:b/>
        </w:rPr>
        <w:tab/>
        <w:t>.</w:t>
      </w:r>
      <w:r>
        <w:tab/>
        <w:t>Deleted by No. 15 of 1904 s. 4.]</w:t>
      </w:r>
    </w:p>
    <w:p w:rsidR="00DA1BE2" w:rsidRDefault="00D80A18">
      <w:pPr>
        <w:pStyle w:val="MiscellaneousHeading"/>
        <w:rPr>
          <w:i/>
          <w:snapToGrid w:val="0"/>
        </w:rPr>
      </w:pPr>
      <w:r>
        <w:rPr>
          <w:i/>
          <w:snapToGrid w:val="0"/>
        </w:rPr>
        <w:t>(12) — Hampton Plains Estate</w:t>
      </w:r>
    </w:p>
    <w:p w:rsidR="00DA1BE2" w:rsidRDefault="00D80A18">
      <w:pPr>
        <w:pStyle w:val="Heading5"/>
        <w:rPr>
          <w:snapToGrid w:val="0"/>
        </w:rPr>
      </w:pPr>
      <w:bookmarkStart w:id="1" w:name="_Toc411842498"/>
      <w:bookmarkStart w:id="2" w:name="_Toc87083943"/>
      <w:r>
        <w:rPr>
          <w:rStyle w:val="CharSectno"/>
        </w:rPr>
        <w:t>56</w:t>
      </w:r>
      <w:r>
        <w:rPr>
          <w:snapToGrid w:val="0"/>
        </w:rPr>
        <w:t>.</w:t>
      </w:r>
      <w:r>
        <w:rPr>
          <w:snapToGrid w:val="0"/>
        </w:rPr>
        <w:tab/>
        <w:t>The Hampton Lands and Railway Syndicate, Limited</w:t>
      </w:r>
      <w:bookmarkEnd w:id="1"/>
      <w:bookmarkEnd w:id="2"/>
      <w:r>
        <w:rPr>
          <w:snapToGrid w:val="0"/>
        </w:rPr>
        <w:t xml:space="preserve"> </w:t>
      </w:r>
    </w:p>
    <w:p w:rsidR="00DA1BE2" w:rsidRDefault="00D80A18">
      <w:pPr>
        <w:pStyle w:val="Subsection"/>
        <w:rPr>
          <w:snapToGrid w:val="0"/>
        </w:rPr>
      </w:pPr>
      <w:r>
        <w:rPr>
          <w:snapToGrid w:val="0"/>
        </w:rPr>
        <w:tab/>
      </w:r>
      <w:r>
        <w:rPr>
          <w:snapToGrid w:val="0"/>
        </w:rPr>
        <w:tab/>
        <w:t>It is declared as follows: — </w:t>
      </w:r>
    </w:p>
    <w:p w:rsidR="00DA1BE2" w:rsidRDefault="00D80A18">
      <w:pPr>
        <w:pStyle w:val="Indenta"/>
        <w:rPr>
          <w:snapToGrid w:val="0"/>
        </w:rPr>
      </w:pPr>
      <w:r>
        <w:rPr>
          <w:snapToGrid w:val="0"/>
        </w:rPr>
        <w:tab/>
        <w:t>(a)</w:t>
      </w:r>
      <w:r>
        <w:rPr>
          <w:snapToGrid w:val="0"/>
        </w:rPr>
        <w:tab/>
        <w:t>By an agreement, in writing, dated 18 June 1890, made between Sir Frederick Napier Broome, Knight Commander of the Most Distinguished Order of St. Michael and St. George, Governor of the Colony of Western Australia, acting therein for and on behalf of the Government of the said Colony of the one part and the Hampton Lands and Railway Syndicate, Limited, of the other part, it was agreed that the Government should sell and the Syndicate should purchase 216,000 acres of Crown Lands on the terms and conditions in the said agreement mentioned:</w:t>
      </w:r>
    </w:p>
    <w:p w:rsidR="00DA1BE2" w:rsidRDefault="00D80A18">
      <w:pPr>
        <w:pStyle w:val="Indenta"/>
        <w:rPr>
          <w:snapToGrid w:val="0"/>
        </w:rPr>
      </w:pPr>
      <w:r>
        <w:rPr>
          <w:snapToGrid w:val="0"/>
        </w:rPr>
        <w:tab/>
        <w:t>(b)</w:t>
      </w:r>
      <w:r>
        <w:rPr>
          <w:snapToGrid w:val="0"/>
        </w:rPr>
        <w:tab/>
        <w:t>The said purchase was duly completed by the said Syndicate:</w:t>
      </w:r>
    </w:p>
    <w:p w:rsidR="00DA1BE2" w:rsidRDefault="00D80A18">
      <w:pPr>
        <w:pStyle w:val="Indenta"/>
        <w:rPr>
          <w:snapToGrid w:val="0"/>
        </w:rPr>
      </w:pPr>
      <w:r>
        <w:rPr>
          <w:snapToGrid w:val="0"/>
        </w:rPr>
        <w:tab/>
        <w:t>(c)</w:t>
      </w:r>
      <w:r>
        <w:rPr>
          <w:snapToGrid w:val="0"/>
        </w:rPr>
        <w:tab/>
        <w:t>It was one of the terms of the said agreement that the Government should grant to the Syndicate on its application a permit to work all the metals reserved by the Crown Grants of the said lands in accordance with the regulations authorising such permit:</w:t>
      </w:r>
    </w:p>
    <w:p w:rsidR="00DA1BE2" w:rsidRDefault="00D80A18">
      <w:pPr>
        <w:pStyle w:val="Indenta"/>
        <w:rPr>
          <w:snapToGrid w:val="0"/>
        </w:rPr>
      </w:pPr>
      <w:r>
        <w:rPr>
          <w:snapToGrid w:val="0"/>
        </w:rPr>
        <w:tab/>
        <w:t>(d)</w:t>
      </w:r>
      <w:r>
        <w:rPr>
          <w:snapToGrid w:val="0"/>
        </w:rPr>
        <w:tab/>
        <w:t>The lands which were granted to the said Syndicate, under the said agreement, are those set forth in the Schedule hereto, and the same are now held in fee simple by the said Syndicate or its assigns:</w:t>
      </w:r>
    </w:p>
    <w:p w:rsidR="00DA1BE2" w:rsidRDefault="00D80A18">
      <w:pPr>
        <w:pStyle w:val="Indenta"/>
        <w:rPr>
          <w:snapToGrid w:val="0"/>
        </w:rPr>
      </w:pPr>
      <w:r>
        <w:rPr>
          <w:snapToGrid w:val="0"/>
        </w:rPr>
        <w:tab/>
        <w:t>(e)</w:t>
      </w:r>
      <w:r>
        <w:rPr>
          <w:snapToGrid w:val="0"/>
        </w:rPr>
        <w:tab/>
        <w:t>By the regulations authorising the permit aforesaid a royalty of two shillings</w:t>
      </w:r>
      <w:r>
        <w:rPr>
          <w:snapToGrid w:val="0"/>
          <w:vertAlign w:val="superscript"/>
        </w:rPr>
        <w:t> 2</w:t>
      </w:r>
      <w:r>
        <w:rPr>
          <w:snapToGrid w:val="0"/>
        </w:rPr>
        <w:t xml:space="preserve"> per ounce is payable on all gold won from the said lands:</w:t>
      </w:r>
    </w:p>
    <w:p w:rsidR="00DA1BE2" w:rsidRDefault="00D80A18">
      <w:pPr>
        <w:pStyle w:val="Indenta"/>
        <w:rPr>
          <w:snapToGrid w:val="0"/>
        </w:rPr>
      </w:pPr>
      <w:r>
        <w:rPr>
          <w:snapToGrid w:val="0"/>
        </w:rPr>
        <w:tab/>
        <w:t>(f)</w:t>
      </w:r>
      <w:r>
        <w:rPr>
          <w:snapToGrid w:val="0"/>
        </w:rPr>
        <w:tab/>
        <w:t>With the object of facilitating the settlement and development of the said lands it is expedient to release the said royalty, and to enact the following provisions.</w:t>
      </w:r>
    </w:p>
    <w:p w:rsidR="00DA1BE2" w:rsidRDefault="00D80A18">
      <w:pPr>
        <w:pStyle w:val="Heading5"/>
        <w:rPr>
          <w:snapToGrid w:val="0"/>
        </w:rPr>
      </w:pPr>
      <w:bookmarkStart w:id="3" w:name="_Toc411842499"/>
      <w:bookmarkStart w:id="4" w:name="_Toc87083944"/>
      <w:r>
        <w:rPr>
          <w:rStyle w:val="CharSectno"/>
        </w:rPr>
        <w:t>57</w:t>
      </w:r>
      <w:r>
        <w:rPr>
          <w:snapToGrid w:val="0"/>
        </w:rPr>
        <w:t>.</w:t>
      </w:r>
      <w:r>
        <w:rPr>
          <w:snapToGrid w:val="0"/>
        </w:rPr>
        <w:tab/>
        <w:t>Regulations may be made</w:t>
      </w:r>
      <w:bookmarkEnd w:id="3"/>
      <w:bookmarkEnd w:id="4"/>
      <w:r>
        <w:rPr>
          <w:snapToGrid w:val="0"/>
        </w:rPr>
        <w:t xml:space="preserve"> </w:t>
      </w:r>
    </w:p>
    <w:p w:rsidR="00DA1BE2" w:rsidRDefault="00D80A18">
      <w:pPr>
        <w:pStyle w:val="Subsection"/>
        <w:rPr>
          <w:snapToGrid w:val="0"/>
        </w:rPr>
      </w:pPr>
      <w:r>
        <w:rPr>
          <w:snapToGrid w:val="0"/>
        </w:rPr>
        <w:tab/>
      </w:r>
      <w:r>
        <w:rPr>
          <w:snapToGrid w:val="0"/>
        </w:rPr>
        <w:tab/>
        <w:t>The respective owners of the said lands mentioned in the Schedule hereto, may, from time to time, with the approval of the Governor, but not otherwise, make, alter, amend, and repeal regulations for the management of gold</w:t>
      </w:r>
      <w:r>
        <w:rPr>
          <w:snapToGrid w:val="0"/>
        </w:rPr>
        <w:noBreakHyphen/>
        <w:t>mining on their lands.</w:t>
      </w:r>
    </w:p>
    <w:p w:rsidR="00DA1BE2" w:rsidRDefault="00D80A18">
      <w:pPr>
        <w:pStyle w:val="Heading5"/>
        <w:rPr>
          <w:snapToGrid w:val="0"/>
        </w:rPr>
      </w:pPr>
      <w:bookmarkStart w:id="5" w:name="_Toc411842500"/>
      <w:bookmarkStart w:id="6" w:name="_Toc87083945"/>
      <w:r>
        <w:rPr>
          <w:rStyle w:val="CharSectno"/>
        </w:rPr>
        <w:t>58</w:t>
      </w:r>
      <w:r>
        <w:rPr>
          <w:snapToGrid w:val="0"/>
        </w:rPr>
        <w:t>.</w:t>
      </w:r>
      <w:r>
        <w:rPr>
          <w:snapToGrid w:val="0"/>
        </w:rPr>
        <w:tab/>
        <w:t>Regulations on publication to have the force of the law</w:t>
      </w:r>
      <w:bookmarkEnd w:id="5"/>
      <w:bookmarkEnd w:id="6"/>
      <w:r>
        <w:rPr>
          <w:snapToGrid w:val="0"/>
        </w:rPr>
        <w:t xml:space="preserve"> </w:t>
      </w:r>
    </w:p>
    <w:p w:rsidR="00DA1BE2" w:rsidRDefault="00D80A18">
      <w:pPr>
        <w:pStyle w:val="Subsection"/>
        <w:rPr>
          <w:snapToGrid w:val="0"/>
        </w:rPr>
      </w:pPr>
      <w:r>
        <w:rPr>
          <w:snapToGrid w:val="0"/>
        </w:rPr>
        <w:tab/>
      </w:r>
      <w:r>
        <w:rPr>
          <w:snapToGrid w:val="0"/>
        </w:rPr>
        <w:tab/>
        <w:t xml:space="preserve">Such regulations shall be published in the </w:t>
      </w:r>
      <w:r>
        <w:rPr>
          <w:i/>
          <w:snapToGrid w:val="0"/>
        </w:rPr>
        <w:t>Government Gazette</w:t>
      </w:r>
      <w:r>
        <w:rPr>
          <w:snapToGrid w:val="0"/>
        </w:rPr>
        <w:t>, and after publication shall have the force and effect of law, and shall be judicially noticed in every Court of Justice: Provided that all such regulations shall be submitted to Parliament in the manner prescribed by section 55</w:t>
      </w:r>
      <w:r>
        <w:rPr>
          <w:snapToGrid w:val="0"/>
          <w:vertAlign w:val="superscript"/>
        </w:rPr>
        <w:t> 3</w:t>
      </w:r>
      <w:r>
        <w:rPr>
          <w:snapToGrid w:val="0"/>
        </w:rPr>
        <w:t>.</w:t>
      </w:r>
    </w:p>
    <w:p w:rsidR="00DA1BE2" w:rsidRDefault="00D80A18">
      <w:pPr>
        <w:pStyle w:val="Heading5"/>
        <w:rPr>
          <w:snapToGrid w:val="0"/>
        </w:rPr>
      </w:pPr>
      <w:bookmarkStart w:id="7" w:name="_Toc411842501"/>
      <w:bookmarkStart w:id="8" w:name="_Toc87083946"/>
      <w:r>
        <w:rPr>
          <w:rStyle w:val="CharSectno"/>
        </w:rPr>
        <w:t>59</w:t>
      </w:r>
      <w:r>
        <w:rPr>
          <w:snapToGrid w:val="0"/>
        </w:rPr>
        <w:t>.</w:t>
      </w:r>
      <w:r>
        <w:rPr>
          <w:snapToGrid w:val="0"/>
        </w:rPr>
        <w:tab/>
        <w:t>Fines may be imposed</w:t>
      </w:r>
      <w:bookmarkEnd w:id="7"/>
      <w:bookmarkEnd w:id="8"/>
      <w:r>
        <w:rPr>
          <w:snapToGrid w:val="0"/>
        </w:rPr>
        <w:t xml:space="preserve"> </w:t>
      </w:r>
    </w:p>
    <w:p w:rsidR="00DA1BE2" w:rsidRDefault="00D80A18">
      <w:pPr>
        <w:pStyle w:val="Subsection"/>
        <w:rPr>
          <w:snapToGrid w:val="0"/>
        </w:rPr>
      </w:pPr>
      <w:r>
        <w:rPr>
          <w:snapToGrid w:val="0"/>
        </w:rPr>
        <w:tab/>
      </w:r>
      <w:r>
        <w:rPr>
          <w:snapToGrid w:val="0"/>
        </w:rPr>
        <w:tab/>
        <w:t>By such regulations there may be imposed a fine for any breach thereof not exceeding ten pounds</w:t>
      </w:r>
      <w:r>
        <w:rPr>
          <w:snapToGrid w:val="0"/>
          <w:vertAlign w:val="superscript"/>
        </w:rPr>
        <w:t> 2</w:t>
      </w:r>
      <w:r>
        <w:rPr>
          <w:snapToGrid w:val="0"/>
        </w:rPr>
        <w:t>.</w:t>
      </w:r>
    </w:p>
    <w:p w:rsidR="00DA1BE2" w:rsidRDefault="00D80A18">
      <w:pPr>
        <w:pStyle w:val="Heading5"/>
        <w:rPr>
          <w:snapToGrid w:val="0"/>
        </w:rPr>
      </w:pPr>
      <w:bookmarkStart w:id="9" w:name="_Toc411842502"/>
      <w:bookmarkStart w:id="10" w:name="_Toc87083947"/>
      <w:r>
        <w:rPr>
          <w:rStyle w:val="CharSectno"/>
        </w:rPr>
        <w:t>60</w:t>
      </w:r>
      <w:r>
        <w:rPr>
          <w:snapToGrid w:val="0"/>
        </w:rPr>
        <w:t>.</w:t>
      </w:r>
      <w:r>
        <w:rPr>
          <w:snapToGrid w:val="0"/>
        </w:rPr>
        <w:tab/>
        <w:t>Proceedings on breach of regulations</w:t>
      </w:r>
      <w:bookmarkEnd w:id="9"/>
      <w:bookmarkEnd w:id="10"/>
      <w:r>
        <w:rPr>
          <w:snapToGrid w:val="0"/>
        </w:rPr>
        <w:t xml:space="preserve"> </w:t>
      </w:r>
    </w:p>
    <w:p w:rsidR="00DA1BE2" w:rsidRDefault="00D80A18">
      <w:pPr>
        <w:pStyle w:val="Subsection"/>
        <w:rPr>
          <w:snapToGrid w:val="0"/>
        </w:rPr>
      </w:pPr>
      <w:r>
        <w:rPr>
          <w:snapToGrid w:val="0"/>
        </w:rPr>
        <w:tab/>
      </w:r>
      <w:r>
        <w:rPr>
          <w:snapToGrid w:val="0"/>
        </w:rPr>
        <w:tab/>
        <w:t xml:space="preserve">All proceedings for the breach of any such regulations and for the recovery of any fine or penalty may be commenced and prosecuted as if such proceedings related to the breach of the regulations made under the </w:t>
      </w:r>
      <w:r>
        <w:rPr>
          <w:i/>
          <w:snapToGrid w:val="0"/>
        </w:rPr>
        <w:t>Goldfields Act 1895</w:t>
      </w:r>
      <w:r>
        <w:rPr>
          <w:snapToGrid w:val="0"/>
          <w:vertAlign w:val="superscript"/>
        </w:rPr>
        <w:t> 4</w:t>
      </w:r>
      <w:r>
        <w:rPr>
          <w:snapToGrid w:val="0"/>
        </w:rPr>
        <w:t>, and the recovery of fines or penalties thereby imposed.</w:t>
      </w:r>
    </w:p>
    <w:p w:rsidR="00DA1BE2" w:rsidRDefault="00D80A18">
      <w:pPr>
        <w:pStyle w:val="Heading5"/>
        <w:rPr>
          <w:snapToGrid w:val="0"/>
        </w:rPr>
      </w:pPr>
      <w:bookmarkStart w:id="11" w:name="_Toc411842503"/>
      <w:bookmarkStart w:id="12" w:name="_Toc87083948"/>
      <w:r>
        <w:rPr>
          <w:rStyle w:val="CharSectno"/>
        </w:rPr>
        <w:t>61</w:t>
      </w:r>
      <w:r>
        <w:rPr>
          <w:snapToGrid w:val="0"/>
        </w:rPr>
        <w:t>.</w:t>
      </w:r>
      <w:r>
        <w:rPr>
          <w:snapToGrid w:val="0"/>
        </w:rPr>
        <w:tab/>
        <w:t>Royalty released</w:t>
      </w:r>
      <w:bookmarkEnd w:id="11"/>
      <w:bookmarkEnd w:id="12"/>
      <w:r>
        <w:rPr>
          <w:snapToGrid w:val="0"/>
        </w:rPr>
        <w:t xml:space="preserve"> </w:t>
      </w:r>
    </w:p>
    <w:p w:rsidR="00DA1BE2" w:rsidRDefault="00D80A18">
      <w:pPr>
        <w:pStyle w:val="Subsection"/>
        <w:rPr>
          <w:snapToGrid w:val="0"/>
        </w:rPr>
      </w:pPr>
      <w:r>
        <w:rPr>
          <w:snapToGrid w:val="0"/>
        </w:rPr>
        <w:tab/>
      </w:r>
      <w:r>
        <w:rPr>
          <w:snapToGrid w:val="0"/>
        </w:rPr>
        <w:tab/>
        <w:t>Subject to the said regulations being duly made and published, and so long as the same shall continue binding on the Syndicate and its assigns, the royalty of two shillings</w:t>
      </w:r>
      <w:r>
        <w:rPr>
          <w:snapToGrid w:val="0"/>
          <w:vertAlign w:val="superscript"/>
        </w:rPr>
        <w:t> 2</w:t>
      </w:r>
      <w:r>
        <w:rPr>
          <w:snapToGrid w:val="0"/>
        </w:rPr>
        <w:t xml:space="preserve"> per ounce now payable in respect of all gold won from the said lands shall be, and the same is hereby released.</w:t>
      </w:r>
    </w:p>
    <w:p w:rsidR="00DA1BE2" w:rsidRDefault="00D80A18">
      <w:pPr>
        <w:pStyle w:val="Heading5"/>
        <w:rPr>
          <w:snapToGrid w:val="0"/>
        </w:rPr>
      </w:pPr>
      <w:bookmarkStart w:id="13" w:name="_Toc411842504"/>
      <w:bookmarkStart w:id="14" w:name="_Toc87083949"/>
      <w:r>
        <w:rPr>
          <w:rStyle w:val="CharSectno"/>
        </w:rPr>
        <w:t>62</w:t>
      </w:r>
      <w:r>
        <w:rPr>
          <w:snapToGrid w:val="0"/>
        </w:rPr>
        <w:t>.</w:t>
      </w:r>
      <w:r>
        <w:rPr>
          <w:snapToGrid w:val="0"/>
        </w:rPr>
        <w:tab/>
        <w:t>Provisions of preceding divisions of this Act not to apply</w:t>
      </w:r>
      <w:bookmarkEnd w:id="13"/>
      <w:bookmarkEnd w:id="14"/>
      <w:r>
        <w:rPr>
          <w:snapToGrid w:val="0"/>
        </w:rPr>
        <w:t xml:space="preserve"> </w:t>
      </w:r>
    </w:p>
    <w:p w:rsidR="00DA1BE2" w:rsidRDefault="00D80A18">
      <w:pPr>
        <w:pStyle w:val="Subsection"/>
        <w:rPr>
          <w:snapToGrid w:val="0"/>
        </w:rPr>
      </w:pPr>
      <w:r>
        <w:rPr>
          <w:snapToGrid w:val="0"/>
        </w:rPr>
        <w:tab/>
      </w:r>
      <w:r>
        <w:rPr>
          <w:snapToGrid w:val="0"/>
        </w:rPr>
        <w:tab/>
        <w:t>The provisions of the preceding divisions </w:t>
      </w:r>
      <w:r>
        <w:rPr>
          <w:snapToGrid w:val="0"/>
          <w:vertAlign w:val="superscript"/>
        </w:rPr>
        <w:t>5</w:t>
      </w:r>
      <w:r>
        <w:rPr>
          <w:snapToGrid w:val="0"/>
        </w:rPr>
        <w:t xml:space="preserve"> of this Act shall not apply to the lands in the said Schedule hereto.</w:t>
      </w:r>
    </w:p>
    <w:p w:rsidR="00DA1BE2" w:rsidRDefault="00DA1BE2">
      <w:pPr>
        <w:rPr>
          <w:rStyle w:val="CharDivText"/>
        </w:rPr>
        <w:sectPr w:rsidR="00DA1B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A1BE2" w:rsidRDefault="00D80A18">
      <w:pPr>
        <w:pStyle w:val="yScheduleHeading"/>
        <w:rPr>
          <w:b w:val="0"/>
          <w:snapToGrid/>
        </w:rPr>
      </w:pPr>
      <w:bookmarkStart w:id="15" w:name="_Toc87083950"/>
      <w:r>
        <w:rPr>
          <w:rStyle w:val="CharSchNo"/>
        </w:rPr>
        <w:t>The Schedule</w:t>
      </w:r>
      <w:bookmarkEnd w:id="15"/>
      <w:r>
        <w:rPr>
          <w:rStyle w:val="CharSchText"/>
        </w:rPr>
        <w:t xml:space="preserve"> </w:t>
      </w:r>
    </w:p>
    <w:p w:rsidR="00DA1BE2" w:rsidRDefault="00D80A18">
      <w:pPr>
        <w:pStyle w:val="yShoulderClause"/>
        <w:spacing w:after="40"/>
        <w:rPr>
          <w:snapToGrid w:val="0"/>
        </w:rPr>
      </w:pPr>
      <w:r>
        <w:rPr>
          <w:snapToGrid w:val="0"/>
        </w:rPr>
        <w:t>[Section 57]</w:t>
      </w:r>
    </w:p>
    <w:tbl>
      <w:tblPr>
        <w:tblW w:w="0" w:type="auto"/>
        <w:tblInd w:w="142" w:type="dxa"/>
        <w:tblLayout w:type="fixed"/>
        <w:tblCellMar>
          <w:left w:w="142" w:type="dxa"/>
          <w:right w:w="142" w:type="dxa"/>
        </w:tblCellMar>
        <w:tblLook w:val="0000" w:firstRow="0" w:lastRow="0" w:firstColumn="0" w:lastColumn="0" w:noHBand="0" w:noVBand="0"/>
      </w:tblPr>
      <w:tblGrid>
        <w:gridCol w:w="2552"/>
        <w:gridCol w:w="4536"/>
      </w:tblGrid>
      <w:tr w:rsidR="00DA1BE2">
        <w:tc>
          <w:tcPr>
            <w:tcW w:w="2552" w:type="dxa"/>
          </w:tcPr>
          <w:p w:rsidR="00DA1BE2" w:rsidRDefault="00DA1B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4536" w:type="dxa"/>
          </w:tcPr>
          <w:p w:rsidR="00DA1BE2" w:rsidRDefault="00D80A18">
            <w:pPr>
              <w:pStyle w:val="yTable"/>
              <w:tabs>
                <w:tab w:val="right" w:pos="4252"/>
              </w:tabs>
              <w:suppressAutoHyphens/>
              <w:jc w:val="right"/>
              <w:rPr>
                <w:spacing w:val="-2"/>
              </w:rPr>
            </w:pPr>
            <w:r>
              <w:rPr>
                <w:spacing w:val="-2"/>
              </w:rPr>
              <w:t>Acreage</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East Location</w:t>
            </w:r>
            <w:r>
              <w:rPr>
                <w:spacing w:val="-2"/>
              </w:rPr>
              <w:tab/>
              <w:t>36</w:t>
            </w:r>
          </w:p>
        </w:tc>
        <w:tc>
          <w:tcPr>
            <w:tcW w:w="4536" w:type="dxa"/>
          </w:tcPr>
          <w:p w:rsidR="00DA1BE2" w:rsidRDefault="00D80A18">
            <w:pPr>
              <w:pStyle w:val="yTable"/>
              <w:tabs>
                <w:tab w:val="right" w:leader="dot" w:pos="4252"/>
              </w:tabs>
              <w:suppressAutoHyphens/>
              <w:spacing w:before="0"/>
              <w:jc w:val="both"/>
              <w:rPr>
                <w:spacing w:val="-2"/>
              </w:rPr>
            </w:pPr>
            <w:r>
              <w:rPr>
                <w:spacing w:val="-2"/>
              </w:rPr>
              <w:t>.......................................................................6,375</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41</w:t>
            </w:r>
          </w:p>
        </w:tc>
        <w:tc>
          <w:tcPr>
            <w:tcW w:w="4536" w:type="dxa"/>
          </w:tcPr>
          <w:p w:rsidR="00DA1BE2" w:rsidRDefault="00D80A18">
            <w:pPr>
              <w:pStyle w:val="yTable"/>
              <w:tabs>
                <w:tab w:val="right" w:leader="dot" w:pos="4252"/>
              </w:tabs>
              <w:suppressAutoHyphens/>
              <w:spacing w:before="0"/>
              <w:jc w:val="both"/>
              <w:rPr>
                <w:spacing w:val="-2"/>
              </w:rPr>
            </w:pPr>
            <w:r>
              <w:rPr>
                <w:spacing w:val="-2"/>
              </w:rPr>
              <w:t>.......................................................................3,995</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48</w:t>
            </w:r>
          </w:p>
        </w:tc>
        <w:tc>
          <w:tcPr>
            <w:tcW w:w="4536" w:type="dxa"/>
          </w:tcPr>
          <w:p w:rsidR="00DA1BE2" w:rsidRDefault="00D80A18">
            <w:pPr>
              <w:pStyle w:val="yTable"/>
              <w:tabs>
                <w:tab w:val="right" w:leader="dot" w:pos="4252"/>
              </w:tabs>
              <w:suppressAutoHyphens/>
              <w:spacing w:before="0"/>
              <w:jc w:val="both"/>
              <w:rPr>
                <w:spacing w:val="-2"/>
              </w:rPr>
            </w:pPr>
            <w:r>
              <w:rPr>
                <w:spacing w:val="-2"/>
              </w:rPr>
              <w:t>.....................................................................27,349</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51</w:t>
            </w:r>
          </w:p>
        </w:tc>
        <w:tc>
          <w:tcPr>
            <w:tcW w:w="4536" w:type="dxa"/>
          </w:tcPr>
          <w:p w:rsidR="00DA1BE2" w:rsidRDefault="00D80A18">
            <w:pPr>
              <w:pStyle w:val="yTable"/>
              <w:tabs>
                <w:tab w:val="right" w:leader="dot" w:pos="4252"/>
              </w:tabs>
              <w:suppressAutoHyphens/>
              <w:spacing w:before="0"/>
              <w:jc w:val="both"/>
              <w:rPr>
                <w:spacing w:val="-2"/>
              </w:rPr>
            </w:pPr>
            <w:r>
              <w:rPr>
                <w:spacing w:val="-2"/>
              </w:rPr>
              <w:t>.......................................................................6,369</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53</w:t>
            </w:r>
          </w:p>
        </w:tc>
        <w:tc>
          <w:tcPr>
            <w:tcW w:w="4536" w:type="dxa"/>
          </w:tcPr>
          <w:p w:rsidR="00DA1BE2" w:rsidRDefault="00D80A18">
            <w:pPr>
              <w:pStyle w:val="yTable"/>
              <w:tabs>
                <w:tab w:val="right" w:leader="dot" w:pos="4252"/>
              </w:tabs>
              <w:suppressAutoHyphens/>
              <w:spacing w:before="0"/>
              <w:jc w:val="both"/>
              <w:rPr>
                <w:spacing w:val="-2"/>
              </w:rPr>
            </w:pPr>
            <w:r>
              <w:rPr>
                <w:spacing w:val="-2"/>
              </w:rPr>
              <w:t>.....................................................................34,468</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55</w:t>
            </w:r>
          </w:p>
        </w:tc>
        <w:tc>
          <w:tcPr>
            <w:tcW w:w="4536" w:type="dxa"/>
          </w:tcPr>
          <w:p w:rsidR="00DA1BE2" w:rsidRDefault="00D80A18">
            <w:pPr>
              <w:pStyle w:val="yTable"/>
              <w:tabs>
                <w:tab w:val="right" w:leader="dot" w:pos="4252"/>
              </w:tabs>
              <w:suppressAutoHyphens/>
              <w:spacing w:before="0"/>
              <w:jc w:val="both"/>
              <w:rPr>
                <w:spacing w:val="-2"/>
              </w:rPr>
            </w:pPr>
            <w:r>
              <w:rPr>
                <w:spacing w:val="-2"/>
              </w:rPr>
              <w:t>.......................................................................1,989</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57</w:t>
            </w:r>
          </w:p>
        </w:tc>
        <w:tc>
          <w:tcPr>
            <w:tcW w:w="4536" w:type="dxa"/>
          </w:tcPr>
          <w:p w:rsidR="00DA1BE2" w:rsidRDefault="00D80A18">
            <w:pPr>
              <w:pStyle w:val="yTable"/>
              <w:tabs>
                <w:tab w:val="right" w:leader="dot" w:pos="4252"/>
              </w:tabs>
              <w:suppressAutoHyphens/>
              <w:spacing w:before="0"/>
              <w:jc w:val="both"/>
              <w:rPr>
                <w:spacing w:val="-2"/>
              </w:rPr>
            </w:pPr>
            <w:r>
              <w:rPr>
                <w:spacing w:val="-2"/>
              </w:rPr>
              <w:t>.......................................................................1,000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59</w:t>
            </w:r>
          </w:p>
        </w:tc>
        <w:tc>
          <w:tcPr>
            <w:tcW w:w="4536" w:type="dxa"/>
          </w:tcPr>
          <w:p w:rsidR="00DA1BE2" w:rsidRDefault="00D80A18">
            <w:pPr>
              <w:pStyle w:val="yTable"/>
              <w:tabs>
                <w:tab w:val="right" w:leader="dot" w:pos="4252"/>
              </w:tabs>
              <w:suppressAutoHyphens/>
              <w:spacing w:before="0"/>
              <w:jc w:val="both"/>
              <w:rPr>
                <w:spacing w:val="-2"/>
              </w:rPr>
            </w:pPr>
            <w:r>
              <w:rPr>
                <w:spacing w:val="-2"/>
              </w:rPr>
              <w:t>.....................................................................50,830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32</w:t>
            </w:r>
          </w:p>
        </w:tc>
        <w:tc>
          <w:tcPr>
            <w:tcW w:w="4536" w:type="dxa"/>
          </w:tcPr>
          <w:p w:rsidR="00DA1BE2" w:rsidRDefault="00D80A18">
            <w:pPr>
              <w:pStyle w:val="yTable"/>
              <w:tabs>
                <w:tab w:val="right" w:leader="dot" w:pos="4252"/>
              </w:tabs>
              <w:suppressAutoHyphens/>
              <w:spacing w:before="0"/>
              <w:jc w:val="both"/>
              <w:rPr>
                <w:spacing w:val="-2"/>
              </w:rPr>
            </w:pPr>
            <w:r>
              <w:rPr>
                <w:spacing w:val="-2"/>
              </w:rPr>
              <w:t>.....................................................................21,077</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35</w:t>
            </w:r>
          </w:p>
        </w:tc>
        <w:tc>
          <w:tcPr>
            <w:tcW w:w="4536" w:type="dxa"/>
          </w:tcPr>
          <w:p w:rsidR="00DA1BE2" w:rsidRDefault="00D80A18">
            <w:pPr>
              <w:pStyle w:val="yTable"/>
              <w:tabs>
                <w:tab w:val="right" w:leader="dot" w:pos="4252"/>
              </w:tabs>
              <w:suppressAutoHyphens/>
              <w:spacing w:before="0"/>
              <w:jc w:val="both"/>
              <w:rPr>
                <w:spacing w:val="-2"/>
              </w:rPr>
            </w:pPr>
            <w:r>
              <w:rPr>
                <w:spacing w:val="-2"/>
              </w:rPr>
              <w:t>.......................................................................2,500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39</w:t>
            </w:r>
          </w:p>
        </w:tc>
        <w:tc>
          <w:tcPr>
            <w:tcW w:w="4536" w:type="dxa"/>
          </w:tcPr>
          <w:p w:rsidR="00DA1BE2" w:rsidRDefault="00D80A18">
            <w:pPr>
              <w:pStyle w:val="yTable"/>
              <w:tabs>
                <w:tab w:val="right" w:leader="dot" w:pos="4252"/>
              </w:tabs>
              <w:suppressAutoHyphens/>
              <w:spacing w:before="0"/>
              <w:jc w:val="both"/>
              <w:rPr>
                <w:spacing w:val="-2"/>
              </w:rPr>
            </w:pPr>
            <w:r>
              <w:rPr>
                <w:spacing w:val="-2"/>
              </w:rPr>
              <w:t>.......................................................................1,920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40</w:t>
            </w:r>
          </w:p>
        </w:tc>
        <w:tc>
          <w:tcPr>
            <w:tcW w:w="4536" w:type="dxa"/>
          </w:tcPr>
          <w:p w:rsidR="00DA1BE2" w:rsidRDefault="00D80A18">
            <w:pPr>
              <w:pStyle w:val="yTable"/>
              <w:tabs>
                <w:tab w:val="right" w:leader="dot" w:pos="4252"/>
              </w:tabs>
              <w:suppressAutoHyphens/>
              <w:spacing w:before="0"/>
              <w:jc w:val="both"/>
              <w:rPr>
                <w:spacing w:val="-2"/>
              </w:rPr>
            </w:pPr>
            <w:r>
              <w:rPr>
                <w:spacing w:val="-2"/>
              </w:rPr>
              <w:t>.......................................................................7,680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42</w:t>
            </w:r>
          </w:p>
        </w:tc>
        <w:tc>
          <w:tcPr>
            <w:tcW w:w="4536" w:type="dxa"/>
          </w:tcPr>
          <w:p w:rsidR="00DA1BE2" w:rsidRDefault="00D80A18">
            <w:pPr>
              <w:pStyle w:val="yTable"/>
              <w:tabs>
                <w:tab w:val="right" w:leader="dot" w:pos="4252"/>
              </w:tabs>
              <w:suppressAutoHyphens/>
              <w:spacing w:before="0"/>
              <w:jc w:val="both"/>
              <w:rPr>
                <w:spacing w:val="-2"/>
              </w:rPr>
            </w:pPr>
            <w:r>
              <w:rPr>
                <w:spacing w:val="-2"/>
              </w:rPr>
              <w:t>.....................................................................13,452</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44</w:t>
            </w:r>
          </w:p>
        </w:tc>
        <w:tc>
          <w:tcPr>
            <w:tcW w:w="4536" w:type="dxa"/>
          </w:tcPr>
          <w:p w:rsidR="00DA1BE2" w:rsidRDefault="00D80A18">
            <w:pPr>
              <w:pStyle w:val="yTable"/>
              <w:tabs>
                <w:tab w:val="right" w:leader="dot" w:pos="4252"/>
              </w:tabs>
              <w:suppressAutoHyphens/>
              <w:spacing w:before="0"/>
              <w:jc w:val="both"/>
              <w:rPr>
                <w:spacing w:val="-2"/>
              </w:rPr>
            </w:pPr>
            <w:r>
              <w:rPr>
                <w:spacing w:val="-2"/>
              </w:rPr>
              <w:t>.......................................................................5,120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45</w:t>
            </w:r>
          </w:p>
        </w:tc>
        <w:tc>
          <w:tcPr>
            <w:tcW w:w="4536" w:type="dxa"/>
          </w:tcPr>
          <w:p w:rsidR="00DA1BE2" w:rsidRDefault="00D80A18">
            <w:pPr>
              <w:pStyle w:val="yTable"/>
              <w:tabs>
                <w:tab w:val="right" w:leader="dot" w:pos="4252"/>
              </w:tabs>
              <w:suppressAutoHyphens/>
              <w:spacing w:before="0"/>
              <w:jc w:val="both"/>
              <w:rPr>
                <w:spacing w:val="-2"/>
              </w:rPr>
            </w:pPr>
            <w:r>
              <w:rPr>
                <w:spacing w:val="-2"/>
              </w:rPr>
              <w:t>.....................................................................18,808</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50</w:t>
            </w:r>
          </w:p>
        </w:tc>
        <w:tc>
          <w:tcPr>
            <w:tcW w:w="4536" w:type="dxa"/>
          </w:tcPr>
          <w:p w:rsidR="00DA1BE2" w:rsidRDefault="00D80A18">
            <w:pPr>
              <w:pStyle w:val="yTable"/>
              <w:tabs>
                <w:tab w:val="right" w:leader="dot" w:pos="4252"/>
              </w:tabs>
              <w:suppressAutoHyphens/>
              <w:spacing w:before="0"/>
              <w:jc w:val="both"/>
              <w:rPr>
                <w:spacing w:val="-2"/>
              </w:rPr>
            </w:pPr>
            <w:r>
              <w:rPr>
                <w:spacing w:val="-2"/>
              </w:rPr>
              <w:t>.......................................................................8,000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37</w:t>
            </w:r>
          </w:p>
        </w:tc>
        <w:tc>
          <w:tcPr>
            <w:tcW w:w="4536" w:type="dxa"/>
          </w:tcPr>
          <w:p w:rsidR="00DA1BE2" w:rsidRDefault="00D80A18">
            <w:pPr>
              <w:pStyle w:val="yTable"/>
              <w:tabs>
                <w:tab w:val="right" w:leader="dot" w:pos="4252"/>
              </w:tabs>
              <w:suppressAutoHyphens/>
              <w:spacing w:before="0"/>
              <w:jc w:val="both"/>
              <w:rPr>
                <w:spacing w:val="-2"/>
              </w:rPr>
            </w:pPr>
            <w:r>
              <w:rPr>
                <w:spacing w:val="-2"/>
              </w:rPr>
              <w:t>.......................................................................3,000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61</w:t>
            </w:r>
          </w:p>
        </w:tc>
        <w:tc>
          <w:tcPr>
            <w:tcW w:w="4536" w:type="dxa"/>
          </w:tcPr>
          <w:p w:rsidR="00DA1BE2" w:rsidRDefault="00D80A18">
            <w:pPr>
              <w:pStyle w:val="yTable"/>
              <w:tabs>
                <w:tab w:val="right" w:leader="dot" w:pos="4252"/>
              </w:tabs>
              <w:suppressAutoHyphens/>
              <w:spacing w:before="0"/>
              <w:jc w:val="both"/>
              <w:rPr>
                <w:spacing w:val="-2"/>
              </w:rPr>
            </w:pPr>
            <w:r>
              <w:rPr>
                <w:spacing w:val="-2"/>
              </w:rPr>
              <w:t>.......................................................................1,000</w:t>
            </w:r>
          </w:p>
        </w:tc>
      </w:tr>
      <w:tr w:rsidR="00DA1BE2">
        <w:tc>
          <w:tcPr>
            <w:tcW w:w="2552" w:type="dxa"/>
          </w:tcPr>
          <w:p w:rsidR="00DA1BE2" w:rsidRDefault="00D80A18">
            <w:pPr>
              <w:pStyle w:val="yTable"/>
              <w:tabs>
                <w:tab w:val="right" w:pos="1983"/>
              </w:tabs>
              <w:suppressAutoHyphens/>
              <w:spacing w:before="0"/>
              <w:jc w:val="both"/>
              <w:rPr>
                <w:spacing w:val="-2"/>
              </w:rPr>
            </w:pPr>
            <w:r>
              <w:rPr>
                <w:spacing w:val="-2"/>
              </w:rPr>
              <w:t>Do.</w:t>
            </w:r>
            <w:r>
              <w:rPr>
                <w:spacing w:val="-2"/>
              </w:rPr>
              <w:tab/>
              <w:t>62</w:t>
            </w:r>
          </w:p>
        </w:tc>
        <w:tc>
          <w:tcPr>
            <w:tcW w:w="4536" w:type="dxa"/>
          </w:tcPr>
          <w:p w:rsidR="00DA1BE2" w:rsidRDefault="00D80A18">
            <w:pPr>
              <w:pStyle w:val="yTable"/>
              <w:tabs>
                <w:tab w:val="right" w:leader="dot" w:pos="4252"/>
              </w:tabs>
              <w:suppressAutoHyphens/>
              <w:spacing w:before="0"/>
              <w:jc w:val="both"/>
              <w:rPr>
                <w:spacing w:val="-2"/>
              </w:rPr>
            </w:pPr>
            <w:r>
              <w:rPr>
                <w:spacing w:val="-2"/>
              </w:rPr>
              <w:t>.......................................................................1,068</w:t>
            </w:r>
          </w:p>
        </w:tc>
      </w:tr>
    </w:tbl>
    <w:p w:rsidR="00DA1BE2" w:rsidRDefault="00DA1BE2">
      <w:pPr>
        <w:sectPr w:rsidR="00DA1BE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A1BE2" w:rsidRDefault="00D80A18">
      <w:pPr>
        <w:pStyle w:val="nHeading2"/>
      </w:pPr>
      <w:bookmarkStart w:id="16" w:name="_Toc68326258"/>
      <w:bookmarkStart w:id="17" w:name="_Toc68326279"/>
      <w:bookmarkStart w:id="18" w:name="_Toc68331706"/>
      <w:bookmarkStart w:id="19" w:name="_Toc74543114"/>
      <w:bookmarkStart w:id="20" w:name="_Toc74543943"/>
      <w:bookmarkStart w:id="21" w:name="_Toc77407092"/>
      <w:bookmarkStart w:id="22" w:name="_Toc84405318"/>
      <w:bookmarkStart w:id="23" w:name="_Toc87083951"/>
      <w:r>
        <w:t>Notes</w:t>
      </w:r>
      <w:bookmarkEnd w:id="16"/>
      <w:bookmarkEnd w:id="17"/>
      <w:bookmarkEnd w:id="18"/>
      <w:bookmarkEnd w:id="19"/>
      <w:bookmarkEnd w:id="20"/>
      <w:bookmarkEnd w:id="21"/>
      <w:bookmarkEnd w:id="22"/>
      <w:bookmarkEnd w:id="23"/>
    </w:p>
    <w:p w:rsidR="00DA1BE2" w:rsidRDefault="00D80A18">
      <w:pPr>
        <w:pStyle w:val="nSubsection"/>
        <w:rPr>
          <w:snapToGrid w:val="0"/>
        </w:rPr>
      </w:pPr>
      <w:r>
        <w:rPr>
          <w:snapToGrid w:val="0"/>
          <w:vertAlign w:val="superscript"/>
        </w:rPr>
        <w:t>1</w:t>
      </w:r>
      <w:r>
        <w:rPr>
          <w:snapToGrid w:val="0"/>
        </w:rPr>
        <w:tab/>
        <w:t xml:space="preserve">This is a compilation of the </w:t>
      </w:r>
      <w:r>
        <w:rPr>
          <w:i/>
          <w:noProof/>
          <w:snapToGrid w:val="0"/>
        </w:rPr>
        <w:t>Mining on Private Property Act 1898</w:t>
      </w:r>
      <w:r>
        <w:rPr>
          <w:snapToGrid w:val="0"/>
        </w:rPr>
        <w:t xml:space="preserve"> and includes the amendments made by the other written laws referred to in the following table.  The table also contains information about any reprint.</w:t>
      </w:r>
    </w:p>
    <w:p w:rsidR="00DA1BE2" w:rsidRDefault="00D80A18">
      <w:pPr>
        <w:pStyle w:val="nHeading3"/>
        <w:rPr>
          <w:snapToGrid w:val="0"/>
        </w:rPr>
      </w:pPr>
      <w:bookmarkStart w:id="24" w:name="_Toc87083952"/>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A1BE2">
        <w:trPr>
          <w:tblHeader/>
        </w:trPr>
        <w:tc>
          <w:tcPr>
            <w:tcW w:w="2268" w:type="dxa"/>
            <w:tcBorders>
              <w:top w:val="single" w:sz="8" w:space="0" w:color="auto"/>
              <w:bottom w:val="single" w:sz="8" w:space="0" w:color="auto"/>
            </w:tcBorders>
          </w:tcPr>
          <w:p w:rsidR="00DA1BE2" w:rsidRDefault="00D80A18">
            <w:pPr>
              <w:pStyle w:val="nTable"/>
              <w:spacing w:after="40"/>
              <w:rPr>
                <w:b/>
                <w:sz w:val="19"/>
              </w:rPr>
            </w:pPr>
            <w:r>
              <w:rPr>
                <w:b/>
                <w:sz w:val="19"/>
              </w:rPr>
              <w:t>Short title</w:t>
            </w:r>
          </w:p>
        </w:tc>
        <w:tc>
          <w:tcPr>
            <w:tcW w:w="1134" w:type="dxa"/>
            <w:tcBorders>
              <w:top w:val="single" w:sz="8" w:space="0" w:color="auto"/>
              <w:bottom w:val="single" w:sz="8" w:space="0" w:color="auto"/>
            </w:tcBorders>
          </w:tcPr>
          <w:p w:rsidR="00DA1BE2" w:rsidRDefault="00D80A1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A1BE2" w:rsidRDefault="00D80A18">
            <w:pPr>
              <w:pStyle w:val="nTable"/>
              <w:spacing w:after="40"/>
              <w:rPr>
                <w:b/>
                <w:sz w:val="19"/>
              </w:rPr>
            </w:pPr>
            <w:r>
              <w:rPr>
                <w:b/>
                <w:sz w:val="19"/>
              </w:rPr>
              <w:t>Assent</w:t>
            </w:r>
          </w:p>
        </w:tc>
        <w:tc>
          <w:tcPr>
            <w:tcW w:w="2551" w:type="dxa"/>
            <w:tcBorders>
              <w:top w:val="single" w:sz="8" w:space="0" w:color="auto"/>
              <w:bottom w:val="single" w:sz="8" w:space="0" w:color="auto"/>
            </w:tcBorders>
          </w:tcPr>
          <w:p w:rsidR="00DA1BE2" w:rsidRDefault="00D80A18">
            <w:pPr>
              <w:pStyle w:val="nTable"/>
              <w:spacing w:after="40"/>
              <w:rPr>
                <w:b/>
                <w:sz w:val="19"/>
              </w:rPr>
            </w:pPr>
            <w:r>
              <w:rPr>
                <w:b/>
                <w:sz w:val="19"/>
              </w:rPr>
              <w:t>Commencement</w:t>
            </w:r>
          </w:p>
        </w:tc>
      </w:tr>
      <w:tr w:rsidR="00DA1BE2">
        <w:tc>
          <w:tcPr>
            <w:tcW w:w="2268" w:type="dxa"/>
          </w:tcPr>
          <w:p w:rsidR="00DA1BE2" w:rsidRDefault="00D80A18">
            <w:pPr>
              <w:pStyle w:val="nTable"/>
              <w:spacing w:after="40"/>
              <w:rPr>
                <w:sz w:val="19"/>
              </w:rPr>
            </w:pPr>
            <w:r>
              <w:rPr>
                <w:i/>
                <w:sz w:val="19"/>
              </w:rPr>
              <w:t>Mining on Private Property Act 1898</w:t>
            </w:r>
          </w:p>
        </w:tc>
        <w:tc>
          <w:tcPr>
            <w:tcW w:w="1134" w:type="dxa"/>
          </w:tcPr>
          <w:p w:rsidR="00DA1BE2" w:rsidRDefault="00D80A18">
            <w:pPr>
              <w:pStyle w:val="nTable"/>
              <w:spacing w:after="40"/>
              <w:rPr>
                <w:sz w:val="19"/>
              </w:rPr>
            </w:pPr>
            <w:r>
              <w:rPr>
                <w:sz w:val="19"/>
              </w:rPr>
              <w:t>62 Vict. No. 29 (1898)</w:t>
            </w:r>
          </w:p>
        </w:tc>
        <w:tc>
          <w:tcPr>
            <w:tcW w:w="1134" w:type="dxa"/>
          </w:tcPr>
          <w:p w:rsidR="00DA1BE2" w:rsidRDefault="00D80A18">
            <w:pPr>
              <w:pStyle w:val="nTable"/>
              <w:spacing w:after="40"/>
              <w:rPr>
                <w:sz w:val="19"/>
              </w:rPr>
            </w:pPr>
            <w:r>
              <w:rPr>
                <w:sz w:val="19"/>
              </w:rPr>
              <w:t>28 Oct 1898</w:t>
            </w:r>
          </w:p>
        </w:tc>
        <w:tc>
          <w:tcPr>
            <w:tcW w:w="2551" w:type="dxa"/>
          </w:tcPr>
          <w:p w:rsidR="00DA1BE2" w:rsidRDefault="00D80A18">
            <w:pPr>
              <w:pStyle w:val="nTable"/>
              <w:spacing w:after="40"/>
              <w:rPr>
                <w:sz w:val="19"/>
              </w:rPr>
            </w:pPr>
            <w:r>
              <w:rPr>
                <w:sz w:val="19"/>
              </w:rPr>
              <w:t>28 Oct 1898</w:t>
            </w:r>
          </w:p>
        </w:tc>
      </w:tr>
      <w:tr w:rsidR="00DA1BE2">
        <w:tc>
          <w:tcPr>
            <w:tcW w:w="2268" w:type="dxa"/>
          </w:tcPr>
          <w:p w:rsidR="00DA1BE2" w:rsidRDefault="00D80A18">
            <w:pPr>
              <w:pStyle w:val="nTable"/>
              <w:spacing w:after="40"/>
              <w:rPr>
                <w:sz w:val="19"/>
              </w:rPr>
            </w:pPr>
            <w:r>
              <w:rPr>
                <w:i/>
                <w:sz w:val="19"/>
              </w:rPr>
              <w:t>Mining on Private Property Amendment Act 1899</w:t>
            </w:r>
          </w:p>
        </w:tc>
        <w:tc>
          <w:tcPr>
            <w:tcW w:w="1134" w:type="dxa"/>
          </w:tcPr>
          <w:p w:rsidR="00DA1BE2" w:rsidRDefault="00D80A18">
            <w:pPr>
              <w:pStyle w:val="nTable"/>
              <w:spacing w:after="40"/>
              <w:rPr>
                <w:sz w:val="19"/>
              </w:rPr>
            </w:pPr>
            <w:r>
              <w:rPr>
                <w:sz w:val="19"/>
              </w:rPr>
              <w:t>31 of 1899</w:t>
            </w:r>
          </w:p>
        </w:tc>
        <w:tc>
          <w:tcPr>
            <w:tcW w:w="1134" w:type="dxa"/>
          </w:tcPr>
          <w:p w:rsidR="00DA1BE2" w:rsidRDefault="00D80A18">
            <w:pPr>
              <w:pStyle w:val="nTable"/>
              <w:spacing w:after="40"/>
              <w:rPr>
                <w:sz w:val="19"/>
              </w:rPr>
            </w:pPr>
            <w:r>
              <w:rPr>
                <w:sz w:val="19"/>
              </w:rPr>
              <w:t xml:space="preserve">16 Dec 1899 </w:t>
            </w:r>
          </w:p>
        </w:tc>
        <w:tc>
          <w:tcPr>
            <w:tcW w:w="2551" w:type="dxa"/>
          </w:tcPr>
          <w:p w:rsidR="00DA1BE2" w:rsidRDefault="00D80A18">
            <w:pPr>
              <w:pStyle w:val="nTable"/>
              <w:spacing w:after="40"/>
              <w:rPr>
                <w:sz w:val="19"/>
              </w:rPr>
            </w:pPr>
            <w:r>
              <w:rPr>
                <w:sz w:val="19"/>
              </w:rPr>
              <w:t>16 Dec 1899</w:t>
            </w:r>
          </w:p>
        </w:tc>
      </w:tr>
      <w:tr w:rsidR="00DA1BE2">
        <w:tc>
          <w:tcPr>
            <w:tcW w:w="2268" w:type="dxa"/>
          </w:tcPr>
          <w:p w:rsidR="00DA1BE2" w:rsidRDefault="00D80A18">
            <w:pPr>
              <w:pStyle w:val="nTable"/>
              <w:spacing w:after="40"/>
              <w:rPr>
                <w:sz w:val="19"/>
              </w:rPr>
            </w:pPr>
            <w:r>
              <w:rPr>
                <w:i/>
                <w:sz w:val="19"/>
              </w:rPr>
              <w:t>Mining Act 1904</w:t>
            </w:r>
            <w:r>
              <w:rPr>
                <w:sz w:val="19"/>
              </w:rPr>
              <w:t xml:space="preserve"> s. 4</w:t>
            </w:r>
          </w:p>
        </w:tc>
        <w:tc>
          <w:tcPr>
            <w:tcW w:w="1134" w:type="dxa"/>
          </w:tcPr>
          <w:p w:rsidR="00DA1BE2" w:rsidRDefault="00D80A18">
            <w:pPr>
              <w:pStyle w:val="nTable"/>
              <w:spacing w:after="40"/>
              <w:rPr>
                <w:sz w:val="19"/>
              </w:rPr>
            </w:pPr>
            <w:r>
              <w:rPr>
                <w:sz w:val="19"/>
              </w:rPr>
              <w:t>15 of 1904</w:t>
            </w:r>
          </w:p>
        </w:tc>
        <w:tc>
          <w:tcPr>
            <w:tcW w:w="1134" w:type="dxa"/>
          </w:tcPr>
          <w:p w:rsidR="00DA1BE2" w:rsidRDefault="00D80A18">
            <w:pPr>
              <w:pStyle w:val="nTable"/>
              <w:spacing w:after="40"/>
              <w:rPr>
                <w:sz w:val="19"/>
              </w:rPr>
            </w:pPr>
            <w:r>
              <w:rPr>
                <w:sz w:val="19"/>
              </w:rPr>
              <w:t>16 Jan 1904</w:t>
            </w:r>
          </w:p>
        </w:tc>
        <w:tc>
          <w:tcPr>
            <w:tcW w:w="2551" w:type="dxa"/>
          </w:tcPr>
          <w:p w:rsidR="00DA1BE2" w:rsidRDefault="00D80A18">
            <w:pPr>
              <w:pStyle w:val="nTable"/>
              <w:spacing w:after="40"/>
              <w:rPr>
                <w:sz w:val="19"/>
              </w:rPr>
            </w:pPr>
            <w:r>
              <w:rPr>
                <w:sz w:val="19"/>
              </w:rPr>
              <w:t>1 Mar 1904 (see s. 2)</w:t>
            </w:r>
          </w:p>
        </w:tc>
      </w:tr>
      <w:tr w:rsidR="00DA1BE2">
        <w:trPr>
          <w:cantSplit/>
        </w:trPr>
        <w:tc>
          <w:tcPr>
            <w:tcW w:w="7087" w:type="dxa"/>
            <w:gridSpan w:val="4"/>
          </w:tcPr>
          <w:p w:rsidR="00DA1BE2" w:rsidRDefault="00D80A18">
            <w:pPr>
              <w:pStyle w:val="nTable"/>
              <w:spacing w:after="40"/>
              <w:rPr>
                <w:b/>
                <w:sz w:val="19"/>
              </w:rPr>
            </w:pPr>
            <w:r>
              <w:rPr>
                <w:b/>
                <w:sz w:val="19"/>
              </w:rPr>
              <w:t xml:space="preserve">Reprint of the </w:t>
            </w:r>
            <w:r>
              <w:rPr>
                <w:b/>
                <w:i/>
                <w:sz w:val="19"/>
              </w:rPr>
              <w:t>Mining on Private Property Act 1898</w:t>
            </w:r>
            <w:r>
              <w:rPr>
                <w:b/>
                <w:sz w:val="19"/>
              </w:rPr>
              <w:t xml:space="preserve"> authorised 2 Apr 1954 in Volume 6 of Reprinted Acts</w:t>
            </w:r>
            <w:r>
              <w:rPr>
                <w:sz w:val="19"/>
              </w:rPr>
              <w:t xml:space="preserve"> (includes amendments listed above)</w:t>
            </w:r>
          </w:p>
        </w:tc>
      </w:tr>
      <w:tr w:rsidR="00DA1BE2">
        <w:trPr>
          <w:cantSplit/>
        </w:trPr>
        <w:tc>
          <w:tcPr>
            <w:tcW w:w="7087" w:type="dxa"/>
            <w:gridSpan w:val="4"/>
          </w:tcPr>
          <w:p w:rsidR="00DA1BE2" w:rsidRDefault="00D80A18">
            <w:pPr>
              <w:pStyle w:val="nTable"/>
              <w:spacing w:after="40"/>
              <w:rPr>
                <w:b/>
                <w:sz w:val="19"/>
              </w:rPr>
            </w:pPr>
            <w:r>
              <w:rPr>
                <w:b/>
                <w:sz w:val="19"/>
              </w:rPr>
              <w:t xml:space="preserve">Reprint of the </w:t>
            </w:r>
            <w:r>
              <w:rPr>
                <w:b/>
                <w:i/>
                <w:sz w:val="19"/>
              </w:rPr>
              <w:t>Mining on Private Property Act 1898</w:t>
            </w:r>
            <w:r>
              <w:rPr>
                <w:b/>
                <w:sz w:val="19"/>
              </w:rPr>
              <w:t xml:space="preserve"> approved 22 May 1958 in Volume 12 of Reprinted Acts</w:t>
            </w:r>
            <w:r>
              <w:rPr>
                <w:sz w:val="19"/>
              </w:rPr>
              <w:t xml:space="preserve"> (includes amendments listed above)</w:t>
            </w:r>
          </w:p>
        </w:tc>
      </w:tr>
      <w:tr w:rsidR="00DA1BE2">
        <w:trPr>
          <w:cantSplit/>
        </w:trPr>
        <w:tc>
          <w:tcPr>
            <w:tcW w:w="7087" w:type="dxa"/>
            <w:gridSpan w:val="4"/>
          </w:tcPr>
          <w:p w:rsidR="00DA1BE2" w:rsidRDefault="00D80A18">
            <w:pPr>
              <w:pStyle w:val="nTable"/>
              <w:spacing w:after="40"/>
              <w:rPr>
                <w:b/>
                <w:sz w:val="19"/>
              </w:rPr>
            </w:pPr>
            <w:r>
              <w:rPr>
                <w:b/>
                <w:sz w:val="19"/>
              </w:rPr>
              <w:t xml:space="preserve">Reprint of the </w:t>
            </w:r>
            <w:r>
              <w:rPr>
                <w:b/>
                <w:i/>
                <w:sz w:val="19"/>
              </w:rPr>
              <w:t>Mining on Private Property Act 1898</w:t>
            </w:r>
            <w:r>
              <w:rPr>
                <w:b/>
                <w:sz w:val="19"/>
              </w:rPr>
              <w:t xml:space="preserve"> authorised 2 Sep 1966 (not in a Volume) </w:t>
            </w:r>
            <w:r>
              <w:rPr>
                <w:sz w:val="19"/>
              </w:rPr>
              <w:t>(includes amendments listed above)</w:t>
            </w:r>
          </w:p>
        </w:tc>
      </w:tr>
      <w:tr w:rsidR="00DA1BE2">
        <w:trPr>
          <w:cantSplit/>
        </w:trPr>
        <w:tc>
          <w:tcPr>
            <w:tcW w:w="7087" w:type="dxa"/>
            <w:gridSpan w:val="4"/>
            <w:tcBorders>
              <w:bottom w:val="single" w:sz="4" w:space="0" w:color="auto"/>
            </w:tcBorders>
          </w:tcPr>
          <w:p w:rsidR="00DA1BE2" w:rsidRDefault="00D80A18">
            <w:pPr>
              <w:pStyle w:val="nTable"/>
              <w:spacing w:after="40"/>
              <w:rPr>
                <w:sz w:val="19"/>
              </w:rPr>
            </w:pPr>
            <w:r>
              <w:rPr>
                <w:b/>
                <w:sz w:val="19"/>
              </w:rPr>
              <w:t xml:space="preserve">Reprint 4:  The </w:t>
            </w:r>
            <w:r>
              <w:rPr>
                <w:b/>
                <w:i/>
                <w:sz w:val="19"/>
              </w:rPr>
              <w:t>Mining on Private Property Act 1898</w:t>
            </w:r>
            <w:r>
              <w:rPr>
                <w:b/>
                <w:sz w:val="19"/>
              </w:rPr>
              <w:t xml:space="preserve"> as at 9 Jun 2004</w:t>
            </w:r>
            <w:r>
              <w:rPr>
                <w:sz w:val="19"/>
              </w:rPr>
              <w:t xml:space="preserve"> (includes amendments listed above) (correction in </w:t>
            </w:r>
            <w:r>
              <w:rPr>
                <w:i/>
                <w:iCs/>
                <w:sz w:val="19"/>
              </w:rPr>
              <w:t>Gazette</w:t>
            </w:r>
            <w:r>
              <w:rPr>
                <w:sz w:val="19"/>
              </w:rPr>
              <w:t xml:space="preserve"> 1 Oct 2004 p. 4283; 29 Oct 2004 p. 4938)</w:t>
            </w:r>
          </w:p>
        </w:tc>
      </w:tr>
    </w:tbl>
    <w:p w:rsidR="00DA1BE2" w:rsidRDefault="00D80A18">
      <w:pPr>
        <w:pStyle w:val="nSubsection"/>
        <w:rPr>
          <w:snapToGrid w:val="0"/>
        </w:rPr>
      </w:pPr>
      <w:r>
        <w:rPr>
          <w:snapToGrid w:val="0"/>
          <w:vertAlign w:val="superscript"/>
        </w:rPr>
        <w:t>2</w:t>
      </w:r>
      <w:r>
        <w:rPr>
          <w:snapToGrid w:val="0"/>
        </w:rPr>
        <w:tab/>
        <w:t xml:space="preserve">The </w:t>
      </w:r>
      <w:r>
        <w:rPr>
          <w:i/>
          <w:snapToGrid w:val="0"/>
        </w:rPr>
        <w:t>Decimal Currency Act 1965</w:t>
      </w:r>
      <w:r>
        <w:t xml:space="preserve"> s. 5</w:t>
      </w:r>
      <w:r>
        <w:rPr>
          <w:snapToGrid w:val="0"/>
        </w:rPr>
        <w:t xml:space="preserve"> provides for existing references to amounts of money to be read and construed as references to corresponding amounts of money in terms of decimal currency.  Such references have not been amended in this compilation as they are of historical interest only.</w:t>
      </w:r>
    </w:p>
    <w:p w:rsidR="00DA1BE2" w:rsidRDefault="00D80A18">
      <w:pPr>
        <w:pStyle w:val="nSubsection"/>
        <w:rPr>
          <w:snapToGrid w:val="0"/>
        </w:rPr>
      </w:pPr>
      <w:r>
        <w:rPr>
          <w:snapToGrid w:val="0"/>
          <w:vertAlign w:val="superscript"/>
        </w:rPr>
        <w:t>3</w:t>
      </w:r>
      <w:r>
        <w:rPr>
          <w:snapToGrid w:val="0"/>
        </w:rPr>
        <w:tab/>
        <w:t xml:space="preserve">Section 55 of the Act was repealed by the </w:t>
      </w:r>
      <w:r>
        <w:rPr>
          <w:i/>
          <w:snapToGrid w:val="0"/>
        </w:rPr>
        <w:t>Mining Act 1904</w:t>
      </w:r>
      <w:r>
        <w:rPr>
          <w:snapToGrid w:val="0"/>
        </w:rPr>
        <w:t>.  It read as follows:</w:t>
      </w:r>
    </w:p>
    <w:p w:rsidR="00DA1BE2" w:rsidRDefault="00D80A18">
      <w:pPr>
        <w:pStyle w:val="MiscOpen"/>
        <w:rPr>
          <w:snapToGrid w:val="0"/>
        </w:rPr>
      </w:pPr>
      <w:r>
        <w:rPr>
          <w:snapToGrid w:val="0"/>
        </w:rPr>
        <w:t>“</w:t>
      </w:r>
    </w:p>
    <w:p w:rsidR="00DA1BE2" w:rsidRDefault="00D80A18">
      <w:pPr>
        <w:pStyle w:val="nzHeading5"/>
        <w:rPr>
          <w:snapToGrid w:val="0"/>
        </w:rPr>
      </w:pPr>
      <w:r>
        <w:rPr>
          <w:snapToGrid w:val="0"/>
        </w:rPr>
        <w:t>55</w:t>
      </w:r>
      <w:r>
        <w:rPr>
          <w:snapToGrid w:val="0"/>
        </w:rPr>
        <w:tab/>
        <w:t>Power to make regulations</w:t>
      </w:r>
    </w:p>
    <w:p w:rsidR="00DA1BE2" w:rsidRDefault="00D80A18">
      <w:pPr>
        <w:pStyle w:val="nzSubsection"/>
        <w:rPr>
          <w:b/>
          <w:snapToGrid w:val="0"/>
        </w:rPr>
      </w:pPr>
      <w:r>
        <w:rPr>
          <w:snapToGrid w:val="0"/>
        </w:rPr>
        <w:tab/>
        <w:t>(1)</w:t>
      </w:r>
      <w:r>
        <w:rPr>
          <w:snapToGrid w:val="0"/>
        </w:rPr>
        <w:tab/>
        <w:t>It shall be lawful for the Governor, from time to time to make, alter, and repeal such regulations as may be deemed necessary for the purpose of giving effect to this Act, and for the management of mining on private property generally.</w:t>
      </w:r>
    </w:p>
    <w:p w:rsidR="00DA1BE2" w:rsidRDefault="00D80A18">
      <w:pPr>
        <w:pStyle w:val="nzSubsection"/>
        <w:rPr>
          <w:snapToGrid w:val="0"/>
        </w:rPr>
      </w:pPr>
      <w:r>
        <w:rPr>
          <w:snapToGrid w:val="0"/>
        </w:rPr>
        <w:tab/>
        <w:t>(2)</w:t>
      </w:r>
      <w:r>
        <w:rPr>
          <w:snapToGrid w:val="0"/>
        </w:rPr>
        <w:tab/>
        <w:t xml:space="preserve">Such regulations may be made for the whole Colony, or for any particular part thereof, and shall be published in the </w:t>
      </w:r>
      <w:r>
        <w:rPr>
          <w:i/>
          <w:snapToGrid w:val="0"/>
        </w:rPr>
        <w:t xml:space="preserve">Government Gazette, </w:t>
      </w:r>
      <w:r>
        <w:rPr>
          <w:snapToGrid w:val="0"/>
        </w:rPr>
        <w:t>and after publication therein shall have the force and effect of law, and shall be judicially noticed in every court of justice.  Copies of all regulations made under this Act, shall be laid before both Houses of Parliament within fourteen days from the making thereof; and such regulations shall, as from such publication as aforesaid, and in so far as not disallowed by Parliament, be deemed to be within the powers conferred by this Act, and to have been legally and properly made.</w:t>
      </w:r>
    </w:p>
    <w:p w:rsidR="00DA1BE2" w:rsidRDefault="00D80A18">
      <w:pPr>
        <w:pStyle w:val="nzSubsection"/>
        <w:rPr>
          <w:snapToGrid w:val="0"/>
        </w:rPr>
      </w:pPr>
      <w:r>
        <w:rPr>
          <w:snapToGrid w:val="0"/>
        </w:rPr>
        <w:tab/>
        <w:t>(3)</w:t>
      </w:r>
      <w:r>
        <w:rPr>
          <w:snapToGrid w:val="0"/>
        </w:rPr>
        <w:tab/>
        <w:t>It shall be lawful by such regulations to impose for any breach thereof, or for any disobedience of a lawful order of the warden, or Warden’s Court, a fine not exceeding Twenty pounds, and in default of payment imprisonment with or without hard labour for any period not exceeding six months.</w:t>
      </w:r>
    </w:p>
    <w:p w:rsidR="00DA1BE2" w:rsidRDefault="00D80A18">
      <w:pPr>
        <w:pStyle w:val="MiscClose"/>
        <w:rPr>
          <w:snapToGrid w:val="0"/>
        </w:rPr>
      </w:pPr>
      <w:r>
        <w:rPr>
          <w:snapToGrid w:val="0"/>
        </w:rPr>
        <w:t>”.</w:t>
      </w:r>
    </w:p>
    <w:p w:rsidR="00DA1BE2" w:rsidRDefault="00D80A18">
      <w:pPr>
        <w:pStyle w:val="nSubsection"/>
        <w:rPr>
          <w:snapToGrid w:val="0"/>
        </w:rPr>
      </w:pPr>
      <w:r>
        <w:rPr>
          <w:vertAlign w:val="superscript"/>
        </w:rPr>
        <w:t>4</w:t>
      </w:r>
      <w:r>
        <w:tab/>
        <w:t xml:space="preserve">The </w:t>
      </w:r>
      <w:r>
        <w:rPr>
          <w:i/>
        </w:rPr>
        <w:t>Goldfields Act 1895</w:t>
      </w:r>
      <w:r>
        <w:t xml:space="preserve"> was repealed by the</w:t>
      </w:r>
      <w:r>
        <w:rPr>
          <w:snapToGrid w:val="0"/>
        </w:rPr>
        <w:t xml:space="preserve"> </w:t>
      </w:r>
      <w:r>
        <w:rPr>
          <w:i/>
          <w:snapToGrid w:val="0"/>
        </w:rPr>
        <w:t>Mining Act 1904</w:t>
      </w:r>
      <w:r>
        <w:rPr>
          <w:snapToGrid w:val="0"/>
        </w:rPr>
        <w:t>.</w:t>
      </w:r>
    </w:p>
    <w:p w:rsidR="00DA1BE2" w:rsidRDefault="00D80A18">
      <w:pPr>
        <w:pStyle w:val="nSubsection"/>
        <w:rPr>
          <w:i/>
          <w:snapToGrid w:val="0"/>
        </w:rPr>
      </w:pPr>
      <w:r>
        <w:rPr>
          <w:snapToGrid w:val="0"/>
          <w:vertAlign w:val="superscript"/>
        </w:rPr>
        <w:t>5</w:t>
      </w:r>
      <w:r>
        <w:rPr>
          <w:snapToGrid w:val="0"/>
        </w:rPr>
        <w:tab/>
        <w:t xml:space="preserve">The provisions of the Act (other than sections 56 to 62 and the Schedule) were repealed by the </w:t>
      </w:r>
      <w:r>
        <w:rPr>
          <w:i/>
          <w:snapToGrid w:val="0"/>
        </w:rPr>
        <w:t>Mining Act 1904.</w:t>
      </w:r>
    </w:p>
    <w:p w:rsidR="00DA1BE2" w:rsidRDefault="00DA1BE2"/>
    <w:p w:rsidR="00DA1BE2" w:rsidRDefault="00DA1BE2">
      <w:pPr>
        <w:sectPr w:rsidR="00DA1BE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A1BE2" w:rsidRDefault="00DA1BE2">
      <w:bookmarkStart w:id="25" w:name="UpToHere"/>
      <w:bookmarkEnd w:id="25"/>
    </w:p>
    <w:sectPr w:rsidR="00DA1BE2">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E2" w:rsidRDefault="00D80A18">
      <w:r>
        <w:separator/>
      </w:r>
    </w:p>
  </w:endnote>
  <w:endnote w:type="continuationSeparator" w:id="0">
    <w:p w:rsidR="00DA1BE2" w:rsidRDefault="00D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p>
  <w:p w:rsidR="00DA1BE2" w:rsidRDefault="00D80A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rsidR="00DA1BE2" w:rsidRDefault="00D80A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rsidR="00DA1BE2" w:rsidRDefault="00D80A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p>
  <w:p w:rsidR="00DA1BE2" w:rsidRDefault="00D80A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DA1BE2" w:rsidRDefault="00D80A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7C3F">
      <w:rPr>
        <w:rStyle w:val="PageNumber"/>
        <w:rFonts w:ascii="Arial" w:hAnsi="Arial" w:cs="Arial"/>
        <w:noProof/>
      </w:rPr>
      <w:t>i</w:t>
    </w:r>
    <w:r>
      <w:rPr>
        <w:rStyle w:val="PageNumber"/>
        <w:rFonts w:ascii="Arial" w:hAnsi="Arial" w:cs="Arial"/>
      </w:rPr>
      <w:fldChar w:fldCharType="end"/>
    </w:r>
  </w:p>
  <w:p w:rsidR="00DA1BE2" w:rsidRDefault="00D80A1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C3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 xml:space="preserve"> </w:t>
    </w:r>
  </w:p>
  <w:p w:rsidR="00DA1BE2" w:rsidRDefault="00D80A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C3F">
      <w:rPr>
        <w:rStyle w:val="CharPageNo"/>
        <w:rFonts w:ascii="Arial" w:hAnsi="Arial"/>
        <w:noProof/>
      </w:rPr>
      <w:t>5</w:t>
    </w:r>
    <w:r>
      <w:rPr>
        <w:rStyle w:val="CharPageNo"/>
        <w:rFonts w:ascii="Arial" w:hAnsi="Arial"/>
      </w:rPr>
      <w:fldChar w:fldCharType="end"/>
    </w:r>
  </w:p>
  <w:p w:rsidR="00DA1BE2" w:rsidRDefault="00D80A1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Footer"/>
      <w:tabs>
        <w:tab w:val="clear" w:pos="4153"/>
        <w:tab w:val="right" w:pos="7088"/>
      </w:tabs>
      <w:rPr>
        <w:rStyle w:val="PageNumber"/>
      </w:rPr>
    </w:pPr>
  </w:p>
  <w:p w:rsidR="00DA1BE2" w:rsidRDefault="00D80A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7C3F">
      <w:rPr>
        <w:rFonts w:ascii="Arial" w:hAnsi="Arial" w:cs="Arial"/>
        <w:sz w:val="20"/>
        <w:lang w:val="en-US"/>
      </w:rPr>
      <w:t>29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7C3F">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7C3F">
      <w:rPr>
        <w:rStyle w:val="CharPageNo"/>
        <w:rFonts w:ascii="Arial" w:hAnsi="Arial"/>
        <w:noProof/>
      </w:rPr>
      <w:t>1</w:t>
    </w:r>
    <w:r>
      <w:rPr>
        <w:rStyle w:val="CharPageNo"/>
        <w:rFonts w:ascii="Arial" w:hAnsi="Arial"/>
      </w:rPr>
      <w:fldChar w:fldCharType="end"/>
    </w:r>
  </w:p>
  <w:p w:rsidR="00DA1BE2" w:rsidRDefault="00D80A1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E2" w:rsidRDefault="00D80A18">
      <w:r>
        <w:separator/>
      </w:r>
    </w:p>
  </w:footnote>
  <w:footnote w:type="continuationSeparator" w:id="0">
    <w:p w:rsidR="00DA1BE2" w:rsidRDefault="00D8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80A18">
    <w:pPr>
      <w:pStyle w:val="headerpartodd"/>
      <w:ind w:left="0" w:firstLine="0"/>
      <w:rPr>
        <w:i/>
      </w:rPr>
    </w:pPr>
    <w:r>
      <w:rPr>
        <w:i/>
      </w:rPr>
      <w:fldChar w:fldCharType="begin"/>
    </w:r>
    <w:r>
      <w:rPr>
        <w:i/>
      </w:rPr>
      <w:instrText xml:space="preserve"> Styleref "Name of Act/Reg" </w:instrText>
    </w:r>
    <w:r>
      <w:rPr>
        <w:i/>
      </w:rPr>
      <w:fldChar w:fldCharType="separate"/>
    </w:r>
    <w:r w:rsidR="00F97C3F">
      <w:rPr>
        <w:i/>
        <w:noProof/>
      </w:rPr>
      <w:t>Mining on Private Property Act 1898</w:t>
    </w:r>
    <w:r>
      <w:rPr>
        <w:i/>
      </w:rPr>
      <w:fldChar w:fldCharType="end"/>
    </w:r>
  </w:p>
  <w:p w:rsidR="00DA1BE2" w:rsidRDefault="00D80A1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A1BE2" w:rsidRDefault="00D80A1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A1BE2" w:rsidRDefault="00DA1BE2">
    <w:pPr>
      <w:pStyle w:val="headerpart"/>
    </w:pPr>
  </w:p>
  <w:p w:rsidR="00DA1BE2" w:rsidRDefault="00DA1BE2">
    <w:pPr>
      <w:pBdr>
        <w:bottom w:val="single" w:sz="6" w:space="1" w:color="auto"/>
      </w:pBdr>
      <w:rPr>
        <w:b/>
      </w:rPr>
    </w:pPr>
  </w:p>
  <w:p w:rsidR="00DA1BE2" w:rsidRDefault="00DA1B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A1BE2">
      <w:trPr>
        <w:cantSplit/>
      </w:trPr>
      <w:tc>
        <w:tcPr>
          <w:tcW w:w="7263" w:type="dxa"/>
          <w:gridSpan w:val="2"/>
        </w:tcPr>
        <w:p w:rsidR="00DA1BE2" w:rsidRDefault="00D80A18">
          <w:pPr>
            <w:pStyle w:val="HeaderActNameLeft"/>
          </w:pPr>
          <w:fldSimple w:instr=" Styleref &quot;Name of Act/Reg&quot; ">
            <w:r w:rsidR="00F97C3F">
              <w:rPr>
                <w:noProof/>
              </w:rPr>
              <w:t>Mining on Private Property Act 1898</w:t>
            </w:r>
          </w:fldSimple>
        </w:p>
      </w:tc>
    </w:tr>
    <w:tr w:rsidR="00DA1BE2">
      <w:tc>
        <w:tcPr>
          <w:tcW w:w="1490" w:type="dxa"/>
        </w:tcPr>
        <w:p w:rsidR="00DA1BE2" w:rsidRDefault="00DA1BE2">
          <w:pPr>
            <w:pStyle w:val="HeaderNumberLeft"/>
          </w:pPr>
        </w:p>
      </w:tc>
      <w:tc>
        <w:tcPr>
          <w:tcW w:w="5773" w:type="dxa"/>
        </w:tcPr>
        <w:p w:rsidR="00DA1BE2" w:rsidRDefault="00DA1BE2">
          <w:pPr>
            <w:pStyle w:val="HeaderTextLeft"/>
          </w:pPr>
        </w:p>
      </w:tc>
    </w:tr>
    <w:tr w:rsidR="00DA1BE2">
      <w:tc>
        <w:tcPr>
          <w:tcW w:w="1490" w:type="dxa"/>
        </w:tcPr>
        <w:p w:rsidR="00DA1BE2" w:rsidRDefault="00DA1BE2">
          <w:pPr>
            <w:pStyle w:val="HeaderNumberLeft"/>
          </w:pPr>
        </w:p>
      </w:tc>
      <w:tc>
        <w:tcPr>
          <w:tcW w:w="5773" w:type="dxa"/>
        </w:tcPr>
        <w:p w:rsidR="00DA1BE2" w:rsidRDefault="00DA1BE2">
          <w:pPr>
            <w:pStyle w:val="HeaderTextLeft"/>
          </w:pPr>
        </w:p>
      </w:tc>
    </w:tr>
    <w:tr w:rsidR="00DA1BE2">
      <w:trPr>
        <w:cantSplit/>
      </w:trPr>
      <w:tc>
        <w:tcPr>
          <w:tcW w:w="1490" w:type="dxa"/>
        </w:tcPr>
        <w:p w:rsidR="00DA1BE2" w:rsidRDefault="00D80A18">
          <w:pPr>
            <w:pStyle w:val="HeaderSectionRight"/>
            <w:ind w:right="17"/>
            <w:jc w:val="left"/>
          </w:pPr>
          <w:r>
            <w:fldChar w:fldCharType="begin"/>
          </w:r>
          <w:r>
            <w:instrText xml:space="preserve"> STYLEREF CharSchNo \* MERGEFORMAT </w:instrText>
          </w:r>
          <w:r>
            <w:fldChar w:fldCharType="end"/>
          </w:r>
        </w:p>
      </w:tc>
      <w:tc>
        <w:tcPr>
          <w:tcW w:w="5773" w:type="dxa"/>
        </w:tcPr>
        <w:p w:rsidR="00DA1BE2" w:rsidRDefault="00D80A18">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DA1BE2" w:rsidRDefault="00DA1B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A1BE2">
      <w:trPr>
        <w:gridAfter w:val="1"/>
        <w:wAfter w:w="36" w:type="dxa"/>
        <w:cantSplit/>
      </w:trPr>
      <w:tc>
        <w:tcPr>
          <w:tcW w:w="7312" w:type="dxa"/>
          <w:gridSpan w:val="3"/>
        </w:tcPr>
        <w:p w:rsidR="00DA1BE2" w:rsidRDefault="00D80A18">
          <w:pPr>
            <w:pStyle w:val="HeaderActNameRight"/>
          </w:pPr>
          <w:fldSimple w:instr=" Styleref &quot;Name of Act/Reg&quot; ">
            <w:r w:rsidR="00F97C3F">
              <w:rPr>
                <w:noProof/>
              </w:rPr>
              <w:t>Mining on Private Property Act 1898</w:t>
            </w:r>
          </w:fldSimple>
        </w:p>
      </w:tc>
    </w:tr>
    <w:tr w:rsidR="00DA1BE2">
      <w:tblPrEx>
        <w:tblCellMar>
          <w:left w:w="72" w:type="dxa"/>
          <w:right w:w="72" w:type="dxa"/>
        </w:tblCellMar>
      </w:tblPrEx>
      <w:trPr>
        <w:gridBefore w:val="1"/>
        <w:wBefore w:w="36" w:type="dxa"/>
      </w:trPr>
      <w:tc>
        <w:tcPr>
          <w:tcW w:w="5760" w:type="dxa"/>
        </w:tcPr>
        <w:p w:rsidR="00DA1BE2" w:rsidRDefault="00DA1BE2">
          <w:pPr>
            <w:pStyle w:val="HeaderTextRight"/>
          </w:pPr>
        </w:p>
      </w:tc>
      <w:tc>
        <w:tcPr>
          <w:tcW w:w="1552" w:type="dxa"/>
          <w:gridSpan w:val="2"/>
        </w:tcPr>
        <w:p w:rsidR="00DA1BE2" w:rsidRDefault="00DA1BE2">
          <w:pPr>
            <w:pStyle w:val="HeaderNumberRight"/>
          </w:pPr>
        </w:p>
      </w:tc>
    </w:tr>
    <w:tr w:rsidR="00DA1BE2">
      <w:tblPrEx>
        <w:tblCellMar>
          <w:left w:w="72" w:type="dxa"/>
          <w:right w:w="72" w:type="dxa"/>
        </w:tblCellMar>
      </w:tblPrEx>
      <w:trPr>
        <w:gridBefore w:val="1"/>
        <w:wBefore w:w="36" w:type="dxa"/>
      </w:trPr>
      <w:tc>
        <w:tcPr>
          <w:tcW w:w="5760" w:type="dxa"/>
        </w:tcPr>
        <w:p w:rsidR="00DA1BE2" w:rsidRDefault="00DA1BE2">
          <w:pPr>
            <w:pStyle w:val="HeaderTextRight"/>
          </w:pPr>
        </w:p>
      </w:tc>
      <w:tc>
        <w:tcPr>
          <w:tcW w:w="1552" w:type="dxa"/>
          <w:gridSpan w:val="2"/>
        </w:tcPr>
        <w:p w:rsidR="00DA1BE2" w:rsidRDefault="00DA1BE2">
          <w:pPr>
            <w:pStyle w:val="HeaderNumberRight"/>
          </w:pPr>
        </w:p>
      </w:tc>
    </w:tr>
    <w:tr w:rsidR="00DA1BE2">
      <w:trPr>
        <w:gridAfter w:val="1"/>
        <w:wAfter w:w="36" w:type="dxa"/>
        <w:cantSplit/>
      </w:trPr>
      <w:tc>
        <w:tcPr>
          <w:tcW w:w="7312" w:type="dxa"/>
          <w:gridSpan w:val="3"/>
        </w:tcPr>
        <w:p w:rsidR="00DA1BE2" w:rsidRDefault="00D80A18">
          <w:pPr>
            <w:pStyle w:val="HeaderSectionRight"/>
          </w:pPr>
          <w:r>
            <w:t xml:space="preserve">Sch. </w:t>
          </w:r>
          <w:r>
            <w:fldChar w:fldCharType="begin"/>
          </w:r>
          <w:r>
            <w:instrText xml:space="preserve"> styleref CharSchNo </w:instrText>
          </w:r>
          <w:r>
            <w:fldChar w:fldCharType="end"/>
          </w:r>
        </w:p>
      </w:tc>
    </w:tr>
  </w:tbl>
  <w:p w:rsidR="00DA1BE2" w:rsidRDefault="00DA1BE2">
    <w:pPr>
      <w:pStyle w:val="Header"/>
      <w:pBdr>
        <w:top w:val="single" w:sz="4" w:space="1" w:color="auto"/>
      </w:pBdr>
    </w:pPr>
  </w:p>
  <w:p w:rsidR="00DA1BE2" w:rsidRDefault="00DA1B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1BE2">
      <w:trPr>
        <w:cantSplit/>
      </w:trPr>
      <w:tc>
        <w:tcPr>
          <w:tcW w:w="7312" w:type="dxa"/>
          <w:gridSpan w:val="2"/>
        </w:tcPr>
        <w:p w:rsidR="00DA1BE2" w:rsidRDefault="00D80A18">
          <w:pPr>
            <w:pStyle w:val="HeaderActNameLeft"/>
          </w:pPr>
          <w:fldSimple w:instr=" Styleref &quot;Name of Act/Reg&quot; ">
            <w:r w:rsidR="00F97C3F">
              <w:rPr>
                <w:noProof/>
              </w:rPr>
              <w:t>Mining on Private Property Act 1898</w:t>
            </w:r>
          </w:fldSimple>
        </w:p>
      </w:tc>
    </w:tr>
    <w:tr w:rsidR="00DA1BE2">
      <w:tc>
        <w:tcPr>
          <w:tcW w:w="1548" w:type="dxa"/>
        </w:tcPr>
        <w:p w:rsidR="00DA1BE2" w:rsidRDefault="00DA1BE2">
          <w:pPr>
            <w:pStyle w:val="HeaderNumberLeft"/>
          </w:pPr>
        </w:p>
      </w:tc>
      <w:tc>
        <w:tcPr>
          <w:tcW w:w="5764" w:type="dxa"/>
        </w:tcPr>
        <w:p w:rsidR="00DA1BE2" w:rsidRDefault="00DA1BE2">
          <w:pPr>
            <w:pStyle w:val="HeaderTextLeft"/>
          </w:pPr>
        </w:p>
      </w:tc>
    </w:tr>
    <w:tr w:rsidR="00DA1BE2">
      <w:tc>
        <w:tcPr>
          <w:tcW w:w="1548" w:type="dxa"/>
        </w:tcPr>
        <w:p w:rsidR="00DA1BE2" w:rsidRDefault="00DA1BE2">
          <w:pPr>
            <w:pStyle w:val="HeaderNumberLeft"/>
          </w:pPr>
        </w:p>
      </w:tc>
      <w:tc>
        <w:tcPr>
          <w:tcW w:w="5764" w:type="dxa"/>
        </w:tcPr>
        <w:p w:rsidR="00DA1BE2" w:rsidRDefault="00DA1BE2">
          <w:pPr>
            <w:pStyle w:val="HeaderTextLeft"/>
          </w:pPr>
        </w:p>
      </w:tc>
    </w:tr>
    <w:tr w:rsidR="00DA1BE2">
      <w:trPr>
        <w:cantSplit/>
      </w:trPr>
      <w:tc>
        <w:tcPr>
          <w:tcW w:w="7312" w:type="dxa"/>
          <w:gridSpan w:val="2"/>
        </w:tcPr>
        <w:p w:rsidR="00DA1BE2" w:rsidRDefault="00DA1BE2">
          <w:pPr>
            <w:pStyle w:val="HeaderSectionLeft"/>
          </w:pPr>
        </w:p>
      </w:tc>
    </w:tr>
  </w:tbl>
  <w:p w:rsidR="00DA1BE2" w:rsidRDefault="00DA1B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1BE2">
      <w:trPr>
        <w:cantSplit/>
      </w:trPr>
      <w:tc>
        <w:tcPr>
          <w:tcW w:w="7312" w:type="dxa"/>
          <w:gridSpan w:val="2"/>
        </w:tcPr>
        <w:p w:rsidR="00DA1BE2" w:rsidRDefault="00D80A18">
          <w:pPr>
            <w:pStyle w:val="HeaderActNameRight"/>
          </w:pPr>
          <w:fldSimple w:instr=" Styleref &quot;Name of Act/Reg&quot; ">
            <w:r w:rsidR="00F97C3F">
              <w:rPr>
                <w:noProof/>
              </w:rPr>
              <w:t>Mining on Private Property Act 1898</w:t>
            </w:r>
          </w:fldSimple>
        </w:p>
      </w:tc>
    </w:tr>
    <w:tr w:rsidR="00DA1BE2">
      <w:tc>
        <w:tcPr>
          <w:tcW w:w="5760" w:type="dxa"/>
        </w:tcPr>
        <w:p w:rsidR="00DA1BE2" w:rsidRDefault="00DA1BE2">
          <w:pPr>
            <w:pStyle w:val="HeaderTextRight"/>
          </w:pPr>
        </w:p>
      </w:tc>
      <w:tc>
        <w:tcPr>
          <w:tcW w:w="1552" w:type="dxa"/>
        </w:tcPr>
        <w:p w:rsidR="00DA1BE2" w:rsidRDefault="00DA1BE2">
          <w:pPr>
            <w:pStyle w:val="HeaderNumberRight"/>
          </w:pPr>
        </w:p>
      </w:tc>
    </w:tr>
    <w:tr w:rsidR="00DA1BE2">
      <w:tc>
        <w:tcPr>
          <w:tcW w:w="5760" w:type="dxa"/>
        </w:tcPr>
        <w:p w:rsidR="00DA1BE2" w:rsidRDefault="00DA1BE2">
          <w:pPr>
            <w:pStyle w:val="HeaderTextRight"/>
          </w:pPr>
        </w:p>
      </w:tc>
      <w:tc>
        <w:tcPr>
          <w:tcW w:w="1552" w:type="dxa"/>
        </w:tcPr>
        <w:p w:rsidR="00DA1BE2" w:rsidRDefault="00DA1BE2">
          <w:pPr>
            <w:pStyle w:val="HeaderNumberRight"/>
          </w:pPr>
        </w:p>
      </w:tc>
    </w:tr>
    <w:tr w:rsidR="00DA1BE2">
      <w:trPr>
        <w:cantSplit/>
      </w:trPr>
      <w:tc>
        <w:tcPr>
          <w:tcW w:w="7312" w:type="dxa"/>
          <w:gridSpan w:val="2"/>
        </w:tcPr>
        <w:p w:rsidR="00DA1BE2" w:rsidRDefault="00DA1BE2">
          <w:pPr>
            <w:pStyle w:val="HeaderSectionRight"/>
          </w:pPr>
        </w:p>
      </w:tc>
    </w:tr>
  </w:tbl>
  <w:p w:rsidR="00DA1BE2" w:rsidRDefault="00DA1B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80A18">
    <w:pPr>
      <w:pStyle w:val="headerpartodd"/>
      <w:ind w:left="0" w:firstLine="0"/>
      <w:rPr>
        <w:i/>
      </w:rPr>
    </w:pPr>
    <w:r>
      <w:rPr>
        <w:i/>
      </w:rPr>
      <w:fldChar w:fldCharType="begin"/>
    </w:r>
    <w:r>
      <w:rPr>
        <w:i/>
      </w:rPr>
      <w:instrText xml:space="preserve"> Styleref "Name of Act/Reg" </w:instrText>
    </w:r>
    <w:r>
      <w:rPr>
        <w:i/>
      </w:rPr>
      <w:fldChar w:fldCharType="separate"/>
    </w:r>
    <w:r w:rsidR="00F97C3F">
      <w:rPr>
        <w:i/>
        <w:noProof/>
      </w:rPr>
      <w:t>Mining on Private Property Act 1898</w:t>
    </w:r>
    <w:r>
      <w:rPr>
        <w:i/>
      </w:rPr>
      <w:fldChar w:fldCharType="end"/>
    </w:r>
  </w:p>
  <w:p w:rsidR="00DA1BE2" w:rsidRDefault="00DA1BE2">
    <w:pPr>
      <w:pStyle w:val="headerpartodd"/>
      <w:ind w:left="0" w:firstLine="0"/>
      <w:rPr>
        <w:b w:val="0"/>
        <w:i/>
      </w:rPr>
    </w:pPr>
  </w:p>
  <w:p w:rsidR="00DA1BE2" w:rsidRDefault="00DA1BE2">
    <w:pPr>
      <w:pStyle w:val="headerpart"/>
    </w:pPr>
  </w:p>
  <w:p w:rsidR="00DA1BE2" w:rsidRDefault="00DA1BE2">
    <w:pPr>
      <w:pStyle w:val="headerpart"/>
    </w:pPr>
  </w:p>
  <w:p w:rsidR="00DA1BE2" w:rsidRDefault="00DA1BE2">
    <w:pPr>
      <w:pBdr>
        <w:bottom w:val="single" w:sz="6" w:space="1" w:color="auto"/>
      </w:pBdr>
      <w:rPr>
        <w:b/>
      </w:rPr>
    </w:pPr>
  </w:p>
  <w:p w:rsidR="00DA1BE2" w:rsidRDefault="00DA1B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80A18">
    <w:pPr>
      <w:pStyle w:val="headerpartodd"/>
      <w:ind w:left="0" w:firstLine="0"/>
      <w:jc w:val="right"/>
      <w:rPr>
        <w:i/>
      </w:rPr>
    </w:pPr>
    <w:r>
      <w:rPr>
        <w:i/>
      </w:rPr>
      <w:fldChar w:fldCharType="begin"/>
    </w:r>
    <w:r>
      <w:rPr>
        <w:i/>
      </w:rPr>
      <w:instrText xml:space="preserve"> Styleref "Name of Act/Reg" </w:instrText>
    </w:r>
    <w:r>
      <w:rPr>
        <w:i/>
      </w:rPr>
      <w:fldChar w:fldCharType="separate"/>
    </w:r>
    <w:r w:rsidR="00F97C3F">
      <w:rPr>
        <w:i/>
        <w:noProof/>
      </w:rPr>
      <w:t>Mining on Private Property Act 1898</w:t>
    </w:r>
    <w:r>
      <w:rPr>
        <w:i/>
      </w:rPr>
      <w:fldChar w:fldCharType="end"/>
    </w:r>
  </w:p>
  <w:p w:rsidR="00DA1BE2" w:rsidRDefault="00DA1BE2">
    <w:pPr>
      <w:pStyle w:val="headerpartodd"/>
      <w:ind w:left="0" w:firstLine="0"/>
      <w:jc w:val="right"/>
      <w:rPr>
        <w:b w:val="0"/>
        <w:i/>
      </w:rPr>
    </w:pPr>
  </w:p>
  <w:p w:rsidR="00DA1BE2" w:rsidRDefault="00DA1BE2">
    <w:pPr>
      <w:pStyle w:val="headerpart"/>
      <w:jc w:val="right"/>
    </w:pPr>
  </w:p>
  <w:p w:rsidR="00DA1BE2" w:rsidRDefault="00DA1BE2">
    <w:pPr>
      <w:pStyle w:val="headerpart"/>
      <w:jc w:val="right"/>
    </w:pPr>
  </w:p>
  <w:p w:rsidR="00DA1BE2" w:rsidRDefault="00DA1BE2">
    <w:pPr>
      <w:pBdr>
        <w:bottom w:val="single" w:sz="6" w:space="1" w:color="auto"/>
      </w:pBdr>
      <w:jc w:val="right"/>
      <w:rPr>
        <w:b/>
      </w:rPr>
    </w:pPr>
  </w:p>
  <w:p w:rsidR="00DA1BE2" w:rsidRDefault="00DA1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1BE2">
      <w:trPr>
        <w:cantSplit/>
      </w:trPr>
      <w:tc>
        <w:tcPr>
          <w:tcW w:w="7312" w:type="dxa"/>
          <w:gridSpan w:val="2"/>
        </w:tcPr>
        <w:p w:rsidR="00DA1BE2" w:rsidRDefault="00D80A18">
          <w:pPr>
            <w:pStyle w:val="HeaderActNameLeft"/>
          </w:pPr>
          <w:r>
            <w:rPr>
              <w:i w:val="0"/>
            </w:rPr>
            <w:fldChar w:fldCharType="begin"/>
          </w:r>
          <w:r>
            <w:rPr>
              <w:i w:val="0"/>
            </w:rPr>
            <w:instrText xml:space="preserve"> Styleref "Name of Act/Reg" </w:instrText>
          </w:r>
          <w:r>
            <w:rPr>
              <w:i w:val="0"/>
            </w:rPr>
            <w:fldChar w:fldCharType="separate"/>
          </w:r>
          <w:r w:rsidR="00F97C3F">
            <w:rPr>
              <w:i w:val="0"/>
              <w:noProof/>
            </w:rPr>
            <w:t>Mining on Private Property Act 1898</w:t>
          </w:r>
          <w:r>
            <w:rPr>
              <w:i w:val="0"/>
            </w:rPr>
            <w:fldChar w:fldCharType="end"/>
          </w:r>
        </w:p>
      </w:tc>
    </w:tr>
    <w:tr w:rsidR="00DA1BE2">
      <w:tc>
        <w:tcPr>
          <w:tcW w:w="1548" w:type="dxa"/>
        </w:tcPr>
        <w:p w:rsidR="00DA1BE2" w:rsidRDefault="00DA1BE2">
          <w:pPr>
            <w:pStyle w:val="HeaderNumberLeft"/>
          </w:pPr>
        </w:p>
      </w:tc>
      <w:tc>
        <w:tcPr>
          <w:tcW w:w="5764" w:type="dxa"/>
        </w:tcPr>
        <w:p w:rsidR="00DA1BE2" w:rsidRDefault="00DA1BE2">
          <w:pPr>
            <w:pStyle w:val="HeaderTextLeft"/>
          </w:pPr>
        </w:p>
      </w:tc>
    </w:tr>
    <w:tr w:rsidR="00DA1BE2">
      <w:tc>
        <w:tcPr>
          <w:tcW w:w="1548" w:type="dxa"/>
        </w:tcPr>
        <w:p w:rsidR="00DA1BE2" w:rsidRDefault="00DA1BE2">
          <w:pPr>
            <w:pStyle w:val="HeaderNumberLeft"/>
          </w:pPr>
        </w:p>
      </w:tc>
      <w:tc>
        <w:tcPr>
          <w:tcW w:w="5764" w:type="dxa"/>
        </w:tcPr>
        <w:p w:rsidR="00DA1BE2" w:rsidRDefault="00DA1BE2">
          <w:pPr>
            <w:pStyle w:val="HeaderTextLeft"/>
          </w:pPr>
        </w:p>
      </w:tc>
    </w:tr>
    <w:tr w:rsidR="00DA1BE2">
      <w:trPr>
        <w:cantSplit/>
      </w:trPr>
      <w:tc>
        <w:tcPr>
          <w:tcW w:w="7312" w:type="dxa"/>
          <w:gridSpan w:val="2"/>
        </w:tcPr>
        <w:p w:rsidR="00DA1BE2" w:rsidRDefault="00DA1BE2">
          <w:pPr>
            <w:pStyle w:val="HeaderSectionLeft"/>
          </w:pPr>
        </w:p>
      </w:tc>
    </w:tr>
  </w:tbl>
  <w:p w:rsidR="00DA1BE2" w:rsidRDefault="00DA1B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1BE2">
      <w:trPr>
        <w:cantSplit/>
      </w:trPr>
      <w:tc>
        <w:tcPr>
          <w:tcW w:w="7312" w:type="dxa"/>
          <w:gridSpan w:val="2"/>
        </w:tcPr>
        <w:p w:rsidR="00DA1BE2" w:rsidRDefault="00D80A18">
          <w:pPr>
            <w:pStyle w:val="HeaderActNameRight"/>
          </w:pPr>
          <w:fldSimple w:instr=" Styleref &quot;Name of Act/Reg&quot; ">
            <w:r w:rsidR="00F97C3F">
              <w:rPr>
                <w:noProof/>
              </w:rPr>
              <w:t>Mining on Private Property Act 1898</w:t>
            </w:r>
          </w:fldSimple>
        </w:p>
      </w:tc>
    </w:tr>
    <w:tr w:rsidR="00DA1BE2">
      <w:tc>
        <w:tcPr>
          <w:tcW w:w="5760" w:type="dxa"/>
        </w:tcPr>
        <w:p w:rsidR="00DA1BE2" w:rsidRDefault="00DA1BE2">
          <w:pPr>
            <w:pStyle w:val="HeaderTextRight"/>
          </w:pPr>
        </w:p>
      </w:tc>
      <w:tc>
        <w:tcPr>
          <w:tcW w:w="1552" w:type="dxa"/>
        </w:tcPr>
        <w:p w:rsidR="00DA1BE2" w:rsidRDefault="00DA1BE2">
          <w:pPr>
            <w:pStyle w:val="HeaderNumberRight"/>
          </w:pPr>
        </w:p>
      </w:tc>
    </w:tr>
    <w:tr w:rsidR="00DA1BE2">
      <w:tc>
        <w:tcPr>
          <w:tcW w:w="5760" w:type="dxa"/>
        </w:tcPr>
        <w:p w:rsidR="00DA1BE2" w:rsidRDefault="00DA1BE2">
          <w:pPr>
            <w:pStyle w:val="HeaderTextRight"/>
          </w:pPr>
        </w:p>
      </w:tc>
      <w:tc>
        <w:tcPr>
          <w:tcW w:w="1552" w:type="dxa"/>
        </w:tcPr>
        <w:p w:rsidR="00DA1BE2" w:rsidRDefault="00DA1BE2">
          <w:pPr>
            <w:pStyle w:val="HeaderNumberRight"/>
          </w:pPr>
        </w:p>
      </w:tc>
    </w:tr>
    <w:tr w:rsidR="00DA1BE2">
      <w:trPr>
        <w:cantSplit/>
      </w:trPr>
      <w:tc>
        <w:tcPr>
          <w:tcW w:w="7312" w:type="dxa"/>
          <w:gridSpan w:val="2"/>
        </w:tcPr>
        <w:p w:rsidR="00DA1BE2" w:rsidRDefault="00DA1BE2">
          <w:pPr>
            <w:pStyle w:val="HeaderSectionRight"/>
          </w:pPr>
        </w:p>
      </w:tc>
    </w:tr>
  </w:tbl>
  <w:p w:rsidR="00DA1BE2" w:rsidRDefault="00DA1B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1BE2">
      <w:trPr>
        <w:cantSplit/>
      </w:trPr>
      <w:tc>
        <w:tcPr>
          <w:tcW w:w="7263" w:type="dxa"/>
          <w:gridSpan w:val="2"/>
        </w:tcPr>
        <w:p w:rsidR="00DA1BE2" w:rsidRDefault="00D80A18">
          <w:pPr>
            <w:pStyle w:val="HeaderActNameLeft"/>
          </w:pPr>
          <w:fldSimple w:instr=" Styleref &quot;Name of Act/Reg&quot; ">
            <w:r w:rsidR="00F97C3F">
              <w:rPr>
                <w:noProof/>
              </w:rPr>
              <w:t>Mining on Private Property Act 1898</w:t>
            </w:r>
          </w:fldSimple>
        </w:p>
      </w:tc>
    </w:tr>
    <w:tr w:rsidR="00DA1BE2">
      <w:tc>
        <w:tcPr>
          <w:tcW w:w="1548" w:type="dxa"/>
        </w:tcPr>
        <w:p w:rsidR="00DA1BE2" w:rsidRDefault="00D80A18">
          <w:pPr>
            <w:pStyle w:val="HeaderNumberLeft"/>
          </w:pPr>
          <w:r>
            <w:fldChar w:fldCharType="begin"/>
          </w:r>
          <w:r>
            <w:instrText xml:space="preserve"> styleref CharPartNo </w:instrText>
          </w:r>
          <w:r>
            <w:fldChar w:fldCharType="end"/>
          </w:r>
        </w:p>
      </w:tc>
      <w:tc>
        <w:tcPr>
          <w:tcW w:w="5715" w:type="dxa"/>
        </w:tcPr>
        <w:p w:rsidR="00DA1BE2" w:rsidRDefault="00D80A18">
          <w:pPr>
            <w:pStyle w:val="HeaderTextLeft"/>
          </w:pPr>
          <w:r>
            <w:fldChar w:fldCharType="begin"/>
          </w:r>
          <w:r>
            <w:instrText xml:space="preserve"> styleref CharPartText </w:instrText>
          </w:r>
          <w:r>
            <w:fldChar w:fldCharType="end"/>
          </w:r>
        </w:p>
      </w:tc>
    </w:tr>
    <w:tr w:rsidR="00DA1BE2">
      <w:tc>
        <w:tcPr>
          <w:tcW w:w="1548" w:type="dxa"/>
        </w:tcPr>
        <w:p w:rsidR="00DA1BE2" w:rsidRDefault="00D80A18">
          <w:pPr>
            <w:pStyle w:val="HeaderNumberLeft"/>
          </w:pPr>
          <w:r>
            <w:fldChar w:fldCharType="begin"/>
          </w:r>
          <w:r>
            <w:instrText xml:space="preserve"> styleref CharDivNo </w:instrText>
          </w:r>
          <w:r>
            <w:fldChar w:fldCharType="end"/>
          </w:r>
        </w:p>
      </w:tc>
      <w:tc>
        <w:tcPr>
          <w:tcW w:w="5715" w:type="dxa"/>
        </w:tcPr>
        <w:p w:rsidR="00DA1BE2" w:rsidRDefault="00D80A18">
          <w:pPr>
            <w:pStyle w:val="HeaderTextLeft"/>
          </w:pPr>
          <w:r>
            <w:fldChar w:fldCharType="begin"/>
          </w:r>
          <w:r>
            <w:instrText xml:space="preserve"> styleref CharDivText </w:instrText>
          </w:r>
          <w:r>
            <w:fldChar w:fldCharType="end"/>
          </w:r>
        </w:p>
      </w:tc>
    </w:tr>
    <w:tr w:rsidR="00DA1BE2">
      <w:trPr>
        <w:cantSplit/>
      </w:trPr>
      <w:tc>
        <w:tcPr>
          <w:tcW w:w="7263" w:type="dxa"/>
          <w:gridSpan w:val="2"/>
        </w:tcPr>
        <w:p w:rsidR="00DA1BE2" w:rsidRDefault="00D80A18">
          <w:pPr>
            <w:pStyle w:val="HeaderSectionLeft"/>
          </w:pPr>
          <w:r>
            <w:t xml:space="preserve">s. </w:t>
          </w:r>
          <w:fldSimple w:instr=" styleref CharSectno ">
            <w:r w:rsidR="00F97C3F">
              <w:rPr>
                <w:noProof/>
              </w:rPr>
              <w:t>56</w:t>
            </w:r>
          </w:fldSimple>
        </w:p>
      </w:tc>
    </w:tr>
  </w:tbl>
  <w:p w:rsidR="00DA1BE2" w:rsidRDefault="00DA1B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1BE2">
      <w:trPr>
        <w:cantSplit/>
      </w:trPr>
      <w:tc>
        <w:tcPr>
          <w:tcW w:w="7263" w:type="dxa"/>
          <w:gridSpan w:val="2"/>
        </w:tcPr>
        <w:p w:rsidR="00DA1BE2" w:rsidRDefault="00D80A18">
          <w:pPr>
            <w:pStyle w:val="HeaderActNameRight"/>
            <w:ind w:right="17"/>
          </w:pPr>
          <w:fldSimple w:instr=" Styleref &quot;Name of Act/Reg&quot; ">
            <w:r w:rsidR="00F97C3F">
              <w:rPr>
                <w:noProof/>
              </w:rPr>
              <w:t>Mining on Private Property Act 1898</w:t>
            </w:r>
          </w:fldSimple>
        </w:p>
      </w:tc>
    </w:tr>
    <w:tr w:rsidR="00DA1BE2">
      <w:tc>
        <w:tcPr>
          <w:tcW w:w="5715" w:type="dxa"/>
        </w:tcPr>
        <w:p w:rsidR="00DA1BE2" w:rsidRDefault="00D80A18">
          <w:pPr>
            <w:pStyle w:val="HeaderTextRight"/>
          </w:pPr>
          <w:r>
            <w:fldChar w:fldCharType="begin"/>
          </w:r>
          <w:r>
            <w:instrText xml:space="preserve"> styleref CharPartText </w:instrText>
          </w:r>
          <w:r>
            <w:fldChar w:fldCharType="end"/>
          </w:r>
        </w:p>
      </w:tc>
      <w:tc>
        <w:tcPr>
          <w:tcW w:w="1548" w:type="dxa"/>
        </w:tcPr>
        <w:p w:rsidR="00DA1BE2" w:rsidRDefault="00D80A18">
          <w:pPr>
            <w:pStyle w:val="HeaderNumberRight"/>
            <w:ind w:right="17"/>
          </w:pPr>
          <w:r>
            <w:fldChar w:fldCharType="begin"/>
          </w:r>
          <w:r>
            <w:instrText xml:space="preserve"> styleref CharPartNo </w:instrText>
          </w:r>
          <w:r>
            <w:fldChar w:fldCharType="end"/>
          </w:r>
        </w:p>
      </w:tc>
    </w:tr>
    <w:tr w:rsidR="00DA1BE2">
      <w:tc>
        <w:tcPr>
          <w:tcW w:w="5715" w:type="dxa"/>
        </w:tcPr>
        <w:p w:rsidR="00DA1BE2" w:rsidRDefault="00D80A18">
          <w:pPr>
            <w:pStyle w:val="HeaderTextRight"/>
          </w:pPr>
          <w:r>
            <w:fldChar w:fldCharType="begin"/>
          </w:r>
          <w:r>
            <w:instrText xml:space="preserve"> styleref CharDivText </w:instrText>
          </w:r>
          <w:r>
            <w:fldChar w:fldCharType="end"/>
          </w:r>
        </w:p>
      </w:tc>
      <w:tc>
        <w:tcPr>
          <w:tcW w:w="1548" w:type="dxa"/>
        </w:tcPr>
        <w:p w:rsidR="00DA1BE2" w:rsidRDefault="00D80A18">
          <w:pPr>
            <w:pStyle w:val="HeaderNumberRight"/>
            <w:ind w:right="17"/>
          </w:pPr>
          <w:r>
            <w:fldChar w:fldCharType="begin"/>
          </w:r>
          <w:r>
            <w:instrText xml:space="preserve"> styleref CharDivNo </w:instrText>
          </w:r>
          <w:r>
            <w:fldChar w:fldCharType="end"/>
          </w:r>
        </w:p>
      </w:tc>
    </w:tr>
    <w:tr w:rsidR="00DA1BE2">
      <w:trPr>
        <w:cantSplit/>
      </w:trPr>
      <w:tc>
        <w:tcPr>
          <w:tcW w:w="7263" w:type="dxa"/>
          <w:gridSpan w:val="2"/>
        </w:tcPr>
        <w:p w:rsidR="00DA1BE2" w:rsidRDefault="00D80A18">
          <w:pPr>
            <w:pStyle w:val="HeaderSectionRight"/>
            <w:ind w:right="17"/>
          </w:pPr>
          <w:r>
            <w:t>s. </w:t>
          </w:r>
          <w:fldSimple w:instr=" styleref CharSectno ">
            <w:r w:rsidR="00F97C3F">
              <w:rPr>
                <w:noProof/>
              </w:rPr>
              <w:t>56</w:t>
            </w:r>
          </w:fldSimple>
        </w:p>
      </w:tc>
    </w:tr>
  </w:tbl>
  <w:p w:rsidR="00DA1BE2" w:rsidRDefault="00DA1B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E2" w:rsidRDefault="00DA1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18"/>
    <w:rsid w:val="00B54100"/>
    <w:rsid w:val="00D80A18"/>
    <w:rsid w:val="00DA1BE2"/>
    <w:rsid w:val="00F97C3F"/>
    <w:rsid w:val="00FC4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7447</Characters>
  <Application>Microsoft Office Word</Application>
  <DocSecurity>0</DocSecurity>
  <Lines>212</Lines>
  <Paragraphs>143</Paragraphs>
  <ScaleCrop>false</ScaleCrop>
  <HeadingPairs>
    <vt:vector size="2" baseType="variant">
      <vt:variant>
        <vt:lpstr>Title</vt:lpstr>
      </vt:variant>
      <vt:variant>
        <vt:i4>1</vt:i4>
      </vt:variant>
    </vt:vector>
  </HeadingPairs>
  <TitlesOfParts>
    <vt:vector size="1" baseType="lpstr">
      <vt:lpstr>Mining On Private Property Act 1898</vt:lpstr>
    </vt:vector>
  </TitlesOfParts>
  <Manager/>
  <Company>Ministry of Justice</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On Private Property Act 1898 - 04-b0-05</dc:title>
  <dc:subject>ActIF_M</dc:subject>
  <dc:creator>Matthew Pether</dc:creator>
  <cp:keywords/>
  <dc:description/>
  <cp:lastModifiedBy>svcMRProcess</cp:lastModifiedBy>
  <cp:revision>4</cp:revision>
  <cp:lastPrinted>2004-06-09T03:30:00Z</cp:lastPrinted>
  <dcterms:created xsi:type="dcterms:W3CDTF">2013-02-19T11:28:00Z</dcterms:created>
  <dcterms:modified xsi:type="dcterms:W3CDTF">2013-02-19T11:28:00Z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1898</vt:lpwstr>
  </property>
  <property fmtid="{D5CDD505-2E9C-101B-9397-08002B2CF9AE}" pid="3" name="CommencementDate">
    <vt:lpwstr>20041029</vt:lpwstr>
  </property>
  <property fmtid="{D5CDD505-2E9C-101B-9397-08002B2CF9AE}" pid="4" name="DocumentType">
    <vt:lpwstr>Act</vt:lpwstr>
  </property>
  <property fmtid="{D5CDD505-2E9C-101B-9397-08002B2CF9AE}" pid="5" name="OwlsUID">
    <vt:i4>518</vt:i4>
  </property>
  <property fmtid="{D5CDD505-2E9C-101B-9397-08002B2CF9AE}" pid="6" name="AsAtDate">
    <vt:lpwstr>29 Oct 2004</vt:lpwstr>
  </property>
  <property fmtid="{D5CDD505-2E9C-101B-9397-08002B2CF9AE}" pid="7" name="Suffix">
    <vt:lpwstr>04-b0-05</vt:lpwstr>
  </property>
</Properties>
</file>