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32" w:rsidRDefault="00466B10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955932" w:rsidRDefault="00466B10">
      <w:pPr>
        <w:pStyle w:val="PrincipalActReg"/>
        <w:spacing w:before="2200" w:after="0"/>
      </w:pPr>
      <w:r>
        <w:t>Workers’ Compensation and Injury Management (Acts of Terrorism) Act 2001</w:t>
      </w:r>
    </w:p>
    <w:p w:rsidR="00955932" w:rsidRDefault="00466B10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5F567F">
        <w:rPr>
          <w:noProof/>
          <w:sz w:val="48"/>
        </w:rPr>
        <w:t>Workers’ Compensation and Injury Management (Acts of Terrorism) (Final Day) Regulations 2002</w:t>
      </w:r>
      <w:r>
        <w:rPr>
          <w:sz w:val="48"/>
        </w:rPr>
        <w:fldChar w:fldCharType="end"/>
      </w:r>
    </w:p>
    <w:p w:rsidR="00955932" w:rsidRDefault="00955932">
      <w:pPr>
        <w:jc w:val="center"/>
        <w:rPr>
          <w:b/>
        </w:rPr>
        <w:sectPr w:rsidR="009559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955932">
        <w:trPr>
          <w:cantSplit/>
        </w:trPr>
        <w:tc>
          <w:tcPr>
            <w:tcW w:w="2434" w:type="dxa"/>
            <w:vMerge w:val="restart"/>
          </w:tcPr>
          <w:p w:rsidR="00955932" w:rsidRDefault="00955932"/>
        </w:tc>
        <w:tc>
          <w:tcPr>
            <w:tcW w:w="2434" w:type="dxa"/>
            <w:vMerge w:val="restart"/>
          </w:tcPr>
          <w:p w:rsidR="00955932" w:rsidRDefault="00955932">
            <w:pPr>
              <w:jc w:val="center"/>
            </w:pPr>
          </w:p>
        </w:tc>
        <w:tc>
          <w:tcPr>
            <w:tcW w:w="2434" w:type="dxa"/>
          </w:tcPr>
          <w:p w:rsidR="00955932" w:rsidRDefault="00466B10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 w:rsidR="00955932">
        <w:trPr>
          <w:cantSplit/>
        </w:trPr>
        <w:tc>
          <w:tcPr>
            <w:tcW w:w="2434" w:type="dxa"/>
            <w:vMerge/>
          </w:tcPr>
          <w:p w:rsidR="00955932" w:rsidRDefault="00955932"/>
        </w:tc>
        <w:tc>
          <w:tcPr>
            <w:tcW w:w="2434" w:type="dxa"/>
            <w:vMerge/>
          </w:tcPr>
          <w:p w:rsidR="00955932" w:rsidRDefault="00955932">
            <w:pPr>
              <w:jc w:val="center"/>
            </w:pPr>
          </w:p>
        </w:tc>
        <w:tc>
          <w:tcPr>
            <w:tcW w:w="2434" w:type="dxa"/>
          </w:tcPr>
          <w:p w:rsidR="00955932" w:rsidRDefault="00466B10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27 February 2009</w:t>
            </w:r>
          </w:p>
        </w:tc>
      </w:tr>
    </w:tbl>
    <w:p w:rsidR="00955932" w:rsidRDefault="00466B10">
      <w:pPr>
        <w:pStyle w:val="WA"/>
        <w:spacing w:before="120"/>
      </w:pPr>
      <w:r>
        <w:t>Western Australia</w:t>
      </w:r>
    </w:p>
    <w:p w:rsidR="00955932" w:rsidRDefault="00466B10"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F567F">
        <w:rPr>
          <w:noProof/>
        </w:rPr>
        <w:t>Workers’ Compensation and Injury Management (Acts of Terrorism) (Final Day) Regulations 2002</w:t>
      </w:r>
      <w:r>
        <w:fldChar w:fldCharType="end"/>
      </w:r>
    </w:p>
    <w:p w:rsidR="00955932" w:rsidRDefault="00466B10">
      <w:pPr>
        <w:pStyle w:val="Arrangement"/>
      </w:pPr>
      <w:r>
        <w:t>CONTENTS</w:t>
      </w:r>
    </w:p>
    <w:p w:rsidR="00955932" w:rsidRDefault="00466B10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_Toc224981858 \h </w:instrText>
      </w:r>
      <w:r>
        <w:fldChar w:fldCharType="separate"/>
      </w:r>
      <w:r w:rsidR="005F567F">
        <w:t>1</w:t>
      </w:r>
      <w:r>
        <w:fldChar w:fldCharType="end"/>
      </w:r>
    </w:p>
    <w:p w:rsidR="00955932" w:rsidRDefault="00466B10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Final day prescribed (section 3)</w:t>
      </w:r>
      <w:r>
        <w:tab/>
      </w:r>
      <w:r>
        <w:fldChar w:fldCharType="begin"/>
      </w:r>
      <w:r>
        <w:instrText xml:space="preserve"> PAGEREF _Toc224981859 \h </w:instrText>
      </w:r>
      <w:r>
        <w:fldChar w:fldCharType="separate"/>
      </w:r>
      <w:r w:rsidR="005F567F">
        <w:t>1</w:t>
      </w:r>
      <w:r>
        <w:fldChar w:fldCharType="end"/>
      </w:r>
    </w:p>
    <w:p w:rsidR="00955932" w:rsidRDefault="00466B1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955932" w:rsidRDefault="00466B10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_Toc224981861 \h </w:instrText>
      </w:r>
      <w:r>
        <w:fldChar w:fldCharType="separate"/>
      </w:r>
      <w:r w:rsidR="005F567F">
        <w:t>2</w:t>
      </w:r>
      <w:r>
        <w:fldChar w:fldCharType="end"/>
      </w:r>
    </w:p>
    <w:p w:rsidR="00955932" w:rsidRDefault="00466B10">
      <w:pPr>
        <w:pStyle w:val="TOC2"/>
      </w:pPr>
      <w:r>
        <w:fldChar w:fldCharType="end"/>
      </w:r>
    </w:p>
    <w:p w:rsidR="00955932" w:rsidRDefault="00466B1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55932" w:rsidRDefault="00955932">
      <w:pPr>
        <w:pStyle w:val="NoteHeading"/>
        <w:sectPr w:rsidR="00955932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955932">
        <w:trPr>
          <w:cantSplit/>
        </w:trPr>
        <w:tc>
          <w:tcPr>
            <w:tcW w:w="2434" w:type="dxa"/>
            <w:vMerge w:val="restart"/>
          </w:tcPr>
          <w:p w:rsidR="00955932" w:rsidRDefault="00955932"/>
        </w:tc>
        <w:tc>
          <w:tcPr>
            <w:tcW w:w="2434" w:type="dxa"/>
            <w:vMerge w:val="restart"/>
          </w:tcPr>
          <w:p w:rsidR="00955932" w:rsidRDefault="00466B1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1495" cy="467995"/>
                  <wp:effectExtent l="0" t="0" r="1905" b="8255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955932" w:rsidRDefault="00466B10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 w:rsidR="00955932">
        <w:trPr>
          <w:cantSplit/>
        </w:trPr>
        <w:tc>
          <w:tcPr>
            <w:tcW w:w="2434" w:type="dxa"/>
            <w:vMerge/>
          </w:tcPr>
          <w:p w:rsidR="00955932" w:rsidRDefault="00955932"/>
        </w:tc>
        <w:tc>
          <w:tcPr>
            <w:tcW w:w="2434" w:type="dxa"/>
            <w:vMerge/>
          </w:tcPr>
          <w:p w:rsidR="00955932" w:rsidRDefault="00955932">
            <w:pPr>
              <w:jc w:val="center"/>
            </w:pPr>
          </w:p>
        </w:tc>
        <w:tc>
          <w:tcPr>
            <w:tcW w:w="2434" w:type="dxa"/>
          </w:tcPr>
          <w:p w:rsidR="00955932" w:rsidRDefault="00466B10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27</w:t>
            </w:r>
            <w:r>
              <w:rPr>
                <w:b/>
                <w:snapToGrid w:val="0"/>
                <w:sz w:val="22"/>
              </w:rPr>
              <w:t xml:space="preserve"> February 2009</w:t>
            </w:r>
          </w:p>
        </w:tc>
      </w:tr>
    </w:tbl>
    <w:p w:rsidR="00955932" w:rsidRDefault="00466B10">
      <w:pPr>
        <w:pStyle w:val="WA"/>
        <w:spacing w:before="120"/>
      </w:pPr>
      <w:r>
        <w:t>Western Australia</w:t>
      </w:r>
    </w:p>
    <w:p w:rsidR="00955932" w:rsidRDefault="00466B10"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 w:rsidR="00955932" w:rsidRDefault="00466B10">
      <w:pPr>
        <w:pStyle w:val="NameofActReg"/>
      </w:pPr>
      <w:r>
        <w:t>Workers’ Compensation and Injury Management (Acts of Terrorism) (Final Day) Regulations 2002</w:t>
      </w:r>
    </w:p>
    <w:p w:rsidR="00955932" w:rsidRDefault="00466B10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6677447"/>
      <w:bookmarkStart w:id="9" w:name="_Toc120600384"/>
      <w:bookmarkStart w:id="10" w:name="_Toc22498185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932" w:rsidRDefault="00466B10"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 w:rsidR="00955932" w:rsidRDefault="00466B10">
      <w:pPr>
        <w:pStyle w:val="Footnotesection"/>
        <w:rPr>
          <w:i w:val="0"/>
        </w:rPr>
      </w:pPr>
      <w:r>
        <w:tab/>
        <w:t>[Regulation 1 amended in Gazette 25 Nov 2005 p. 5691.]</w:t>
      </w:r>
    </w:p>
    <w:p w:rsidR="00955932" w:rsidRDefault="00466B10">
      <w:pPr>
        <w:pStyle w:val="Heading5"/>
      </w:pPr>
      <w:bookmarkStart w:id="11" w:name="_Toc120600385"/>
      <w:bookmarkStart w:id="12" w:name="_Toc224981859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11"/>
      <w:bookmarkEnd w:id="12"/>
    </w:p>
    <w:p w:rsidR="00955932" w:rsidRDefault="00466B10"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2012.</w:t>
      </w:r>
    </w:p>
    <w:p w:rsidR="00955932" w:rsidRDefault="00466B10">
      <w:pPr>
        <w:pStyle w:val="Footnotesection"/>
      </w:pPr>
      <w:r>
        <w:tab/>
        <w:t>[Regulation 2 inserted in Gazette 12 Sep 2003 p. 4083; amended in Gazette 25 Nov 2005 p. 5691; 6 Jan 2009 p. 15.]</w:t>
      </w:r>
    </w:p>
    <w:p w:rsidR="00955932" w:rsidRDefault="00466B10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5355" cy="170180"/>
            <wp:effectExtent l="0" t="0" r="0" b="127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32" w:rsidRDefault="00955932">
      <w:pPr>
        <w:sectPr w:rsidR="0095593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3" w:name="_Toc120594932"/>
      <w:bookmarkStart w:id="14" w:name="_Toc120600386"/>
      <w:bookmarkStart w:id="15" w:name="_Toc218928370"/>
      <w:bookmarkStart w:id="16" w:name="_Toc218928376"/>
      <w:bookmarkStart w:id="17" w:name="_Toc222800970"/>
      <w:bookmarkStart w:id="18" w:name="_Toc222801108"/>
      <w:bookmarkStart w:id="19" w:name="_Toc223404555"/>
      <w:bookmarkStart w:id="20" w:name="_Toc224981759"/>
    </w:p>
    <w:p w:rsidR="00955932" w:rsidRDefault="00466B10">
      <w:pPr>
        <w:pStyle w:val="nHeading2"/>
      </w:pPr>
      <w:bookmarkStart w:id="21" w:name="UpToHere"/>
      <w:bookmarkStart w:id="22" w:name="_Toc224981860"/>
      <w:bookmarkEnd w:id="21"/>
      <w:r>
        <w:lastRenderedPageBreak/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2"/>
    </w:p>
    <w:p w:rsidR="00955932" w:rsidRDefault="00466B1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27 February 2009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55932" w:rsidRDefault="00466B10">
      <w:pPr>
        <w:pStyle w:val="nHeading3"/>
      </w:pPr>
      <w:bookmarkStart w:id="23" w:name="_Toc224981861"/>
      <w:r>
        <w:t>Compilation table</w:t>
      </w:r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955932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55932">
        <w:tc>
          <w:tcPr>
            <w:tcW w:w="3119" w:type="dxa"/>
            <w:tcBorders>
              <w:top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Regulations 2002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</w:t>
            </w:r>
          </w:p>
        </w:tc>
      </w:tr>
      <w:tr w:rsidR="00955932">
        <w:tc>
          <w:tcPr>
            <w:tcW w:w="3119" w:type="dxa"/>
          </w:tcPr>
          <w:p w:rsidR="00955932" w:rsidRDefault="00466B1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 p. 4082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</w:t>
            </w:r>
          </w:p>
        </w:tc>
      </w:tr>
      <w:tr w:rsidR="00955932">
        <w:tc>
          <w:tcPr>
            <w:tcW w:w="3119" w:type="dxa"/>
          </w:tcPr>
          <w:p w:rsidR="00955932" w:rsidRDefault="00466B1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 p. 5691</w:t>
            </w:r>
          </w:p>
        </w:tc>
        <w:tc>
          <w:tcPr>
            <w:tcW w:w="2693" w:type="dxa"/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</w:t>
            </w:r>
          </w:p>
        </w:tc>
      </w:tr>
      <w:tr w:rsidR="00955932">
        <w:tc>
          <w:tcPr>
            <w:tcW w:w="3119" w:type="dxa"/>
          </w:tcPr>
          <w:p w:rsidR="00955932" w:rsidRDefault="00466B1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Jan 2009 p. 15</w:t>
            </w:r>
          </w:p>
        </w:tc>
        <w:tc>
          <w:tcPr>
            <w:tcW w:w="2693" w:type="dxa"/>
          </w:tcPr>
          <w:p w:rsidR="00955932" w:rsidRDefault="00466B10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6 Jan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7 Jan 2009 (see r. 2(b))</w:t>
            </w:r>
          </w:p>
        </w:tc>
      </w:tr>
      <w:tr w:rsidR="00955932"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 w:rsidR="00955932" w:rsidRDefault="00466B10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bCs/>
                <w:snapToGrid w:val="0"/>
                <w:spacing w:val="-2"/>
                <w:sz w:val="20"/>
                <w:lang w:val="en-US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2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  <w:sz w:val="20"/>
                <w:lang w:val="en-US"/>
              </w:rPr>
              <w:t xml:space="preserve"> as at 27 Feb 2009</w:t>
            </w:r>
            <w:r>
              <w:rPr>
                <w:snapToGrid w:val="0"/>
                <w:spacing w:val="-2"/>
                <w:sz w:val="20"/>
                <w:lang w:val="en-US"/>
              </w:rPr>
              <w:t xml:space="preserve"> (includes</w:t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 amendments listed above)</w:t>
            </w:r>
          </w:p>
        </w:tc>
      </w:tr>
    </w:tbl>
    <w:p w:rsidR="00955932" w:rsidRDefault="00466B10">
      <w:pPr>
        <w:pStyle w:val="nSubsection"/>
        <w:spacing w:before="200"/>
      </w:pPr>
      <w:r>
        <w:rPr>
          <w:vertAlign w:val="superscript"/>
        </w:rPr>
        <w:t xml:space="preserve">2 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  <w:lang w:val="en-US"/>
        </w:rPr>
        <w:t>Workers’ Compensation Reform Act 2004 s</w:t>
      </w:r>
      <w:r>
        <w:t>. 171(2).</w:t>
      </w:r>
    </w:p>
    <w:p w:rsidR="00955932" w:rsidRDefault="00466B10">
      <w:pPr>
        <w:pStyle w:val="nSubsection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 w:rsidR="00955932" w:rsidRDefault="00955932"/>
    <w:p w:rsidR="00955932" w:rsidRDefault="00955932"/>
    <w:p w:rsidR="00955932" w:rsidRDefault="00955932"/>
    <w:p w:rsidR="00955932" w:rsidRDefault="00955932"/>
    <w:p w:rsidR="00955932" w:rsidRDefault="00955932">
      <w:pPr>
        <w:sectPr w:rsidR="00955932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55932" w:rsidRDefault="00955932"/>
    <w:sectPr w:rsidR="00955932">
      <w:headerReference w:type="even" r:id="rId31"/>
      <w:type w:val="continuous"/>
      <w:pgSz w:w="11906" w:h="16838" w:code="9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32" w:rsidRDefault="00466B10">
      <w:r>
        <w:separator/>
      </w:r>
    </w:p>
  </w:endnote>
  <w:endnote w:type="continuationSeparator" w:id="0">
    <w:p w:rsidR="00955932" w:rsidRDefault="0046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F567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567F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Footer"/>
      <w:tabs>
        <w:tab w:val="clear" w:pos="4153"/>
        <w:tab w:val="right" w:pos="7088"/>
      </w:tabs>
      <w:rPr>
        <w:rStyle w:val="PageNumber"/>
      </w:rPr>
    </w:pPr>
  </w:p>
  <w:p w:rsidR="00955932" w:rsidRDefault="00466B1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27 Feb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567F"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567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55932" w:rsidRDefault="00466B1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32" w:rsidRDefault="00466B10">
      <w:r>
        <w:separator/>
      </w:r>
    </w:p>
  </w:footnote>
  <w:footnote w:type="continuationSeparator" w:id="0">
    <w:p w:rsidR="00955932" w:rsidRDefault="0046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7F" w:rsidRDefault="005F567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ActNameRight"/>
            <w:ind w:right="17"/>
          </w:pPr>
          <w:fldSimple w:instr=" Styleref &quot;Name of Act/Reg&quot; ">
            <w:r w:rsidR="005F567F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955932">
      <w:tc>
        <w:tcPr>
          <w:tcW w:w="5715" w:type="dxa"/>
        </w:tcPr>
        <w:p w:rsidR="00955932" w:rsidRDefault="00955932">
          <w:pPr>
            <w:pStyle w:val="HeaderTextRight"/>
          </w:pPr>
        </w:p>
      </w:tc>
      <w:tc>
        <w:tcPr>
          <w:tcW w:w="1548" w:type="dxa"/>
        </w:tcPr>
        <w:p w:rsidR="00955932" w:rsidRDefault="00955932">
          <w:pPr>
            <w:pStyle w:val="HeaderNumberRight"/>
            <w:ind w:right="17"/>
          </w:pPr>
        </w:p>
      </w:tc>
    </w:tr>
    <w:tr w:rsidR="00955932">
      <w:tc>
        <w:tcPr>
          <w:tcW w:w="5715" w:type="dxa"/>
        </w:tcPr>
        <w:p w:rsidR="00955932" w:rsidRDefault="00955932">
          <w:pPr>
            <w:pStyle w:val="HeaderTextRight"/>
          </w:pPr>
        </w:p>
      </w:tc>
      <w:tc>
        <w:tcPr>
          <w:tcW w:w="1548" w:type="dxa"/>
        </w:tcPr>
        <w:p w:rsidR="00955932" w:rsidRDefault="00955932">
          <w:pPr>
            <w:pStyle w:val="HeaderNumberRight"/>
            <w:ind w:right="17"/>
          </w:pPr>
        </w:p>
      </w:tc>
    </w:tr>
    <w:tr w:rsidR="00955932">
      <w:trPr>
        <w:cantSplit/>
      </w:trPr>
      <w:tc>
        <w:tcPr>
          <w:tcW w:w="7258" w:type="dxa"/>
          <w:gridSpan w:val="2"/>
        </w:tcPr>
        <w:p w:rsidR="00955932" w:rsidRDefault="00955932">
          <w:pPr>
            <w:pStyle w:val="HeaderSectionRight"/>
            <w:ind w:right="17"/>
          </w:pPr>
        </w:p>
      </w:tc>
    </w:tr>
  </w:tbl>
  <w:p w:rsidR="00955932" w:rsidRDefault="009559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7F" w:rsidRDefault="005F5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7F" w:rsidRDefault="005F56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ActNameLeft"/>
          </w:pPr>
          <w:fldSimple w:instr=" Styleref &quot;Name of Act/Reg&quot; ">
            <w:r w:rsidR="005F567F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955932">
      <w:tc>
        <w:tcPr>
          <w:tcW w:w="1548" w:type="dxa"/>
        </w:tcPr>
        <w:p w:rsidR="00955932" w:rsidRDefault="00955932">
          <w:pPr>
            <w:pStyle w:val="HeaderNumberLeft"/>
          </w:pPr>
        </w:p>
      </w:tc>
      <w:tc>
        <w:tcPr>
          <w:tcW w:w="5715" w:type="dxa"/>
        </w:tcPr>
        <w:p w:rsidR="00955932" w:rsidRDefault="00955932">
          <w:pPr>
            <w:pStyle w:val="HeaderTextLeft"/>
          </w:pPr>
        </w:p>
      </w:tc>
    </w:tr>
    <w:tr w:rsidR="00955932">
      <w:tc>
        <w:tcPr>
          <w:tcW w:w="1548" w:type="dxa"/>
        </w:tcPr>
        <w:p w:rsidR="00955932" w:rsidRDefault="00955932">
          <w:pPr>
            <w:pStyle w:val="HeaderNumberLeft"/>
          </w:pPr>
        </w:p>
      </w:tc>
      <w:tc>
        <w:tcPr>
          <w:tcW w:w="5715" w:type="dxa"/>
        </w:tcPr>
        <w:p w:rsidR="00955932" w:rsidRDefault="00955932">
          <w:pPr>
            <w:pStyle w:val="HeaderTextLeft"/>
          </w:pPr>
        </w:p>
      </w:tc>
    </w:tr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55932" w:rsidRDefault="009559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ActNameRight"/>
            <w:ind w:right="17"/>
          </w:pPr>
          <w:fldSimple w:instr=" Styleref &quot;Name of Act/Reg&quot; ">
            <w:r w:rsidR="005F567F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955932">
      <w:tc>
        <w:tcPr>
          <w:tcW w:w="5715" w:type="dxa"/>
        </w:tcPr>
        <w:p w:rsidR="00955932" w:rsidRDefault="00955932">
          <w:pPr>
            <w:pStyle w:val="HeaderTextRight"/>
          </w:pPr>
        </w:p>
      </w:tc>
      <w:tc>
        <w:tcPr>
          <w:tcW w:w="1548" w:type="dxa"/>
        </w:tcPr>
        <w:p w:rsidR="00955932" w:rsidRDefault="00955932">
          <w:pPr>
            <w:pStyle w:val="HeaderNumberRight"/>
            <w:ind w:right="17"/>
          </w:pPr>
        </w:p>
      </w:tc>
    </w:tr>
    <w:tr w:rsidR="00955932">
      <w:tc>
        <w:tcPr>
          <w:tcW w:w="5715" w:type="dxa"/>
        </w:tcPr>
        <w:p w:rsidR="00955932" w:rsidRDefault="00955932">
          <w:pPr>
            <w:pStyle w:val="HeaderTextRight"/>
          </w:pPr>
        </w:p>
      </w:tc>
      <w:tc>
        <w:tcPr>
          <w:tcW w:w="1548" w:type="dxa"/>
        </w:tcPr>
        <w:p w:rsidR="00955932" w:rsidRDefault="00955932">
          <w:pPr>
            <w:pStyle w:val="HeaderNumberRight"/>
            <w:ind w:right="17"/>
          </w:pPr>
        </w:p>
      </w:tc>
    </w:tr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55932" w:rsidRDefault="0095593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ActNameLeft"/>
          </w:pPr>
          <w:fldSimple w:instr=" Styleref &quot;Name of Act/Reg&quot; ">
            <w:r w:rsidR="005F567F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955932">
      <w:tc>
        <w:tcPr>
          <w:tcW w:w="1548" w:type="dxa"/>
        </w:tcPr>
        <w:p w:rsidR="00955932" w:rsidRDefault="00466B1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955932" w:rsidRDefault="00466B1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55932">
      <w:tc>
        <w:tcPr>
          <w:tcW w:w="1548" w:type="dxa"/>
        </w:tcPr>
        <w:p w:rsidR="00955932" w:rsidRDefault="00466B1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55932" w:rsidRDefault="00466B1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SectionLeft"/>
          </w:pPr>
          <w:r>
            <w:t xml:space="preserve">r. </w:t>
          </w:r>
          <w:fldSimple w:instr=" styleref CharSectno ">
            <w:r w:rsidR="005F567F">
              <w:rPr>
                <w:noProof/>
              </w:rPr>
              <w:t>1</w:t>
            </w:r>
          </w:fldSimple>
        </w:p>
      </w:tc>
    </w:tr>
  </w:tbl>
  <w:p w:rsidR="00955932" w:rsidRDefault="0095593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ActNameRight"/>
            <w:ind w:right="17"/>
          </w:pPr>
          <w:fldSimple w:instr=" Styleref &quot;Name of Act/Reg&quot; ">
            <w:r w:rsidR="005F567F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955932">
      <w:tc>
        <w:tcPr>
          <w:tcW w:w="5715" w:type="dxa"/>
        </w:tcPr>
        <w:p w:rsidR="00955932" w:rsidRDefault="00466B1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55932" w:rsidRDefault="00466B1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55932">
      <w:tc>
        <w:tcPr>
          <w:tcW w:w="5715" w:type="dxa"/>
        </w:tcPr>
        <w:p w:rsidR="00955932" w:rsidRDefault="00466B1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55932" w:rsidRDefault="00466B1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5F567F">
              <w:rPr>
                <w:noProof/>
              </w:rPr>
              <w:t>1</w:t>
            </w:r>
          </w:fldSimple>
        </w:p>
      </w:tc>
    </w:tr>
  </w:tbl>
  <w:p w:rsidR="00955932" w:rsidRDefault="0095593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2" w:rsidRDefault="0095593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55932">
      <w:trPr>
        <w:cantSplit/>
      </w:trPr>
      <w:tc>
        <w:tcPr>
          <w:tcW w:w="7258" w:type="dxa"/>
          <w:gridSpan w:val="2"/>
        </w:tcPr>
        <w:p w:rsidR="00955932" w:rsidRDefault="00466B10">
          <w:pPr>
            <w:pStyle w:val="HeaderActNameLeft"/>
          </w:pPr>
          <w:fldSimple w:instr=" Styleref &quot;Name of Act/Reg&quot; ">
            <w:r w:rsidR="005F567F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955932">
      <w:tc>
        <w:tcPr>
          <w:tcW w:w="1548" w:type="dxa"/>
        </w:tcPr>
        <w:p w:rsidR="00955932" w:rsidRDefault="00955932">
          <w:pPr>
            <w:pStyle w:val="HeaderNumberLeft"/>
          </w:pPr>
        </w:p>
      </w:tc>
      <w:tc>
        <w:tcPr>
          <w:tcW w:w="5715" w:type="dxa"/>
        </w:tcPr>
        <w:p w:rsidR="00955932" w:rsidRDefault="00955932">
          <w:pPr>
            <w:pStyle w:val="HeaderTextLeft"/>
          </w:pPr>
        </w:p>
      </w:tc>
    </w:tr>
    <w:tr w:rsidR="00955932">
      <w:tc>
        <w:tcPr>
          <w:tcW w:w="1548" w:type="dxa"/>
        </w:tcPr>
        <w:p w:rsidR="00955932" w:rsidRDefault="00955932">
          <w:pPr>
            <w:pStyle w:val="HeaderNumberLeft"/>
          </w:pPr>
        </w:p>
      </w:tc>
      <w:tc>
        <w:tcPr>
          <w:tcW w:w="5715" w:type="dxa"/>
        </w:tcPr>
        <w:p w:rsidR="00955932" w:rsidRDefault="00955932">
          <w:pPr>
            <w:pStyle w:val="HeaderTextLeft"/>
          </w:pPr>
        </w:p>
      </w:tc>
    </w:tr>
    <w:tr w:rsidR="00955932">
      <w:trPr>
        <w:cantSplit/>
      </w:trPr>
      <w:tc>
        <w:tcPr>
          <w:tcW w:w="7258" w:type="dxa"/>
          <w:gridSpan w:val="2"/>
        </w:tcPr>
        <w:p w:rsidR="00955932" w:rsidRDefault="00955932">
          <w:pPr>
            <w:pStyle w:val="HeaderSectionRight"/>
            <w:ind w:right="17"/>
            <w:jc w:val="left"/>
          </w:pPr>
        </w:p>
      </w:tc>
    </w:tr>
  </w:tbl>
  <w:p w:rsidR="00955932" w:rsidRDefault="009559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4DCF5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324E55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0"/>
    <w:rsid w:val="001427A7"/>
    <w:rsid w:val="00466B10"/>
    <w:rsid w:val="005F567F"/>
    <w:rsid w:val="008301A5"/>
    <w:rsid w:val="009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2741</Characters>
  <Application>Microsoft Office Word</Application>
  <DocSecurity>0</DocSecurity>
  <Lines>130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Workers’ Compensation and Injury Management (Acts of Terrorism) (Final Day) Regu</vt:lpstr>
      <vt:lpstr>    Notes</vt:lpstr>
    </vt:vector>
  </TitlesOfParts>
  <Company>Parliamentary Counsel's Office</Company>
  <LinksUpToDate>false</LinksUpToDate>
  <CharactersWithSpaces>3197</CharactersWithSpaces>
  <SharedDoc>false</SharedDoc>
  <HLinks>
    <vt:vector size="18" baseType="variant">
      <vt:variant>
        <vt:i4>3014716</vt:i4>
      </vt:variant>
      <vt:variant>
        <vt:i4>1981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2716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2002 - 01-a0-01</dc:title>
  <dc:subject>Subsidiary Legislation</dc:subject>
  <dc:creator>svcMRProcess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2009-02-26T02:24:00Z</cp:lastPrinted>
  <dcterms:created xsi:type="dcterms:W3CDTF">2013-02-19T19:19:00Z</dcterms:created>
  <dcterms:modified xsi:type="dcterms:W3CDTF">2013-02-19T19:19:00Z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20090227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AsAtDate">
    <vt:lpwstr>27 Feb 2009</vt:lpwstr>
  </property>
  <property fmtid="{D5CDD505-2E9C-101B-9397-08002B2CF9AE}" pid="7" name="Suffix">
    <vt:lpwstr>01-a0-01</vt:lpwstr>
  </property>
  <property fmtid="{D5CDD505-2E9C-101B-9397-08002B2CF9AE}" pid="8" name="ReprintNo">
    <vt:lpwstr>1</vt:lpwstr>
  </property>
</Properties>
</file>