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_Toc226274330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_Toc226274331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 in these by</w:t>
      </w:r>
      <w:r>
        <w:rPr>
          <w:snapToGrid w:val="0"/>
          <w:szCs w:val="24"/>
        </w:rPr>
        <w:noBreakHyphen/>
        <w:t>laws</w:t>
      </w:r>
      <w:r>
        <w:tab/>
      </w:r>
      <w:r>
        <w:fldChar w:fldCharType="begin"/>
      </w:r>
      <w:r>
        <w:instrText xml:space="preserve"> PAGEREF _Toc226274332 \h </w:instrText>
      </w:r>
      <w:r>
        <w:fldChar w:fldCharType="separate"/>
      </w:r>
      <w:r>
        <w:t>1</w:t>
      </w:r>
      <w:r>
        <w:fldChar w:fldCharType="end"/>
      </w:r>
    </w:p>
    <w:p>
      <w:pPr>
        <w:pStyle w:val="TOC8"/>
        <w:rPr>
          <w:sz w:val="24"/>
          <w:szCs w:val="24"/>
        </w:rPr>
      </w:pPr>
      <w:r>
        <w:rPr>
          <w:szCs w:val="24"/>
        </w:rPr>
        <w:t>4.</w:t>
      </w:r>
      <w:r>
        <w:rPr>
          <w:szCs w:val="24"/>
        </w:rPr>
        <w:tab/>
      </w:r>
      <w:r>
        <w:rPr>
          <w:snapToGrid w:val="0"/>
          <w:szCs w:val="24"/>
        </w:rPr>
        <w:t>Electricity charges</w:t>
      </w:r>
      <w:r>
        <w:tab/>
      </w:r>
      <w:r>
        <w:fldChar w:fldCharType="begin"/>
      </w:r>
      <w:r>
        <w:instrText xml:space="preserve"> PAGEREF _Toc226274333 \h </w:instrText>
      </w:r>
      <w:r>
        <w:fldChar w:fldCharType="separate"/>
      </w:r>
      <w:r>
        <w:t>2</w:t>
      </w:r>
      <w:r>
        <w:fldChar w:fldCharType="end"/>
      </w:r>
    </w:p>
    <w:p>
      <w:pPr>
        <w:pStyle w:val="TOC8"/>
        <w:rPr>
          <w:sz w:val="24"/>
          <w:szCs w:val="24"/>
        </w:rPr>
      </w:pPr>
      <w:r>
        <w:rPr>
          <w:szCs w:val="24"/>
        </w:rPr>
        <w:t>5.</w:t>
      </w:r>
      <w:r>
        <w:rPr>
          <w:szCs w:val="24"/>
        </w:rPr>
        <w:tab/>
        <w:t>Application of residential tariffs</w:t>
      </w:r>
      <w:r>
        <w:tab/>
      </w:r>
      <w:r>
        <w:fldChar w:fldCharType="begin"/>
      </w:r>
      <w:r>
        <w:instrText xml:space="preserve"> PAGEREF _Toc226274334 \h </w:instrText>
      </w:r>
      <w:r>
        <w:fldChar w:fldCharType="separate"/>
      </w:r>
      <w:r>
        <w:t>2</w:t>
      </w:r>
      <w:r>
        <w:fldChar w:fldCharType="end"/>
      </w:r>
    </w:p>
    <w:p>
      <w:pPr>
        <w:pStyle w:val="TOC8"/>
        <w:rPr>
          <w:sz w:val="24"/>
          <w:szCs w:val="24"/>
        </w:rPr>
      </w:pPr>
      <w:r>
        <w:rPr>
          <w:szCs w:val="24"/>
        </w:rPr>
        <w:t>6.</w:t>
      </w:r>
      <w:r>
        <w:rPr>
          <w:szCs w:val="24"/>
        </w:rPr>
        <w:tab/>
        <w:t>Meter rental</w:t>
      </w:r>
      <w:r>
        <w:tab/>
      </w:r>
      <w:r>
        <w:fldChar w:fldCharType="begin"/>
      </w:r>
      <w:r>
        <w:instrText xml:space="preserve"> PAGEREF _Toc226274335 \h </w:instrText>
      </w:r>
      <w:r>
        <w:fldChar w:fldCharType="separate"/>
      </w:r>
      <w:r>
        <w:t>2</w:t>
      </w:r>
      <w:r>
        <w:fldChar w:fldCharType="end"/>
      </w:r>
    </w:p>
    <w:p>
      <w:pPr>
        <w:pStyle w:val="TOC8"/>
        <w:rPr>
          <w:sz w:val="24"/>
          <w:szCs w:val="24"/>
        </w:rPr>
      </w:pPr>
      <w:r>
        <w:rPr>
          <w:szCs w:val="24"/>
        </w:rPr>
        <w:t>7.</w:t>
      </w:r>
      <w:r>
        <w:rPr>
          <w:szCs w:val="24"/>
        </w:rPr>
        <w:tab/>
        <w:t>Fees</w:t>
      </w:r>
      <w:r>
        <w:tab/>
      </w:r>
      <w:r>
        <w:fldChar w:fldCharType="begin"/>
      </w:r>
      <w:r>
        <w:instrText xml:space="preserve"> PAGEREF _Toc226274336 \h </w:instrText>
      </w:r>
      <w:r>
        <w:fldChar w:fldCharType="separate"/>
      </w:r>
      <w:r>
        <w:t>3</w:t>
      </w:r>
      <w:r>
        <w:fldChar w:fldCharType="end"/>
      </w:r>
    </w:p>
    <w:p>
      <w:pPr>
        <w:pStyle w:val="TOC8"/>
        <w:rPr>
          <w:sz w:val="24"/>
          <w:szCs w:val="24"/>
        </w:rPr>
      </w:pPr>
      <w:r>
        <w:rPr>
          <w:szCs w:val="24"/>
        </w:rPr>
        <w:t>8.</w:t>
      </w:r>
      <w:r>
        <w:rPr>
          <w:szCs w:val="24"/>
        </w:rPr>
        <w:tab/>
        <w:t>Payment</w:t>
      </w:r>
      <w:r>
        <w:tab/>
      </w:r>
      <w:r>
        <w:fldChar w:fldCharType="begin"/>
      </w:r>
      <w:r>
        <w:instrText xml:space="preserve"> PAGEREF _Toc226274337 \h </w:instrText>
      </w:r>
      <w:r>
        <w:fldChar w:fldCharType="separate"/>
      </w:r>
      <w:r>
        <w:t>3</w:t>
      </w:r>
      <w:r>
        <w:fldChar w:fldCharType="end"/>
      </w:r>
    </w:p>
    <w:p>
      <w:pPr>
        <w:pStyle w:val="TOC8"/>
        <w:rPr>
          <w:sz w:val="24"/>
          <w:szCs w:val="24"/>
        </w:rPr>
      </w:pPr>
      <w:r>
        <w:rPr>
          <w:szCs w:val="24"/>
        </w:rPr>
        <w:t>9.</w:t>
      </w:r>
      <w:r>
        <w:rPr>
          <w:szCs w:val="24"/>
        </w:rPr>
        <w:tab/>
        <w:t>Rebates and reduced fees</w:t>
      </w:r>
      <w:r>
        <w:tab/>
      </w:r>
      <w:r>
        <w:fldChar w:fldCharType="begin"/>
      </w:r>
      <w:r>
        <w:instrText xml:space="preserve"> PAGEREF _Toc226274338 \h </w:instrText>
      </w:r>
      <w:r>
        <w:fldChar w:fldCharType="separate"/>
      </w:r>
      <w:r>
        <w:t>3</w:t>
      </w:r>
      <w:r>
        <w:fldChar w:fldCharType="end"/>
      </w:r>
    </w:p>
    <w:p>
      <w:pPr>
        <w:pStyle w:val="TOC8"/>
        <w:rPr>
          <w:sz w:val="24"/>
          <w:szCs w:val="24"/>
        </w:rPr>
      </w:pPr>
      <w:r>
        <w:rPr>
          <w:szCs w:val="24"/>
        </w:rPr>
        <w:t>10.</w:t>
      </w:r>
      <w:r>
        <w:rPr>
          <w:szCs w:val="24"/>
        </w:rPr>
        <w:tab/>
        <w:t>Calculation of charges</w:t>
      </w:r>
      <w:r>
        <w:tab/>
      </w:r>
      <w:r>
        <w:fldChar w:fldCharType="begin"/>
      </w:r>
      <w:r>
        <w:instrText xml:space="preserve"> PAGEREF _Toc226274339 \h </w:instrText>
      </w:r>
      <w:r>
        <w:fldChar w:fldCharType="separate"/>
      </w:r>
      <w:r>
        <w:t>5</w:t>
      </w:r>
      <w:r>
        <w:fldChar w:fldCharType="end"/>
      </w:r>
    </w:p>
    <w:p>
      <w:pPr>
        <w:pStyle w:val="TOC8"/>
        <w:rPr>
          <w:sz w:val="24"/>
          <w:szCs w:val="24"/>
        </w:rPr>
      </w:pPr>
      <w:r>
        <w:rPr>
          <w:szCs w:val="24"/>
        </w:rPr>
        <w:t>11.</w:t>
      </w:r>
      <w:r>
        <w:rPr>
          <w:szCs w:val="24"/>
        </w:rPr>
        <w:tab/>
        <w:t>Changes in rates</w:t>
      </w:r>
      <w:r>
        <w:tab/>
      </w:r>
      <w:r>
        <w:fldChar w:fldCharType="begin"/>
      </w:r>
      <w:r>
        <w:instrText xml:space="preserve"> PAGEREF _Toc226274340 \h </w:instrText>
      </w:r>
      <w:r>
        <w:fldChar w:fldCharType="separate"/>
      </w:r>
      <w:r>
        <w:t>5</w:t>
      </w:r>
      <w:r>
        <w:fldChar w:fldCharType="end"/>
      </w:r>
    </w:p>
    <w:p>
      <w:pPr>
        <w:pStyle w:val="TOC8"/>
        <w:rPr>
          <w:sz w:val="24"/>
          <w:szCs w:val="24"/>
        </w:rPr>
      </w:pPr>
      <w:r>
        <w:rPr>
          <w:szCs w:val="24"/>
        </w:rPr>
        <w:t>12.</w:t>
      </w:r>
      <w:r>
        <w:rPr>
          <w:szCs w:val="24"/>
        </w:rPr>
        <w:tab/>
        <w:t>Prescribed rate of interest for s. 62(16) of the Act</w:t>
      </w:r>
      <w:r>
        <w:tab/>
      </w:r>
      <w:r>
        <w:fldChar w:fldCharType="begin"/>
      </w:r>
      <w:r>
        <w:instrText xml:space="preserve"> PAGEREF _Toc226274341 \h </w:instrText>
      </w:r>
      <w:r>
        <w:fldChar w:fldCharType="separate"/>
      </w:r>
      <w:r>
        <w:t>5</w:t>
      </w:r>
      <w:r>
        <w:fldChar w:fldCharType="end"/>
      </w:r>
    </w:p>
    <w:p>
      <w:pPr>
        <w:pStyle w:val="TOC2"/>
        <w:tabs>
          <w:tab w:val="right" w:leader="dot" w:pos="7086"/>
        </w:tabs>
        <w:rPr>
          <w:b w:val="0"/>
          <w:sz w:val="24"/>
          <w:szCs w:val="24"/>
        </w:rPr>
      </w:pPr>
      <w:r>
        <w:rPr>
          <w:szCs w:val="28"/>
        </w:rPr>
        <w:t>Schedule 1 — Supply charges</w:t>
      </w:r>
    </w:p>
    <w:p>
      <w:pPr>
        <w:pStyle w:val="TOC8"/>
        <w:rPr>
          <w:sz w:val="24"/>
          <w:szCs w:val="24"/>
        </w:rPr>
      </w:pPr>
      <w:r>
        <w:rPr>
          <w:szCs w:val="22"/>
        </w:rPr>
        <w:t>1.</w:t>
      </w:r>
      <w:r>
        <w:rPr>
          <w:szCs w:val="22"/>
        </w:rPr>
        <w:tab/>
        <w:t>Terms used</w:t>
      </w:r>
      <w:r>
        <w:tab/>
      </w:r>
      <w:r>
        <w:fldChar w:fldCharType="begin"/>
      </w:r>
      <w:r>
        <w:instrText xml:space="preserve"> PAGEREF _Toc226274343 \h </w:instrText>
      </w:r>
      <w:r>
        <w:fldChar w:fldCharType="separate"/>
      </w:r>
      <w:r>
        <w:t>7</w:t>
      </w:r>
      <w:r>
        <w:fldChar w:fldCharType="end"/>
      </w:r>
    </w:p>
    <w:p>
      <w:pPr>
        <w:pStyle w:val="TOC8"/>
        <w:rPr>
          <w:sz w:val="24"/>
          <w:szCs w:val="24"/>
        </w:rPr>
      </w:pPr>
      <w:r>
        <w:rPr>
          <w:szCs w:val="22"/>
        </w:rPr>
        <w:t>2.</w:t>
      </w:r>
      <w:r>
        <w:rPr>
          <w:szCs w:val="22"/>
        </w:rPr>
        <w:tab/>
        <w:t>Tariff L2 (general supply — low/medium voltage tariff)</w:t>
      </w:r>
      <w:r>
        <w:tab/>
      </w:r>
      <w:r>
        <w:fldChar w:fldCharType="begin"/>
      </w:r>
      <w:r>
        <w:instrText xml:space="preserve"> PAGEREF _Toc226274344 \h </w:instrText>
      </w:r>
      <w:r>
        <w:fldChar w:fldCharType="separate"/>
      </w:r>
      <w:r>
        <w:t>7</w:t>
      </w:r>
      <w:r>
        <w:fldChar w:fldCharType="end"/>
      </w:r>
    </w:p>
    <w:p>
      <w:pPr>
        <w:pStyle w:val="TOC8"/>
        <w:rPr>
          <w:sz w:val="24"/>
          <w:szCs w:val="24"/>
        </w:rPr>
      </w:pPr>
      <w:r>
        <w:rPr>
          <w:szCs w:val="22"/>
        </w:rPr>
        <w:t>3.</w:t>
      </w:r>
      <w:r>
        <w:rPr>
          <w:szCs w:val="22"/>
        </w:rPr>
        <w:tab/>
        <w:t>Tariff L4 (general supply — low/medium voltage tariff)</w:t>
      </w:r>
      <w:r>
        <w:tab/>
      </w:r>
      <w:r>
        <w:fldChar w:fldCharType="begin"/>
      </w:r>
      <w:r>
        <w:instrText xml:space="preserve"> PAGEREF _Toc226274345 \h </w:instrText>
      </w:r>
      <w:r>
        <w:fldChar w:fldCharType="separate"/>
      </w:r>
      <w:r>
        <w:t>8</w:t>
      </w:r>
      <w:r>
        <w:fldChar w:fldCharType="end"/>
      </w:r>
    </w:p>
    <w:p>
      <w:pPr>
        <w:pStyle w:val="TOC8"/>
        <w:rPr>
          <w:sz w:val="24"/>
          <w:szCs w:val="24"/>
        </w:rPr>
      </w:pPr>
      <w:r>
        <w:rPr>
          <w:szCs w:val="22"/>
        </w:rPr>
        <w:t>4.</w:t>
      </w:r>
      <w:r>
        <w:rPr>
          <w:szCs w:val="22"/>
        </w:rPr>
        <w:tab/>
        <w:t>Tariff</w:t>
      </w:r>
      <w:r>
        <w:rPr>
          <w:snapToGrid w:val="0"/>
          <w:szCs w:val="22"/>
        </w:rPr>
        <w:t xml:space="preserve"> M2 (general supply — high voltage tariff)</w:t>
      </w:r>
      <w:r>
        <w:tab/>
      </w:r>
      <w:r>
        <w:fldChar w:fldCharType="begin"/>
      </w:r>
      <w:r>
        <w:instrText xml:space="preserve"> PAGEREF _Toc226274346 \h </w:instrText>
      </w:r>
      <w:r>
        <w:fldChar w:fldCharType="separate"/>
      </w:r>
      <w:r>
        <w:t>8</w:t>
      </w:r>
      <w:r>
        <w:fldChar w:fldCharType="end"/>
      </w:r>
    </w:p>
    <w:p>
      <w:pPr>
        <w:pStyle w:val="TOC8"/>
        <w:rPr>
          <w:sz w:val="24"/>
          <w:szCs w:val="24"/>
        </w:rPr>
      </w:pPr>
      <w:r>
        <w:rPr>
          <w:szCs w:val="22"/>
        </w:rPr>
        <w:t>5.</w:t>
      </w:r>
      <w:r>
        <w:rPr>
          <w:szCs w:val="22"/>
        </w:rPr>
        <w:tab/>
        <w:t>Tariff N2 (regional non</w:t>
      </w:r>
      <w:r>
        <w:rPr>
          <w:szCs w:val="22"/>
        </w:rPr>
        <w:noBreakHyphen/>
        <w:t>integrated systems — cost of supply tariff)</w:t>
      </w:r>
      <w:r>
        <w:tab/>
      </w:r>
      <w:r>
        <w:fldChar w:fldCharType="begin"/>
      </w:r>
      <w:r>
        <w:instrText xml:space="preserve"> PAGEREF _Toc226274347 \h </w:instrText>
      </w:r>
      <w:r>
        <w:fldChar w:fldCharType="separate"/>
      </w:r>
      <w:r>
        <w:t>8</w:t>
      </w:r>
      <w:r>
        <w:fldChar w:fldCharType="end"/>
      </w:r>
    </w:p>
    <w:p>
      <w:pPr>
        <w:pStyle w:val="TOC8"/>
        <w:rPr>
          <w:sz w:val="24"/>
          <w:szCs w:val="24"/>
        </w:rPr>
      </w:pPr>
      <w:r>
        <w:rPr>
          <w:szCs w:val="22"/>
        </w:rPr>
        <w:t>6.</w:t>
      </w:r>
      <w:r>
        <w:rPr>
          <w:szCs w:val="22"/>
        </w:rPr>
        <w:tab/>
        <w:t>Tariff</w:t>
      </w:r>
      <w:r>
        <w:rPr>
          <w:snapToGrid w:val="0"/>
          <w:szCs w:val="22"/>
        </w:rPr>
        <w:t xml:space="preserve"> P2 (North West interconnected system — cost of supply tariff)</w:t>
      </w:r>
      <w:r>
        <w:tab/>
      </w:r>
      <w:r>
        <w:fldChar w:fldCharType="begin"/>
      </w:r>
      <w:r>
        <w:instrText xml:space="preserve"> PAGEREF _Toc226274348 \h </w:instrText>
      </w:r>
      <w:r>
        <w:fldChar w:fldCharType="separate"/>
      </w:r>
      <w:r>
        <w:t>9</w:t>
      </w:r>
      <w:r>
        <w:fldChar w:fldCharType="end"/>
      </w:r>
    </w:p>
    <w:p>
      <w:pPr>
        <w:pStyle w:val="TOC8"/>
        <w:rPr>
          <w:sz w:val="24"/>
          <w:szCs w:val="24"/>
        </w:rPr>
      </w:pPr>
      <w:r>
        <w:rPr>
          <w:szCs w:val="22"/>
        </w:rPr>
        <w:t>7.</w:t>
      </w:r>
      <w:r>
        <w:rPr>
          <w:szCs w:val="22"/>
        </w:rPr>
        <w:tab/>
        <w:t>Tariff A2 (residential tariff)</w:t>
      </w:r>
      <w:r>
        <w:tab/>
      </w:r>
      <w:r>
        <w:fldChar w:fldCharType="begin"/>
      </w:r>
      <w:r>
        <w:instrText xml:space="preserve"> PAGEREF _Toc226274349 \h </w:instrText>
      </w:r>
      <w:r>
        <w:fldChar w:fldCharType="separate"/>
      </w:r>
      <w:r>
        <w:t>9</w:t>
      </w:r>
      <w:r>
        <w:fldChar w:fldCharType="end"/>
      </w:r>
    </w:p>
    <w:p>
      <w:pPr>
        <w:pStyle w:val="TOC8"/>
        <w:rPr>
          <w:sz w:val="24"/>
          <w:szCs w:val="24"/>
        </w:rPr>
      </w:pPr>
      <w:r>
        <w:rPr>
          <w:szCs w:val="22"/>
        </w:rPr>
        <w:t>8.</w:t>
      </w:r>
      <w:r>
        <w:rPr>
          <w:szCs w:val="22"/>
        </w:rPr>
        <w:tab/>
        <w:t>Tariff C2 (special community service tariff)</w:t>
      </w:r>
      <w:r>
        <w:tab/>
      </w:r>
      <w:r>
        <w:fldChar w:fldCharType="begin"/>
      </w:r>
      <w:r>
        <w:instrText xml:space="preserve"> PAGEREF _Toc226274350 \h </w:instrText>
      </w:r>
      <w:r>
        <w:fldChar w:fldCharType="separate"/>
      </w:r>
      <w:r>
        <w:t>10</w:t>
      </w:r>
      <w:r>
        <w:fldChar w:fldCharType="end"/>
      </w:r>
    </w:p>
    <w:p>
      <w:pPr>
        <w:pStyle w:val="TOC8"/>
        <w:rPr>
          <w:sz w:val="24"/>
          <w:szCs w:val="24"/>
        </w:rPr>
      </w:pPr>
      <w:r>
        <w:rPr>
          <w:szCs w:val="22"/>
        </w:rPr>
        <w:t>9.</w:t>
      </w:r>
      <w:r>
        <w:rPr>
          <w:szCs w:val="22"/>
        </w:rPr>
        <w:tab/>
        <w:t>Tariff D2 (special tariff for certain premises)</w:t>
      </w:r>
      <w:r>
        <w:tab/>
      </w:r>
      <w:r>
        <w:fldChar w:fldCharType="begin"/>
      </w:r>
      <w:r>
        <w:instrText xml:space="preserve"> PAGEREF _Toc226274351 \h </w:instrText>
      </w:r>
      <w:r>
        <w:fldChar w:fldCharType="separate"/>
      </w:r>
      <w:r>
        <w:t>11</w:t>
      </w:r>
      <w:r>
        <w:fldChar w:fldCharType="end"/>
      </w:r>
    </w:p>
    <w:p>
      <w:pPr>
        <w:pStyle w:val="TOC8"/>
        <w:rPr>
          <w:sz w:val="24"/>
          <w:szCs w:val="24"/>
        </w:rPr>
      </w:pPr>
      <w:r>
        <w:rPr>
          <w:szCs w:val="22"/>
        </w:rPr>
        <w:t>10.</w:t>
      </w:r>
      <w:r>
        <w:rPr>
          <w:szCs w:val="22"/>
        </w:rPr>
        <w:tab/>
        <w:t>Tariff K2 (general supply with residential tariff)</w:t>
      </w:r>
      <w:r>
        <w:tab/>
      </w:r>
      <w:r>
        <w:fldChar w:fldCharType="begin"/>
      </w:r>
      <w:r>
        <w:instrText xml:space="preserve"> PAGEREF _Toc226274352 \h </w:instrText>
      </w:r>
      <w:r>
        <w:fldChar w:fldCharType="separate"/>
      </w:r>
      <w:r>
        <w:t>11</w:t>
      </w:r>
      <w:r>
        <w:fldChar w:fldCharType="end"/>
      </w:r>
    </w:p>
    <w:p>
      <w:pPr>
        <w:pStyle w:val="TOC8"/>
        <w:rPr>
          <w:sz w:val="24"/>
          <w:szCs w:val="24"/>
        </w:rPr>
      </w:pPr>
      <w:r>
        <w:rPr>
          <w:szCs w:val="22"/>
        </w:rPr>
        <w:t>11.</w:t>
      </w:r>
      <w:r>
        <w:rPr>
          <w:szCs w:val="22"/>
        </w:rPr>
        <w:tab/>
        <w:t>Tariff W2 (traffic light installations)</w:t>
      </w:r>
      <w:r>
        <w:tab/>
      </w:r>
      <w:r>
        <w:fldChar w:fldCharType="begin"/>
      </w:r>
      <w:r>
        <w:instrText xml:space="preserve"> PAGEREF _Toc226274353 \h </w:instrText>
      </w:r>
      <w:r>
        <w:fldChar w:fldCharType="separate"/>
      </w:r>
      <w:r>
        <w:t>12</w:t>
      </w:r>
      <w:r>
        <w:fldChar w:fldCharType="end"/>
      </w:r>
    </w:p>
    <w:p>
      <w:pPr>
        <w:pStyle w:val="TOC2"/>
        <w:tabs>
          <w:tab w:val="right" w:leader="dot" w:pos="7086"/>
        </w:tabs>
        <w:rPr>
          <w:b w:val="0"/>
          <w:sz w:val="24"/>
          <w:szCs w:val="24"/>
        </w:rPr>
      </w:pPr>
      <w:r>
        <w:rPr>
          <w:szCs w:val="28"/>
        </w:rPr>
        <w:t>Schedule 2 — Street lighting</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Meter rentals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_Toc226274358 \h </w:instrText>
      </w:r>
      <w:r>
        <w:fldChar w:fldCharType="separate"/>
      </w:r>
      <w:r>
        <w:t>17</w:t>
      </w:r>
      <w:r>
        <w:fldChar w:fldCharType="end"/>
      </w:r>
    </w:p>
    <w:p>
      <w:pPr>
        <w:pStyle w:val="TOC8"/>
        <w:rPr>
          <w:sz w:val="24"/>
        </w:rPr>
      </w:pPr>
      <w:r>
        <w:tab/>
        <w:t>Provisions that have not come into operation</w:t>
      </w:r>
      <w:r>
        <w:tab/>
      </w:r>
      <w:r>
        <w:fldChar w:fldCharType="begin"/>
      </w:r>
      <w:r>
        <w:instrText xml:space="preserve"> PAGEREF _Toc226274359 \h </w:instrText>
      </w:r>
      <w:r>
        <w:fldChar w:fldCharType="separate"/>
      </w:r>
      <w:r>
        <w:t>17</w:t>
      </w:r>
      <w:r>
        <w:fldChar w:fldCharType="end"/>
      </w:r>
    </w:p>
    <w:p>
      <w:pPr>
        <w:pStyle w:val="TOC2"/>
        <w:tabs>
          <w:tab w:val="right" w:leader="dot" w:pos="7086"/>
        </w:tabs>
        <w:rPr>
          <w:b w:val="0"/>
          <w:sz w:val="24"/>
          <w:szCs w:val="24"/>
        </w:rPr>
      </w:pPr>
      <w:r>
        <w:rPr>
          <w:szCs w:val="26"/>
        </w:rPr>
        <w:t>Part 3 — Amendments commencing on 1 July 2009</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Energy Operators (Powers) Act 1979</w:t>
      </w:r>
    </w:p>
    <w:p>
      <w:pPr>
        <w:pStyle w:val="NameofActReg"/>
      </w:pPr>
      <w:r>
        <w:t>Energy Operators (Regional Power Corporation) (Charges) By-laws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4266"/>
      <w:bookmarkStart w:id="9" w:name="_Toc226274330"/>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by-laws</w:t>
      </w:r>
      <w:r>
        <w:t xml:space="preserve"> are the </w:t>
      </w:r>
      <w:r>
        <w:rPr>
          <w:i/>
        </w:rPr>
        <w:t>Energy Operators (Regional Power Corporation) (Charges) By-laws 2006</w:t>
      </w:r>
      <w:r>
        <w:t>.</w:t>
      </w:r>
    </w:p>
    <w:p>
      <w:pPr>
        <w:pStyle w:val="Heading5"/>
        <w:rPr>
          <w:spacing w:val="-2"/>
        </w:rPr>
      </w:pPr>
      <w:bookmarkStart w:id="10" w:name="_Toc123621894"/>
      <w:bookmarkStart w:id="11" w:name="_Toc128284267"/>
      <w:bookmarkStart w:id="12" w:name="_Toc226274331"/>
      <w:r>
        <w:rPr>
          <w:rStyle w:val="CharSectno"/>
        </w:rPr>
        <w:t>2</w:t>
      </w:r>
      <w:r>
        <w:rPr>
          <w:spacing w:val="-2"/>
        </w:rPr>
        <w:t>.</w:t>
      </w:r>
      <w:r>
        <w:rPr>
          <w:spacing w:val="-2"/>
        </w:rPr>
        <w:tab/>
        <w:t>Commencement</w:t>
      </w:r>
      <w:bookmarkEnd w:id="10"/>
      <w:bookmarkEnd w:id="11"/>
      <w:bookmarkEnd w:id="12"/>
    </w:p>
    <w:p>
      <w:pPr>
        <w:pStyle w:val="Subsection"/>
        <w:rPr>
          <w:rFonts w:ascii="Times" w:hAnsi="Times"/>
        </w:rPr>
      </w:pPr>
      <w:r>
        <w:rPr>
          <w:spacing w:val="-2"/>
        </w:rPr>
        <w:tab/>
      </w:r>
      <w:r>
        <w:rPr>
          <w:spacing w:val="-2"/>
        </w:rPr>
        <w:tab/>
        <w:t>These by-laws come into operation on 1 April 2006</w:t>
      </w:r>
      <w:r>
        <w:rPr>
          <w:rFonts w:ascii="Times" w:hAnsi="Times"/>
        </w:rPr>
        <w:t>.</w:t>
      </w:r>
    </w:p>
    <w:p>
      <w:pPr>
        <w:pStyle w:val="Heading5"/>
        <w:rPr>
          <w:snapToGrid w:val="0"/>
        </w:rPr>
      </w:pPr>
      <w:bookmarkStart w:id="13" w:name="_Toc486232663"/>
      <w:bookmarkStart w:id="14" w:name="_Toc509735408"/>
      <w:bookmarkStart w:id="15" w:name="_Toc511625640"/>
      <w:bookmarkStart w:id="16" w:name="_Toc512237522"/>
      <w:bookmarkStart w:id="17" w:name="_Toc512935994"/>
      <w:bookmarkStart w:id="18" w:name="_Toc44470743"/>
      <w:bookmarkStart w:id="19" w:name="_Toc63831847"/>
      <w:bookmarkStart w:id="20" w:name="_Toc123621895"/>
      <w:bookmarkStart w:id="21" w:name="_Toc128284268"/>
      <w:bookmarkStart w:id="22" w:name="_Toc226274332"/>
      <w:r>
        <w:rPr>
          <w:rStyle w:val="CharSectno"/>
        </w:rPr>
        <w:t>3</w:t>
      </w:r>
      <w:r>
        <w:t>.</w:t>
      </w:r>
      <w:r>
        <w:tab/>
      </w:r>
      <w:bookmarkEnd w:id="13"/>
      <w:bookmarkEnd w:id="14"/>
      <w:bookmarkEnd w:id="15"/>
      <w:bookmarkEnd w:id="16"/>
      <w:bookmarkEnd w:id="17"/>
      <w:bookmarkEnd w:id="18"/>
      <w:bookmarkEnd w:id="19"/>
      <w:r>
        <w:rPr>
          <w:snapToGrid w:val="0"/>
        </w:rPr>
        <w:t>Terms used in these by</w:t>
      </w:r>
      <w:r>
        <w:rPr>
          <w:snapToGrid w:val="0"/>
        </w:rPr>
        <w:noBreakHyphen/>
        <w:t>laws</w:t>
      </w:r>
      <w:bookmarkEnd w:id="20"/>
      <w:bookmarkEnd w:id="21"/>
      <w:bookmarkEnd w:id="22"/>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rStyle w:val="CharDefText"/>
        </w:rPr>
        <w:tab/>
        <w:t>RBA cash rate</w:t>
      </w:r>
      <w:r>
        <w:t xml:space="preserve"> means the percentage (or maximum percentage) specified by the Reserve Bank of Australia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[By-law 3 amended in Gazette 30 Mar 2009 p. 1000.]</w:t>
      </w:r>
    </w:p>
    <w:p>
      <w:pPr>
        <w:pStyle w:val="Heading5"/>
        <w:rPr>
          <w:snapToGrid w:val="0"/>
        </w:rPr>
      </w:pPr>
      <w:bookmarkStart w:id="23" w:name="_Toc486232664"/>
      <w:bookmarkStart w:id="24" w:name="_Toc509735409"/>
      <w:bookmarkStart w:id="25" w:name="_Toc511625641"/>
      <w:bookmarkStart w:id="26" w:name="_Toc512237523"/>
      <w:bookmarkStart w:id="27" w:name="_Toc512935995"/>
      <w:bookmarkStart w:id="28" w:name="_Toc44470744"/>
      <w:bookmarkStart w:id="29" w:name="_Toc63831848"/>
      <w:bookmarkStart w:id="30" w:name="_Toc123621896"/>
      <w:bookmarkStart w:id="31" w:name="_Toc128284269"/>
      <w:bookmarkStart w:id="32" w:name="_Toc226274333"/>
      <w:r>
        <w:rPr>
          <w:rStyle w:val="CharSectno"/>
        </w:rPr>
        <w:t>4</w:t>
      </w:r>
      <w:r>
        <w:t>.</w:t>
      </w:r>
      <w:r>
        <w:tab/>
      </w:r>
      <w:r>
        <w:rPr>
          <w:snapToGrid w:val="0"/>
        </w:rPr>
        <w:t>Electricity charges</w:t>
      </w:r>
      <w:bookmarkEnd w:id="23"/>
      <w:bookmarkEnd w:id="24"/>
      <w:bookmarkEnd w:id="25"/>
      <w:bookmarkEnd w:id="26"/>
      <w:bookmarkEnd w:id="27"/>
      <w:bookmarkEnd w:id="28"/>
      <w:bookmarkEnd w:id="29"/>
      <w:bookmarkEnd w:id="30"/>
      <w:bookmarkEnd w:id="31"/>
      <w:bookmarkEnd w:id="32"/>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1.</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3" w:name="_Toc123621897"/>
      <w:bookmarkStart w:id="34" w:name="_Toc128284270"/>
      <w:bookmarkStart w:id="35" w:name="_Toc226274334"/>
      <w:r>
        <w:rPr>
          <w:rStyle w:val="CharSectno"/>
        </w:rPr>
        <w:t>5</w:t>
      </w:r>
      <w:r>
        <w:t>.</w:t>
      </w:r>
      <w:r>
        <w:tab/>
        <w:t>Application of residential tariffs</w:t>
      </w:r>
      <w:bookmarkEnd w:id="33"/>
      <w:bookmarkEnd w:id="34"/>
      <w:bookmarkEnd w:id="35"/>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36" w:name="_Toc123621898"/>
      <w:bookmarkStart w:id="37" w:name="_Toc128284271"/>
      <w:bookmarkStart w:id="38" w:name="_Toc226274335"/>
      <w:r>
        <w:rPr>
          <w:rStyle w:val="CharSectno"/>
        </w:rPr>
        <w:t>6</w:t>
      </w:r>
      <w:r>
        <w:t>.</w:t>
      </w:r>
      <w:r>
        <w:tab/>
        <w:t>Meter rental</w:t>
      </w:r>
      <w:bookmarkEnd w:id="36"/>
      <w:bookmarkEnd w:id="37"/>
      <w:bookmarkEnd w:id="3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39" w:name="_Toc123621899"/>
      <w:bookmarkStart w:id="40" w:name="_Toc128284272"/>
      <w:bookmarkStart w:id="41" w:name="_Toc226274336"/>
      <w:r>
        <w:rPr>
          <w:rStyle w:val="CharSectno"/>
        </w:rPr>
        <w:t>7</w:t>
      </w:r>
      <w:r>
        <w:t>.</w:t>
      </w:r>
      <w:r>
        <w:tab/>
        <w:t>Fees</w:t>
      </w:r>
      <w:bookmarkEnd w:id="39"/>
      <w:bookmarkEnd w:id="40"/>
      <w:bookmarkEnd w:id="41"/>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42" w:name="_Toc123621900"/>
      <w:bookmarkStart w:id="43" w:name="_Toc128284273"/>
      <w:bookmarkStart w:id="44" w:name="_Toc226274337"/>
      <w:r>
        <w:rPr>
          <w:rStyle w:val="CharSectno"/>
        </w:rPr>
        <w:t>8</w:t>
      </w:r>
      <w:r>
        <w:t>.</w:t>
      </w:r>
      <w:r>
        <w:tab/>
        <w:t>Payment</w:t>
      </w:r>
      <w:bookmarkEnd w:id="42"/>
      <w:bookmarkEnd w:id="43"/>
      <w:bookmarkEnd w:id="44"/>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[By-law 8 amended in Gazette 30 Mar 2009 p. 1000.]</w:t>
      </w:r>
    </w:p>
    <w:p>
      <w:pPr>
        <w:pStyle w:val="Heading5"/>
      </w:pPr>
      <w:bookmarkStart w:id="45" w:name="_Toc123621901"/>
      <w:bookmarkStart w:id="46" w:name="_Toc128284274"/>
      <w:bookmarkStart w:id="47" w:name="_Toc226274338"/>
      <w:r>
        <w:rPr>
          <w:rStyle w:val="CharSectno"/>
        </w:rPr>
        <w:t>9</w:t>
      </w:r>
      <w:r>
        <w:t>.</w:t>
      </w:r>
      <w:r>
        <w:tab/>
        <w:t>Rebates and reduced fees</w:t>
      </w:r>
      <w:bookmarkEnd w:id="45"/>
      <w:bookmarkEnd w:id="46"/>
      <w:bookmarkEnd w:id="47"/>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A2,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A2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A person who comes within paragraph (a) or (b) of the definition of “eligible person”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w:t>
      </w:r>
      <w:r>
        <w:rPr>
          <w:snapToGrid w:val="0"/>
        </w:rPr>
        <w:t>4</w:t>
      </w:r>
      <w:r>
        <w:t xml:space="preserve"> item 6(b).</w:t>
      </w:r>
    </w:p>
    <w:p>
      <w:pPr>
        <w:pStyle w:val="Heading5"/>
      </w:pPr>
      <w:bookmarkStart w:id="48" w:name="_Toc123621902"/>
      <w:bookmarkStart w:id="49" w:name="_Toc128284275"/>
      <w:bookmarkStart w:id="50" w:name="_Toc226274339"/>
      <w:r>
        <w:rPr>
          <w:rStyle w:val="CharSectno"/>
        </w:rPr>
        <w:t>10</w:t>
      </w:r>
      <w:r>
        <w:t>.</w:t>
      </w:r>
      <w:r>
        <w:tab/>
        <w:t>Calculation of charges</w:t>
      </w:r>
      <w:bookmarkEnd w:id="48"/>
      <w:bookmarkEnd w:id="49"/>
      <w:bookmarkEnd w:id="5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51" w:name="_Toc123621903"/>
      <w:bookmarkStart w:id="52" w:name="_Toc128284276"/>
      <w:bookmarkStart w:id="53" w:name="_Toc226274340"/>
      <w:r>
        <w:rPr>
          <w:rStyle w:val="CharSectno"/>
        </w:rPr>
        <w:t>11</w:t>
      </w:r>
      <w:r>
        <w:t>.</w:t>
      </w:r>
      <w:r>
        <w:tab/>
        <w:t>Changes in rates</w:t>
      </w:r>
      <w:bookmarkEnd w:id="51"/>
      <w:bookmarkEnd w:id="52"/>
      <w:bookmarkEnd w:id="53"/>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54" w:name="_Toc226274341"/>
      <w:bookmarkStart w:id="55" w:name="_Toc123630125"/>
      <w:bookmarkStart w:id="56" w:name="_Toc123630143"/>
      <w:bookmarkStart w:id="57" w:name="_Toc123630161"/>
      <w:bookmarkStart w:id="58" w:name="_Toc124052047"/>
      <w:bookmarkStart w:id="59" w:name="_Toc124057992"/>
      <w:bookmarkStart w:id="60" w:name="_Toc124058053"/>
      <w:bookmarkStart w:id="61" w:name="_Toc124133807"/>
      <w:bookmarkStart w:id="62" w:name="_Toc124148130"/>
      <w:bookmarkStart w:id="63" w:name="_Toc124157862"/>
      <w:bookmarkStart w:id="64" w:name="_Toc124216739"/>
      <w:bookmarkStart w:id="65" w:name="_Toc124217247"/>
      <w:bookmarkStart w:id="66" w:name="_Toc124218585"/>
      <w:bookmarkStart w:id="67" w:name="_Toc124222742"/>
      <w:bookmarkStart w:id="68" w:name="_Toc124224459"/>
      <w:bookmarkStart w:id="69" w:name="_Toc124224492"/>
      <w:bookmarkStart w:id="70" w:name="_Toc124224860"/>
      <w:bookmarkStart w:id="71" w:name="_Toc124224960"/>
      <w:bookmarkStart w:id="72" w:name="_Toc124225750"/>
      <w:bookmarkStart w:id="73" w:name="_Toc124226011"/>
      <w:bookmarkStart w:id="74" w:name="_Toc124235173"/>
      <w:bookmarkStart w:id="75" w:name="_Toc124235974"/>
      <w:bookmarkStart w:id="76" w:name="_Toc125272400"/>
      <w:bookmarkStart w:id="77" w:name="_Toc125279410"/>
      <w:bookmarkStart w:id="78" w:name="_Toc127005811"/>
      <w:bookmarkStart w:id="79" w:name="_Toc127006358"/>
      <w:bookmarkStart w:id="80" w:name="_Toc127077890"/>
      <w:bookmarkStart w:id="81" w:name="_Toc127078596"/>
      <w:bookmarkStart w:id="82" w:name="_Toc127079183"/>
      <w:bookmarkStart w:id="83" w:name="_Toc127079705"/>
      <w:bookmarkStart w:id="84" w:name="_Toc127083130"/>
      <w:bookmarkStart w:id="85" w:name="_Toc127084552"/>
      <w:bookmarkStart w:id="86" w:name="_Toc127084586"/>
      <w:bookmarkStart w:id="87" w:name="_Toc127084741"/>
      <w:bookmarkStart w:id="88" w:name="_Toc127085260"/>
      <w:bookmarkStart w:id="89" w:name="_Toc127085669"/>
      <w:bookmarkStart w:id="90" w:name="_Toc127085711"/>
      <w:bookmarkStart w:id="91" w:name="_Toc127085783"/>
      <w:bookmarkStart w:id="92" w:name="_Toc127086351"/>
      <w:bookmarkStart w:id="93" w:name="_Toc127672623"/>
      <w:bookmarkStart w:id="94" w:name="_Toc127695292"/>
      <w:bookmarkStart w:id="95" w:name="_Toc127695735"/>
      <w:bookmarkStart w:id="96" w:name="_Toc127699619"/>
      <w:bookmarkStart w:id="97" w:name="_Toc127947029"/>
      <w:bookmarkStart w:id="98" w:name="_Toc127947918"/>
      <w:bookmarkStart w:id="99" w:name="_Toc127947944"/>
      <w:bookmarkStart w:id="100" w:name="_Toc127959114"/>
      <w:bookmarkStart w:id="101" w:name="_Toc127959523"/>
      <w:bookmarkStart w:id="102" w:name="_Toc128191075"/>
      <w:bookmarkStart w:id="103" w:name="_Toc128196498"/>
      <w:bookmarkStart w:id="104" w:name="_Toc128283904"/>
      <w:bookmarkStart w:id="105" w:name="_Toc128284063"/>
      <w:bookmarkStart w:id="106" w:name="_Toc128284089"/>
      <w:bookmarkStart w:id="107" w:name="_Toc128284278"/>
      <w:bookmarkStart w:id="108" w:name="_Toc131496135"/>
      <w:r>
        <w:rPr>
          <w:rStyle w:val="CharSectno"/>
        </w:rPr>
        <w:t>12</w:t>
      </w:r>
      <w:r>
        <w:t>.</w:t>
      </w:r>
      <w:r>
        <w:tab/>
        <w:t>Prescribed rate of interest for s. 62(16) of the Act</w:t>
      </w:r>
      <w:bookmarkEnd w:id="5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[By-law 12 inserted in Gazette 30 Mar 2009 p. 1000</w:t>
      </w:r>
      <w:r>
        <w:noBreakHyphen/>
        <w:t>1.]</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09" w:name="_Toc226274342"/>
      <w:bookmarkStart w:id="110" w:name="_Toc123621759"/>
      <w:bookmarkStart w:id="111" w:name="_Toc123621906"/>
      <w:bookmarkStart w:id="112" w:name="_Toc123624866"/>
      <w:bookmarkStart w:id="113" w:name="_Toc123624933"/>
      <w:bookmarkStart w:id="114" w:name="_Toc123630128"/>
      <w:bookmarkStart w:id="115" w:name="_Toc123630146"/>
      <w:bookmarkStart w:id="116" w:name="_Toc123630164"/>
      <w:bookmarkStart w:id="117" w:name="_Toc124052050"/>
      <w:bookmarkStart w:id="118" w:name="_Toc124057995"/>
      <w:bookmarkStart w:id="119" w:name="_Toc124058056"/>
      <w:bookmarkStart w:id="120" w:name="_Toc124133810"/>
      <w:bookmarkStart w:id="121" w:name="_Toc124148133"/>
      <w:bookmarkStart w:id="122" w:name="_Toc124157865"/>
      <w:bookmarkStart w:id="123" w:name="_Toc124216742"/>
      <w:bookmarkStart w:id="124" w:name="_Toc124217250"/>
      <w:bookmarkStart w:id="125" w:name="_Toc124218589"/>
      <w:bookmarkStart w:id="126" w:name="_Toc124222749"/>
      <w:bookmarkStart w:id="127" w:name="_Toc124224477"/>
      <w:bookmarkStart w:id="128" w:name="_Toc124224510"/>
      <w:bookmarkStart w:id="129" w:name="_Toc124224878"/>
      <w:bookmarkStart w:id="130" w:name="_Toc124224978"/>
      <w:bookmarkStart w:id="131" w:name="_Toc124225768"/>
      <w:bookmarkStart w:id="132" w:name="_Toc124226029"/>
      <w:bookmarkStart w:id="133" w:name="_Toc124235191"/>
      <w:bookmarkStart w:id="134" w:name="_Toc124235992"/>
      <w:bookmarkStart w:id="135" w:name="_Toc125272418"/>
      <w:bookmarkStart w:id="136" w:name="_Toc125279428"/>
      <w:bookmarkStart w:id="137" w:name="_Toc127005829"/>
      <w:bookmarkStart w:id="138" w:name="_Toc127006376"/>
      <w:bookmarkStart w:id="139" w:name="_Toc127077910"/>
      <w:bookmarkStart w:id="140" w:name="_Toc127078615"/>
      <w:bookmarkStart w:id="141" w:name="_Toc127079202"/>
      <w:bookmarkStart w:id="142" w:name="_Toc127079724"/>
      <w:bookmarkStart w:id="143" w:name="_Toc127083149"/>
      <w:bookmarkStart w:id="144" w:name="_Toc127084571"/>
      <w:bookmarkStart w:id="145" w:name="_Toc127084605"/>
      <w:bookmarkStart w:id="146" w:name="_Toc127084752"/>
      <w:bookmarkStart w:id="147" w:name="_Toc127085271"/>
      <w:bookmarkStart w:id="148" w:name="_Toc127085680"/>
      <w:bookmarkStart w:id="149" w:name="_Toc127085722"/>
      <w:bookmarkStart w:id="150" w:name="_Toc127085794"/>
      <w:bookmarkStart w:id="151" w:name="_Toc127086362"/>
      <w:bookmarkStart w:id="152" w:name="_Toc127672634"/>
      <w:bookmarkStart w:id="153" w:name="_Toc127695303"/>
      <w:bookmarkStart w:id="154" w:name="_Toc127695746"/>
      <w:bookmarkStart w:id="155" w:name="_Toc127699630"/>
      <w:bookmarkStart w:id="156" w:name="_Toc127947040"/>
      <w:bookmarkStart w:id="157" w:name="_Toc127947929"/>
      <w:bookmarkStart w:id="158" w:name="_Toc127947955"/>
      <w:bookmarkStart w:id="159" w:name="_Toc127959125"/>
      <w:bookmarkStart w:id="160" w:name="_Toc127959534"/>
      <w:bookmarkStart w:id="161" w:name="_Toc128191086"/>
      <w:bookmarkStart w:id="162" w:name="_Toc128196509"/>
      <w:bookmarkStart w:id="163" w:name="_Toc128283915"/>
      <w:bookmarkStart w:id="164" w:name="_Toc128284074"/>
      <w:bookmarkStart w:id="165" w:name="_Toc128284100"/>
      <w:bookmarkStart w:id="166" w:name="_Toc128284289"/>
      <w:bookmarkStart w:id="167" w:name="_Toc13149614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SchNo"/>
        </w:rPr>
        <w:t>Schedule 1</w:t>
      </w:r>
      <w:r>
        <w:t> — </w:t>
      </w:r>
      <w:r>
        <w:rPr>
          <w:rStyle w:val="CharSchText"/>
        </w:rPr>
        <w:t>Supply charges</w:t>
      </w:r>
      <w:bookmarkEnd w:id="109"/>
    </w:p>
    <w:p>
      <w:pPr>
        <w:pStyle w:val="yShoulderClause"/>
      </w:pPr>
      <w:r>
        <w:t>[bl. 3, 4(1) and 10(1)]</w:t>
      </w:r>
    </w:p>
    <w:p>
      <w:pPr>
        <w:pStyle w:val="yFootnoteheading"/>
      </w:pPr>
      <w:r>
        <w:tab/>
        <w:t>[Heading inserted in Gazette 30 Mar 2009 p. 1001.]</w:t>
      </w:r>
    </w:p>
    <w:p>
      <w:pPr>
        <w:pStyle w:val="yHeading5"/>
      </w:pPr>
      <w:bookmarkStart w:id="168" w:name="_Toc226274343"/>
      <w:r>
        <w:rPr>
          <w:rStyle w:val="CharSClsNo"/>
        </w:rPr>
        <w:t>1</w:t>
      </w:r>
      <w:r>
        <w:t>.</w:t>
      </w:r>
      <w:r>
        <w:rPr>
          <w:b w:val="0"/>
        </w:rPr>
        <w:tab/>
      </w:r>
      <w:r>
        <w:t>Terms used</w:t>
      </w:r>
      <w:bookmarkEnd w:id="168"/>
    </w:p>
    <w:p>
      <w:pPr>
        <w:pStyle w:val="ySubsection"/>
      </w:pPr>
      <w:r>
        <w:tab/>
      </w:r>
      <w:r>
        <w:tab/>
        <w:t xml:space="preserve">In this Schedule — </w:t>
      </w:r>
    </w:p>
    <w:p>
      <w:pPr>
        <w:pStyle w:val="yDefstart"/>
      </w:pPr>
      <w:r>
        <w:rPr>
          <w:rStyle w:val="CharDefText"/>
          <w:b w:val="0"/>
          <w:i w:val="0"/>
        </w:rPr>
        <w:tab/>
      </w:r>
      <w:r>
        <w:rPr>
          <w:rStyle w:val="CharDefText"/>
        </w:rPr>
        <w:t>North West interconnected system</w:t>
      </w:r>
      <w:r>
        <w:t xml:space="preserve"> means the electrical system from which electricity generated at one or more of the power stations at Dampier, Cape Lambert and Port Hedland, respectively, is supplied to consumers;</w:t>
      </w:r>
    </w:p>
    <w:p>
      <w:pPr>
        <w:pStyle w:val="yDefstart"/>
      </w:pPr>
      <w:r>
        <w:rPr>
          <w:rStyle w:val="CharDefText"/>
          <w:b w:val="0"/>
          <w:i w:val="0"/>
        </w:rPr>
        <w:tab/>
      </w:r>
      <w:r>
        <w:rPr>
          <w:rStyle w:val="CharDefText"/>
        </w:rPr>
        <w:t>regional non</w:t>
      </w:r>
      <w:r>
        <w:rPr>
          <w:rStyle w:val="CharDefText"/>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rPr>
        <w:t>South West interconnected system</w:t>
      </w:r>
      <w:r>
        <w:t xml:space="preserve"> has the meaning given in the </w:t>
      </w:r>
      <w:r>
        <w:rPr>
          <w:i/>
        </w:rPr>
        <w:t>Electricity Industry Act 2004</w:t>
      </w:r>
      <w:r>
        <w:t xml:space="preserve"> section 3.</w:t>
      </w:r>
    </w:p>
    <w:p>
      <w:pPr>
        <w:pStyle w:val="yFootnotesection"/>
      </w:pPr>
      <w:r>
        <w:tab/>
        <w:t>[Clause 1 inserted in Gazette 30 Mar 2009 p. 1001.]</w:t>
      </w:r>
    </w:p>
    <w:p>
      <w:pPr>
        <w:pStyle w:val="yHeading5"/>
      </w:pPr>
      <w:bookmarkStart w:id="169" w:name="_Toc226274344"/>
      <w:r>
        <w:rPr>
          <w:rStyle w:val="CharSClsNo"/>
        </w:rPr>
        <w:t>2</w:t>
      </w:r>
      <w:r>
        <w:t>.</w:t>
      </w:r>
      <w:r>
        <w:tab/>
        <w:t>Tariff L2 (general supply — low/medium voltage tariff)</w:t>
      </w:r>
      <w:bookmarkEnd w:id="169"/>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27.896 cents per day; and</w:t>
      </w:r>
    </w:p>
    <w:p>
      <w:pPr>
        <w:pStyle w:val="yIndenta"/>
      </w:pPr>
      <w:r>
        <w:tab/>
        <w:t>(b)</w:t>
      </w:r>
      <w:r>
        <w:tab/>
        <w:t xml:space="preserve">a charge for metered consumption at the rate of — </w:t>
      </w:r>
    </w:p>
    <w:p>
      <w:pPr>
        <w:pStyle w:val="yIndenti0"/>
      </w:pPr>
      <w:r>
        <w:tab/>
        <w:t>(i)</w:t>
      </w:r>
      <w:r>
        <w:tab/>
        <w:t>18.337 cents per unit for the first 1 650 units per day; and</w:t>
      </w:r>
    </w:p>
    <w:p>
      <w:pPr>
        <w:pStyle w:val="yIndenti0"/>
      </w:pPr>
      <w:r>
        <w:tab/>
        <w:t>(ii)</w:t>
      </w:r>
      <w:r>
        <w:tab/>
        <w:t>16.544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2 inserted in Gazette 30 Mar 2009 p. 1001</w:t>
      </w:r>
      <w:r>
        <w:noBreakHyphen/>
        <w:t>2.]</w:t>
      </w:r>
    </w:p>
    <w:p>
      <w:pPr>
        <w:pStyle w:val="yHeading5"/>
      </w:pPr>
      <w:bookmarkStart w:id="170" w:name="_Toc226274345"/>
      <w:r>
        <w:rPr>
          <w:rStyle w:val="CharSClsNo"/>
        </w:rPr>
        <w:t>3</w:t>
      </w:r>
      <w:r>
        <w:t>.</w:t>
      </w:r>
      <w:r>
        <w:tab/>
        <w:t>Tariff L4 (general supply — low/medium voltage tariff)</w:t>
      </w:r>
      <w:bookmarkEnd w:id="170"/>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29.227 cents per day; and</w:t>
      </w:r>
    </w:p>
    <w:p>
      <w:pPr>
        <w:pStyle w:val="yIndenta"/>
      </w:pPr>
      <w:r>
        <w:tab/>
        <w:t>(b)</w:t>
      </w:r>
      <w:r>
        <w:tab/>
        <w:t xml:space="preserve">a charge for metered consumption at the rate of — </w:t>
      </w:r>
    </w:p>
    <w:p>
      <w:pPr>
        <w:pStyle w:val="yIndenti0"/>
      </w:pPr>
      <w:r>
        <w:tab/>
        <w:t>(i)</w:t>
      </w:r>
      <w:r>
        <w:tab/>
        <w:t>19.206 cents per unit for the first 1 650 units per day; and</w:t>
      </w:r>
    </w:p>
    <w:p>
      <w:pPr>
        <w:pStyle w:val="yIndenti0"/>
      </w:pPr>
      <w:r>
        <w:tab/>
        <w:t>(ii)</w:t>
      </w:r>
      <w:r>
        <w:tab/>
        <w:t>17.336 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[Clause 3 inserted in Gazette 30 Mar 2009 p. 1002.]</w:t>
      </w:r>
    </w:p>
    <w:p>
      <w:pPr>
        <w:pStyle w:val="yHeading5"/>
        <w:rPr>
          <w:snapToGrid w:val="0"/>
        </w:rPr>
      </w:pPr>
      <w:bookmarkStart w:id="171" w:name="_Toc226274346"/>
      <w:r>
        <w:rPr>
          <w:rStyle w:val="CharSClsNo"/>
        </w:rPr>
        <w:t>4</w:t>
      </w:r>
      <w:r>
        <w:t>.</w:t>
      </w:r>
      <w:r>
        <w:rPr>
          <w:b w:val="0"/>
        </w:rPr>
        <w:tab/>
      </w:r>
      <w:r>
        <w:t>Tariff</w:t>
      </w:r>
      <w:r>
        <w:rPr>
          <w:snapToGrid w:val="0"/>
        </w:rPr>
        <w:t xml:space="preserve"> M2 (general supply — high voltage tariff)</w:t>
      </w:r>
      <w:bookmarkEnd w:id="171"/>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a fixed charge at the rate of 29.227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t>18.557 cents per unit for the first 1 650 units per day; and</w:t>
      </w:r>
    </w:p>
    <w:p>
      <w:pPr>
        <w:pStyle w:val="yIndenti0"/>
        <w:rPr>
          <w:snapToGrid w:val="0"/>
        </w:rPr>
      </w:pPr>
      <w:r>
        <w:rPr>
          <w:snapToGrid w:val="0"/>
        </w:rPr>
        <w:tab/>
        <w:t>(ii)</w:t>
      </w:r>
      <w:r>
        <w:rPr>
          <w:snapToGrid w:val="0"/>
        </w:rPr>
        <w:tab/>
        <w:t>16.665 cents per unit per day for all units exceeding 1 650 units.</w:t>
      </w:r>
    </w:p>
    <w:p>
      <w:pPr>
        <w:pStyle w:val="yFootnotesection"/>
      </w:pPr>
      <w:r>
        <w:tab/>
        <w:t>[Clause 4 inserted in Gazette 30 Mar 2009 p. 1002.]</w:t>
      </w:r>
    </w:p>
    <w:p>
      <w:pPr>
        <w:pStyle w:val="yHeading5"/>
      </w:pPr>
      <w:bookmarkStart w:id="172" w:name="_Toc226274347"/>
      <w:r>
        <w:rPr>
          <w:rStyle w:val="CharSClsNo"/>
        </w:rPr>
        <w:t>5.</w:t>
      </w:r>
      <w:r>
        <w:rPr>
          <w:rStyle w:val="CharSClsNo"/>
          <w:b w:val="0"/>
        </w:rPr>
        <w:tab/>
      </w:r>
      <w:r>
        <w:t>Tariff N2 (regional non</w:t>
      </w:r>
      <w:r>
        <w:noBreakHyphen/>
        <w:t>integrated systems — cost of supply tariff)</w:t>
      </w:r>
      <w:bookmarkEnd w:id="172"/>
    </w:p>
    <w:p>
      <w:pPr>
        <w:pStyle w:val="ySubsection"/>
      </w:pPr>
      <w:r>
        <w:tab/>
        <w:t>(1)</w:t>
      </w:r>
      <w:r>
        <w:tab/>
        <w:t>Tariff N2 applies to electricity supplied from a regional non</w:t>
      </w:r>
      <w:r>
        <w:noBreakHyphen/>
        <w:t>integrated system to Commonwealth or foreign government instrumentalities.</w:t>
      </w:r>
    </w:p>
    <w:p>
      <w:pPr>
        <w:pStyle w:val="ySubsection"/>
      </w:pPr>
      <w:r>
        <w:tab/>
        <w:t>(2)</w:t>
      </w:r>
      <w:r>
        <w:tab/>
        <w:t xml:space="preserve">Tariff N2 comprises — </w:t>
      </w:r>
    </w:p>
    <w:p>
      <w:pPr>
        <w:pStyle w:val="yIndenta"/>
      </w:pPr>
      <w:r>
        <w:tab/>
        <w:t>(a)</w:t>
      </w:r>
      <w:r>
        <w:tab/>
        <w:t>a fixed charge at the rate of 31.31 cents per day; and</w:t>
      </w:r>
    </w:p>
    <w:p>
      <w:pPr>
        <w:pStyle w:val="yIndenta"/>
      </w:pPr>
      <w:r>
        <w:tab/>
        <w:t>(b)</w:t>
      </w:r>
      <w:r>
        <w:tab/>
        <w:t>a charge for metered consumption at the rate (in cents per unit) calculated in accordance with the following formula and by</w:t>
      </w:r>
      <w:r>
        <w:noBreakHyphen/>
        <w:t>law 10(2) — </w:t>
      </w:r>
    </w:p>
    <w:p>
      <w:pPr>
        <w:pStyle w:val="zyMiscellaneousBody"/>
        <w:ind w:left="1610"/>
        <w:jc w:val="center"/>
      </w:pPr>
      <w:r>
        <w:rPr>
          <w:noProof/>
          <w:lang w:eastAsia="en-AU"/>
        </w:rPr>
        <w:drawing>
          <wp:inline distT="0" distB="0" distL="0" distR="0">
            <wp:extent cx="2095500" cy="394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95500" cy="394335"/>
                    </a:xfrm>
                    <a:prstGeom prst="rect">
                      <a:avLst/>
                    </a:prstGeom>
                    <a:noFill/>
                    <a:ln>
                      <a:noFill/>
                    </a:ln>
                  </pic:spPr>
                </pic:pic>
              </a:graphicData>
            </a:graphic>
          </wp:inline>
        </w:drawing>
      </w:r>
    </w:p>
    <w:p>
      <w:pPr>
        <w:pStyle w:val="yIndenta"/>
      </w:pPr>
      <w:r>
        <w:tab/>
      </w:r>
      <w:r>
        <w:tab/>
        <w:t xml:space="preserve">Where — </w:t>
      </w:r>
    </w:p>
    <w:p>
      <w:pPr>
        <w:pStyle w:val="yIndenta"/>
      </w:pPr>
      <w:r>
        <w:tab/>
      </w:r>
      <w:r>
        <w:tab/>
        <w:t>R is the rate to be calculated; and</w:t>
      </w:r>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 xml:space="preserve">as expressed in Australian dollars per litre and including the rate of duty imposed by item 10.10 of the Schedule to the </w:t>
      </w:r>
      <w:r>
        <w:rPr>
          <w:i/>
        </w:rPr>
        <w:t>Excise Tariff Act 1921</w:t>
      </w:r>
      <w:r>
        <w:t xml:space="preserve"> (Commonwealth).</w:t>
      </w:r>
    </w:p>
    <w:p>
      <w:pPr>
        <w:pStyle w:val="yFootnotesection"/>
      </w:pPr>
      <w:r>
        <w:tab/>
        <w:t>[Clause 5 inserted in Gazette 30 Mar 2009 p. 1003.]</w:t>
      </w:r>
    </w:p>
    <w:p>
      <w:pPr>
        <w:pStyle w:val="yHeading5"/>
        <w:rPr>
          <w:snapToGrid w:val="0"/>
        </w:rPr>
      </w:pPr>
      <w:bookmarkStart w:id="173" w:name="_Toc226274348"/>
      <w:r>
        <w:rPr>
          <w:rStyle w:val="CharSClsNo"/>
        </w:rPr>
        <w:t>6.</w:t>
      </w:r>
      <w:r>
        <w:rPr>
          <w:rStyle w:val="CharSClsNo"/>
          <w:b w:val="0"/>
        </w:rPr>
        <w:tab/>
      </w:r>
      <w:r>
        <w:t>Tariff</w:t>
      </w:r>
      <w:r>
        <w:rPr>
          <w:snapToGrid w:val="0"/>
        </w:rPr>
        <w:t xml:space="preserve"> P2 (North West interconnected system — cost of supply tariff)</w:t>
      </w:r>
      <w:bookmarkEnd w:id="173"/>
    </w:p>
    <w:p>
      <w:pPr>
        <w:pStyle w:val="ySubsection"/>
        <w:rPr>
          <w:snapToGrid w:val="0"/>
        </w:rPr>
      </w:pPr>
      <w:r>
        <w:tab/>
        <w:t>(1)</w:t>
      </w:r>
      <w:r>
        <w:tab/>
        <w:t>Tariff P2 applies to electricity supplied from the North West interconnected system to</w:t>
      </w:r>
      <w:r>
        <w:rPr>
          <w:snapToGrid w:val="0"/>
        </w:rPr>
        <w:t xml:space="preserve"> Commonwealth or foreign government instrumentalities.</w:t>
      </w:r>
    </w:p>
    <w:p>
      <w:pPr>
        <w:pStyle w:val="ySubsection"/>
        <w:rPr>
          <w:snapToGrid w:val="0"/>
        </w:rPr>
      </w:pPr>
      <w:r>
        <w:rPr>
          <w:snapToGrid w:val="0"/>
        </w:rPr>
        <w:tab/>
        <w:t>(2)</w:t>
      </w:r>
      <w:r>
        <w:rPr>
          <w:snapToGrid w:val="0"/>
        </w:rPr>
        <w:tab/>
        <w:t xml:space="preserve">Tariff P2 comprises — </w:t>
      </w:r>
    </w:p>
    <w:p>
      <w:pPr>
        <w:pStyle w:val="yIndenta"/>
        <w:rPr>
          <w:snapToGrid w:val="0"/>
        </w:rPr>
      </w:pPr>
      <w:r>
        <w:rPr>
          <w:snapToGrid w:val="0"/>
        </w:rPr>
        <w:tab/>
        <w:t>(a)</w:t>
      </w:r>
      <w:r>
        <w:rPr>
          <w:snapToGrid w:val="0"/>
        </w:rPr>
        <w:tab/>
      </w:r>
      <w:r>
        <w:t>a</w:t>
      </w:r>
      <w:r>
        <w:rPr>
          <w:snapToGrid w:val="0"/>
        </w:rPr>
        <w:t xml:space="preserve"> fixed charge at the rate of 34.44 cents per day; and</w:t>
      </w:r>
    </w:p>
    <w:p>
      <w:pPr>
        <w:pStyle w:val="yIndenta"/>
        <w:rPr>
          <w:snapToGrid w:val="0"/>
        </w:rPr>
      </w:pPr>
      <w:r>
        <w:rPr>
          <w:snapToGrid w:val="0"/>
        </w:rPr>
        <w:tab/>
        <w:t>(b)</w:t>
      </w:r>
      <w:r>
        <w:rPr>
          <w:snapToGrid w:val="0"/>
        </w:rPr>
        <w:tab/>
        <w:t>a charge for metered consumption at the rate of 22.85 cents per unit.</w:t>
      </w:r>
    </w:p>
    <w:p>
      <w:pPr>
        <w:pStyle w:val="yFootnotesection"/>
      </w:pPr>
      <w:r>
        <w:tab/>
        <w:t>[Clause 6 inserted in Gazette 30 Mar 2009 p. 1003.]</w:t>
      </w:r>
    </w:p>
    <w:p>
      <w:pPr>
        <w:pStyle w:val="yHeading5"/>
      </w:pPr>
      <w:bookmarkStart w:id="174" w:name="_Toc226274349"/>
      <w:r>
        <w:rPr>
          <w:rStyle w:val="CharSClsNo"/>
        </w:rPr>
        <w:t>7</w:t>
      </w:r>
      <w:r>
        <w:t>.</w:t>
      </w:r>
      <w:r>
        <w:rPr>
          <w:b w:val="0"/>
        </w:rPr>
        <w:tab/>
      </w:r>
      <w:r>
        <w:t>Tariff A2 (residential tariff)</w:t>
      </w:r>
      <w:bookmarkEnd w:id="174"/>
    </w:p>
    <w:p>
      <w:pPr>
        <w:pStyle w:val="ySubsection"/>
        <w:rPr>
          <w:snapToGrid w:val="0"/>
        </w:rPr>
      </w:pPr>
      <w:r>
        <w:tab/>
        <w:t>(1)</w:t>
      </w:r>
      <w:r>
        <w:tab/>
      </w:r>
      <w:r>
        <w:rPr>
          <w:snapToGrid w:val="0"/>
        </w:rPr>
        <w:t>Tariff A2 is available for residential use only.</w:t>
      </w:r>
    </w:p>
    <w:p>
      <w:pPr>
        <w:pStyle w:val="ySubsection"/>
      </w:pPr>
      <w:r>
        <w:tab/>
        <w:t>(2)</w:t>
      </w:r>
      <w:r>
        <w:tab/>
        <w:t xml:space="preserve">Tariff A2 comprises — </w:t>
      </w:r>
    </w:p>
    <w:p>
      <w:pPr>
        <w:pStyle w:val="yIndenta"/>
        <w:rPr>
          <w:snapToGrid w:val="0"/>
        </w:rPr>
      </w:pPr>
      <w:r>
        <w:rPr>
          <w:snapToGrid w:val="0"/>
        </w:rPr>
        <w:tab/>
        <w:t>(a)</w:t>
      </w:r>
      <w:r>
        <w:rPr>
          <w:snapToGrid w:val="0"/>
        </w:rPr>
        <w:tab/>
      </w:r>
      <w:r>
        <w:t>a</w:t>
      </w:r>
      <w:r>
        <w:rPr>
          <w:snapToGrid w:val="0"/>
        </w:rPr>
        <w:t xml:space="preserve"> fixed charge at the rate of 28.116 cents per day or, for multiple dwellings supplied through one metered supply point, a fixed charge at the rate of — </w:t>
      </w:r>
    </w:p>
    <w:p>
      <w:pPr>
        <w:pStyle w:val="yIndenti0"/>
        <w:rPr>
          <w:snapToGrid w:val="0"/>
        </w:rPr>
      </w:pPr>
      <w:r>
        <w:rPr>
          <w:snapToGrid w:val="0"/>
        </w:rPr>
        <w:tab/>
        <w:t>(i)</w:t>
      </w:r>
      <w:r>
        <w:rPr>
          <w:snapToGrid w:val="0"/>
        </w:rPr>
        <w:tab/>
        <w:t>28.116 cents per day for the first dwelling; and</w:t>
      </w:r>
    </w:p>
    <w:p>
      <w:pPr>
        <w:pStyle w:val="yIndenti0"/>
        <w:rPr>
          <w:snapToGrid w:val="0"/>
        </w:rPr>
      </w:pPr>
      <w:r>
        <w:rPr>
          <w:snapToGrid w:val="0"/>
        </w:rPr>
        <w:tab/>
        <w:t>(ii)</w:t>
      </w:r>
      <w:r>
        <w:rPr>
          <w:snapToGrid w:val="0"/>
        </w:rPr>
        <w:tab/>
        <w:t>21.835 cents per day for each additional dwelling;</w:t>
      </w:r>
    </w:p>
    <w:p>
      <w:pPr>
        <w:pStyle w:val="yIndenta"/>
      </w:pPr>
      <w:r>
        <w:tab/>
      </w:r>
      <w:r>
        <w:tab/>
        <w:t>and</w:t>
      </w:r>
    </w:p>
    <w:p>
      <w:pPr>
        <w:pStyle w:val="yIndenta"/>
      </w:pPr>
      <w:r>
        <w:tab/>
        <w:t>(b)</w:t>
      </w:r>
      <w:r>
        <w:tab/>
        <w:t>a charge for metered consumption at the rate of 15.323 cents per unit.</w:t>
      </w:r>
    </w:p>
    <w:p>
      <w:pPr>
        <w:pStyle w:val="yFootnotesection"/>
      </w:pPr>
      <w:r>
        <w:tab/>
        <w:t>[Clause 7 inserted in Gazette 30 Mar 2009 p. 1004.]</w:t>
      </w:r>
    </w:p>
    <w:p>
      <w:pPr>
        <w:pStyle w:val="yHeading5"/>
      </w:pPr>
      <w:bookmarkStart w:id="175" w:name="_Toc226274350"/>
      <w:r>
        <w:rPr>
          <w:rStyle w:val="CharSClsNo"/>
        </w:rPr>
        <w:t>8</w:t>
      </w:r>
      <w:r>
        <w:t>.</w:t>
      </w:r>
      <w:r>
        <w:rPr>
          <w:b w:val="0"/>
        </w:rPr>
        <w:tab/>
      </w:r>
      <w:r>
        <w:t>Tariff C2 (special community service tariff)</w:t>
      </w:r>
      <w:bookmarkEnd w:id="175"/>
    </w:p>
    <w:p>
      <w:pPr>
        <w:pStyle w:val="ySubsection"/>
        <w:rPr>
          <w:snapToGrid w:val="0"/>
        </w:rPr>
      </w:pPr>
      <w:r>
        <w:tab/>
        <w:t>(1)</w:t>
      </w:r>
      <w:r>
        <w:tab/>
        <w:t xml:space="preserve">Tariff </w:t>
      </w:r>
      <w:r>
        <w:rPr>
          <w:snapToGrid w:val="0"/>
        </w:rPr>
        <w:t>C2 is available for small voluntary and charitable organisations, subject to the conditions listed in subclause (3).</w:t>
      </w:r>
    </w:p>
    <w:p>
      <w:pPr>
        <w:pStyle w:val="ySubsection"/>
        <w:rPr>
          <w:snapToGrid w:val="0"/>
        </w:rPr>
      </w:pPr>
      <w:r>
        <w:tab/>
        <w:t>(2)</w:t>
      </w:r>
      <w:r>
        <w:tab/>
      </w:r>
      <w:r>
        <w:rPr>
          <w:snapToGrid w:val="0"/>
        </w:rPr>
        <w:t xml:space="preserve">Tariff C2 comprises — </w:t>
      </w:r>
    </w:p>
    <w:p>
      <w:pPr>
        <w:pStyle w:val="yIndenta"/>
        <w:rPr>
          <w:snapToGrid w:val="0"/>
        </w:rPr>
      </w:pPr>
      <w:r>
        <w:rPr>
          <w:snapToGrid w:val="0"/>
        </w:rPr>
        <w:tab/>
        <w:t>(a)</w:t>
      </w:r>
      <w:r>
        <w:rPr>
          <w:snapToGrid w:val="0"/>
        </w:rPr>
        <w:tab/>
      </w:r>
      <w:r>
        <w:t xml:space="preserve">a </w:t>
      </w:r>
      <w:r>
        <w:rPr>
          <w:snapToGrid w:val="0"/>
        </w:rPr>
        <w:t>fixed charge at the rate of 26.84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14.63 cents per unit for the first 20 units per day; and</w:t>
      </w:r>
    </w:p>
    <w:p>
      <w:pPr>
        <w:pStyle w:val="yIndenti0"/>
        <w:rPr>
          <w:snapToGrid w:val="0"/>
        </w:rPr>
      </w:pPr>
      <w:r>
        <w:rPr>
          <w:snapToGrid w:val="0"/>
        </w:rPr>
        <w:tab/>
        <w:t>(ii)</w:t>
      </w:r>
      <w:r>
        <w:rPr>
          <w:snapToGrid w:val="0"/>
        </w:rPr>
        <w:tab/>
        <w:t>18.337 cents for the next 1 630 units per day; and</w:t>
      </w:r>
    </w:p>
    <w:p>
      <w:pPr>
        <w:pStyle w:val="yIndenti0"/>
        <w:rPr>
          <w:snapToGrid w:val="0"/>
        </w:rPr>
      </w:pPr>
      <w:r>
        <w:rPr>
          <w:snapToGrid w:val="0"/>
        </w:rPr>
        <w:tab/>
        <w:t>(iii)</w:t>
      </w:r>
      <w:r>
        <w:rPr>
          <w:snapToGrid w:val="0"/>
        </w:rPr>
        <w:tab/>
        <w:t>16.544 cents per unit per day for all units exceeding 1 650 units.</w:t>
      </w:r>
    </w:p>
    <w:p>
      <w:pPr>
        <w:pStyle w:val="ySubsection"/>
        <w:rPr>
          <w:snapToGrid w:val="0"/>
        </w:rPr>
      </w:pPr>
      <w:r>
        <w:rPr>
          <w:snapToGrid w:val="0"/>
        </w:rPr>
        <w:tab/>
        <w:t>(3)</w:t>
      </w:r>
      <w:r>
        <w:rPr>
          <w:snapToGrid w:val="0"/>
        </w:rPr>
        <w:tab/>
        <w:t xml:space="preserve">Tariff C2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rPr>
          <w:snapToGrid w:val="0"/>
        </w:rPr>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C2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8 inserted in Gazette 30 Mar 2009 p. 1004</w:t>
      </w:r>
      <w:r>
        <w:noBreakHyphen/>
        <w:t>5.]</w:t>
      </w:r>
    </w:p>
    <w:p>
      <w:pPr>
        <w:pStyle w:val="yHeading5"/>
      </w:pPr>
      <w:bookmarkStart w:id="176" w:name="_Toc226274351"/>
      <w:r>
        <w:rPr>
          <w:rStyle w:val="CharSClsNo"/>
        </w:rPr>
        <w:t>9</w:t>
      </w:r>
      <w:r>
        <w:t>.</w:t>
      </w:r>
      <w:r>
        <w:rPr>
          <w:b w:val="0"/>
        </w:rPr>
        <w:tab/>
      </w:r>
      <w:r>
        <w:t>Tariff D2 (special tariff for certain premises)</w:t>
      </w:r>
      <w:bookmarkEnd w:id="176"/>
    </w:p>
    <w:p>
      <w:pPr>
        <w:pStyle w:val="ySubsection"/>
        <w:rPr>
          <w:snapToGrid w:val="0"/>
        </w:rPr>
      </w:pPr>
      <w:r>
        <w:tab/>
        <w:t>(1)</w:t>
      </w:r>
      <w:r>
        <w:tab/>
        <w:t>Tariff D2</w:t>
      </w:r>
      <w:r>
        <w:rPr>
          <w:snapToGrid w:val="0"/>
        </w:rPr>
        <w:t xml:space="preserve">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rPr>
          <w:snapToGrid w:val="0"/>
        </w:rPr>
      </w:pPr>
      <w:r>
        <w:rPr>
          <w:snapToGrid w:val="0"/>
        </w:rPr>
        <w:tab/>
        <w:t>(a)</w:t>
      </w:r>
      <w:r>
        <w:rPr>
          <w:snapToGrid w:val="0"/>
        </w:rPr>
        <w:tab/>
      </w:r>
      <w:r>
        <w:t>a</w:t>
      </w:r>
      <w:r>
        <w:rPr>
          <w:snapToGrid w:val="0"/>
        </w:rPr>
        <w:t xml:space="preserve"> fixed charge at the rate of 26.84 cents per day; and</w:t>
      </w:r>
    </w:p>
    <w:p>
      <w:pPr>
        <w:pStyle w:val="yIndenta"/>
        <w:rPr>
          <w:snapToGrid w:val="0"/>
        </w:rPr>
      </w:pPr>
      <w:r>
        <w:tab/>
        <w:t>(b)</w:t>
      </w:r>
      <w:r>
        <w:tab/>
        <w:t>if</w:t>
      </w:r>
      <w:r>
        <w:rPr>
          <w:snapToGrid w:val="0"/>
        </w:rPr>
        <w:t xml:space="preserve"> under subclause (3) there is deemed to be more than one equivalent domestic residence in the premises, a charge of 20.845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14.63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in Gazette 30 Mar 2009 p. 1005.]</w:t>
      </w:r>
    </w:p>
    <w:p>
      <w:pPr>
        <w:pStyle w:val="yHeading5"/>
      </w:pPr>
      <w:bookmarkStart w:id="177" w:name="_Toc226274352"/>
      <w:r>
        <w:rPr>
          <w:rStyle w:val="CharSClsNo"/>
        </w:rPr>
        <w:t>10</w:t>
      </w:r>
      <w:r>
        <w:t>.</w:t>
      </w:r>
      <w:r>
        <w:rPr>
          <w:b w:val="0"/>
        </w:rPr>
        <w:tab/>
      </w:r>
      <w:r>
        <w:t>Tariff K2 (general supply with residential tariff)</w:t>
      </w:r>
      <w:bookmarkEnd w:id="177"/>
    </w:p>
    <w:p>
      <w:pPr>
        <w:pStyle w:val="ySubsection"/>
        <w:rPr>
          <w:snapToGrid w:val="0"/>
        </w:rPr>
      </w:pPr>
      <w:r>
        <w:tab/>
        <w:t>(1)</w:t>
      </w:r>
      <w:r>
        <w:tab/>
        <w:t>Tariff K2</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rPr>
          <w:snapToGrid w:val="0"/>
        </w:rPr>
      </w:pPr>
      <w:r>
        <w:rPr>
          <w:snapToGrid w:val="0"/>
        </w:rPr>
        <w:tab/>
        <w:t>(a)</w:t>
      </w:r>
      <w:r>
        <w:rPr>
          <w:snapToGrid w:val="0"/>
        </w:rPr>
        <w:tab/>
      </w:r>
      <w:r>
        <w:t>a</w:t>
      </w:r>
      <w:r>
        <w:rPr>
          <w:snapToGrid w:val="0"/>
        </w:rPr>
        <w:t xml:space="preserve"> fixed charge at the rate of 28.116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15.323 cents per unit for the first 20 units per day; and</w:t>
      </w:r>
    </w:p>
    <w:p>
      <w:pPr>
        <w:pStyle w:val="yIndenti0"/>
        <w:rPr>
          <w:snapToGrid w:val="0"/>
        </w:rPr>
      </w:pPr>
      <w:r>
        <w:rPr>
          <w:snapToGrid w:val="0"/>
        </w:rPr>
        <w:tab/>
        <w:t>(ii)</w:t>
      </w:r>
      <w:r>
        <w:rPr>
          <w:snapToGrid w:val="0"/>
        </w:rPr>
        <w:tab/>
        <w:t>19.206 cents per unit for the next 1 630 units per day; and</w:t>
      </w:r>
    </w:p>
    <w:p>
      <w:pPr>
        <w:pStyle w:val="yIndenti0"/>
        <w:rPr>
          <w:snapToGrid w:val="0"/>
        </w:rPr>
      </w:pPr>
      <w:r>
        <w:rPr>
          <w:snapToGrid w:val="0"/>
        </w:rPr>
        <w:tab/>
        <w:t>(iii)</w:t>
      </w:r>
      <w:r>
        <w:rPr>
          <w:snapToGrid w:val="0"/>
        </w:rPr>
        <w:tab/>
        <w:t>17.336 cents per unit per day for all units exceeding 1 650 units.</w:t>
      </w:r>
    </w:p>
    <w:p>
      <w:pPr>
        <w:pStyle w:val="yFootnotesection"/>
      </w:pPr>
      <w:r>
        <w:tab/>
        <w:t>[Clause 10 inserted in Gazette 30 Mar 2009 p. 1006.]</w:t>
      </w:r>
    </w:p>
    <w:p>
      <w:pPr>
        <w:pStyle w:val="yHeading5"/>
      </w:pPr>
      <w:bookmarkStart w:id="178" w:name="_Toc226274353"/>
      <w:r>
        <w:rPr>
          <w:rStyle w:val="CharSClsNo"/>
        </w:rPr>
        <w:t>11</w:t>
      </w:r>
      <w:r>
        <w:t>.</w:t>
      </w:r>
      <w:r>
        <w:rPr>
          <w:b w:val="0"/>
        </w:rPr>
        <w:tab/>
      </w:r>
      <w:r>
        <w:t>Tariff W2 (traffic light installations)</w:t>
      </w:r>
      <w:bookmarkEnd w:id="178"/>
    </w:p>
    <w:p>
      <w:pPr>
        <w:pStyle w:val="ySubsection"/>
      </w:pPr>
      <w:r>
        <w:tab/>
      </w:r>
      <w:r>
        <w:tab/>
        <w:t>Tariff W2 comprises a charge of $2.4973 per day per kW of installed wattage.</w:t>
      </w:r>
    </w:p>
    <w:p>
      <w:pPr>
        <w:pStyle w:val="yFootnotesection"/>
      </w:pPr>
      <w:r>
        <w:tab/>
        <w:t>[Clause 11 inserted in Gazette 30 Mar 2009 p. 1006.]</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179" w:name="_Toc226274354"/>
      <w:bookmarkStart w:id="180" w:name="_Toc124157866"/>
      <w:bookmarkStart w:id="181" w:name="_Toc124216743"/>
      <w:bookmarkStart w:id="182" w:name="_Toc124217251"/>
      <w:bookmarkStart w:id="183" w:name="_Toc124218590"/>
      <w:bookmarkStart w:id="184" w:name="_Toc124222750"/>
      <w:bookmarkStart w:id="185" w:name="_Toc124224478"/>
      <w:bookmarkStart w:id="186" w:name="_Toc124224511"/>
      <w:bookmarkStart w:id="187" w:name="_Toc124224879"/>
      <w:bookmarkStart w:id="188" w:name="_Toc124224979"/>
      <w:bookmarkStart w:id="189" w:name="_Toc124225769"/>
      <w:bookmarkStart w:id="190" w:name="_Toc124226030"/>
      <w:bookmarkStart w:id="191" w:name="_Toc124235192"/>
      <w:bookmarkStart w:id="192" w:name="_Toc124235993"/>
      <w:bookmarkStart w:id="193" w:name="_Toc125272419"/>
      <w:bookmarkStart w:id="194" w:name="_Toc125279429"/>
      <w:bookmarkStart w:id="195" w:name="_Toc127005830"/>
      <w:bookmarkStart w:id="196" w:name="_Toc127006377"/>
      <w:bookmarkStart w:id="197" w:name="_Toc127077911"/>
      <w:bookmarkStart w:id="198" w:name="_Toc127078616"/>
      <w:bookmarkStart w:id="199" w:name="_Toc127079203"/>
      <w:bookmarkStart w:id="200" w:name="_Toc127079725"/>
      <w:bookmarkStart w:id="201" w:name="_Toc127083150"/>
      <w:bookmarkStart w:id="202" w:name="_Toc127084572"/>
      <w:bookmarkStart w:id="203" w:name="_Toc127084606"/>
      <w:bookmarkStart w:id="204" w:name="_Toc127084753"/>
      <w:bookmarkStart w:id="205" w:name="_Toc127085272"/>
      <w:bookmarkStart w:id="206" w:name="_Toc127085681"/>
      <w:bookmarkStart w:id="207" w:name="_Toc127085723"/>
      <w:bookmarkStart w:id="208" w:name="_Toc127085795"/>
      <w:bookmarkStart w:id="209" w:name="_Toc127086363"/>
      <w:bookmarkStart w:id="210" w:name="_Toc127672635"/>
      <w:bookmarkStart w:id="211" w:name="_Toc127695304"/>
      <w:bookmarkStart w:id="212" w:name="_Toc127695747"/>
      <w:bookmarkStart w:id="213" w:name="_Toc127699631"/>
      <w:bookmarkStart w:id="214" w:name="_Toc127947041"/>
      <w:bookmarkStart w:id="215" w:name="_Toc127947930"/>
      <w:bookmarkStart w:id="216" w:name="_Toc127947956"/>
      <w:bookmarkStart w:id="217" w:name="_Toc127959126"/>
      <w:bookmarkStart w:id="218" w:name="_Toc127959535"/>
      <w:bookmarkStart w:id="219" w:name="_Toc128191087"/>
      <w:bookmarkStart w:id="220" w:name="_Toc128196510"/>
      <w:bookmarkStart w:id="221" w:name="_Toc128283916"/>
      <w:bookmarkStart w:id="222" w:name="_Toc128284075"/>
      <w:bookmarkStart w:id="223" w:name="_Toc128284101"/>
      <w:bookmarkStart w:id="224" w:name="_Toc128284290"/>
      <w:bookmarkStart w:id="225" w:name="_Toc131496147"/>
      <w:bookmarkStart w:id="226" w:name="_Toc131497430"/>
      <w:bookmarkStart w:id="227" w:name="_Toc131501862"/>
      <w:bookmarkStart w:id="228" w:name="_Toc171050318"/>
      <w:bookmarkStart w:id="229" w:name="_Toc123621760"/>
      <w:bookmarkStart w:id="230" w:name="_Toc123621907"/>
      <w:bookmarkStart w:id="231" w:name="_Toc123624867"/>
      <w:bookmarkStart w:id="232" w:name="_Toc123624934"/>
      <w:bookmarkStart w:id="233" w:name="_Toc123630129"/>
      <w:bookmarkStart w:id="234" w:name="_Toc123630147"/>
      <w:bookmarkStart w:id="235" w:name="_Toc123630165"/>
      <w:bookmarkStart w:id="236" w:name="_Toc124052051"/>
      <w:bookmarkStart w:id="237" w:name="_Toc124057996"/>
      <w:bookmarkStart w:id="238" w:name="_Toc124058057"/>
      <w:bookmarkStart w:id="239" w:name="_Toc124133811"/>
      <w:bookmarkStart w:id="240" w:name="_Toc12414813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SchNo"/>
        </w:rPr>
        <w:t>Schedule 2</w:t>
      </w:r>
      <w:r>
        <w:t> — </w:t>
      </w:r>
      <w:r>
        <w:rPr>
          <w:rStyle w:val="CharSchText"/>
        </w:rPr>
        <w:t>Street lighting</w:t>
      </w:r>
      <w:bookmarkEnd w:id="179"/>
    </w:p>
    <w:p>
      <w:pPr>
        <w:pStyle w:val="yShoulderClause"/>
      </w:pPr>
      <w:r>
        <w:t>[bl. 4(2)]</w:t>
      </w:r>
    </w:p>
    <w:p>
      <w:pPr>
        <w:pStyle w:val="yFootnoteheading"/>
        <w:spacing w:after="120"/>
      </w:pPr>
      <w:r>
        <w:tab/>
        <w:t>[Heading inserted in Gazette 30 Mar 2009 p. 1006.]</w:t>
      </w:r>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701"/>
        <w:gridCol w:w="1275"/>
        <w:gridCol w:w="1276"/>
        <w:gridCol w:w="1134"/>
      </w:tblGrid>
      <w:tr>
        <w:trPr>
          <w:cantSplit/>
          <w:tblHeader/>
        </w:trPr>
        <w:tc>
          <w:tcPr>
            <w:tcW w:w="567" w:type="dxa"/>
            <w:tcBorders>
              <w:top w:val="single" w:sz="4" w:space="0" w:color="auto"/>
              <w:bottom w:val="single" w:sz="4" w:space="0" w:color="auto"/>
            </w:tcBorders>
          </w:tcPr>
          <w:p>
            <w:pPr>
              <w:pStyle w:val="yTableNAm"/>
              <w:rPr>
                <w:b/>
                <w:bCs/>
                <w:sz w:val="18"/>
              </w:rPr>
            </w:pPr>
            <w:r>
              <w:rPr>
                <w:b/>
                <w:bCs/>
                <w:sz w:val="18"/>
              </w:rPr>
              <w:t>Item</w:t>
            </w:r>
          </w:p>
        </w:tc>
        <w:tc>
          <w:tcPr>
            <w:tcW w:w="851" w:type="dxa"/>
            <w:tcBorders>
              <w:top w:val="single" w:sz="4" w:space="0" w:color="auto"/>
              <w:bottom w:val="single" w:sz="4" w:space="0" w:color="auto"/>
            </w:tcBorders>
          </w:tcPr>
          <w:p>
            <w:pPr>
              <w:pStyle w:val="yTableNAm"/>
              <w:rPr>
                <w:b/>
                <w:bCs/>
                <w:sz w:val="18"/>
              </w:rPr>
            </w:pPr>
            <w:r>
              <w:rPr>
                <w:b/>
                <w:bCs/>
                <w:sz w:val="18"/>
              </w:rPr>
              <w:t>Wattage</w:t>
            </w:r>
          </w:p>
        </w:tc>
        <w:tc>
          <w:tcPr>
            <w:tcW w:w="1701" w:type="dxa"/>
            <w:tcBorders>
              <w:top w:val="single" w:sz="4" w:space="0" w:color="auto"/>
              <w:bottom w:val="single" w:sz="4" w:space="0" w:color="auto"/>
            </w:tcBorders>
          </w:tcPr>
          <w:p>
            <w:pPr>
              <w:pStyle w:val="yTableNAm"/>
              <w:rPr>
                <w:b/>
                <w:bCs/>
                <w:sz w:val="18"/>
              </w:rPr>
            </w:pPr>
            <w:r>
              <w:rPr>
                <w:b/>
                <w:bCs/>
                <w:sz w:val="18"/>
              </w:rPr>
              <w:t>Type</w:t>
            </w:r>
          </w:p>
        </w:tc>
        <w:tc>
          <w:tcPr>
            <w:tcW w:w="1275" w:type="dxa"/>
            <w:tcBorders>
              <w:top w:val="single" w:sz="4" w:space="0" w:color="auto"/>
              <w:bottom w:val="single" w:sz="4" w:space="0" w:color="auto"/>
            </w:tcBorders>
          </w:tcPr>
          <w:p>
            <w:pPr>
              <w:pStyle w:val="yTableNAm"/>
              <w:rPr>
                <w:b/>
                <w:bCs/>
                <w:spacing w:val="-4"/>
                <w:sz w:val="18"/>
              </w:rPr>
            </w:pPr>
            <w:r>
              <w:rPr>
                <w:b/>
                <w:bCs/>
                <w:spacing w:val="-4"/>
                <w:sz w:val="18"/>
              </w:rPr>
              <w:t>Midnight Switch</w:t>
            </w:r>
            <w:r>
              <w:rPr>
                <w:b/>
                <w:bCs/>
                <w:spacing w:val="-4"/>
                <w:sz w:val="18"/>
              </w:rPr>
              <w:noBreakHyphen/>
              <w:t>off (Obsolescent) Cents per day</w:t>
            </w:r>
          </w:p>
        </w:tc>
        <w:tc>
          <w:tcPr>
            <w:tcW w:w="1276" w:type="dxa"/>
            <w:tcBorders>
              <w:top w:val="single" w:sz="4" w:space="0" w:color="auto"/>
              <w:bottom w:val="single" w:sz="4" w:space="0" w:color="auto"/>
            </w:tcBorders>
          </w:tcPr>
          <w:p>
            <w:pPr>
              <w:pStyle w:val="yTableNAm"/>
              <w:rPr>
                <w:b/>
                <w:bCs/>
                <w:spacing w:val="-8"/>
                <w:sz w:val="18"/>
              </w:rPr>
            </w:pPr>
            <w:r>
              <w:rPr>
                <w:b/>
                <w:bCs/>
                <w:spacing w:val="-8"/>
                <w:sz w:val="18"/>
              </w:rPr>
              <w:t>1.15 a.m. Switch</w:t>
            </w:r>
            <w:r>
              <w:rPr>
                <w:b/>
                <w:bCs/>
                <w:spacing w:val="-8"/>
                <w:sz w:val="18"/>
              </w:rPr>
              <w:noBreakHyphen/>
              <w:t>off Cents per day</w:t>
            </w:r>
          </w:p>
        </w:tc>
        <w:tc>
          <w:tcPr>
            <w:tcW w:w="1134" w:type="dxa"/>
            <w:tcBorders>
              <w:top w:val="single" w:sz="4" w:space="0" w:color="auto"/>
              <w:bottom w:val="single" w:sz="4" w:space="0" w:color="auto"/>
            </w:tcBorders>
          </w:tcPr>
          <w:p>
            <w:pPr>
              <w:pStyle w:val="yTableNAm"/>
              <w:rPr>
                <w:b/>
                <w:bCs/>
                <w:spacing w:val="-8"/>
                <w:sz w:val="18"/>
              </w:rPr>
            </w:pPr>
            <w:r>
              <w:rPr>
                <w:b/>
                <w:bCs/>
                <w:spacing w:val="-8"/>
                <w:sz w:val="18"/>
              </w:rPr>
              <w:t>Dawn Switch</w:t>
            </w:r>
            <w:r>
              <w:rPr>
                <w:b/>
                <w:bCs/>
                <w:spacing w:val="-8"/>
                <w:sz w:val="18"/>
              </w:rPr>
              <w:noBreakHyphen/>
              <w:t>off Cents per day</w:t>
            </w:r>
          </w:p>
        </w:tc>
      </w:tr>
      <w:tr>
        <w:trPr>
          <w:cantSplit/>
        </w:trPr>
        <w:tc>
          <w:tcPr>
            <w:tcW w:w="6804" w:type="dxa"/>
            <w:gridSpan w:val="6"/>
          </w:tcPr>
          <w:p>
            <w:pPr>
              <w:pStyle w:val="yTableNAm"/>
              <w:rPr>
                <w:i/>
                <w:iCs/>
                <w:sz w:val="18"/>
              </w:rPr>
            </w:pPr>
            <w:r>
              <w:rPr>
                <w:i/>
                <w:iCs/>
                <w:sz w:val="18"/>
              </w:rPr>
              <w:t>Street lighting on current offer and for existing services</w:t>
            </w:r>
          </w:p>
        </w:tc>
      </w:tr>
      <w:tr>
        <w:trPr>
          <w:cantSplit/>
        </w:trPr>
        <w:tc>
          <w:tcPr>
            <w:tcW w:w="567" w:type="dxa"/>
          </w:tcPr>
          <w:p>
            <w:pPr>
              <w:pStyle w:val="yTableNAm"/>
              <w:rPr>
                <w:sz w:val="18"/>
              </w:rPr>
            </w:pPr>
            <w:r>
              <w:rPr>
                <w:sz w:val="18"/>
              </w:rPr>
              <w:t>Z.01</w:t>
            </w:r>
          </w:p>
        </w:tc>
        <w:tc>
          <w:tcPr>
            <w:tcW w:w="851" w:type="dxa"/>
          </w:tcPr>
          <w:p>
            <w:pPr>
              <w:pStyle w:val="yTableNAm"/>
              <w:rPr>
                <w:sz w:val="18"/>
              </w:rPr>
            </w:pPr>
            <w:r>
              <w:rPr>
                <w:sz w:val="18"/>
              </w:rPr>
              <w:t>50</w:t>
            </w:r>
          </w:p>
        </w:tc>
        <w:tc>
          <w:tcPr>
            <w:tcW w:w="1701" w:type="dxa"/>
          </w:tcPr>
          <w:p>
            <w:pPr>
              <w:pStyle w:val="yTableNAm"/>
              <w:rPr>
                <w:sz w:val="18"/>
              </w:rPr>
            </w:pPr>
            <w:r>
              <w:rPr>
                <w:sz w:val="18"/>
              </w:rPr>
              <w:t>Mercury Vapour</w:t>
            </w:r>
          </w:p>
        </w:tc>
        <w:tc>
          <w:tcPr>
            <w:tcW w:w="1275" w:type="dxa"/>
          </w:tcPr>
          <w:p>
            <w:pPr>
              <w:pStyle w:val="yTableNAm"/>
              <w:rPr>
                <w:sz w:val="18"/>
              </w:rPr>
            </w:pPr>
            <w:r>
              <w:rPr>
                <w:sz w:val="18"/>
              </w:rPr>
              <w:t>19.657</w:t>
            </w:r>
          </w:p>
        </w:tc>
        <w:tc>
          <w:tcPr>
            <w:tcW w:w="1276" w:type="dxa"/>
          </w:tcPr>
          <w:p>
            <w:pPr>
              <w:pStyle w:val="yTableNAm"/>
              <w:rPr>
                <w:sz w:val="18"/>
              </w:rPr>
            </w:pPr>
            <w:r>
              <w:rPr>
                <w:sz w:val="18"/>
              </w:rPr>
              <w:t>20.086</w:t>
            </w:r>
          </w:p>
        </w:tc>
        <w:tc>
          <w:tcPr>
            <w:tcW w:w="1134" w:type="dxa"/>
          </w:tcPr>
          <w:p>
            <w:pPr>
              <w:pStyle w:val="yTableNAm"/>
              <w:rPr>
                <w:sz w:val="18"/>
              </w:rPr>
            </w:pPr>
            <w:r>
              <w:rPr>
                <w:sz w:val="18"/>
              </w:rPr>
              <w:t>21.604</w:t>
            </w:r>
          </w:p>
        </w:tc>
      </w:tr>
      <w:tr>
        <w:trPr>
          <w:cantSplit/>
        </w:trPr>
        <w:tc>
          <w:tcPr>
            <w:tcW w:w="567" w:type="dxa"/>
          </w:tcPr>
          <w:p>
            <w:pPr>
              <w:pStyle w:val="yTableNAm"/>
              <w:rPr>
                <w:sz w:val="18"/>
              </w:rPr>
            </w:pPr>
            <w:r>
              <w:rPr>
                <w:sz w:val="18"/>
              </w:rPr>
              <w:t>Z.02</w:t>
            </w:r>
          </w:p>
        </w:tc>
        <w:tc>
          <w:tcPr>
            <w:tcW w:w="851" w:type="dxa"/>
          </w:tcPr>
          <w:p>
            <w:pPr>
              <w:pStyle w:val="yTableNAm"/>
              <w:rPr>
                <w:sz w:val="18"/>
              </w:rPr>
            </w:pPr>
            <w:r>
              <w:rPr>
                <w:sz w:val="18"/>
              </w:rPr>
              <w:t>80</w:t>
            </w:r>
          </w:p>
        </w:tc>
        <w:tc>
          <w:tcPr>
            <w:tcW w:w="1701" w:type="dxa"/>
          </w:tcPr>
          <w:p>
            <w:pPr>
              <w:pStyle w:val="yTableNAm"/>
              <w:rPr>
                <w:sz w:val="18"/>
              </w:rPr>
            </w:pPr>
            <w:r>
              <w:rPr>
                <w:sz w:val="18"/>
              </w:rPr>
              <w:t>Mercury Vapour</w:t>
            </w:r>
          </w:p>
        </w:tc>
        <w:tc>
          <w:tcPr>
            <w:tcW w:w="1275" w:type="dxa"/>
          </w:tcPr>
          <w:p>
            <w:pPr>
              <w:pStyle w:val="yTableNAm"/>
              <w:rPr>
                <w:sz w:val="18"/>
              </w:rPr>
            </w:pPr>
            <w:r>
              <w:rPr>
                <w:sz w:val="18"/>
              </w:rPr>
              <w:t>23.155</w:t>
            </w:r>
          </w:p>
        </w:tc>
        <w:tc>
          <w:tcPr>
            <w:tcW w:w="1276" w:type="dxa"/>
          </w:tcPr>
          <w:p>
            <w:pPr>
              <w:pStyle w:val="yTableNAm"/>
              <w:rPr>
                <w:sz w:val="18"/>
              </w:rPr>
            </w:pPr>
            <w:r>
              <w:rPr>
                <w:sz w:val="18"/>
              </w:rPr>
              <w:t>23.672</w:t>
            </w:r>
          </w:p>
        </w:tc>
        <w:tc>
          <w:tcPr>
            <w:tcW w:w="1134" w:type="dxa"/>
          </w:tcPr>
          <w:p>
            <w:pPr>
              <w:pStyle w:val="yTableNAm"/>
              <w:rPr>
                <w:sz w:val="18"/>
              </w:rPr>
            </w:pPr>
            <w:r>
              <w:rPr>
                <w:sz w:val="18"/>
              </w:rPr>
              <w:t>26.037</w:t>
            </w:r>
          </w:p>
        </w:tc>
      </w:tr>
      <w:tr>
        <w:trPr>
          <w:cantSplit/>
        </w:trPr>
        <w:tc>
          <w:tcPr>
            <w:tcW w:w="567" w:type="dxa"/>
          </w:tcPr>
          <w:p>
            <w:pPr>
              <w:pStyle w:val="yTableNAm"/>
              <w:rPr>
                <w:sz w:val="18"/>
              </w:rPr>
            </w:pPr>
            <w:r>
              <w:rPr>
                <w:sz w:val="18"/>
              </w:rPr>
              <w:t>Z.03</w:t>
            </w:r>
          </w:p>
        </w:tc>
        <w:tc>
          <w:tcPr>
            <w:tcW w:w="851" w:type="dxa"/>
          </w:tcPr>
          <w:p>
            <w:pPr>
              <w:pStyle w:val="yTableNAm"/>
              <w:rPr>
                <w:sz w:val="18"/>
              </w:rPr>
            </w:pPr>
            <w:r>
              <w:rPr>
                <w:sz w:val="18"/>
              </w:rPr>
              <w:t>125</w:t>
            </w:r>
          </w:p>
        </w:tc>
        <w:tc>
          <w:tcPr>
            <w:tcW w:w="1701" w:type="dxa"/>
          </w:tcPr>
          <w:p>
            <w:pPr>
              <w:pStyle w:val="yTableNAm"/>
              <w:rPr>
                <w:sz w:val="18"/>
              </w:rPr>
            </w:pPr>
            <w:r>
              <w:rPr>
                <w:sz w:val="18"/>
              </w:rPr>
              <w:t>Mercury Vapour</w:t>
            </w:r>
          </w:p>
        </w:tc>
        <w:tc>
          <w:tcPr>
            <w:tcW w:w="1275" w:type="dxa"/>
          </w:tcPr>
          <w:p>
            <w:pPr>
              <w:pStyle w:val="yTableNAm"/>
              <w:rPr>
                <w:sz w:val="18"/>
              </w:rPr>
            </w:pPr>
            <w:r>
              <w:rPr>
                <w:sz w:val="18"/>
              </w:rPr>
              <w:t>28.633</w:t>
            </w:r>
          </w:p>
        </w:tc>
        <w:tc>
          <w:tcPr>
            <w:tcW w:w="1276" w:type="dxa"/>
          </w:tcPr>
          <w:p>
            <w:pPr>
              <w:pStyle w:val="yTableNAm"/>
              <w:rPr>
                <w:sz w:val="18"/>
              </w:rPr>
            </w:pPr>
            <w:r>
              <w:rPr>
                <w:sz w:val="18"/>
              </w:rPr>
              <w:t>29.557</w:t>
            </w:r>
          </w:p>
        </w:tc>
        <w:tc>
          <w:tcPr>
            <w:tcW w:w="1134" w:type="dxa"/>
          </w:tcPr>
          <w:p>
            <w:pPr>
              <w:pStyle w:val="yTableNAm"/>
              <w:rPr>
                <w:sz w:val="18"/>
              </w:rPr>
            </w:pPr>
            <w:r>
              <w:rPr>
                <w:sz w:val="18"/>
              </w:rPr>
              <w:t>32.912</w:t>
            </w:r>
          </w:p>
        </w:tc>
      </w:tr>
      <w:tr>
        <w:trPr>
          <w:cantSplit/>
        </w:trPr>
        <w:tc>
          <w:tcPr>
            <w:tcW w:w="567" w:type="dxa"/>
          </w:tcPr>
          <w:p>
            <w:pPr>
              <w:pStyle w:val="yTableNAm"/>
              <w:rPr>
                <w:sz w:val="18"/>
              </w:rPr>
            </w:pPr>
            <w:r>
              <w:rPr>
                <w:sz w:val="18"/>
              </w:rPr>
              <w:t>Z.04</w:t>
            </w:r>
          </w:p>
        </w:tc>
        <w:tc>
          <w:tcPr>
            <w:tcW w:w="851" w:type="dxa"/>
          </w:tcPr>
          <w:p>
            <w:pPr>
              <w:pStyle w:val="yTableNAm"/>
              <w:rPr>
                <w:sz w:val="18"/>
              </w:rPr>
            </w:pPr>
            <w:r>
              <w:rPr>
                <w:sz w:val="18"/>
              </w:rPr>
              <w:t>140</w:t>
            </w:r>
          </w:p>
        </w:tc>
        <w:tc>
          <w:tcPr>
            <w:tcW w:w="1701" w:type="dxa"/>
          </w:tcPr>
          <w:p>
            <w:pPr>
              <w:pStyle w:val="yTableNAm"/>
              <w:rPr>
                <w:sz w:val="18"/>
              </w:rPr>
            </w:pPr>
            <w:r>
              <w:rPr>
                <w:sz w:val="18"/>
              </w:rPr>
              <w:t xml:space="preserve">Low Pressure Sodium </w:t>
            </w:r>
          </w:p>
        </w:tc>
        <w:tc>
          <w:tcPr>
            <w:tcW w:w="1275" w:type="dxa"/>
          </w:tcPr>
          <w:p>
            <w:pPr>
              <w:pStyle w:val="yTableNAm"/>
              <w:rPr>
                <w:sz w:val="18"/>
              </w:rPr>
            </w:pPr>
            <w:r>
              <w:rPr>
                <w:sz w:val="18"/>
              </w:rPr>
              <w:br/>
              <w:t>29.304</w:t>
            </w:r>
          </w:p>
        </w:tc>
        <w:tc>
          <w:tcPr>
            <w:tcW w:w="1276" w:type="dxa"/>
          </w:tcPr>
          <w:p>
            <w:pPr>
              <w:pStyle w:val="yTableNAm"/>
              <w:rPr>
                <w:sz w:val="18"/>
              </w:rPr>
            </w:pPr>
            <w:r>
              <w:rPr>
                <w:sz w:val="18"/>
              </w:rPr>
              <w:br/>
              <w:t>30.261</w:t>
            </w:r>
          </w:p>
        </w:tc>
        <w:tc>
          <w:tcPr>
            <w:tcW w:w="1134" w:type="dxa"/>
          </w:tcPr>
          <w:p>
            <w:pPr>
              <w:pStyle w:val="yTableNAm"/>
              <w:rPr>
                <w:sz w:val="18"/>
              </w:rPr>
            </w:pPr>
            <w:r>
              <w:rPr>
                <w:sz w:val="18"/>
              </w:rPr>
              <w:br/>
              <w:t>34.100</w:t>
            </w:r>
          </w:p>
        </w:tc>
      </w:tr>
      <w:tr>
        <w:trPr>
          <w:cantSplit/>
        </w:trPr>
        <w:tc>
          <w:tcPr>
            <w:tcW w:w="567" w:type="dxa"/>
          </w:tcPr>
          <w:p>
            <w:pPr>
              <w:pStyle w:val="yTableNAm"/>
              <w:rPr>
                <w:sz w:val="18"/>
              </w:rPr>
            </w:pPr>
            <w:r>
              <w:rPr>
                <w:sz w:val="18"/>
              </w:rPr>
              <w:t>Z.07</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w:t>
            </w:r>
          </w:p>
        </w:tc>
        <w:tc>
          <w:tcPr>
            <w:tcW w:w="1275" w:type="dxa"/>
          </w:tcPr>
          <w:p>
            <w:pPr>
              <w:pStyle w:val="yTableNAm"/>
              <w:rPr>
                <w:sz w:val="18"/>
              </w:rPr>
            </w:pPr>
            <w:r>
              <w:rPr>
                <w:sz w:val="18"/>
              </w:rPr>
              <w:t>35.530</w:t>
            </w:r>
          </w:p>
        </w:tc>
        <w:tc>
          <w:tcPr>
            <w:tcW w:w="1276" w:type="dxa"/>
          </w:tcPr>
          <w:p>
            <w:pPr>
              <w:pStyle w:val="yTableNAm"/>
              <w:rPr>
                <w:sz w:val="18"/>
              </w:rPr>
            </w:pPr>
            <w:r>
              <w:rPr>
                <w:sz w:val="18"/>
              </w:rPr>
              <w:t>37.334</w:t>
            </w:r>
          </w:p>
        </w:tc>
        <w:tc>
          <w:tcPr>
            <w:tcW w:w="1134" w:type="dxa"/>
          </w:tcPr>
          <w:p>
            <w:pPr>
              <w:pStyle w:val="yTableNAm"/>
              <w:rPr>
                <w:sz w:val="18"/>
              </w:rPr>
            </w:pPr>
            <w:r>
              <w:rPr>
                <w:sz w:val="18"/>
              </w:rPr>
              <w:t>44.077</w:t>
            </w:r>
          </w:p>
        </w:tc>
      </w:tr>
      <w:tr>
        <w:trPr>
          <w:cantSplit/>
        </w:trPr>
        <w:tc>
          <w:tcPr>
            <w:tcW w:w="567" w:type="dxa"/>
          </w:tcPr>
          <w:p>
            <w:pPr>
              <w:pStyle w:val="yTableNAm"/>
              <w:rPr>
                <w:sz w:val="18"/>
              </w:rPr>
            </w:pPr>
            <w:r>
              <w:rPr>
                <w:sz w:val="18"/>
              </w:rPr>
              <w:t>Z.10</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w:t>
            </w:r>
          </w:p>
        </w:tc>
        <w:tc>
          <w:tcPr>
            <w:tcW w:w="1275" w:type="dxa"/>
          </w:tcPr>
          <w:p>
            <w:pPr>
              <w:pStyle w:val="yTableNAm"/>
              <w:rPr>
                <w:sz w:val="18"/>
              </w:rPr>
            </w:pPr>
            <w:r>
              <w:rPr>
                <w:sz w:val="18"/>
              </w:rPr>
              <w:t>52.635</w:t>
            </w:r>
          </w:p>
        </w:tc>
        <w:tc>
          <w:tcPr>
            <w:tcW w:w="1276" w:type="dxa"/>
          </w:tcPr>
          <w:p>
            <w:pPr>
              <w:pStyle w:val="yTableNAm"/>
              <w:rPr>
                <w:sz w:val="18"/>
              </w:rPr>
            </w:pPr>
            <w:r>
              <w:rPr>
                <w:sz w:val="18"/>
              </w:rPr>
              <w:t>55.385</w:t>
            </w:r>
          </w:p>
        </w:tc>
        <w:tc>
          <w:tcPr>
            <w:tcW w:w="1134" w:type="dxa"/>
          </w:tcPr>
          <w:p>
            <w:pPr>
              <w:pStyle w:val="yTableNAm"/>
              <w:rPr>
                <w:sz w:val="18"/>
              </w:rPr>
            </w:pPr>
            <w:r>
              <w:rPr>
                <w:sz w:val="18"/>
              </w:rPr>
              <w:t>65.912</w:t>
            </w:r>
          </w:p>
        </w:tc>
      </w:tr>
      <w:tr>
        <w:trPr>
          <w:cantSplit/>
        </w:trPr>
        <w:tc>
          <w:tcPr>
            <w:tcW w:w="567" w:type="dxa"/>
          </w:tcPr>
          <w:p>
            <w:pPr>
              <w:pStyle w:val="yTableNAm"/>
              <w:rPr>
                <w:sz w:val="18"/>
              </w:rPr>
            </w:pPr>
            <w:r>
              <w:rPr>
                <w:sz w:val="18"/>
              </w:rPr>
              <w:t>Z.13</w:t>
            </w:r>
          </w:p>
        </w:tc>
        <w:tc>
          <w:tcPr>
            <w:tcW w:w="851" w:type="dxa"/>
          </w:tcPr>
          <w:p>
            <w:pPr>
              <w:pStyle w:val="yTableNAm"/>
              <w:rPr>
                <w:sz w:val="18"/>
              </w:rPr>
            </w:pPr>
            <w:r>
              <w:rPr>
                <w:sz w:val="18"/>
              </w:rPr>
              <w:t>150</w:t>
            </w:r>
          </w:p>
        </w:tc>
        <w:tc>
          <w:tcPr>
            <w:tcW w:w="1701" w:type="dxa"/>
          </w:tcPr>
          <w:p>
            <w:pPr>
              <w:pStyle w:val="yTableNAm"/>
              <w:rPr>
                <w:sz w:val="18"/>
              </w:rPr>
            </w:pPr>
            <w:r>
              <w:rPr>
                <w:sz w:val="18"/>
              </w:rPr>
              <w:t>High Pressure Sodium</w:t>
            </w:r>
          </w:p>
        </w:tc>
        <w:tc>
          <w:tcPr>
            <w:tcW w:w="1275" w:type="dxa"/>
          </w:tcPr>
          <w:p>
            <w:pPr>
              <w:pStyle w:val="yTableNAm"/>
              <w:rPr>
                <w:sz w:val="18"/>
              </w:rPr>
            </w:pPr>
            <w:r>
              <w:rPr>
                <w:sz w:val="18"/>
              </w:rPr>
              <w:br/>
              <w:t>27.126</w:t>
            </w:r>
          </w:p>
        </w:tc>
        <w:tc>
          <w:tcPr>
            <w:tcW w:w="1276" w:type="dxa"/>
          </w:tcPr>
          <w:p>
            <w:pPr>
              <w:pStyle w:val="yTableNAm"/>
              <w:rPr>
                <w:sz w:val="18"/>
              </w:rPr>
            </w:pPr>
            <w:r>
              <w:rPr>
                <w:sz w:val="18"/>
              </w:rPr>
              <w:br/>
              <w:t>28.116</w:t>
            </w:r>
          </w:p>
        </w:tc>
        <w:tc>
          <w:tcPr>
            <w:tcW w:w="1134" w:type="dxa"/>
          </w:tcPr>
          <w:p>
            <w:pPr>
              <w:pStyle w:val="yTableNAm"/>
              <w:rPr>
                <w:sz w:val="18"/>
              </w:rPr>
            </w:pPr>
            <w:r>
              <w:rPr>
                <w:sz w:val="18"/>
              </w:rPr>
              <w:br/>
              <w:t>33.682</w:t>
            </w:r>
          </w:p>
        </w:tc>
      </w:tr>
      <w:tr>
        <w:trPr>
          <w:cantSplit/>
        </w:trPr>
        <w:tc>
          <w:tcPr>
            <w:tcW w:w="567" w:type="dxa"/>
          </w:tcPr>
          <w:p>
            <w:pPr>
              <w:pStyle w:val="yTableNAm"/>
              <w:rPr>
                <w:sz w:val="18"/>
              </w:rPr>
            </w:pPr>
            <w:r>
              <w:rPr>
                <w:sz w:val="18"/>
              </w:rPr>
              <w:t>Z.15</w:t>
            </w:r>
          </w:p>
        </w:tc>
        <w:tc>
          <w:tcPr>
            <w:tcW w:w="851" w:type="dxa"/>
          </w:tcPr>
          <w:p>
            <w:pPr>
              <w:pStyle w:val="yTableNAm"/>
              <w:rPr>
                <w:sz w:val="18"/>
              </w:rPr>
            </w:pPr>
            <w:r>
              <w:rPr>
                <w:sz w:val="18"/>
              </w:rPr>
              <w:t>250</w:t>
            </w:r>
          </w:p>
        </w:tc>
        <w:tc>
          <w:tcPr>
            <w:tcW w:w="1701" w:type="dxa"/>
          </w:tcPr>
          <w:p>
            <w:pPr>
              <w:pStyle w:val="yTableNAm"/>
              <w:rPr>
                <w:sz w:val="18"/>
              </w:rPr>
            </w:pPr>
            <w:r>
              <w:rPr>
                <w:sz w:val="18"/>
              </w:rPr>
              <w:t>High Pressure Sodium</w:t>
            </w:r>
          </w:p>
        </w:tc>
        <w:tc>
          <w:tcPr>
            <w:tcW w:w="1275" w:type="dxa"/>
          </w:tcPr>
          <w:p>
            <w:pPr>
              <w:pStyle w:val="yTableNAm"/>
              <w:rPr>
                <w:sz w:val="18"/>
              </w:rPr>
            </w:pPr>
            <w:r>
              <w:rPr>
                <w:sz w:val="18"/>
              </w:rPr>
              <w:br/>
              <w:t>40.205</w:t>
            </w:r>
          </w:p>
        </w:tc>
        <w:tc>
          <w:tcPr>
            <w:tcW w:w="1276" w:type="dxa"/>
          </w:tcPr>
          <w:p>
            <w:pPr>
              <w:pStyle w:val="yTableNAm"/>
              <w:rPr>
                <w:sz w:val="18"/>
              </w:rPr>
            </w:pPr>
            <w:r>
              <w:rPr>
                <w:sz w:val="18"/>
              </w:rPr>
              <w:br/>
              <w:t>42.350</w:t>
            </w:r>
          </w:p>
        </w:tc>
        <w:tc>
          <w:tcPr>
            <w:tcW w:w="1134" w:type="dxa"/>
          </w:tcPr>
          <w:p>
            <w:pPr>
              <w:pStyle w:val="yTableNAm"/>
              <w:rPr>
                <w:sz w:val="18"/>
              </w:rPr>
            </w:pPr>
            <w:r>
              <w:rPr>
                <w:sz w:val="18"/>
              </w:rPr>
              <w:br/>
              <w:t>50.611</w:t>
            </w:r>
          </w:p>
        </w:tc>
      </w:tr>
      <w:tr>
        <w:trPr>
          <w:cantSplit/>
        </w:trPr>
        <w:tc>
          <w:tcPr>
            <w:tcW w:w="567" w:type="dxa"/>
          </w:tcPr>
          <w:p>
            <w:pPr>
              <w:pStyle w:val="yTableNAm"/>
              <w:rPr>
                <w:sz w:val="18"/>
              </w:rPr>
            </w:pPr>
            <w:r>
              <w:rPr>
                <w:sz w:val="18"/>
              </w:rPr>
              <w:t>Z.18</w:t>
            </w:r>
          </w:p>
        </w:tc>
        <w:tc>
          <w:tcPr>
            <w:tcW w:w="851" w:type="dxa"/>
          </w:tcPr>
          <w:p>
            <w:pPr>
              <w:pStyle w:val="yTableNAm"/>
              <w:rPr>
                <w:sz w:val="18"/>
              </w:rPr>
            </w:pPr>
            <w:r>
              <w:rPr>
                <w:sz w:val="18"/>
              </w:rPr>
              <w:t>per kW</w:t>
            </w:r>
          </w:p>
        </w:tc>
        <w:tc>
          <w:tcPr>
            <w:tcW w:w="1701" w:type="dxa"/>
          </w:tcPr>
          <w:p>
            <w:pPr>
              <w:pStyle w:val="yTableNAm"/>
              <w:rPr>
                <w:sz w:val="18"/>
              </w:rPr>
            </w:pPr>
            <w:r>
              <w:rPr>
                <w:sz w:val="18"/>
              </w:rPr>
              <w:t>Auxiliary Lighting in Public Places</w:t>
            </w:r>
          </w:p>
        </w:tc>
        <w:tc>
          <w:tcPr>
            <w:tcW w:w="1275" w:type="dxa"/>
          </w:tcPr>
          <w:p>
            <w:pPr>
              <w:pStyle w:val="yTableNAm"/>
              <w:rPr>
                <w:sz w:val="18"/>
              </w:rPr>
            </w:pPr>
            <w:r>
              <w:rPr>
                <w:sz w:val="18"/>
              </w:rPr>
              <w:br/>
              <w:t>115.181</w:t>
            </w:r>
          </w:p>
        </w:tc>
        <w:tc>
          <w:tcPr>
            <w:tcW w:w="1276" w:type="dxa"/>
          </w:tcPr>
          <w:p>
            <w:pPr>
              <w:pStyle w:val="yTableNAm"/>
              <w:rPr>
                <w:sz w:val="18"/>
              </w:rPr>
            </w:pPr>
            <w:r>
              <w:rPr>
                <w:sz w:val="18"/>
              </w:rPr>
              <w:br/>
              <w:t>121.583</w:t>
            </w:r>
          </w:p>
        </w:tc>
        <w:tc>
          <w:tcPr>
            <w:tcW w:w="1134" w:type="dxa"/>
          </w:tcPr>
          <w:p>
            <w:pPr>
              <w:pStyle w:val="yTableNAm"/>
              <w:rPr>
                <w:sz w:val="18"/>
              </w:rPr>
            </w:pPr>
            <w:r>
              <w:rPr>
                <w:sz w:val="18"/>
              </w:rPr>
              <w:br/>
              <w:t>146.762</w:t>
            </w:r>
          </w:p>
        </w:tc>
      </w:tr>
      <w:tr>
        <w:trPr>
          <w:cantSplit/>
        </w:trPr>
        <w:tc>
          <w:tcPr>
            <w:tcW w:w="6804" w:type="dxa"/>
            <w:gridSpan w:val="6"/>
          </w:tcPr>
          <w:p>
            <w:pPr>
              <w:pStyle w:val="yTableNAm"/>
              <w:rPr>
                <w:i/>
                <w:iCs/>
                <w:sz w:val="18"/>
              </w:rPr>
            </w:pPr>
            <w:r>
              <w:rPr>
                <w:i/>
                <w:iCs/>
                <w:sz w:val="18"/>
              </w:rPr>
              <w:t>Street lighting for existing services only</w:t>
            </w:r>
          </w:p>
        </w:tc>
      </w:tr>
      <w:tr>
        <w:trPr>
          <w:cantSplit/>
        </w:trPr>
        <w:tc>
          <w:tcPr>
            <w:tcW w:w="567" w:type="dxa"/>
          </w:tcPr>
          <w:p>
            <w:pPr>
              <w:pStyle w:val="yTableNAm"/>
              <w:rPr>
                <w:sz w:val="18"/>
              </w:rPr>
            </w:pPr>
            <w:r>
              <w:rPr>
                <w:sz w:val="18"/>
              </w:rPr>
              <w:t>Z.05</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w:t>
            </w:r>
          </w:p>
        </w:tc>
        <w:tc>
          <w:tcPr>
            <w:tcW w:w="1275" w:type="dxa"/>
          </w:tcPr>
          <w:p>
            <w:pPr>
              <w:pStyle w:val="yTableNAm"/>
              <w:rPr>
                <w:sz w:val="18"/>
              </w:rPr>
            </w:pPr>
            <w:r>
              <w:rPr>
                <w:sz w:val="18"/>
              </w:rPr>
              <w:t>46.046</w:t>
            </w:r>
          </w:p>
        </w:tc>
        <w:tc>
          <w:tcPr>
            <w:tcW w:w="1276" w:type="dxa"/>
          </w:tcPr>
          <w:p>
            <w:pPr>
              <w:pStyle w:val="yTableNAm"/>
              <w:rPr>
                <w:sz w:val="18"/>
              </w:rPr>
            </w:pPr>
            <w:r>
              <w:rPr>
                <w:sz w:val="18"/>
              </w:rPr>
              <w:t>47.839</w:t>
            </w:r>
          </w:p>
        </w:tc>
        <w:tc>
          <w:tcPr>
            <w:tcW w:w="1134" w:type="dxa"/>
          </w:tcPr>
          <w:p>
            <w:pPr>
              <w:pStyle w:val="yTableNAm"/>
              <w:rPr>
                <w:sz w:val="18"/>
              </w:rPr>
            </w:pPr>
            <w:r>
              <w:rPr>
                <w:sz w:val="18"/>
              </w:rPr>
              <w:t>54.593</w:t>
            </w:r>
          </w:p>
        </w:tc>
      </w:tr>
      <w:tr>
        <w:trPr>
          <w:cantSplit/>
        </w:trPr>
        <w:tc>
          <w:tcPr>
            <w:tcW w:w="567" w:type="dxa"/>
          </w:tcPr>
          <w:p>
            <w:pPr>
              <w:pStyle w:val="yTableNAm"/>
              <w:rPr>
                <w:sz w:val="18"/>
              </w:rPr>
            </w:pPr>
            <w:r>
              <w:rPr>
                <w:sz w:val="18"/>
              </w:rPr>
              <w:t>Z.06</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w:t>
            </w:r>
          </w:p>
        </w:tc>
        <w:tc>
          <w:tcPr>
            <w:tcW w:w="1275" w:type="dxa"/>
          </w:tcPr>
          <w:p>
            <w:pPr>
              <w:pStyle w:val="yTableNAm"/>
              <w:rPr>
                <w:sz w:val="18"/>
              </w:rPr>
            </w:pPr>
            <w:r>
              <w:rPr>
                <w:sz w:val="18"/>
              </w:rPr>
              <w:t>63.151</w:t>
            </w:r>
          </w:p>
        </w:tc>
        <w:tc>
          <w:tcPr>
            <w:tcW w:w="1276" w:type="dxa"/>
          </w:tcPr>
          <w:p>
            <w:pPr>
              <w:pStyle w:val="yTableNAm"/>
              <w:rPr>
                <w:sz w:val="18"/>
              </w:rPr>
            </w:pPr>
            <w:r>
              <w:rPr>
                <w:sz w:val="18"/>
              </w:rPr>
              <w:t>65.912</w:t>
            </w:r>
          </w:p>
        </w:tc>
        <w:tc>
          <w:tcPr>
            <w:tcW w:w="1134" w:type="dxa"/>
          </w:tcPr>
          <w:p>
            <w:pPr>
              <w:pStyle w:val="yTableNAm"/>
              <w:rPr>
                <w:sz w:val="18"/>
              </w:rPr>
            </w:pPr>
            <w:r>
              <w:rPr>
                <w:sz w:val="18"/>
              </w:rPr>
              <w:t>76.384</w:t>
            </w:r>
          </w:p>
        </w:tc>
      </w:tr>
      <w:tr>
        <w:trPr>
          <w:cantSplit/>
        </w:trPr>
        <w:tc>
          <w:tcPr>
            <w:tcW w:w="567" w:type="dxa"/>
          </w:tcPr>
          <w:p>
            <w:pPr>
              <w:pStyle w:val="yTableNAm"/>
              <w:rPr>
                <w:sz w:val="18"/>
              </w:rPr>
            </w:pPr>
            <w:r>
              <w:rPr>
                <w:sz w:val="18"/>
              </w:rPr>
              <w:t>Z.08</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 50% E.C. cost</w:t>
            </w:r>
          </w:p>
        </w:tc>
        <w:tc>
          <w:tcPr>
            <w:tcW w:w="1275" w:type="dxa"/>
          </w:tcPr>
          <w:p>
            <w:pPr>
              <w:pStyle w:val="yTableNAm"/>
              <w:rPr>
                <w:sz w:val="18"/>
              </w:rPr>
            </w:pPr>
            <w:r>
              <w:rPr>
                <w:sz w:val="18"/>
              </w:rPr>
              <w:br/>
              <w:t>40.777</w:t>
            </w:r>
          </w:p>
        </w:tc>
        <w:tc>
          <w:tcPr>
            <w:tcW w:w="1276" w:type="dxa"/>
          </w:tcPr>
          <w:p>
            <w:pPr>
              <w:pStyle w:val="yTableNAm"/>
              <w:rPr>
                <w:sz w:val="18"/>
              </w:rPr>
            </w:pPr>
            <w:r>
              <w:rPr>
                <w:sz w:val="18"/>
              </w:rPr>
              <w:br/>
              <w:t>42.559</w:t>
            </w:r>
          </w:p>
        </w:tc>
        <w:tc>
          <w:tcPr>
            <w:tcW w:w="1134" w:type="dxa"/>
          </w:tcPr>
          <w:p>
            <w:pPr>
              <w:pStyle w:val="yTableNAm"/>
              <w:rPr>
                <w:sz w:val="18"/>
              </w:rPr>
            </w:pPr>
            <w:r>
              <w:rPr>
                <w:sz w:val="18"/>
              </w:rPr>
              <w:br/>
              <w:t>49.335</w:t>
            </w:r>
          </w:p>
        </w:tc>
      </w:tr>
      <w:tr>
        <w:trPr>
          <w:cantSplit/>
        </w:trPr>
        <w:tc>
          <w:tcPr>
            <w:tcW w:w="567" w:type="dxa"/>
          </w:tcPr>
          <w:p>
            <w:pPr>
              <w:pStyle w:val="yTableNAm"/>
              <w:rPr>
                <w:sz w:val="18"/>
              </w:rPr>
            </w:pPr>
            <w:r>
              <w:rPr>
                <w:sz w:val="18"/>
              </w:rPr>
              <w:t>Z.09</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 100% E.C. cost</w:t>
            </w:r>
          </w:p>
        </w:tc>
        <w:tc>
          <w:tcPr>
            <w:tcW w:w="1275" w:type="dxa"/>
          </w:tcPr>
          <w:p>
            <w:pPr>
              <w:pStyle w:val="yTableNAm"/>
              <w:rPr>
                <w:sz w:val="18"/>
              </w:rPr>
            </w:pPr>
            <w:r>
              <w:rPr>
                <w:sz w:val="18"/>
              </w:rPr>
              <w:br/>
              <w:t>46.046</w:t>
            </w:r>
          </w:p>
        </w:tc>
        <w:tc>
          <w:tcPr>
            <w:tcW w:w="1276" w:type="dxa"/>
          </w:tcPr>
          <w:p>
            <w:pPr>
              <w:pStyle w:val="yTableNAm"/>
              <w:rPr>
                <w:sz w:val="18"/>
              </w:rPr>
            </w:pPr>
            <w:r>
              <w:rPr>
                <w:sz w:val="18"/>
              </w:rPr>
              <w:br/>
              <w:t>47.839</w:t>
            </w:r>
          </w:p>
        </w:tc>
        <w:tc>
          <w:tcPr>
            <w:tcW w:w="1134" w:type="dxa"/>
          </w:tcPr>
          <w:p>
            <w:pPr>
              <w:pStyle w:val="yTableNAm"/>
              <w:rPr>
                <w:sz w:val="18"/>
              </w:rPr>
            </w:pPr>
            <w:r>
              <w:rPr>
                <w:sz w:val="18"/>
              </w:rPr>
              <w:br/>
              <w:t>54.593</w:t>
            </w:r>
          </w:p>
        </w:tc>
      </w:tr>
      <w:tr>
        <w:trPr>
          <w:cantSplit/>
        </w:trPr>
        <w:tc>
          <w:tcPr>
            <w:tcW w:w="567" w:type="dxa"/>
          </w:tcPr>
          <w:p>
            <w:pPr>
              <w:pStyle w:val="yTableNAm"/>
              <w:rPr>
                <w:sz w:val="18"/>
              </w:rPr>
            </w:pPr>
            <w:r>
              <w:rPr>
                <w:sz w:val="18"/>
              </w:rPr>
              <w:t>Z.11</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 50% E.C. cost</w:t>
            </w:r>
          </w:p>
        </w:tc>
        <w:tc>
          <w:tcPr>
            <w:tcW w:w="1275" w:type="dxa"/>
          </w:tcPr>
          <w:p>
            <w:pPr>
              <w:pStyle w:val="yTableNAm"/>
              <w:rPr>
                <w:sz w:val="18"/>
              </w:rPr>
            </w:pPr>
            <w:r>
              <w:rPr>
                <w:sz w:val="18"/>
              </w:rPr>
              <w:br/>
              <w:t>57.893</w:t>
            </w:r>
          </w:p>
        </w:tc>
        <w:tc>
          <w:tcPr>
            <w:tcW w:w="1276" w:type="dxa"/>
          </w:tcPr>
          <w:p>
            <w:pPr>
              <w:pStyle w:val="yTableNAm"/>
              <w:rPr>
                <w:sz w:val="18"/>
              </w:rPr>
            </w:pPr>
            <w:r>
              <w:rPr>
                <w:sz w:val="18"/>
              </w:rPr>
              <w:br/>
              <w:t>60.654</w:t>
            </w:r>
          </w:p>
        </w:tc>
        <w:tc>
          <w:tcPr>
            <w:tcW w:w="1134" w:type="dxa"/>
          </w:tcPr>
          <w:p>
            <w:pPr>
              <w:pStyle w:val="yTableNAm"/>
              <w:rPr>
                <w:sz w:val="18"/>
              </w:rPr>
            </w:pPr>
            <w:r>
              <w:rPr>
                <w:sz w:val="18"/>
              </w:rPr>
              <w:br/>
              <w:t>71.137</w:t>
            </w:r>
          </w:p>
        </w:tc>
      </w:tr>
      <w:tr>
        <w:trPr>
          <w:cantSplit/>
        </w:trPr>
        <w:tc>
          <w:tcPr>
            <w:tcW w:w="567" w:type="dxa"/>
          </w:tcPr>
          <w:p>
            <w:pPr>
              <w:pStyle w:val="yTableNAm"/>
              <w:rPr>
                <w:sz w:val="18"/>
              </w:rPr>
            </w:pPr>
            <w:r>
              <w:rPr>
                <w:sz w:val="18"/>
              </w:rPr>
              <w:t>Z.12</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 100% E.C. cost</w:t>
            </w:r>
          </w:p>
        </w:tc>
        <w:tc>
          <w:tcPr>
            <w:tcW w:w="1275" w:type="dxa"/>
          </w:tcPr>
          <w:p>
            <w:pPr>
              <w:pStyle w:val="yTableNAm"/>
              <w:rPr>
                <w:sz w:val="18"/>
              </w:rPr>
            </w:pPr>
            <w:r>
              <w:rPr>
                <w:sz w:val="18"/>
              </w:rPr>
              <w:br/>
              <w:t>63.151</w:t>
            </w:r>
          </w:p>
        </w:tc>
        <w:tc>
          <w:tcPr>
            <w:tcW w:w="1276" w:type="dxa"/>
          </w:tcPr>
          <w:p>
            <w:pPr>
              <w:pStyle w:val="yTableNAm"/>
              <w:rPr>
                <w:sz w:val="18"/>
              </w:rPr>
            </w:pPr>
            <w:r>
              <w:rPr>
                <w:sz w:val="18"/>
              </w:rPr>
              <w:br/>
              <w:t>65.912</w:t>
            </w:r>
          </w:p>
        </w:tc>
        <w:tc>
          <w:tcPr>
            <w:tcW w:w="1134" w:type="dxa"/>
          </w:tcPr>
          <w:p>
            <w:pPr>
              <w:pStyle w:val="yTableNAm"/>
              <w:rPr>
                <w:sz w:val="18"/>
              </w:rPr>
            </w:pPr>
            <w:r>
              <w:rPr>
                <w:sz w:val="18"/>
              </w:rPr>
              <w:br/>
              <w:t>76.384</w:t>
            </w:r>
          </w:p>
        </w:tc>
      </w:tr>
      <w:tr>
        <w:trPr>
          <w:cantSplit/>
        </w:trPr>
        <w:tc>
          <w:tcPr>
            <w:tcW w:w="567" w:type="dxa"/>
          </w:tcPr>
          <w:p>
            <w:pPr>
              <w:pStyle w:val="yTableNAm"/>
              <w:rPr>
                <w:sz w:val="18"/>
              </w:rPr>
            </w:pPr>
            <w:r>
              <w:rPr>
                <w:sz w:val="18"/>
              </w:rPr>
              <w:t>Z.14</w:t>
            </w:r>
          </w:p>
        </w:tc>
        <w:tc>
          <w:tcPr>
            <w:tcW w:w="851" w:type="dxa"/>
          </w:tcPr>
          <w:p>
            <w:pPr>
              <w:pStyle w:val="yTableNAm"/>
              <w:rPr>
                <w:sz w:val="18"/>
              </w:rPr>
            </w:pPr>
            <w:r>
              <w:rPr>
                <w:sz w:val="18"/>
              </w:rPr>
              <w:t>150</w:t>
            </w:r>
          </w:p>
        </w:tc>
        <w:tc>
          <w:tcPr>
            <w:tcW w:w="1701" w:type="dxa"/>
          </w:tcPr>
          <w:p>
            <w:pPr>
              <w:pStyle w:val="yTableNAm"/>
              <w:rPr>
                <w:sz w:val="18"/>
              </w:rPr>
            </w:pPr>
            <w:r>
              <w:rPr>
                <w:sz w:val="18"/>
              </w:rPr>
              <w:t>H.P. Sodium</w:t>
            </w:r>
          </w:p>
        </w:tc>
        <w:tc>
          <w:tcPr>
            <w:tcW w:w="1275" w:type="dxa"/>
          </w:tcPr>
          <w:p>
            <w:pPr>
              <w:pStyle w:val="yTableNAm"/>
              <w:rPr>
                <w:sz w:val="18"/>
              </w:rPr>
            </w:pPr>
            <w:r>
              <w:rPr>
                <w:sz w:val="18"/>
              </w:rPr>
              <w:t>41.844</w:t>
            </w:r>
          </w:p>
        </w:tc>
        <w:tc>
          <w:tcPr>
            <w:tcW w:w="1276" w:type="dxa"/>
          </w:tcPr>
          <w:p>
            <w:pPr>
              <w:pStyle w:val="yTableNAm"/>
              <w:rPr>
                <w:sz w:val="18"/>
              </w:rPr>
            </w:pPr>
            <w:r>
              <w:rPr>
                <w:sz w:val="18"/>
              </w:rPr>
              <w:t>42.823</w:t>
            </w:r>
          </w:p>
        </w:tc>
        <w:tc>
          <w:tcPr>
            <w:tcW w:w="1134" w:type="dxa"/>
          </w:tcPr>
          <w:p>
            <w:pPr>
              <w:pStyle w:val="yTableNAm"/>
              <w:rPr>
                <w:sz w:val="18"/>
              </w:rPr>
            </w:pPr>
            <w:r>
              <w:rPr>
                <w:sz w:val="18"/>
              </w:rPr>
              <w:t>48.367</w:t>
            </w:r>
          </w:p>
        </w:tc>
      </w:tr>
      <w:tr>
        <w:trPr>
          <w:cantSplit/>
        </w:trPr>
        <w:tc>
          <w:tcPr>
            <w:tcW w:w="567" w:type="dxa"/>
          </w:tcPr>
          <w:p>
            <w:pPr>
              <w:pStyle w:val="yTableNAm"/>
              <w:rPr>
                <w:sz w:val="18"/>
              </w:rPr>
            </w:pPr>
            <w:r>
              <w:rPr>
                <w:sz w:val="18"/>
              </w:rPr>
              <w:t>Z.16</w:t>
            </w:r>
          </w:p>
        </w:tc>
        <w:tc>
          <w:tcPr>
            <w:tcW w:w="851" w:type="dxa"/>
          </w:tcPr>
          <w:p>
            <w:pPr>
              <w:pStyle w:val="yTableNAm"/>
              <w:rPr>
                <w:sz w:val="18"/>
              </w:rPr>
            </w:pPr>
            <w:r>
              <w:rPr>
                <w:sz w:val="18"/>
              </w:rPr>
              <w:t>250</w:t>
            </w:r>
          </w:p>
        </w:tc>
        <w:tc>
          <w:tcPr>
            <w:tcW w:w="1701" w:type="dxa"/>
          </w:tcPr>
          <w:p>
            <w:pPr>
              <w:pStyle w:val="yTableNAm"/>
              <w:rPr>
                <w:sz w:val="18"/>
              </w:rPr>
            </w:pPr>
            <w:r>
              <w:rPr>
                <w:sz w:val="18"/>
              </w:rPr>
              <w:t>H.P. Sodium 50% E.C. cost</w:t>
            </w:r>
          </w:p>
        </w:tc>
        <w:tc>
          <w:tcPr>
            <w:tcW w:w="1275" w:type="dxa"/>
          </w:tcPr>
          <w:p>
            <w:pPr>
              <w:pStyle w:val="yTableNAm"/>
              <w:rPr>
                <w:sz w:val="18"/>
              </w:rPr>
            </w:pPr>
            <w:r>
              <w:rPr>
                <w:sz w:val="18"/>
              </w:rPr>
              <w:br/>
              <w:t>48.081</w:t>
            </w:r>
          </w:p>
        </w:tc>
        <w:tc>
          <w:tcPr>
            <w:tcW w:w="1276" w:type="dxa"/>
          </w:tcPr>
          <w:p>
            <w:pPr>
              <w:pStyle w:val="yTableNAm"/>
              <w:rPr>
                <w:sz w:val="18"/>
              </w:rPr>
            </w:pPr>
            <w:r>
              <w:rPr>
                <w:sz w:val="18"/>
              </w:rPr>
              <w:br/>
              <w:t>50.237</w:t>
            </w:r>
          </w:p>
        </w:tc>
        <w:tc>
          <w:tcPr>
            <w:tcW w:w="1134" w:type="dxa"/>
          </w:tcPr>
          <w:p>
            <w:pPr>
              <w:pStyle w:val="yTableNAm"/>
              <w:rPr>
                <w:sz w:val="18"/>
              </w:rPr>
            </w:pPr>
            <w:r>
              <w:rPr>
                <w:sz w:val="18"/>
              </w:rPr>
              <w:br/>
              <w:t>58.487</w:t>
            </w:r>
          </w:p>
        </w:tc>
      </w:tr>
      <w:tr>
        <w:trPr>
          <w:cantSplit/>
        </w:trPr>
        <w:tc>
          <w:tcPr>
            <w:tcW w:w="567" w:type="dxa"/>
          </w:tcPr>
          <w:p>
            <w:pPr>
              <w:pStyle w:val="yTableNAm"/>
              <w:rPr>
                <w:sz w:val="18"/>
              </w:rPr>
            </w:pPr>
            <w:r>
              <w:rPr>
                <w:sz w:val="18"/>
              </w:rPr>
              <w:t>Z.17</w:t>
            </w:r>
          </w:p>
        </w:tc>
        <w:tc>
          <w:tcPr>
            <w:tcW w:w="851" w:type="dxa"/>
          </w:tcPr>
          <w:p>
            <w:pPr>
              <w:pStyle w:val="yTableNAm"/>
              <w:rPr>
                <w:sz w:val="18"/>
              </w:rPr>
            </w:pPr>
            <w:r>
              <w:rPr>
                <w:sz w:val="18"/>
              </w:rPr>
              <w:t>250</w:t>
            </w:r>
          </w:p>
        </w:tc>
        <w:tc>
          <w:tcPr>
            <w:tcW w:w="1701" w:type="dxa"/>
          </w:tcPr>
          <w:p>
            <w:pPr>
              <w:pStyle w:val="yTableNAm"/>
              <w:rPr>
                <w:sz w:val="18"/>
              </w:rPr>
            </w:pPr>
            <w:r>
              <w:rPr>
                <w:sz w:val="18"/>
              </w:rPr>
              <w:t>H.P. Sodium 100% E.C. cost</w:t>
            </w:r>
          </w:p>
        </w:tc>
        <w:tc>
          <w:tcPr>
            <w:tcW w:w="1275" w:type="dxa"/>
          </w:tcPr>
          <w:p>
            <w:pPr>
              <w:pStyle w:val="yTableNAm"/>
              <w:rPr>
                <w:sz w:val="18"/>
              </w:rPr>
            </w:pPr>
            <w:r>
              <w:rPr>
                <w:sz w:val="18"/>
              </w:rPr>
              <w:br/>
              <w:t>55.935</w:t>
            </w:r>
          </w:p>
        </w:tc>
        <w:tc>
          <w:tcPr>
            <w:tcW w:w="1276" w:type="dxa"/>
          </w:tcPr>
          <w:p>
            <w:pPr>
              <w:pStyle w:val="yTableNAm"/>
              <w:rPr>
                <w:sz w:val="18"/>
              </w:rPr>
            </w:pPr>
            <w:r>
              <w:rPr>
                <w:sz w:val="18"/>
              </w:rPr>
              <w:br/>
              <w:t>58.124</w:t>
            </w:r>
          </w:p>
        </w:tc>
        <w:tc>
          <w:tcPr>
            <w:tcW w:w="1134" w:type="dxa"/>
          </w:tcPr>
          <w:p>
            <w:pPr>
              <w:pStyle w:val="yTableNAm"/>
              <w:rPr>
                <w:sz w:val="18"/>
              </w:rPr>
            </w:pPr>
            <w:r>
              <w:rPr>
                <w:sz w:val="18"/>
              </w:rPr>
              <w:br/>
              <w:t>66.374</w:t>
            </w:r>
          </w:p>
        </w:tc>
      </w:tr>
      <w:tr>
        <w:trPr>
          <w:cantSplit/>
        </w:trPr>
        <w:tc>
          <w:tcPr>
            <w:tcW w:w="567" w:type="dxa"/>
          </w:tcPr>
          <w:p>
            <w:pPr>
              <w:pStyle w:val="yTableNAm"/>
              <w:rPr>
                <w:sz w:val="18"/>
              </w:rPr>
            </w:pPr>
            <w:r>
              <w:rPr>
                <w:sz w:val="18"/>
              </w:rPr>
              <w:t>Z.51</w:t>
            </w:r>
          </w:p>
        </w:tc>
        <w:tc>
          <w:tcPr>
            <w:tcW w:w="851" w:type="dxa"/>
          </w:tcPr>
          <w:p>
            <w:pPr>
              <w:pStyle w:val="yTableNAm"/>
              <w:rPr>
                <w:sz w:val="18"/>
              </w:rPr>
            </w:pPr>
            <w:r>
              <w:rPr>
                <w:sz w:val="18"/>
              </w:rPr>
              <w:t>60</w:t>
            </w:r>
          </w:p>
        </w:tc>
        <w:tc>
          <w:tcPr>
            <w:tcW w:w="1701" w:type="dxa"/>
          </w:tcPr>
          <w:p>
            <w:pPr>
              <w:pStyle w:val="yTableNAm"/>
              <w:rPr>
                <w:sz w:val="18"/>
              </w:rPr>
            </w:pPr>
            <w:r>
              <w:rPr>
                <w:sz w:val="18"/>
              </w:rPr>
              <w:t>Incandescent</w:t>
            </w:r>
          </w:p>
        </w:tc>
        <w:tc>
          <w:tcPr>
            <w:tcW w:w="1275" w:type="dxa"/>
          </w:tcPr>
          <w:p>
            <w:pPr>
              <w:pStyle w:val="yTableNAm"/>
              <w:rPr>
                <w:sz w:val="18"/>
              </w:rPr>
            </w:pPr>
            <w:r>
              <w:rPr>
                <w:sz w:val="18"/>
              </w:rPr>
              <w:t>19.657</w:t>
            </w:r>
          </w:p>
        </w:tc>
        <w:tc>
          <w:tcPr>
            <w:tcW w:w="1276" w:type="dxa"/>
          </w:tcPr>
          <w:p>
            <w:pPr>
              <w:pStyle w:val="yTableNAm"/>
              <w:rPr>
                <w:sz w:val="18"/>
              </w:rPr>
            </w:pPr>
            <w:r>
              <w:rPr>
                <w:sz w:val="18"/>
              </w:rPr>
              <w:t>20.086</w:t>
            </w:r>
          </w:p>
        </w:tc>
        <w:tc>
          <w:tcPr>
            <w:tcW w:w="1134" w:type="dxa"/>
          </w:tcPr>
          <w:p>
            <w:pPr>
              <w:pStyle w:val="yTableNAm"/>
              <w:rPr>
                <w:sz w:val="18"/>
              </w:rPr>
            </w:pPr>
            <w:r>
              <w:rPr>
                <w:sz w:val="18"/>
              </w:rPr>
              <w:t>21.604</w:t>
            </w:r>
          </w:p>
        </w:tc>
      </w:tr>
      <w:tr>
        <w:trPr>
          <w:cantSplit/>
        </w:trPr>
        <w:tc>
          <w:tcPr>
            <w:tcW w:w="567" w:type="dxa"/>
          </w:tcPr>
          <w:p>
            <w:pPr>
              <w:pStyle w:val="yTableNAm"/>
              <w:rPr>
                <w:sz w:val="18"/>
              </w:rPr>
            </w:pPr>
            <w:r>
              <w:rPr>
                <w:sz w:val="18"/>
              </w:rPr>
              <w:t>Z.52</w:t>
            </w:r>
          </w:p>
        </w:tc>
        <w:tc>
          <w:tcPr>
            <w:tcW w:w="851" w:type="dxa"/>
          </w:tcPr>
          <w:p>
            <w:pPr>
              <w:pStyle w:val="yTableNAm"/>
              <w:rPr>
                <w:sz w:val="18"/>
              </w:rPr>
            </w:pPr>
            <w:r>
              <w:rPr>
                <w:sz w:val="18"/>
              </w:rPr>
              <w:t>100</w:t>
            </w:r>
          </w:p>
        </w:tc>
        <w:tc>
          <w:tcPr>
            <w:tcW w:w="1701" w:type="dxa"/>
          </w:tcPr>
          <w:p>
            <w:pPr>
              <w:pStyle w:val="yTableNAm"/>
              <w:rPr>
                <w:sz w:val="18"/>
              </w:rPr>
            </w:pPr>
            <w:r>
              <w:rPr>
                <w:sz w:val="18"/>
              </w:rPr>
              <w:t>Incandescent</w:t>
            </w:r>
          </w:p>
        </w:tc>
        <w:tc>
          <w:tcPr>
            <w:tcW w:w="1275" w:type="dxa"/>
          </w:tcPr>
          <w:p>
            <w:pPr>
              <w:pStyle w:val="yTableNAm"/>
              <w:rPr>
                <w:sz w:val="18"/>
              </w:rPr>
            </w:pPr>
            <w:r>
              <w:rPr>
                <w:sz w:val="18"/>
              </w:rPr>
              <w:t>19.657</w:t>
            </w:r>
          </w:p>
        </w:tc>
        <w:tc>
          <w:tcPr>
            <w:tcW w:w="1276" w:type="dxa"/>
          </w:tcPr>
          <w:p>
            <w:pPr>
              <w:pStyle w:val="yTableNAm"/>
              <w:rPr>
                <w:sz w:val="18"/>
              </w:rPr>
            </w:pPr>
            <w:r>
              <w:rPr>
                <w:sz w:val="18"/>
              </w:rPr>
              <w:t>20.086</w:t>
            </w:r>
          </w:p>
        </w:tc>
        <w:tc>
          <w:tcPr>
            <w:tcW w:w="1134" w:type="dxa"/>
          </w:tcPr>
          <w:p>
            <w:pPr>
              <w:pStyle w:val="yTableNAm"/>
              <w:rPr>
                <w:sz w:val="18"/>
              </w:rPr>
            </w:pPr>
            <w:r>
              <w:rPr>
                <w:sz w:val="18"/>
              </w:rPr>
              <w:t>21.604</w:t>
            </w:r>
          </w:p>
        </w:tc>
      </w:tr>
      <w:tr>
        <w:trPr>
          <w:cantSplit/>
        </w:trPr>
        <w:tc>
          <w:tcPr>
            <w:tcW w:w="567" w:type="dxa"/>
          </w:tcPr>
          <w:p>
            <w:pPr>
              <w:pStyle w:val="yTableNAm"/>
              <w:rPr>
                <w:sz w:val="18"/>
              </w:rPr>
            </w:pPr>
            <w:r>
              <w:rPr>
                <w:sz w:val="18"/>
              </w:rPr>
              <w:t>Z.53</w:t>
            </w:r>
          </w:p>
        </w:tc>
        <w:tc>
          <w:tcPr>
            <w:tcW w:w="851" w:type="dxa"/>
          </w:tcPr>
          <w:p>
            <w:pPr>
              <w:pStyle w:val="yTableNAm"/>
              <w:rPr>
                <w:sz w:val="18"/>
              </w:rPr>
            </w:pPr>
            <w:r>
              <w:rPr>
                <w:sz w:val="18"/>
              </w:rPr>
              <w:t>200</w:t>
            </w:r>
          </w:p>
        </w:tc>
        <w:tc>
          <w:tcPr>
            <w:tcW w:w="1701" w:type="dxa"/>
          </w:tcPr>
          <w:p>
            <w:pPr>
              <w:pStyle w:val="yTableNAm"/>
              <w:rPr>
                <w:sz w:val="18"/>
              </w:rPr>
            </w:pPr>
            <w:r>
              <w:rPr>
                <w:sz w:val="18"/>
              </w:rPr>
              <w:t>Incandescent</w:t>
            </w:r>
          </w:p>
        </w:tc>
        <w:tc>
          <w:tcPr>
            <w:tcW w:w="1275" w:type="dxa"/>
          </w:tcPr>
          <w:p>
            <w:pPr>
              <w:pStyle w:val="yTableNAm"/>
              <w:rPr>
                <w:sz w:val="18"/>
              </w:rPr>
            </w:pPr>
            <w:r>
              <w:rPr>
                <w:sz w:val="18"/>
              </w:rPr>
              <w:t>23.155</w:t>
            </w:r>
          </w:p>
        </w:tc>
        <w:tc>
          <w:tcPr>
            <w:tcW w:w="1276" w:type="dxa"/>
          </w:tcPr>
          <w:p>
            <w:pPr>
              <w:pStyle w:val="yTableNAm"/>
              <w:rPr>
                <w:sz w:val="18"/>
              </w:rPr>
            </w:pPr>
            <w:r>
              <w:rPr>
                <w:sz w:val="18"/>
              </w:rPr>
              <w:t>23.672</w:t>
            </w:r>
          </w:p>
        </w:tc>
        <w:tc>
          <w:tcPr>
            <w:tcW w:w="1134" w:type="dxa"/>
          </w:tcPr>
          <w:p>
            <w:pPr>
              <w:pStyle w:val="yTableNAm"/>
              <w:rPr>
                <w:sz w:val="18"/>
              </w:rPr>
            </w:pPr>
            <w:r>
              <w:rPr>
                <w:sz w:val="18"/>
              </w:rPr>
              <w:t>26.037</w:t>
            </w:r>
          </w:p>
        </w:tc>
      </w:tr>
      <w:tr>
        <w:trPr>
          <w:cantSplit/>
        </w:trPr>
        <w:tc>
          <w:tcPr>
            <w:tcW w:w="567" w:type="dxa"/>
          </w:tcPr>
          <w:p>
            <w:pPr>
              <w:pStyle w:val="yTableNAm"/>
              <w:rPr>
                <w:sz w:val="18"/>
              </w:rPr>
            </w:pPr>
            <w:r>
              <w:rPr>
                <w:sz w:val="18"/>
              </w:rPr>
              <w:t>Z.54</w:t>
            </w:r>
          </w:p>
        </w:tc>
        <w:tc>
          <w:tcPr>
            <w:tcW w:w="851" w:type="dxa"/>
          </w:tcPr>
          <w:p>
            <w:pPr>
              <w:pStyle w:val="yTableNAm"/>
              <w:rPr>
                <w:sz w:val="18"/>
              </w:rPr>
            </w:pPr>
            <w:r>
              <w:rPr>
                <w:sz w:val="18"/>
              </w:rPr>
              <w:t>300</w:t>
            </w:r>
          </w:p>
        </w:tc>
        <w:tc>
          <w:tcPr>
            <w:tcW w:w="1701" w:type="dxa"/>
          </w:tcPr>
          <w:p>
            <w:pPr>
              <w:pStyle w:val="yTableNAm"/>
              <w:rPr>
                <w:sz w:val="18"/>
              </w:rPr>
            </w:pPr>
            <w:r>
              <w:rPr>
                <w:sz w:val="18"/>
              </w:rPr>
              <w:t>Incandescent</w:t>
            </w:r>
          </w:p>
        </w:tc>
        <w:tc>
          <w:tcPr>
            <w:tcW w:w="1275" w:type="dxa"/>
          </w:tcPr>
          <w:p>
            <w:pPr>
              <w:pStyle w:val="yTableNAm"/>
              <w:rPr>
                <w:sz w:val="18"/>
              </w:rPr>
            </w:pPr>
            <w:r>
              <w:rPr>
                <w:sz w:val="18"/>
              </w:rPr>
              <w:t>28.633</w:t>
            </w:r>
          </w:p>
        </w:tc>
        <w:tc>
          <w:tcPr>
            <w:tcW w:w="1276" w:type="dxa"/>
          </w:tcPr>
          <w:p>
            <w:pPr>
              <w:pStyle w:val="yTableNAm"/>
              <w:rPr>
                <w:sz w:val="18"/>
              </w:rPr>
            </w:pPr>
            <w:r>
              <w:rPr>
                <w:sz w:val="18"/>
              </w:rPr>
              <w:t>29.557</w:t>
            </w:r>
          </w:p>
        </w:tc>
        <w:tc>
          <w:tcPr>
            <w:tcW w:w="1134" w:type="dxa"/>
          </w:tcPr>
          <w:p>
            <w:pPr>
              <w:pStyle w:val="yTableNAm"/>
              <w:rPr>
                <w:sz w:val="18"/>
              </w:rPr>
            </w:pPr>
            <w:r>
              <w:rPr>
                <w:sz w:val="18"/>
              </w:rPr>
              <w:t>32.912</w:t>
            </w:r>
          </w:p>
        </w:tc>
      </w:tr>
      <w:tr>
        <w:trPr>
          <w:cantSplit/>
        </w:trPr>
        <w:tc>
          <w:tcPr>
            <w:tcW w:w="567" w:type="dxa"/>
          </w:tcPr>
          <w:p>
            <w:pPr>
              <w:pStyle w:val="yTableNAm"/>
              <w:rPr>
                <w:sz w:val="18"/>
              </w:rPr>
            </w:pPr>
            <w:r>
              <w:rPr>
                <w:sz w:val="18"/>
              </w:rPr>
              <w:t>Z.55</w:t>
            </w:r>
          </w:p>
        </w:tc>
        <w:tc>
          <w:tcPr>
            <w:tcW w:w="851" w:type="dxa"/>
          </w:tcPr>
          <w:p>
            <w:pPr>
              <w:pStyle w:val="yTableNAm"/>
              <w:rPr>
                <w:sz w:val="18"/>
              </w:rPr>
            </w:pPr>
            <w:r>
              <w:rPr>
                <w:sz w:val="18"/>
              </w:rPr>
              <w:t>500</w:t>
            </w:r>
          </w:p>
        </w:tc>
        <w:tc>
          <w:tcPr>
            <w:tcW w:w="1701" w:type="dxa"/>
          </w:tcPr>
          <w:p>
            <w:pPr>
              <w:pStyle w:val="yTableNAm"/>
              <w:rPr>
                <w:sz w:val="18"/>
              </w:rPr>
            </w:pPr>
            <w:r>
              <w:rPr>
                <w:sz w:val="18"/>
              </w:rPr>
              <w:t>Incandescent</w:t>
            </w:r>
          </w:p>
        </w:tc>
        <w:tc>
          <w:tcPr>
            <w:tcW w:w="1275" w:type="dxa"/>
          </w:tcPr>
          <w:p>
            <w:pPr>
              <w:pStyle w:val="yTableNAm"/>
              <w:rPr>
                <w:sz w:val="18"/>
              </w:rPr>
            </w:pPr>
            <w:r>
              <w:rPr>
                <w:sz w:val="18"/>
              </w:rPr>
              <w:t>46.046</w:t>
            </w:r>
          </w:p>
        </w:tc>
        <w:tc>
          <w:tcPr>
            <w:tcW w:w="1276" w:type="dxa"/>
          </w:tcPr>
          <w:p>
            <w:pPr>
              <w:pStyle w:val="yTableNAm"/>
              <w:rPr>
                <w:sz w:val="18"/>
              </w:rPr>
            </w:pPr>
            <w:r>
              <w:rPr>
                <w:sz w:val="18"/>
              </w:rPr>
              <w:t>47.839</w:t>
            </w:r>
          </w:p>
        </w:tc>
        <w:tc>
          <w:tcPr>
            <w:tcW w:w="1134" w:type="dxa"/>
          </w:tcPr>
          <w:p>
            <w:pPr>
              <w:pStyle w:val="yTableNAm"/>
              <w:rPr>
                <w:sz w:val="18"/>
              </w:rPr>
            </w:pPr>
            <w:r>
              <w:rPr>
                <w:sz w:val="18"/>
              </w:rPr>
              <w:t>54.593</w:t>
            </w:r>
          </w:p>
        </w:tc>
      </w:tr>
      <w:tr>
        <w:trPr>
          <w:cantSplit/>
        </w:trPr>
        <w:tc>
          <w:tcPr>
            <w:tcW w:w="567" w:type="dxa"/>
          </w:tcPr>
          <w:p>
            <w:pPr>
              <w:pStyle w:val="yTableNAm"/>
              <w:rPr>
                <w:sz w:val="18"/>
              </w:rPr>
            </w:pPr>
            <w:r>
              <w:rPr>
                <w:sz w:val="18"/>
              </w:rPr>
              <w:t>Z.56</w:t>
            </w:r>
          </w:p>
        </w:tc>
        <w:tc>
          <w:tcPr>
            <w:tcW w:w="851" w:type="dxa"/>
          </w:tcPr>
          <w:p>
            <w:pPr>
              <w:pStyle w:val="yTableNAm"/>
              <w:rPr>
                <w:sz w:val="18"/>
              </w:rPr>
            </w:pPr>
            <w:r>
              <w:rPr>
                <w:sz w:val="18"/>
              </w:rPr>
              <w:t>40</w:t>
            </w:r>
          </w:p>
        </w:tc>
        <w:tc>
          <w:tcPr>
            <w:tcW w:w="1701" w:type="dxa"/>
          </w:tcPr>
          <w:p>
            <w:pPr>
              <w:pStyle w:val="yTableNAm"/>
              <w:rPr>
                <w:sz w:val="18"/>
              </w:rPr>
            </w:pPr>
            <w:r>
              <w:rPr>
                <w:sz w:val="18"/>
              </w:rPr>
              <w:t>Fluorescent</w:t>
            </w:r>
          </w:p>
        </w:tc>
        <w:tc>
          <w:tcPr>
            <w:tcW w:w="1275" w:type="dxa"/>
          </w:tcPr>
          <w:p>
            <w:pPr>
              <w:pStyle w:val="yTableNAm"/>
              <w:rPr>
                <w:sz w:val="18"/>
              </w:rPr>
            </w:pPr>
            <w:r>
              <w:rPr>
                <w:sz w:val="18"/>
              </w:rPr>
              <w:t>19.657</w:t>
            </w:r>
          </w:p>
        </w:tc>
        <w:tc>
          <w:tcPr>
            <w:tcW w:w="1276" w:type="dxa"/>
          </w:tcPr>
          <w:p>
            <w:pPr>
              <w:pStyle w:val="yTableNAm"/>
              <w:rPr>
                <w:sz w:val="18"/>
              </w:rPr>
            </w:pPr>
            <w:r>
              <w:rPr>
                <w:sz w:val="18"/>
              </w:rPr>
              <w:t>20.086</w:t>
            </w:r>
          </w:p>
        </w:tc>
        <w:tc>
          <w:tcPr>
            <w:tcW w:w="1134" w:type="dxa"/>
          </w:tcPr>
          <w:p>
            <w:pPr>
              <w:pStyle w:val="yTableNAm"/>
              <w:rPr>
                <w:sz w:val="18"/>
              </w:rPr>
            </w:pPr>
            <w:r>
              <w:rPr>
                <w:sz w:val="18"/>
              </w:rPr>
              <w:t>21.604</w:t>
            </w:r>
          </w:p>
        </w:tc>
      </w:tr>
      <w:tr>
        <w:trPr>
          <w:cantSplit/>
        </w:trPr>
        <w:tc>
          <w:tcPr>
            <w:tcW w:w="567" w:type="dxa"/>
          </w:tcPr>
          <w:p>
            <w:pPr>
              <w:pStyle w:val="yTableNAm"/>
              <w:rPr>
                <w:sz w:val="18"/>
              </w:rPr>
            </w:pPr>
            <w:r>
              <w:rPr>
                <w:sz w:val="18"/>
              </w:rPr>
              <w:t>Z.57</w:t>
            </w:r>
          </w:p>
        </w:tc>
        <w:tc>
          <w:tcPr>
            <w:tcW w:w="851" w:type="dxa"/>
          </w:tcPr>
          <w:p>
            <w:pPr>
              <w:pStyle w:val="yTableNAm"/>
              <w:rPr>
                <w:sz w:val="18"/>
              </w:rPr>
            </w:pPr>
            <w:r>
              <w:rPr>
                <w:sz w:val="18"/>
              </w:rPr>
              <w:t>80</w:t>
            </w:r>
          </w:p>
        </w:tc>
        <w:tc>
          <w:tcPr>
            <w:tcW w:w="1701" w:type="dxa"/>
          </w:tcPr>
          <w:p>
            <w:pPr>
              <w:pStyle w:val="yTableNAm"/>
              <w:rPr>
                <w:sz w:val="18"/>
              </w:rPr>
            </w:pPr>
            <w:r>
              <w:rPr>
                <w:sz w:val="18"/>
              </w:rPr>
              <w:t>Fluorescent</w:t>
            </w:r>
          </w:p>
        </w:tc>
        <w:tc>
          <w:tcPr>
            <w:tcW w:w="1275" w:type="dxa"/>
          </w:tcPr>
          <w:p>
            <w:pPr>
              <w:pStyle w:val="yTableNAm"/>
              <w:rPr>
                <w:sz w:val="18"/>
              </w:rPr>
            </w:pPr>
            <w:r>
              <w:rPr>
                <w:sz w:val="18"/>
              </w:rPr>
              <w:t>23.155</w:t>
            </w:r>
          </w:p>
        </w:tc>
        <w:tc>
          <w:tcPr>
            <w:tcW w:w="1276" w:type="dxa"/>
          </w:tcPr>
          <w:p>
            <w:pPr>
              <w:pStyle w:val="yTableNAm"/>
              <w:rPr>
                <w:sz w:val="18"/>
              </w:rPr>
            </w:pPr>
            <w:r>
              <w:rPr>
                <w:sz w:val="18"/>
              </w:rPr>
              <w:t>23.672</w:t>
            </w:r>
          </w:p>
        </w:tc>
        <w:tc>
          <w:tcPr>
            <w:tcW w:w="1134" w:type="dxa"/>
          </w:tcPr>
          <w:p>
            <w:pPr>
              <w:pStyle w:val="yTableNAm"/>
              <w:rPr>
                <w:sz w:val="18"/>
              </w:rPr>
            </w:pPr>
            <w:r>
              <w:rPr>
                <w:sz w:val="18"/>
              </w:rPr>
              <w:t>26.037</w:t>
            </w:r>
          </w:p>
        </w:tc>
      </w:tr>
      <w:tr>
        <w:trPr>
          <w:cantSplit/>
        </w:trPr>
        <w:tc>
          <w:tcPr>
            <w:tcW w:w="567" w:type="dxa"/>
            <w:tcBorders>
              <w:bottom w:val="single" w:sz="4" w:space="0" w:color="auto"/>
            </w:tcBorders>
          </w:tcPr>
          <w:p>
            <w:pPr>
              <w:pStyle w:val="yTableNAm"/>
              <w:rPr>
                <w:sz w:val="18"/>
              </w:rPr>
            </w:pPr>
            <w:r>
              <w:rPr>
                <w:sz w:val="18"/>
              </w:rPr>
              <w:t>Z.58</w:t>
            </w:r>
          </w:p>
        </w:tc>
        <w:tc>
          <w:tcPr>
            <w:tcW w:w="851" w:type="dxa"/>
            <w:tcBorders>
              <w:bottom w:val="single" w:sz="4" w:space="0" w:color="auto"/>
            </w:tcBorders>
          </w:tcPr>
          <w:p>
            <w:pPr>
              <w:pStyle w:val="yTableNAm"/>
              <w:rPr>
                <w:sz w:val="18"/>
              </w:rPr>
            </w:pPr>
            <w:r>
              <w:rPr>
                <w:sz w:val="18"/>
              </w:rPr>
              <w:t>160</w:t>
            </w:r>
          </w:p>
        </w:tc>
        <w:tc>
          <w:tcPr>
            <w:tcW w:w="1701" w:type="dxa"/>
            <w:tcBorders>
              <w:bottom w:val="single" w:sz="4" w:space="0" w:color="auto"/>
            </w:tcBorders>
          </w:tcPr>
          <w:p>
            <w:pPr>
              <w:pStyle w:val="yTableNAm"/>
              <w:rPr>
                <w:sz w:val="18"/>
              </w:rPr>
            </w:pPr>
            <w:r>
              <w:rPr>
                <w:sz w:val="18"/>
              </w:rPr>
              <w:t>Fluorescent</w:t>
            </w:r>
          </w:p>
        </w:tc>
        <w:tc>
          <w:tcPr>
            <w:tcW w:w="1275" w:type="dxa"/>
            <w:tcBorders>
              <w:bottom w:val="single" w:sz="4" w:space="0" w:color="auto"/>
            </w:tcBorders>
          </w:tcPr>
          <w:p>
            <w:pPr>
              <w:pStyle w:val="yTableNAm"/>
              <w:rPr>
                <w:sz w:val="18"/>
              </w:rPr>
            </w:pPr>
            <w:r>
              <w:rPr>
                <w:sz w:val="18"/>
              </w:rPr>
              <w:t>32.384</w:t>
            </w:r>
          </w:p>
        </w:tc>
        <w:tc>
          <w:tcPr>
            <w:tcW w:w="1276" w:type="dxa"/>
            <w:tcBorders>
              <w:bottom w:val="single" w:sz="4" w:space="0" w:color="auto"/>
            </w:tcBorders>
          </w:tcPr>
          <w:p>
            <w:pPr>
              <w:pStyle w:val="yTableNAm"/>
              <w:rPr>
                <w:sz w:val="18"/>
              </w:rPr>
            </w:pPr>
            <w:r>
              <w:rPr>
                <w:sz w:val="18"/>
              </w:rPr>
              <w:t>32.835</w:t>
            </w:r>
          </w:p>
        </w:tc>
        <w:tc>
          <w:tcPr>
            <w:tcW w:w="1134" w:type="dxa"/>
            <w:tcBorders>
              <w:bottom w:val="single" w:sz="4" w:space="0" w:color="auto"/>
            </w:tcBorders>
          </w:tcPr>
          <w:p>
            <w:pPr>
              <w:pStyle w:val="yTableNAm"/>
              <w:rPr>
                <w:sz w:val="18"/>
              </w:rPr>
            </w:pPr>
            <w:r>
              <w:rPr>
                <w:sz w:val="18"/>
              </w:rPr>
              <w:t>38.093</w:t>
            </w:r>
          </w:p>
        </w:tc>
      </w:tr>
    </w:tbl>
    <w:p>
      <w:pPr>
        <w:pStyle w:val="Footnotesection"/>
        <w:rPr>
          <w:rStyle w:val="CharSchNo"/>
        </w:rPr>
      </w:pPr>
      <w:r>
        <w:rPr>
          <w:rStyle w:val="CharSchNo"/>
        </w:rPr>
        <w:tab/>
        <w:t xml:space="preserve">[Schedule 2 inserted </w:t>
      </w:r>
      <w:r>
        <w:t>in Gazette 30 Mar 2009 p. 1006</w:t>
      </w:r>
      <w:r>
        <w:noBreakHyphen/>
        <w:t>8.]</w:t>
      </w:r>
    </w:p>
    <w:p>
      <w:pPr>
        <w:pStyle w:val="yScheduleHeading"/>
      </w:pPr>
      <w:bookmarkStart w:id="241" w:name="_Toc226274355"/>
      <w:r>
        <w:rPr>
          <w:rStyle w:val="CharSchNo"/>
        </w:rPr>
        <w:t>Schedule 3</w:t>
      </w:r>
      <w:r>
        <w:rPr>
          <w:rStyle w:val="CharSDivNo"/>
        </w:rPr>
        <w:t> </w:t>
      </w:r>
      <w:r>
        <w:t>—</w:t>
      </w:r>
      <w:r>
        <w:rPr>
          <w:rStyle w:val="CharSDivText"/>
        </w:rPr>
        <w:t> </w:t>
      </w:r>
      <w:r>
        <w:rPr>
          <w:rStyle w:val="CharSchText"/>
        </w:rPr>
        <w:t>Meter rentals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41"/>
    </w:p>
    <w:bookmarkEnd w:id="229"/>
    <w:bookmarkEnd w:id="230"/>
    <w:bookmarkEnd w:id="231"/>
    <w:bookmarkEnd w:id="232"/>
    <w:bookmarkEnd w:id="233"/>
    <w:bookmarkEnd w:id="234"/>
    <w:bookmarkEnd w:id="235"/>
    <w:bookmarkEnd w:id="236"/>
    <w:bookmarkEnd w:id="237"/>
    <w:bookmarkEnd w:id="238"/>
    <w:bookmarkEnd w:id="239"/>
    <w:bookmarkEnd w:id="240"/>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242" w:name="_Toc123621761"/>
      <w:bookmarkStart w:id="243" w:name="_Toc123621908"/>
      <w:bookmarkStart w:id="244" w:name="_Toc123624868"/>
      <w:bookmarkStart w:id="245" w:name="_Toc123624935"/>
      <w:bookmarkStart w:id="246" w:name="_Toc123630130"/>
      <w:bookmarkStart w:id="247" w:name="_Toc123630148"/>
      <w:bookmarkStart w:id="248" w:name="_Toc123630166"/>
      <w:bookmarkStart w:id="249" w:name="_Toc124052052"/>
      <w:bookmarkStart w:id="250" w:name="_Toc124057997"/>
      <w:bookmarkStart w:id="251" w:name="_Toc124058058"/>
      <w:bookmarkStart w:id="252" w:name="_Toc124133812"/>
      <w:bookmarkStart w:id="253" w:name="_Toc124148135"/>
      <w:bookmarkStart w:id="254" w:name="_Toc124157867"/>
      <w:bookmarkStart w:id="255" w:name="_Toc124216744"/>
      <w:bookmarkStart w:id="256" w:name="_Toc124217252"/>
      <w:bookmarkStart w:id="257" w:name="_Toc124218591"/>
      <w:bookmarkStart w:id="258" w:name="_Toc124222751"/>
      <w:bookmarkStart w:id="259" w:name="_Toc124224479"/>
      <w:bookmarkStart w:id="260" w:name="_Toc124224512"/>
      <w:bookmarkStart w:id="261" w:name="_Toc124224880"/>
      <w:bookmarkStart w:id="262" w:name="_Toc124224980"/>
      <w:bookmarkStart w:id="263" w:name="_Toc124225770"/>
      <w:bookmarkStart w:id="264" w:name="_Toc124226031"/>
      <w:bookmarkStart w:id="265" w:name="_Toc124235193"/>
      <w:bookmarkStart w:id="266" w:name="_Toc124235994"/>
      <w:bookmarkStart w:id="267" w:name="_Toc125272420"/>
      <w:bookmarkStart w:id="268" w:name="_Toc125279430"/>
      <w:bookmarkStart w:id="269" w:name="_Toc127005831"/>
      <w:bookmarkStart w:id="270" w:name="_Toc127006378"/>
      <w:bookmarkStart w:id="271" w:name="_Toc127077912"/>
      <w:bookmarkStart w:id="272" w:name="_Toc127078617"/>
      <w:bookmarkStart w:id="273" w:name="_Toc127079204"/>
      <w:bookmarkStart w:id="274" w:name="_Toc127079726"/>
      <w:bookmarkStart w:id="275" w:name="_Toc127083151"/>
      <w:bookmarkStart w:id="276" w:name="_Toc127084573"/>
      <w:bookmarkStart w:id="277" w:name="_Toc127084607"/>
      <w:bookmarkStart w:id="278" w:name="_Toc127084754"/>
      <w:bookmarkStart w:id="279" w:name="_Toc127085273"/>
      <w:bookmarkStart w:id="280" w:name="_Toc127085682"/>
      <w:bookmarkStart w:id="281" w:name="_Toc127085724"/>
      <w:bookmarkStart w:id="282" w:name="_Toc127085796"/>
      <w:bookmarkStart w:id="283" w:name="_Toc127086364"/>
      <w:bookmarkStart w:id="284" w:name="_Toc127672636"/>
      <w:bookmarkStart w:id="285" w:name="_Toc127695305"/>
      <w:bookmarkStart w:id="286" w:name="_Toc127695748"/>
      <w:bookmarkStart w:id="287" w:name="_Toc127699632"/>
      <w:bookmarkStart w:id="288" w:name="_Toc127947042"/>
      <w:bookmarkStart w:id="289" w:name="_Toc127947931"/>
      <w:bookmarkStart w:id="290" w:name="_Toc127947957"/>
      <w:bookmarkStart w:id="291" w:name="_Toc127959127"/>
      <w:bookmarkStart w:id="292" w:name="_Toc127959536"/>
      <w:bookmarkStart w:id="293" w:name="_Toc128191088"/>
      <w:bookmarkStart w:id="294" w:name="_Toc128196511"/>
      <w:bookmarkStart w:id="295" w:name="_Toc128283917"/>
      <w:bookmarkStart w:id="296" w:name="_Toc128284076"/>
      <w:bookmarkStart w:id="297" w:name="_Toc128284102"/>
      <w:bookmarkStart w:id="298" w:name="_Toc128284291"/>
      <w:bookmarkStart w:id="299" w:name="_Toc131496148"/>
      <w:bookmarkStart w:id="300" w:name="_Toc131497431"/>
      <w:bookmarkStart w:id="301" w:name="_Toc131501863"/>
      <w:bookmarkStart w:id="302" w:name="_Toc171050319"/>
      <w:bookmarkStart w:id="303" w:name="_Toc226274356"/>
      <w:r>
        <w:rPr>
          <w:rStyle w:val="CharSchNo"/>
        </w:rPr>
        <w:t>Schedule 4</w:t>
      </w:r>
      <w:r>
        <w:rPr>
          <w:rStyle w:val="CharSDivNo"/>
        </w:rPr>
        <w:t> </w:t>
      </w:r>
      <w:r>
        <w:t>—</w:t>
      </w:r>
      <w:r>
        <w:rPr>
          <w:rStyle w:val="CharSDivText"/>
        </w:rPr>
        <w:t> </w:t>
      </w:r>
      <w:r>
        <w:rPr>
          <w:rStyle w:val="CharSchText"/>
        </w:rPr>
        <w:t>Fees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c>
          <w:tcPr>
            <w:tcW w:w="709" w:type="dxa"/>
            <w:tcBorders>
              <w:top w:val="single" w:sz="4" w:space="0" w:color="auto"/>
              <w:bottom w:val="single" w:sz="4" w:space="0" w:color="auto"/>
            </w:tcBorders>
          </w:tcPr>
          <w:p>
            <w:pPr>
              <w:pStyle w:val="yTable"/>
              <w:spacing w:before="0"/>
            </w:pPr>
          </w:p>
        </w:tc>
        <w:tc>
          <w:tcPr>
            <w:tcW w:w="4678" w:type="dxa"/>
            <w:tcBorders>
              <w:top w:val="single" w:sz="4" w:space="0" w:color="auto"/>
              <w:bottom w:val="single" w:sz="4" w:space="0" w:color="auto"/>
            </w:tcBorders>
          </w:tcPr>
          <w:p>
            <w:pPr>
              <w:pStyle w:val="yTable"/>
              <w:spacing w:after="60"/>
              <w:rPr>
                <w:b/>
                <w:iCs/>
              </w:rPr>
            </w:pPr>
            <w:r>
              <w:rPr>
                <w:b/>
                <w:iCs/>
              </w:rPr>
              <w:t>Description of fee</w:t>
            </w:r>
          </w:p>
        </w:tc>
        <w:tc>
          <w:tcPr>
            <w:tcW w:w="1418" w:type="dxa"/>
            <w:tcBorders>
              <w:top w:val="single" w:sz="4" w:space="0" w:color="auto"/>
              <w:bottom w:val="single" w:sz="4" w:space="0" w:color="auto"/>
            </w:tcBorders>
          </w:tcPr>
          <w:p>
            <w:pPr>
              <w:pStyle w:val="yTable"/>
              <w:spacing w:after="60"/>
              <w:rPr>
                <w:b/>
                <w:iCs/>
              </w:rPr>
            </w:pPr>
            <w:r>
              <w:rPr>
                <w:b/>
                <w:iCs/>
              </w:rPr>
              <w:t>Amount</w:t>
            </w:r>
          </w:p>
        </w:tc>
      </w:tr>
      <w:tr>
        <w:tc>
          <w:tcPr>
            <w:tcW w:w="5387" w:type="dxa"/>
            <w:gridSpan w:val="2"/>
            <w:tcBorders>
              <w:top w:val="single" w:sz="4" w:space="0" w:color="auto"/>
            </w:tcBorders>
          </w:tcPr>
          <w:p>
            <w:pPr>
              <w:pStyle w:val="yTable"/>
              <w:tabs>
                <w:tab w:val="left" w:pos="567"/>
              </w:tabs>
              <w:spacing w:before="0"/>
              <w:ind w:left="567" w:right="-142" w:hanging="567"/>
            </w:pPr>
            <w:r>
              <w:t>1.</w:t>
            </w:r>
            <w:r>
              <w:tab/>
              <w:t>Non</w:t>
            </w:r>
            <w:r>
              <w:noBreakHyphen/>
              <w:t>refundable account establishment fee payable on the establishment or transfer of an account ……...</w:t>
            </w:r>
          </w:p>
        </w:tc>
        <w:tc>
          <w:tcPr>
            <w:tcW w:w="1418" w:type="dxa"/>
            <w:tcBorders>
              <w:top w:val="single" w:sz="4" w:space="0" w:color="auto"/>
            </w:tcBorders>
          </w:tcPr>
          <w:p>
            <w:pPr>
              <w:pStyle w:val="yTable"/>
              <w:tabs>
                <w:tab w:val="decimal" w:pos="425"/>
              </w:tabs>
              <w:spacing w:before="0"/>
            </w:pPr>
            <w:r>
              <w:br/>
              <w:t>$29.80</w:t>
            </w:r>
          </w:p>
        </w:tc>
      </w:tr>
      <w:tr>
        <w:tc>
          <w:tcPr>
            <w:tcW w:w="5387" w:type="dxa"/>
            <w:gridSpan w:val="2"/>
          </w:tcPr>
          <w:p>
            <w:pPr>
              <w:pStyle w:val="yTable"/>
              <w:tabs>
                <w:tab w:val="left" w:pos="567"/>
              </w:tabs>
              <w:spacing w:before="0"/>
              <w:ind w:left="567" w:right="-142" w:hanging="567"/>
            </w:pPr>
            <w:r>
              <w:t>2.</w:t>
            </w:r>
            <w:r>
              <w:tab/>
              <w:t>Three phase residential installation — </w:t>
            </w:r>
          </w:p>
          <w:p>
            <w:pPr>
              <w:pStyle w:val="yTable"/>
              <w:tabs>
                <w:tab w:val="left" w:pos="850"/>
                <w:tab w:val="left" w:pos="1417"/>
              </w:tabs>
              <w:spacing w:before="0"/>
              <w:ind w:left="1417" w:right="-142" w:hanging="1417"/>
            </w:pPr>
            <w:r>
              <w:tab/>
              <w:t>(a)</w:t>
            </w:r>
            <w:r>
              <w:tab/>
              <w:t>new installation or replacement of single phase meter ……………………………….</w:t>
            </w:r>
          </w:p>
          <w:p>
            <w:pPr>
              <w:pStyle w:val="yTable"/>
              <w:tabs>
                <w:tab w:val="left" w:pos="850"/>
                <w:tab w:val="left" w:pos="1417"/>
              </w:tabs>
              <w:spacing w:before="0"/>
              <w:ind w:left="1417" w:right="-142" w:hanging="1417"/>
            </w:pPr>
            <w:r>
              <w:tab/>
              <w:t>(b)</w:t>
            </w:r>
            <w:r>
              <w:tab/>
              <w:t>installation of subsidiary three phase meter (each installation) ………………………...</w:t>
            </w:r>
          </w:p>
        </w:tc>
        <w:tc>
          <w:tcPr>
            <w:tcW w:w="1418" w:type="dxa"/>
          </w:tcPr>
          <w:p>
            <w:pPr>
              <w:pStyle w:val="yTable"/>
              <w:tabs>
                <w:tab w:val="decimal" w:pos="425"/>
              </w:tabs>
              <w:spacing w:before="0"/>
            </w:pPr>
          </w:p>
          <w:p>
            <w:pPr>
              <w:pStyle w:val="yTable"/>
              <w:tabs>
                <w:tab w:val="decimal" w:pos="425"/>
              </w:tabs>
              <w:spacing w:before="0"/>
            </w:pPr>
            <w:r>
              <w:br/>
              <w:t>$240.40</w:t>
            </w:r>
          </w:p>
          <w:p>
            <w:pPr>
              <w:pStyle w:val="yTable"/>
              <w:tabs>
                <w:tab w:val="decimal" w:pos="425"/>
              </w:tabs>
              <w:spacing w:before="0"/>
            </w:pPr>
            <w:r>
              <w:br/>
              <w:t>$148.50</w:t>
            </w:r>
          </w:p>
        </w:tc>
      </w:tr>
      <w:tr>
        <w:tc>
          <w:tcPr>
            <w:tcW w:w="5387" w:type="dxa"/>
            <w:gridSpan w:val="2"/>
          </w:tcPr>
          <w:p>
            <w:pPr>
              <w:pStyle w:val="yTable"/>
              <w:tabs>
                <w:tab w:val="left" w:pos="567"/>
              </w:tabs>
              <w:spacing w:before="0"/>
              <w:ind w:left="567" w:right="-142" w:hanging="567"/>
            </w:pPr>
            <w:r>
              <w:t>3.</w:t>
            </w:r>
            <w:r>
              <w:tab/>
              <w:t>Non</w:t>
            </w:r>
            <w:r>
              <w:noBreakHyphen/>
              <w:t>refundable reconnection fee where supply has been terminated for non</w:t>
            </w:r>
            <w:r>
              <w:noBreakHyphen/>
              <w:t>payment of charges or for any other lawful reason ……………………………..</w:t>
            </w:r>
          </w:p>
        </w:tc>
        <w:tc>
          <w:tcPr>
            <w:tcW w:w="1418" w:type="dxa"/>
          </w:tcPr>
          <w:p>
            <w:pPr>
              <w:pStyle w:val="yTable"/>
              <w:tabs>
                <w:tab w:val="decimal" w:pos="425"/>
              </w:tabs>
              <w:spacing w:before="0"/>
            </w:pPr>
            <w:r>
              <w:br/>
            </w:r>
            <w:r>
              <w:br/>
              <w:t>$27.50</w:t>
            </w:r>
          </w:p>
        </w:tc>
      </w:tr>
      <w:tr>
        <w:tc>
          <w:tcPr>
            <w:tcW w:w="5387" w:type="dxa"/>
            <w:gridSpan w:val="2"/>
          </w:tcPr>
          <w:p>
            <w:pPr>
              <w:pStyle w:val="yTable"/>
              <w:tabs>
                <w:tab w:val="left" w:pos="567"/>
              </w:tabs>
              <w:spacing w:before="0"/>
              <w:ind w:left="567" w:right="-142" w:hanging="567"/>
            </w:pPr>
            <w:r>
              <w:t>4.</w:t>
            </w:r>
            <w:r>
              <w:tab/>
              <w:t>Connection to standard public telephone facility where supply not independently metered (per day) ...</w:t>
            </w:r>
          </w:p>
        </w:tc>
        <w:tc>
          <w:tcPr>
            <w:tcW w:w="1418" w:type="dxa"/>
          </w:tcPr>
          <w:p>
            <w:pPr>
              <w:pStyle w:val="yTable"/>
              <w:tabs>
                <w:tab w:val="decimal" w:pos="425"/>
              </w:tabs>
              <w:spacing w:before="0"/>
            </w:pPr>
            <w:r>
              <w:br/>
              <w:t>35.277 cents</w:t>
            </w:r>
          </w:p>
        </w:tc>
      </w:tr>
      <w:tr>
        <w:tc>
          <w:tcPr>
            <w:tcW w:w="5387" w:type="dxa"/>
            <w:gridSpan w:val="2"/>
          </w:tcPr>
          <w:p>
            <w:pPr>
              <w:pStyle w:val="yTable"/>
              <w:tabs>
                <w:tab w:val="left" w:pos="567"/>
              </w:tabs>
              <w:spacing w:before="0"/>
              <w:ind w:left="567" w:right="-142" w:hanging="567"/>
            </w:pPr>
            <w:r>
              <w:t>5.</w:t>
            </w:r>
            <w:r>
              <w:tab/>
              <w:t>Temporary supply connection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single phase (overhead) …………………..</w:t>
            </w:r>
          </w:p>
        </w:tc>
        <w:tc>
          <w:tcPr>
            <w:tcW w:w="1418" w:type="dxa"/>
          </w:tcPr>
          <w:p>
            <w:pPr>
              <w:pStyle w:val="yTable"/>
              <w:tabs>
                <w:tab w:val="decimal" w:pos="425"/>
              </w:tabs>
              <w:spacing w:before="0"/>
            </w:pPr>
            <w:r>
              <w:t>$300.00</w:t>
            </w:r>
          </w:p>
        </w:tc>
      </w:tr>
      <w:tr>
        <w:tc>
          <w:tcPr>
            <w:tcW w:w="5387" w:type="dxa"/>
            <w:gridSpan w:val="2"/>
          </w:tcPr>
          <w:p>
            <w:pPr>
              <w:pStyle w:val="yTable"/>
              <w:tabs>
                <w:tab w:val="left" w:pos="850"/>
                <w:tab w:val="left" w:pos="1417"/>
              </w:tabs>
              <w:spacing w:before="0"/>
              <w:ind w:left="1417" w:right="-142" w:hanging="1417"/>
            </w:pPr>
            <w:r>
              <w:tab/>
              <w:t>(b)</w:t>
            </w:r>
            <w:r>
              <w:tab/>
              <w:t>three phase (overhead) ……………………</w:t>
            </w:r>
          </w:p>
        </w:tc>
        <w:tc>
          <w:tcPr>
            <w:tcW w:w="1418" w:type="dxa"/>
          </w:tcPr>
          <w:p>
            <w:pPr>
              <w:pStyle w:val="yTable"/>
              <w:tabs>
                <w:tab w:val="decimal" w:pos="425"/>
              </w:tabs>
              <w:spacing w:before="0"/>
            </w:pPr>
            <w:r>
              <w:t>$600.00</w:t>
            </w:r>
          </w:p>
        </w:tc>
      </w:tr>
      <w:tr>
        <w:tc>
          <w:tcPr>
            <w:tcW w:w="5387" w:type="dxa"/>
            <w:gridSpan w:val="2"/>
          </w:tcPr>
          <w:p>
            <w:pPr>
              <w:pStyle w:val="yTable"/>
              <w:tabs>
                <w:tab w:val="left" w:pos="567"/>
              </w:tabs>
              <w:spacing w:before="0"/>
              <w:ind w:left="567" w:right="-142" w:hanging="567"/>
            </w:pPr>
            <w:r>
              <w:t>6.</w:t>
            </w:r>
            <w:r>
              <w:tab/>
              <w:t>Meter testing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standard meter testing fee ………………...</w:t>
            </w:r>
          </w:p>
        </w:tc>
        <w:tc>
          <w:tcPr>
            <w:tcW w:w="1418" w:type="dxa"/>
          </w:tcPr>
          <w:p>
            <w:pPr>
              <w:pStyle w:val="yTable"/>
              <w:tabs>
                <w:tab w:val="decimal" w:pos="425"/>
              </w:tabs>
              <w:spacing w:before="0"/>
            </w:pPr>
            <w:r>
              <w:t>$152.00</w:t>
            </w:r>
          </w:p>
        </w:tc>
      </w:tr>
      <w:tr>
        <w:tc>
          <w:tcPr>
            <w:tcW w:w="5387" w:type="dxa"/>
            <w:gridSpan w:val="2"/>
          </w:tcPr>
          <w:p>
            <w:pPr>
              <w:pStyle w:val="yTable"/>
              <w:tabs>
                <w:tab w:val="left" w:pos="850"/>
                <w:tab w:val="left" w:pos="1417"/>
              </w:tabs>
              <w:spacing w:before="0"/>
              <w:ind w:left="1417" w:right="-142" w:hanging="1417"/>
            </w:pPr>
            <w:r>
              <w:tab/>
              <w:t>(b)</w:t>
            </w:r>
            <w:r>
              <w:tab/>
              <w:t>reduced meter testing fee …………………</w:t>
            </w:r>
          </w:p>
        </w:tc>
        <w:tc>
          <w:tcPr>
            <w:tcW w:w="1418" w:type="dxa"/>
          </w:tcPr>
          <w:p>
            <w:pPr>
              <w:pStyle w:val="yTable"/>
              <w:tabs>
                <w:tab w:val="decimal" w:pos="425"/>
              </w:tabs>
              <w:spacing w:before="0"/>
            </w:pPr>
            <w:r>
              <w:t>$139.80</w:t>
            </w:r>
          </w:p>
        </w:tc>
      </w:tr>
      <w:tr>
        <w:tc>
          <w:tcPr>
            <w:tcW w:w="5387" w:type="dxa"/>
            <w:gridSpan w:val="2"/>
          </w:tcPr>
          <w:p>
            <w:pPr>
              <w:pStyle w:val="yTable"/>
              <w:tabs>
                <w:tab w:val="left" w:pos="567"/>
              </w:tabs>
              <w:spacing w:before="0"/>
              <w:ind w:left="567" w:right="-142" w:hanging="567"/>
            </w:pPr>
            <w:r>
              <w:t>7.</w:t>
            </w:r>
            <w:r>
              <w:tab/>
              <w:t>Disconnection of overhead service leads following unauthorised reconnection ………………………….</w:t>
            </w:r>
          </w:p>
        </w:tc>
        <w:tc>
          <w:tcPr>
            <w:tcW w:w="1418" w:type="dxa"/>
          </w:tcPr>
          <w:p>
            <w:pPr>
              <w:pStyle w:val="yTable"/>
              <w:tabs>
                <w:tab w:val="decimal" w:pos="425"/>
              </w:tabs>
              <w:spacing w:before="0"/>
            </w:pPr>
            <w:r>
              <w:br/>
              <w:t>$190.00</w:t>
            </w:r>
          </w:p>
        </w:tc>
      </w:tr>
      <w:tr>
        <w:tc>
          <w:tcPr>
            <w:tcW w:w="5387" w:type="dxa"/>
            <w:gridSpan w:val="2"/>
          </w:tcPr>
          <w:p>
            <w:pPr>
              <w:pStyle w:val="yTable"/>
              <w:tabs>
                <w:tab w:val="left" w:pos="567"/>
              </w:tabs>
              <w:spacing w:before="0"/>
              <w:ind w:left="567" w:right="-142" w:hanging="567"/>
            </w:pPr>
            <w:r>
              <w:t>8.</w:t>
            </w:r>
            <w:r>
              <w:tab/>
              <w:t xml:space="preserve">Meter reading where reading requested by consumer </w:t>
            </w:r>
          </w:p>
        </w:tc>
        <w:tc>
          <w:tcPr>
            <w:tcW w:w="1418" w:type="dxa"/>
          </w:tcPr>
          <w:p>
            <w:pPr>
              <w:pStyle w:val="yTable"/>
              <w:tabs>
                <w:tab w:val="decimal" w:pos="425"/>
              </w:tabs>
              <w:spacing w:before="0"/>
            </w:pPr>
            <w:r>
              <w:t>$19.20</w:t>
            </w:r>
          </w:p>
        </w:tc>
      </w:tr>
      <w:tr>
        <w:tc>
          <w:tcPr>
            <w:tcW w:w="5387" w:type="dxa"/>
            <w:gridSpan w:val="2"/>
          </w:tcPr>
          <w:p>
            <w:pPr>
              <w:pStyle w:val="yTable"/>
              <w:tabs>
                <w:tab w:val="left" w:pos="567"/>
              </w:tabs>
              <w:spacing w:before="0"/>
              <w:ind w:left="567" w:right="-142" w:hanging="567"/>
            </w:pPr>
            <w:r>
              <w:t>9.</w:t>
            </w:r>
            <w:r>
              <w:tab/>
              <w:t>Supply of electricity to standard railway crossing lights (per day) ……………………………………...</w:t>
            </w:r>
          </w:p>
        </w:tc>
        <w:tc>
          <w:tcPr>
            <w:tcW w:w="1418" w:type="dxa"/>
          </w:tcPr>
          <w:p>
            <w:pPr>
              <w:pStyle w:val="yTable"/>
              <w:tabs>
                <w:tab w:val="decimal" w:pos="425"/>
              </w:tabs>
              <w:spacing w:before="0"/>
            </w:pPr>
            <w:r>
              <w:br/>
              <w:t>45.089 cents</w:t>
            </w:r>
          </w:p>
        </w:tc>
      </w:tr>
      <w:tr>
        <w:tc>
          <w:tcPr>
            <w:tcW w:w="5387" w:type="dxa"/>
            <w:gridSpan w:val="2"/>
          </w:tcPr>
          <w:p>
            <w:pPr>
              <w:pStyle w:val="yTable"/>
              <w:tabs>
                <w:tab w:val="left" w:pos="567"/>
              </w:tabs>
              <w:spacing w:before="0"/>
              <w:ind w:left="567" w:right="-142" w:hanging="567"/>
            </w:pPr>
            <w:r>
              <w:t>10.</w:t>
            </w:r>
            <w:r>
              <w:tab/>
              <w:t>Overdue account notices ……………………………</w:t>
            </w:r>
          </w:p>
        </w:tc>
        <w:tc>
          <w:tcPr>
            <w:tcW w:w="1418" w:type="dxa"/>
          </w:tcPr>
          <w:p>
            <w:pPr>
              <w:pStyle w:val="yTable"/>
              <w:tabs>
                <w:tab w:val="decimal" w:pos="425"/>
              </w:tabs>
              <w:spacing w:before="0"/>
            </w:pPr>
            <w:r>
              <w:t>$4.10</w:t>
            </w:r>
          </w:p>
        </w:tc>
      </w:tr>
      <w:tr>
        <w:tc>
          <w:tcPr>
            <w:tcW w:w="5387" w:type="dxa"/>
            <w:gridSpan w:val="2"/>
            <w:tcBorders>
              <w:bottom w:val="single" w:sz="4" w:space="0" w:color="auto"/>
            </w:tcBorders>
          </w:tcPr>
          <w:p>
            <w:pPr>
              <w:pStyle w:val="yTable"/>
              <w:tabs>
                <w:tab w:val="left" w:pos="567"/>
              </w:tabs>
              <w:spacing w:before="0"/>
              <w:ind w:left="567" w:right="-142" w:hanging="567"/>
            </w:pPr>
            <w:r>
              <w:t>11.</w:t>
            </w:r>
            <w:r>
              <w:tab/>
              <w:t>Rejected account payment …………………………</w:t>
            </w:r>
          </w:p>
        </w:tc>
        <w:tc>
          <w:tcPr>
            <w:tcW w:w="1418" w:type="dxa"/>
            <w:tcBorders>
              <w:bottom w:val="single" w:sz="4" w:space="0" w:color="auto"/>
            </w:tcBorders>
          </w:tcPr>
          <w:p>
            <w:pPr>
              <w:pStyle w:val="yTable"/>
              <w:tabs>
                <w:tab w:val="decimal" w:pos="425"/>
              </w:tabs>
              <w:spacing w:before="0"/>
            </w:pPr>
            <w:r>
              <w:t>$20.00</w:t>
            </w:r>
          </w:p>
        </w:tc>
      </w:tr>
    </w:tbl>
    <w:p>
      <w:pPr>
        <w:pStyle w:val="yFootnotesection"/>
      </w:pPr>
      <w:bookmarkStart w:id="304" w:name="_Toc113695922"/>
      <w:r>
        <w:tab/>
        <w:t>[Schedule 4 amended in Gazette 29 Jun 2007 p. 3193; 30 Mar 2009 p. 1008.]</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305" w:name="_Toc131497432"/>
      <w:bookmarkStart w:id="306" w:name="_Toc131501864"/>
      <w:bookmarkStart w:id="307" w:name="_Toc171050320"/>
      <w:bookmarkStart w:id="308" w:name="_Toc226274357"/>
      <w:r>
        <w:t>Notes</w:t>
      </w:r>
      <w:bookmarkEnd w:id="304"/>
      <w:bookmarkEnd w:id="305"/>
      <w:bookmarkEnd w:id="306"/>
      <w:bookmarkEnd w:id="307"/>
      <w:bookmarkEnd w:id="308"/>
    </w:p>
    <w:p>
      <w:pPr>
        <w:pStyle w:val="nSubsection"/>
        <w:rPr>
          <w:snapToGrid w:val="0"/>
        </w:rPr>
      </w:pPr>
      <w:bookmarkStart w:id="309" w:name="_Toc70311430"/>
      <w:bookmarkStart w:id="310" w:name="_Toc113695923"/>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311" w:name="_Toc226274358"/>
      <w:r>
        <w:t>Compilation table</w:t>
      </w:r>
      <w:bookmarkEnd w:id="309"/>
      <w:bookmarkEnd w:id="310"/>
      <w:bookmarkEnd w:id="3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rPr>
            </w:pPr>
            <w:r>
              <w:rPr>
                <w:i/>
                <w:noProof/>
                <w:snapToGrid w:val="0"/>
              </w:rPr>
              <w:t>Energy Operators (Regional Power Corporation) (Charges) By-laws 2006</w:t>
            </w:r>
          </w:p>
        </w:tc>
        <w:tc>
          <w:tcPr>
            <w:tcW w:w="1276" w:type="dxa"/>
          </w:tcPr>
          <w:p>
            <w:pPr>
              <w:pStyle w:val="nTable"/>
            </w:pPr>
            <w:r>
              <w:t>31 Mar 2006 p. 1279</w:t>
            </w:r>
            <w:r>
              <w:noBreakHyphen/>
              <w:t>97</w:t>
            </w:r>
          </w:p>
        </w:tc>
        <w:tc>
          <w:tcPr>
            <w:tcW w:w="2693" w:type="dxa"/>
          </w:tcPr>
          <w:p>
            <w:pPr>
              <w:pStyle w:val="nTable"/>
            </w:pPr>
            <w:r>
              <w:t>1 Apr 2006 (see bl. 2)</w:t>
            </w:r>
          </w:p>
        </w:tc>
      </w:tr>
      <w:tr>
        <w:tc>
          <w:tcPr>
            <w:tcW w:w="3118" w:type="dxa"/>
          </w:tcPr>
          <w:p>
            <w:pPr>
              <w:pStyle w:val="nTable"/>
              <w:rPr>
                <w:i/>
                <w:noProof/>
                <w:snapToGrid w:val="0"/>
              </w:rPr>
            </w:pPr>
            <w:r>
              <w:rPr>
                <w:i/>
                <w:noProof/>
                <w:snapToGrid w:val="0"/>
              </w:rPr>
              <w:t>Energy Operators (Regional Power Corporation) (Charges) Amendment By</w:t>
            </w:r>
            <w:r>
              <w:rPr>
                <w:i/>
                <w:noProof/>
                <w:snapToGrid w:val="0"/>
              </w:rPr>
              <w:noBreakHyphen/>
              <w:t>law  2007</w:t>
            </w:r>
          </w:p>
        </w:tc>
        <w:tc>
          <w:tcPr>
            <w:tcW w:w="1276" w:type="dxa"/>
          </w:tcPr>
          <w:p>
            <w:pPr>
              <w:pStyle w:val="nTable"/>
            </w:pPr>
            <w:r>
              <w:t>29 Jun 2007 p. 3192-3</w:t>
            </w:r>
          </w:p>
        </w:tc>
        <w:tc>
          <w:tcPr>
            <w:tcW w:w="2693" w:type="dxa"/>
          </w:tcPr>
          <w:p>
            <w:pPr>
              <w:pStyle w:val="nTable"/>
              <w:rPr>
                <w:sz w:val="19"/>
              </w:rPr>
            </w:pPr>
            <w:r>
              <w:rPr>
                <w:sz w:val="19"/>
              </w:rPr>
              <w:t>bl. 1 and 2: 29 Jun 2007 (see bl. 2(a));</w:t>
            </w:r>
          </w:p>
          <w:p>
            <w:pPr>
              <w:pStyle w:val="nTable"/>
            </w:pPr>
            <w:r>
              <w:rPr>
                <w:sz w:val="19"/>
              </w:rPr>
              <w:t>By-laws other than bl. 1 and 2: 1 Jul 2007 (see bl. 2(b))</w:t>
            </w:r>
          </w:p>
        </w:tc>
      </w:tr>
      <w:tr>
        <w:tc>
          <w:tcPr>
            <w:tcW w:w="3118" w:type="dxa"/>
            <w:tcBorders>
              <w:bottom w:val="single" w:sz="4" w:space="0" w:color="auto"/>
            </w:tcBorders>
          </w:tcPr>
          <w:p>
            <w:pPr>
              <w:pStyle w:val="nTable"/>
              <w:rPr>
                <w:iCs/>
              </w:rPr>
            </w:pPr>
            <w:r>
              <w:rPr>
                <w:i/>
                <w:noProof/>
                <w:snapToGrid w:val="0"/>
              </w:rPr>
              <w:t>Energy Operators (Regional Power Corporation) (Charges) Amendment By</w:t>
            </w:r>
            <w:r>
              <w:rPr>
                <w:i/>
                <w:noProof/>
                <w:snapToGrid w:val="0"/>
              </w:rPr>
              <w:noBreakHyphen/>
              <w:t>laws 2009</w:t>
            </w:r>
            <w:r>
              <w:rPr>
                <w:iCs/>
                <w:noProof/>
                <w:snapToGrid w:val="0"/>
              </w:rPr>
              <w:t xml:space="preserve"> bl. 3 and Pt. 2</w:t>
            </w:r>
          </w:p>
        </w:tc>
        <w:tc>
          <w:tcPr>
            <w:tcW w:w="1276" w:type="dxa"/>
            <w:tcBorders>
              <w:bottom w:val="single" w:sz="4" w:space="0" w:color="auto"/>
            </w:tcBorders>
          </w:tcPr>
          <w:p>
            <w:pPr>
              <w:pStyle w:val="nTable"/>
            </w:pPr>
            <w:r>
              <w:t>30 Mar 2009 p. 997</w:t>
            </w:r>
            <w:r>
              <w:noBreakHyphen/>
              <w:t>1017</w:t>
            </w:r>
          </w:p>
        </w:tc>
        <w:tc>
          <w:tcPr>
            <w:tcW w:w="2693" w:type="dxa"/>
            <w:tcBorders>
              <w:bottom w:val="single" w:sz="4" w:space="0" w:color="auto"/>
            </w:tcBorders>
          </w:tcPr>
          <w:p>
            <w:pPr>
              <w:pStyle w:val="nTable"/>
            </w:pPr>
            <w:r>
              <w:t>1 Apr 2009 (see bl.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2" w:name="_Toc7405065"/>
      <w:bookmarkStart w:id="313" w:name="_Toc181500909"/>
      <w:bookmarkStart w:id="314" w:name="_Toc193100050"/>
      <w:bookmarkStart w:id="315" w:name="_Toc226274359"/>
      <w:r>
        <w:t>Provisions that have not come into operation</w:t>
      </w:r>
      <w:bookmarkEnd w:id="312"/>
      <w:bookmarkEnd w:id="313"/>
      <w:bookmarkEnd w:id="314"/>
      <w:bookmarkEnd w:id="3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iCs/>
                <w:vertAlign w:val="superscript"/>
              </w:rPr>
            </w:pPr>
            <w:r>
              <w:rPr>
                <w:i/>
                <w:noProof/>
                <w:snapToGrid w:val="0"/>
              </w:rPr>
              <w:t>Energy Operators (Regional Power Corporation) (Charges) Amendment By</w:t>
            </w:r>
            <w:r>
              <w:rPr>
                <w:i/>
                <w:noProof/>
                <w:snapToGrid w:val="0"/>
              </w:rPr>
              <w:noBreakHyphen/>
              <w:t>laws 2009</w:t>
            </w:r>
            <w:r>
              <w:rPr>
                <w:iCs/>
                <w:noProof/>
                <w:snapToGrid w:val="0"/>
              </w:rPr>
              <w:t xml:space="preserve"> Pt. 3 </w:t>
            </w:r>
            <w:r>
              <w:rPr>
                <w:iCs/>
                <w:noProof/>
                <w:snapToGrid w:val="0"/>
                <w:vertAlign w:val="superscript"/>
              </w:rPr>
              <w:t>2</w:t>
            </w:r>
          </w:p>
        </w:tc>
        <w:tc>
          <w:tcPr>
            <w:tcW w:w="1276" w:type="dxa"/>
            <w:tcBorders>
              <w:top w:val="single" w:sz="8" w:space="0" w:color="auto"/>
              <w:bottom w:val="single" w:sz="4" w:space="0" w:color="auto"/>
            </w:tcBorders>
          </w:tcPr>
          <w:p>
            <w:pPr>
              <w:pStyle w:val="nTable"/>
            </w:pPr>
            <w:r>
              <w:t>30 Mar 2009 p. 997</w:t>
            </w:r>
            <w:r>
              <w:noBreakHyphen/>
              <w:t>1017</w:t>
            </w:r>
          </w:p>
        </w:tc>
        <w:tc>
          <w:tcPr>
            <w:tcW w:w="2693" w:type="dxa"/>
            <w:tcBorders>
              <w:top w:val="single" w:sz="8" w:space="0" w:color="auto"/>
              <w:bottom w:val="single" w:sz="4" w:space="0" w:color="auto"/>
            </w:tcBorders>
          </w:tcPr>
          <w:p>
            <w:pPr>
              <w:pStyle w:val="nTable"/>
            </w:pPr>
            <w:r>
              <w:t>1 Jul 2009 (see bl. 2(c))</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Energy Operators (Regional Power Corporation) (Charges) Amendment By laws 2009</w:t>
      </w:r>
      <w:r>
        <w:rPr>
          <w:snapToGrid w:val="0"/>
        </w:rPr>
        <w:t xml:space="preserve"> Pt. 3 had not come into operation.  It reads as follows:</w:t>
      </w:r>
    </w:p>
    <w:p>
      <w:pPr>
        <w:pStyle w:val="BlankOpen"/>
        <w:rPr>
          <w:snapToGrid w:val="0"/>
        </w:rPr>
      </w:pPr>
    </w:p>
    <w:p>
      <w:pPr>
        <w:pStyle w:val="nHeading2"/>
      </w:pPr>
      <w:bookmarkStart w:id="316" w:name="_Toc226274360"/>
      <w:r>
        <w:rPr>
          <w:rStyle w:val="CharPartNo"/>
        </w:rPr>
        <w:t>Part 3</w:t>
      </w:r>
      <w:r>
        <w:rPr>
          <w:rStyle w:val="CharDivNo"/>
        </w:rPr>
        <w:t> </w:t>
      </w:r>
      <w:r>
        <w:t>—</w:t>
      </w:r>
      <w:r>
        <w:rPr>
          <w:rStyle w:val="CharDivText"/>
        </w:rPr>
        <w:t> </w:t>
      </w:r>
      <w:r>
        <w:rPr>
          <w:rStyle w:val="CharPartText"/>
        </w:rPr>
        <w:t>Amendments commencing on 1 July 2009</w:t>
      </w:r>
      <w:bookmarkEnd w:id="316"/>
    </w:p>
    <w:p>
      <w:pPr>
        <w:pStyle w:val="nHeading5"/>
      </w:pPr>
      <w:r>
        <w:rPr>
          <w:rStyle w:val="CharSectno"/>
        </w:rPr>
        <w:t>10</w:t>
      </w:r>
      <w:r>
        <w:t>.</w:t>
      </w:r>
      <w:r>
        <w:tab/>
        <w:t>Schedule 1 replaced</w:t>
      </w:r>
    </w:p>
    <w:p>
      <w:pPr>
        <w:pStyle w:val="nSubsection"/>
        <w:tabs>
          <w:tab w:val="left" w:pos="882"/>
        </w:tabs>
      </w:pPr>
      <w:r>
        <w:tab/>
      </w:r>
      <w:r>
        <w:tab/>
        <w:t>Delete Schedule 1 and insert:</w:t>
      </w:r>
    </w:p>
    <w:p>
      <w:pPr>
        <w:pStyle w:val="BlankOpen"/>
      </w:pPr>
    </w:p>
    <w:p>
      <w:pPr>
        <w:pStyle w:val="nzHeading2"/>
      </w:pPr>
      <w:r>
        <w:t>Schedule 1 — Supply charges</w:t>
      </w:r>
    </w:p>
    <w:p>
      <w:pPr>
        <w:pStyle w:val="nzMiscellaneousBody"/>
        <w:jc w:val="right"/>
      </w:pPr>
      <w:r>
        <w:t>[bl. 3, 4(1) and 10(1)]</w:t>
      </w:r>
    </w:p>
    <w:p>
      <w:pPr>
        <w:pStyle w:val="nzHeading5"/>
      </w:pPr>
      <w:r>
        <w:t>1.</w:t>
      </w:r>
      <w:r>
        <w:rPr>
          <w:b w:val="0"/>
        </w:rPr>
        <w:tab/>
      </w:r>
      <w:r>
        <w:t>Terms used</w:t>
      </w:r>
    </w:p>
    <w:p>
      <w:pPr>
        <w:pStyle w:val="nzSubsection"/>
      </w:pPr>
      <w:r>
        <w:tab/>
      </w:r>
      <w:r>
        <w:tab/>
        <w:t xml:space="preserve">In this Schedule — </w:t>
      </w:r>
    </w:p>
    <w:p>
      <w:pPr>
        <w:pStyle w:val="nzDefstart"/>
      </w:pPr>
      <w:r>
        <w:rPr>
          <w:rStyle w:val="CharDefText"/>
          <w:b w:val="0"/>
          <w:i w:val="0"/>
        </w:rPr>
        <w:tab/>
      </w:r>
      <w:r>
        <w:rPr>
          <w:rStyle w:val="CharDefText"/>
        </w:rPr>
        <w:t>North West interconnected system</w:t>
      </w:r>
      <w:r>
        <w:t xml:space="preserve"> means the electrical system from which electricity generated at one or more of the power stations at Dampier, Cape Lambert and Port Hedland, respectively, is supplied to consumers;</w:t>
      </w:r>
    </w:p>
    <w:p>
      <w:pPr>
        <w:pStyle w:val="nzDefstart"/>
      </w:pPr>
      <w:r>
        <w:rPr>
          <w:rStyle w:val="CharDefText"/>
          <w:b w:val="0"/>
          <w:i w:val="0"/>
        </w:rPr>
        <w:tab/>
      </w:r>
      <w:r>
        <w:rPr>
          <w:rStyle w:val="CharDefText"/>
        </w:rPr>
        <w:t>regional non</w:t>
      </w:r>
      <w:r>
        <w:rPr>
          <w:rStyle w:val="CharDefText"/>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nzDefstart"/>
      </w:pPr>
      <w:r>
        <w:tab/>
      </w:r>
      <w:r>
        <w:rPr>
          <w:rStyle w:val="CharDefText"/>
        </w:rPr>
        <w:t>South West interconnected system</w:t>
      </w:r>
      <w:r>
        <w:t xml:space="preserve"> has the meaning given in the </w:t>
      </w:r>
      <w:r>
        <w:rPr>
          <w:i/>
        </w:rPr>
        <w:t>Electricity Industry Act 2004</w:t>
      </w:r>
      <w:r>
        <w:t xml:space="preserve"> section 3.</w:t>
      </w:r>
    </w:p>
    <w:p>
      <w:pPr>
        <w:pStyle w:val="nzHeading5"/>
      </w:pPr>
      <w:r>
        <w:t>2.</w:t>
      </w:r>
      <w:r>
        <w:tab/>
        <w:t>Tariff L2 (general supply — low/medium voltage tariff)</w:t>
      </w:r>
    </w:p>
    <w:p>
      <w:pPr>
        <w:pStyle w:val="nzSubsection"/>
      </w:pPr>
      <w:r>
        <w:tab/>
        <w:t>(1)</w:t>
      </w:r>
      <w:r>
        <w:tab/>
        <w:t>Tariff L2 is available for low/medium voltage supply.</w:t>
      </w:r>
    </w:p>
    <w:p>
      <w:pPr>
        <w:pStyle w:val="nzSubsection"/>
      </w:pPr>
      <w:r>
        <w:tab/>
        <w:t>(2)</w:t>
      </w:r>
      <w:r>
        <w:tab/>
        <w:t xml:space="preserve">Tariff L2 comprises — </w:t>
      </w:r>
    </w:p>
    <w:p>
      <w:pPr>
        <w:pStyle w:val="nzIndenta"/>
      </w:pPr>
      <w:r>
        <w:tab/>
        <w:t>(a)</w:t>
      </w:r>
      <w:r>
        <w:tab/>
        <w:t>a fixed charge at the rate of 30.679 cents per day; and</w:t>
      </w:r>
    </w:p>
    <w:p>
      <w:pPr>
        <w:pStyle w:val="nzIndenta"/>
      </w:pPr>
      <w:r>
        <w:tab/>
        <w:t>(b)</w:t>
      </w:r>
      <w:r>
        <w:tab/>
        <w:t xml:space="preserve">a charge for metered consumption at the rate of — </w:t>
      </w:r>
    </w:p>
    <w:p>
      <w:pPr>
        <w:pStyle w:val="nzIndenti"/>
      </w:pPr>
      <w:r>
        <w:tab/>
        <w:t>(i)</w:t>
      </w:r>
      <w:r>
        <w:tab/>
        <w:t>20.163 cents per unit for the first 1 650 units per day; and</w:t>
      </w:r>
    </w:p>
    <w:p>
      <w:pPr>
        <w:pStyle w:val="nzIndenti"/>
      </w:pPr>
      <w:r>
        <w:tab/>
        <w:t>(ii)</w:t>
      </w:r>
      <w:r>
        <w:tab/>
        <w:t>18.194 cents per unit for all units exceeding 1 650 units per day.</w:t>
      </w:r>
    </w:p>
    <w:p>
      <w:pPr>
        <w:pStyle w:val="nzSubsection"/>
      </w:pPr>
      <w:r>
        <w:tab/>
        <w:t>(3)</w:t>
      </w:r>
      <w:r>
        <w:tab/>
        <w:t>Tariff L2 is available subject to the condition that the consumer satisfies the corporation that the amount of electricity supplied to the consumer’s premises will be less than 50 megawatt hours per annum.</w:t>
      </w:r>
    </w:p>
    <w:p>
      <w:pPr>
        <w:pStyle w:val="nzHeading5"/>
      </w:pPr>
      <w:r>
        <w:t>3.</w:t>
      </w:r>
      <w:r>
        <w:tab/>
        <w:t>Tariff L4 (general supply — low/medium voltage tariff)</w:t>
      </w:r>
    </w:p>
    <w:p>
      <w:pPr>
        <w:pStyle w:val="nzSubsection"/>
      </w:pPr>
      <w:r>
        <w:tab/>
        <w:t>(1)</w:t>
      </w:r>
      <w:r>
        <w:tab/>
        <w:t>Tariff L4 is available for low/medium voltage supply.</w:t>
      </w:r>
    </w:p>
    <w:p>
      <w:pPr>
        <w:pStyle w:val="nzSubsection"/>
      </w:pPr>
      <w:r>
        <w:tab/>
        <w:t>(2)</w:t>
      </w:r>
      <w:r>
        <w:tab/>
        <w:t xml:space="preserve">Tariff L4 comprises — </w:t>
      </w:r>
    </w:p>
    <w:p>
      <w:pPr>
        <w:pStyle w:val="nzIndenta"/>
      </w:pPr>
      <w:r>
        <w:tab/>
        <w:t>(a)</w:t>
      </w:r>
      <w:r>
        <w:tab/>
        <w:t>a fixed charge at the rate of 32.142 cents per day; and</w:t>
      </w:r>
    </w:p>
    <w:p>
      <w:pPr>
        <w:pStyle w:val="nzIndenta"/>
      </w:pPr>
      <w:r>
        <w:tab/>
        <w:t>(b)</w:t>
      </w:r>
      <w:r>
        <w:tab/>
        <w:t xml:space="preserve">a charge for metered consumption at the rate of — </w:t>
      </w:r>
    </w:p>
    <w:p>
      <w:pPr>
        <w:pStyle w:val="nzIndenti"/>
      </w:pPr>
      <w:r>
        <w:tab/>
        <w:t>(i)</w:t>
      </w:r>
      <w:r>
        <w:tab/>
        <w:t>21.12 cents per unit for the first 1 650 units per day; and</w:t>
      </w:r>
    </w:p>
    <w:p>
      <w:pPr>
        <w:pStyle w:val="nzIndenti"/>
      </w:pPr>
      <w:r>
        <w:tab/>
        <w:t>(ii)</w:t>
      </w:r>
      <w:r>
        <w:tab/>
        <w:t>19.063 cents per unit for all units exceeding 1 650 units per day.</w:t>
      </w:r>
    </w:p>
    <w:p>
      <w:pPr>
        <w:pStyle w:val="nzSubsection"/>
      </w:pPr>
      <w:r>
        <w:tab/>
        <w:t>(3)</w:t>
      </w:r>
      <w:r>
        <w:tab/>
        <w:t>Tariff L4 is available subject to the condition that the consumer satisfies the corporation that the amount of electricity supplied to the consumer’s premises will be 50 megawatt hours or more per annum.</w:t>
      </w:r>
    </w:p>
    <w:p>
      <w:pPr>
        <w:pStyle w:val="nzHeading5"/>
        <w:rPr>
          <w:snapToGrid w:val="0"/>
        </w:rPr>
      </w:pPr>
      <w:r>
        <w:t>4.</w:t>
      </w:r>
      <w:r>
        <w:rPr>
          <w:b w:val="0"/>
        </w:rPr>
        <w:tab/>
      </w:r>
      <w:r>
        <w:t>Tariff</w:t>
      </w:r>
      <w:r>
        <w:rPr>
          <w:snapToGrid w:val="0"/>
        </w:rPr>
        <w:t xml:space="preserve"> M2 (general supply — high voltage tariff)</w:t>
      </w:r>
    </w:p>
    <w:p>
      <w:pPr>
        <w:pStyle w:val="nzSubsection"/>
      </w:pPr>
      <w:r>
        <w:tab/>
        <w:t>(1)</w:t>
      </w:r>
      <w:r>
        <w:tab/>
        <w:t>Tariff M2 is available for consumers supplied at 6.6 kV, 11 kV, 22 kV or 33 kV or such higher voltage as the corporation may approve.</w:t>
      </w:r>
    </w:p>
    <w:p>
      <w:pPr>
        <w:pStyle w:val="nzSubsection"/>
      </w:pPr>
      <w:r>
        <w:tab/>
        <w:t>(2)</w:t>
      </w:r>
      <w:r>
        <w:tab/>
        <w:t xml:space="preserve">Tariff M2 comprises — </w:t>
      </w:r>
    </w:p>
    <w:p>
      <w:pPr>
        <w:pStyle w:val="nzIndenta"/>
      </w:pPr>
      <w:r>
        <w:tab/>
        <w:t>(a)</w:t>
      </w:r>
      <w:r>
        <w:tab/>
        <w:t xml:space="preserve">a fixed charge at the rate of </w:t>
      </w:r>
      <w:r>
        <w:rPr>
          <w:snapToGrid w:val="0"/>
        </w:rPr>
        <w:t>32.142</w:t>
      </w:r>
      <w:r>
        <w:t xml:space="preserve"> cents per day; and</w:t>
      </w:r>
    </w:p>
    <w:p>
      <w:pPr>
        <w:pStyle w:val="nzIndenta"/>
      </w:pPr>
      <w:r>
        <w:tab/>
        <w:t>(b)</w:t>
      </w:r>
      <w:r>
        <w:tab/>
        <w:t>a charge for metered consumption at the rate of — </w:t>
      </w:r>
    </w:p>
    <w:p>
      <w:pPr>
        <w:pStyle w:val="nzIndenti"/>
        <w:rPr>
          <w:snapToGrid w:val="0"/>
        </w:rPr>
      </w:pPr>
      <w:r>
        <w:rPr>
          <w:snapToGrid w:val="0"/>
        </w:rPr>
        <w:tab/>
        <w:t>(i)</w:t>
      </w:r>
      <w:r>
        <w:rPr>
          <w:snapToGrid w:val="0"/>
        </w:rPr>
        <w:tab/>
        <w:t>20.405 cents per unit for the first 1 650 units per day; and</w:t>
      </w:r>
    </w:p>
    <w:p>
      <w:pPr>
        <w:pStyle w:val="nzIndenti"/>
        <w:rPr>
          <w:snapToGrid w:val="0"/>
        </w:rPr>
      </w:pPr>
      <w:r>
        <w:rPr>
          <w:snapToGrid w:val="0"/>
        </w:rPr>
        <w:tab/>
        <w:t>(ii)</w:t>
      </w:r>
      <w:r>
        <w:rPr>
          <w:snapToGrid w:val="0"/>
        </w:rPr>
        <w:tab/>
        <w:t>18.326 cents per unit per day for all units exceeding 1 650 units.</w:t>
      </w:r>
    </w:p>
    <w:p>
      <w:pPr>
        <w:pStyle w:val="nzHeading5"/>
      </w:pPr>
      <w:r>
        <w:rPr>
          <w:rStyle w:val="CharSClsNo"/>
        </w:rPr>
        <w:t>5.</w:t>
      </w:r>
      <w:r>
        <w:rPr>
          <w:rStyle w:val="CharSClsNo"/>
          <w:b w:val="0"/>
        </w:rPr>
        <w:tab/>
      </w:r>
      <w:r>
        <w:t>Tariff N2 (regional non</w:t>
      </w:r>
      <w:r>
        <w:noBreakHyphen/>
        <w:t>integrated systems — cost of supply tariff)</w:t>
      </w:r>
    </w:p>
    <w:p>
      <w:pPr>
        <w:pStyle w:val="nzSubsection"/>
      </w:pPr>
      <w:r>
        <w:tab/>
        <w:t>(1)</w:t>
      </w:r>
      <w:r>
        <w:tab/>
        <w:t>Tariff N2 applies to electricity supplied from a regional non</w:t>
      </w:r>
      <w:r>
        <w:noBreakHyphen/>
        <w:t>integrated system to Commonwealth or foreign government instrumentalities.</w:t>
      </w:r>
    </w:p>
    <w:p>
      <w:pPr>
        <w:pStyle w:val="nzSubsection"/>
      </w:pPr>
      <w:r>
        <w:tab/>
        <w:t>(2)</w:t>
      </w:r>
      <w:r>
        <w:tab/>
        <w:t xml:space="preserve">Tariff N2 comprises — </w:t>
      </w:r>
    </w:p>
    <w:p>
      <w:pPr>
        <w:pStyle w:val="nzIndenta"/>
      </w:pPr>
      <w:r>
        <w:tab/>
        <w:t>(a)</w:t>
      </w:r>
      <w:r>
        <w:tab/>
        <w:t>a fixed charge at the rate of 31.31 cents per day; and</w:t>
      </w:r>
    </w:p>
    <w:p>
      <w:pPr>
        <w:pStyle w:val="nzIndenta"/>
      </w:pPr>
      <w:r>
        <w:tab/>
        <w:t>(b)</w:t>
      </w:r>
      <w:r>
        <w:tab/>
        <w:t>a charge for metered consumption at the rate (in cents per unit) calculated in accordance with the following formula and by</w:t>
      </w:r>
      <w:r>
        <w:noBreakHyphen/>
        <w:t>law 10(2) — </w:t>
      </w:r>
    </w:p>
    <w:p>
      <w:pPr>
        <w:pStyle w:val="zyMiscellaneousBody"/>
        <w:ind w:left="2410"/>
      </w:pPr>
      <w:r>
        <w:rPr>
          <w:noProof/>
          <w:lang w:eastAsia="en-AU"/>
        </w:rPr>
        <w:drawing>
          <wp:inline distT="0" distB="0" distL="0" distR="0">
            <wp:extent cx="2095500" cy="3943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95500" cy="394335"/>
                    </a:xfrm>
                    <a:prstGeom prst="rect">
                      <a:avLst/>
                    </a:prstGeom>
                    <a:noFill/>
                    <a:ln>
                      <a:noFill/>
                    </a:ln>
                  </pic:spPr>
                </pic:pic>
              </a:graphicData>
            </a:graphic>
          </wp:inline>
        </w:drawing>
      </w:r>
    </w:p>
    <w:p>
      <w:pPr>
        <w:pStyle w:val="nzIndenta"/>
      </w:pPr>
      <w:r>
        <w:tab/>
      </w:r>
      <w:r>
        <w:tab/>
        <w:t xml:space="preserve">Where — </w:t>
      </w:r>
    </w:p>
    <w:p>
      <w:pPr>
        <w:pStyle w:val="nzIndenta"/>
      </w:pPr>
      <w:r>
        <w:tab/>
      </w:r>
      <w:r>
        <w:tab/>
        <w:t>R is the rate to be calculated; and</w:t>
      </w:r>
    </w:p>
    <w:p>
      <w:pPr>
        <w:pStyle w:val="nzIndenta"/>
      </w:pPr>
      <w:r>
        <w:tab/>
      </w:r>
      <w:r>
        <w:tab/>
        <w:t xml:space="preserve">P is the Singapore Gas Oil 0.5%S midpoint of the Product Price Assessments for Singapore/Japan Cargoes — </w:t>
      </w:r>
    </w:p>
    <w:p>
      <w:pPr>
        <w:pStyle w:val="nzIndenti"/>
      </w:pPr>
      <w:r>
        <w:tab/>
        <w:t>(i)</w:t>
      </w:r>
      <w:r>
        <w:tab/>
        <w:t>as amended from time to time and published by Platt’s in the Oilgram Price Report; and</w:t>
      </w:r>
    </w:p>
    <w:p>
      <w:pPr>
        <w:pStyle w:val="nzIndenti"/>
      </w:pPr>
      <w:r>
        <w:tab/>
        <w:t>(ii)</w:t>
      </w:r>
      <w:r>
        <w:tab/>
        <w:t xml:space="preserve">as expressed in Australian dollars per litre and including the rate of duty imposed by item 10.10 of the Schedule to the </w:t>
      </w:r>
      <w:r>
        <w:rPr>
          <w:i/>
        </w:rPr>
        <w:t>Excise Tariff Act 1921</w:t>
      </w:r>
      <w:r>
        <w:t xml:space="preserve"> (Commonwealth).</w:t>
      </w:r>
    </w:p>
    <w:p>
      <w:pPr>
        <w:pStyle w:val="nzHeading5"/>
        <w:rPr>
          <w:snapToGrid w:val="0"/>
        </w:rPr>
      </w:pPr>
      <w:r>
        <w:rPr>
          <w:rStyle w:val="CharSClsNo"/>
        </w:rPr>
        <w:t>6.</w:t>
      </w:r>
      <w:r>
        <w:rPr>
          <w:rStyle w:val="CharSClsNo"/>
          <w:b w:val="0"/>
        </w:rPr>
        <w:tab/>
      </w:r>
      <w:r>
        <w:t>Tariff</w:t>
      </w:r>
      <w:r>
        <w:rPr>
          <w:snapToGrid w:val="0"/>
        </w:rPr>
        <w:t xml:space="preserve"> P2 (North West interconnected system — cost of supply tariff)</w:t>
      </w:r>
    </w:p>
    <w:p>
      <w:pPr>
        <w:pStyle w:val="nzSubsection"/>
        <w:rPr>
          <w:snapToGrid w:val="0"/>
        </w:rPr>
      </w:pPr>
      <w:r>
        <w:tab/>
        <w:t>(1)</w:t>
      </w:r>
      <w:r>
        <w:tab/>
        <w:t>Tariff P2 applies to electricity supplied from the North West interconnected system to</w:t>
      </w:r>
      <w:r>
        <w:rPr>
          <w:snapToGrid w:val="0"/>
        </w:rPr>
        <w:t xml:space="preserve"> Commonwealth or foreign government instrumentalities.</w:t>
      </w:r>
    </w:p>
    <w:p>
      <w:pPr>
        <w:pStyle w:val="nzSubsection"/>
        <w:rPr>
          <w:snapToGrid w:val="0"/>
        </w:rPr>
      </w:pPr>
      <w:r>
        <w:rPr>
          <w:snapToGrid w:val="0"/>
        </w:rPr>
        <w:tab/>
        <w:t>(2)</w:t>
      </w:r>
      <w:r>
        <w:rPr>
          <w:snapToGrid w:val="0"/>
        </w:rPr>
        <w:tab/>
        <w:t xml:space="preserve">Tariff P2 comprises — </w:t>
      </w:r>
    </w:p>
    <w:p>
      <w:pPr>
        <w:pStyle w:val="nzIndenta"/>
        <w:rPr>
          <w:snapToGrid w:val="0"/>
        </w:rPr>
      </w:pPr>
      <w:r>
        <w:rPr>
          <w:snapToGrid w:val="0"/>
        </w:rPr>
        <w:tab/>
        <w:t>(a)</w:t>
      </w:r>
      <w:r>
        <w:rPr>
          <w:snapToGrid w:val="0"/>
        </w:rPr>
        <w:tab/>
      </w:r>
      <w:r>
        <w:t>a</w:t>
      </w:r>
      <w:r>
        <w:rPr>
          <w:snapToGrid w:val="0"/>
        </w:rPr>
        <w:t xml:space="preserve"> fixed charge at the rate of 37.89 cents per day; and</w:t>
      </w:r>
    </w:p>
    <w:p>
      <w:pPr>
        <w:pStyle w:val="nzIndenta"/>
        <w:rPr>
          <w:snapToGrid w:val="0"/>
        </w:rPr>
      </w:pPr>
      <w:r>
        <w:rPr>
          <w:snapToGrid w:val="0"/>
        </w:rPr>
        <w:tab/>
        <w:t>(b)</w:t>
      </w:r>
      <w:r>
        <w:rPr>
          <w:snapToGrid w:val="0"/>
        </w:rPr>
        <w:tab/>
        <w:t>a charge for metered consumption at the rate of 25.13 cents per unit.</w:t>
      </w:r>
    </w:p>
    <w:p>
      <w:pPr>
        <w:pStyle w:val="nzHeading5"/>
      </w:pPr>
      <w:r>
        <w:t>7.</w:t>
      </w:r>
      <w:r>
        <w:rPr>
          <w:b w:val="0"/>
        </w:rPr>
        <w:tab/>
      </w:r>
      <w:r>
        <w:t>Tariff A2 (residential tariff)</w:t>
      </w:r>
    </w:p>
    <w:p>
      <w:pPr>
        <w:pStyle w:val="nzSubsection"/>
        <w:rPr>
          <w:snapToGrid w:val="0"/>
        </w:rPr>
      </w:pPr>
      <w:r>
        <w:tab/>
        <w:t>(1)</w:t>
      </w:r>
      <w:r>
        <w:tab/>
      </w:r>
      <w:r>
        <w:rPr>
          <w:snapToGrid w:val="0"/>
        </w:rPr>
        <w:t>Tariff A2 is available for residential use only.</w:t>
      </w:r>
    </w:p>
    <w:p>
      <w:pPr>
        <w:pStyle w:val="nzSubsection"/>
      </w:pPr>
      <w:r>
        <w:tab/>
        <w:t>(2)</w:t>
      </w:r>
      <w:r>
        <w:tab/>
        <w:t xml:space="preserve">Tariff A2 comprises — </w:t>
      </w:r>
    </w:p>
    <w:p>
      <w:pPr>
        <w:pStyle w:val="nzIndenta"/>
        <w:rPr>
          <w:snapToGrid w:val="0"/>
        </w:rPr>
      </w:pPr>
      <w:r>
        <w:rPr>
          <w:snapToGrid w:val="0"/>
        </w:rPr>
        <w:tab/>
        <w:t>(a)</w:t>
      </w:r>
      <w:r>
        <w:rPr>
          <w:snapToGrid w:val="0"/>
        </w:rPr>
        <w:tab/>
      </w:r>
      <w:r>
        <w:t>a</w:t>
      </w:r>
      <w:r>
        <w:rPr>
          <w:snapToGrid w:val="0"/>
        </w:rPr>
        <w:t xml:space="preserve"> fixed charge at the rate of 32.329 cents per day or, for multiple dwellings supplied through one metered supply point, a fixed charge at the rate of — </w:t>
      </w:r>
    </w:p>
    <w:p>
      <w:pPr>
        <w:pStyle w:val="nzIndenti"/>
        <w:rPr>
          <w:snapToGrid w:val="0"/>
        </w:rPr>
      </w:pPr>
      <w:r>
        <w:rPr>
          <w:snapToGrid w:val="0"/>
        </w:rPr>
        <w:tab/>
        <w:t>(i)</w:t>
      </w:r>
      <w:r>
        <w:rPr>
          <w:snapToGrid w:val="0"/>
        </w:rPr>
        <w:tab/>
        <w:t>32.329 cents per day for the first dwelling; and</w:t>
      </w:r>
    </w:p>
    <w:p>
      <w:pPr>
        <w:pStyle w:val="nzIndenti"/>
        <w:rPr>
          <w:snapToGrid w:val="0"/>
        </w:rPr>
      </w:pPr>
      <w:r>
        <w:rPr>
          <w:snapToGrid w:val="0"/>
        </w:rPr>
        <w:tab/>
        <w:t>(ii)</w:t>
      </w:r>
      <w:r>
        <w:rPr>
          <w:snapToGrid w:val="0"/>
        </w:rPr>
        <w:tab/>
        <w:t>25.102 cents per day for each additional dwelling;</w:t>
      </w:r>
    </w:p>
    <w:p>
      <w:pPr>
        <w:pStyle w:val="nzIndenta"/>
      </w:pPr>
      <w:r>
        <w:tab/>
      </w:r>
      <w:r>
        <w:tab/>
        <w:t>and</w:t>
      </w:r>
    </w:p>
    <w:p>
      <w:pPr>
        <w:pStyle w:val="nzIndenta"/>
      </w:pPr>
      <w:r>
        <w:tab/>
        <w:t>(b)</w:t>
      </w:r>
      <w:r>
        <w:tab/>
        <w:t>a charge for metered consumption at the rate of 17.611 cents per unit.</w:t>
      </w:r>
    </w:p>
    <w:p>
      <w:pPr>
        <w:pStyle w:val="nzHeading5"/>
      </w:pPr>
      <w:r>
        <w:t>8.</w:t>
      </w:r>
      <w:r>
        <w:rPr>
          <w:b w:val="0"/>
        </w:rPr>
        <w:tab/>
      </w:r>
      <w:r>
        <w:t>Tariff C2 (special community service tariff)</w:t>
      </w:r>
    </w:p>
    <w:p>
      <w:pPr>
        <w:pStyle w:val="nzSubsection"/>
        <w:rPr>
          <w:snapToGrid w:val="0"/>
        </w:rPr>
      </w:pPr>
      <w:r>
        <w:tab/>
        <w:t>(1)</w:t>
      </w:r>
      <w:r>
        <w:tab/>
        <w:t xml:space="preserve">Tariff </w:t>
      </w:r>
      <w:r>
        <w:rPr>
          <w:snapToGrid w:val="0"/>
        </w:rPr>
        <w:t>C2 is available for small voluntary and charitable organisations, subject to the conditions listed in subclause (3).</w:t>
      </w:r>
    </w:p>
    <w:p>
      <w:pPr>
        <w:pStyle w:val="nzSubsection"/>
        <w:rPr>
          <w:snapToGrid w:val="0"/>
        </w:rPr>
      </w:pPr>
      <w:r>
        <w:tab/>
        <w:t>(2)</w:t>
      </w:r>
      <w:r>
        <w:tab/>
      </w:r>
      <w:r>
        <w:rPr>
          <w:snapToGrid w:val="0"/>
        </w:rPr>
        <w:t xml:space="preserve">Tariff C2 comprises — </w:t>
      </w:r>
    </w:p>
    <w:p>
      <w:pPr>
        <w:pStyle w:val="nzIndenta"/>
        <w:rPr>
          <w:snapToGrid w:val="0"/>
        </w:rPr>
      </w:pPr>
      <w:r>
        <w:rPr>
          <w:snapToGrid w:val="0"/>
        </w:rPr>
        <w:tab/>
        <w:t>(a)</w:t>
      </w:r>
      <w:r>
        <w:rPr>
          <w:snapToGrid w:val="0"/>
        </w:rPr>
        <w:tab/>
      </w:r>
      <w:r>
        <w:t xml:space="preserve">a </w:t>
      </w:r>
      <w:r>
        <w:rPr>
          <w:snapToGrid w:val="0"/>
        </w:rPr>
        <w:t>fixed charge at the rate of 29.524 cents per day; and</w:t>
      </w:r>
    </w:p>
    <w:p>
      <w:pPr>
        <w:pStyle w:val="nzIndenta"/>
        <w:rPr>
          <w:snapToGrid w:val="0"/>
        </w:rPr>
      </w:pPr>
      <w:r>
        <w:rPr>
          <w:snapToGrid w:val="0"/>
        </w:rPr>
        <w:tab/>
        <w:t>(b)</w:t>
      </w:r>
      <w:r>
        <w:rPr>
          <w:snapToGrid w:val="0"/>
        </w:rPr>
        <w:tab/>
      </w:r>
      <w:r>
        <w:t>a charge for</w:t>
      </w:r>
      <w:r>
        <w:rPr>
          <w:snapToGrid w:val="0"/>
        </w:rPr>
        <w:t xml:space="preserve"> metered consumption at the rate of — </w:t>
      </w:r>
    </w:p>
    <w:p>
      <w:pPr>
        <w:pStyle w:val="nzIndenti"/>
        <w:rPr>
          <w:snapToGrid w:val="0"/>
        </w:rPr>
      </w:pPr>
      <w:r>
        <w:rPr>
          <w:snapToGrid w:val="0"/>
        </w:rPr>
        <w:tab/>
        <w:t>(i)</w:t>
      </w:r>
      <w:r>
        <w:rPr>
          <w:snapToGrid w:val="0"/>
        </w:rPr>
        <w:tab/>
        <w:t>16.093 cents per unit for the first 20 units per day; and</w:t>
      </w:r>
    </w:p>
    <w:p>
      <w:pPr>
        <w:pStyle w:val="nzIndenti"/>
        <w:rPr>
          <w:snapToGrid w:val="0"/>
        </w:rPr>
      </w:pPr>
      <w:r>
        <w:rPr>
          <w:snapToGrid w:val="0"/>
        </w:rPr>
        <w:tab/>
        <w:t>(ii)</w:t>
      </w:r>
      <w:r>
        <w:rPr>
          <w:snapToGrid w:val="0"/>
        </w:rPr>
        <w:tab/>
        <w:t>20.163 cents for the next 1 630 units per day; and</w:t>
      </w:r>
    </w:p>
    <w:p>
      <w:pPr>
        <w:pStyle w:val="nzIndenti"/>
        <w:rPr>
          <w:snapToGrid w:val="0"/>
        </w:rPr>
      </w:pPr>
      <w:r>
        <w:rPr>
          <w:snapToGrid w:val="0"/>
        </w:rPr>
        <w:tab/>
        <w:t>(iii)</w:t>
      </w:r>
      <w:r>
        <w:rPr>
          <w:snapToGrid w:val="0"/>
        </w:rPr>
        <w:tab/>
        <w:t>18.194 cents per unit per day for all units exceeding 1 650 units.</w:t>
      </w:r>
    </w:p>
    <w:p>
      <w:pPr>
        <w:pStyle w:val="nzSubsection"/>
        <w:rPr>
          <w:snapToGrid w:val="0"/>
        </w:rPr>
      </w:pPr>
      <w:r>
        <w:rPr>
          <w:snapToGrid w:val="0"/>
        </w:rPr>
        <w:tab/>
        <w:t>(3)</w:t>
      </w:r>
      <w:r>
        <w:rPr>
          <w:snapToGrid w:val="0"/>
        </w:rPr>
        <w:tab/>
        <w:t xml:space="preserve">Tariff C2 is available subject to the following conditions — </w:t>
      </w:r>
    </w:p>
    <w:p>
      <w:pPr>
        <w:pStyle w:val="nz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nzIndenta"/>
        <w:rPr>
          <w:snapToGrid w:val="0"/>
        </w:rPr>
      </w:pPr>
      <w:r>
        <w:rPr>
          <w:snapToGrid w:val="0"/>
        </w:rPr>
        <w:tab/>
        <w:t>(b)</w:t>
      </w:r>
      <w:r>
        <w:rPr>
          <w:snapToGrid w:val="0"/>
        </w:rPr>
        <w:tab/>
        <w:t>the consumer must be a voluntary, non</w:t>
      </w:r>
      <w:r>
        <w:rPr>
          <w:snapToGrid w:val="0"/>
        </w:rPr>
        <w:noBreakHyphen/>
        <w:t>profit making organisation;</w:t>
      </w:r>
    </w:p>
    <w:p>
      <w:pPr>
        <w:pStyle w:val="nz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nzIndenta"/>
        <w:rPr>
          <w:snapToGrid w:val="0"/>
        </w:rPr>
      </w:pPr>
      <w:r>
        <w:rPr>
          <w:snapToGrid w:val="0"/>
        </w:rPr>
        <w:tab/>
        <w:t>(d)</w:t>
      </w:r>
      <w:r>
        <w:rPr>
          <w:snapToGrid w:val="0"/>
        </w:rPr>
        <w:tab/>
        <w:t>the consumer must provide a public service, which is available to any member of the public without discrimination;</w:t>
      </w:r>
    </w:p>
    <w:p>
      <w:pPr>
        <w:pStyle w:val="nzIndenta"/>
        <w:rPr>
          <w:snapToGrid w:val="0"/>
        </w:rPr>
      </w:pPr>
      <w:r>
        <w:rPr>
          <w:snapToGrid w:val="0"/>
        </w:rPr>
        <w:tab/>
        <w:t>(e)</w:t>
      </w:r>
      <w:r>
        <w:rPr>
          <w:snapToGrid w:val="0"/>
        </w:rPr>
        <w:tab/>
        <w:t>the consumer must not be a Commonwealth, State or local government department, instrumentality or agency;</w:t>
      </w:r>
    </w:p>
    <w:p>
      <w:pPr>
        <w:pStyle w:val="nzIndenta"/>
        <w:rPr>
          <w:snapToGrid w:val="0"/>
        </w:rPr>
      </w:pPr>
      <w:r>
        <w:rPr>
          <w:snapToGrid w:val="0"/>
        </w:rPr>
        <w:tab/>
        <w:t>(f)</w:t>
      </w:r>
      <w:r>
        <w:rPr>
          <w:snapToGrid w:val="0"/>
        </w:rPr>
        <w:tab/>
        <w:t>the consumer must not receive the major part of its funding from any organisation mentioned in paragraph (e).</w:t>
      </w:r>
    </w:p>
    <w:p>
      <w:pPr>
        <w:pStyle w:val="nzSubsection"/>
        <w:rPr>
          <w:snapToGrid w:val="0"/>
        </w:rPr>
      </w:pPr>
      <w:r>
        <w:rPr>
          <w:snapToGrid w:val="0"/>
        </w:rPr>
        <w:tab/>
        <w:t>(4)</w:t>
      </w:r>
      <w:r>
        <w:rPr>
          <w:snapToGrid w:val="0"/>
        </w:rPr>
        <w:tab/>
        <w:t>A consumer seeking supply under Tariff C2 must make an application to the c</w:t>
      </w:r>
      <w:r>
        <w:t>orporation</w:t>
      </w:r>
      <w:r>
        <w:rPr>
          <w:snapToGrid w:val="0"/>
        </w:rPr>
        <w:t xml:space="preserve"> in writing accompanied by evidence which clearly demonstrates that the consumer meets all the conditions listed in subclause (3).</w:t>
      </w:r>
    </w:p>
    <w:p>
      <w:pPr>
        <w:pStyle w:val="nzHeading5"/>
      </w:pPr>
      <w:r>
        <w:t>9.</w:t>
      </w:r>
      <w:r>
        <w:rPr>
          <w:b w:val="0"/>
        </w:rPr>
        <w:tab/>
      </w:r>
      <w:r>
        <w:t>Tariff D2 (special tariff for certain premises)</w:t>
      </w:r>
    </w:p>
    <w:p>
      <w:pPr>
        <w:pStyle w:val="nzSubsection"/>
        <w:rPr>
          <w:snapToGrid w:val="0"/>
        </w:rPr>
      </w:pPr>
      <w:r>
        <w:tab/>
        <w:t>(1)</w:t>
      </w:r>
      <w:r>
        <w:tab/>
        <w:t>Tariff D2</w:t>
      </w:r>
      <w:r>
        <w:rPr>
          <w:snapToGrid w:val="0"/>
        </w:rPr>
        <w:t xml:space="preserve"> is available for premises wholly used by a charitable or benevolent organisation for providing residential accommodation other than for commercial gain, being premises for which Tariff A2 is not available.</w:t>
      </w:r>
    </w:p>
    <w:p>
      <w:pPr>
        <w:pStyle w:val="nzSubsection"/>
      </w:pPr>
      <w:r>
        <w:tab/>
        <w:t>(2)</w:t>
      </w:r>
      <w:r>
        <w:tab/>
        <w:t xml:space="preserve">Tariff D2 comprises — </w:t>
      </w:r>
    </w:p>
    <w:p>
      <w:pPr>
        <w:pStyle w:val="nzIndenta"/>
        <w:rPr>
          <w:snapToGrid w:val="0"/>
        </w:rPr>
      </w:pPr>
      <w:r>
        <w:rPr>
          <w:snapToGrid w:val="0"/>
        </w:rPr>
        <w:tab/>
        <w:t>(a)</w:t>
      </w:r>
      <w:r>
        <w:rPr>
          <w:snapToGrid w:val="0"/>
        </w:rPr>
        <w:tab/>
      </w:r>
      <w:r>
        <w:t>a</w:t>
      </w:r>
      <w:r>
        <w:rPr>
          <w:snapToGrid w:val="0"/>
        </w:rPr>
        <w:t xml:space="preserve"> fixed charge at the rate of 29.524 cents per day; and</w:t>
      </w:r>
    </w:p>
    <w:p>
      <w:pPr>
        <w:pStyle w:val="nzIndenta"/>
        <w:rPr>
          <w:snapToGrid w:val="0"/>
        </w:rPr>
      </w:pPr>
      <w:r>
        <w:tab/>
        <w:t>(b)</w:t>
      </w:r>
      <w:r>
        <w:tab/>
        <w:t>if</w:t>
      </w:r>
      <w:r>
        <w:rPr>
          <w:snapToGrid w:val="0"/>
        </w:rPr>
        <w:t xml:space="preserve"> under subclause (3) there is deemed to be more than one equivalent domestic residence in the premises, a charge of 22.924 cents per day for each equivalent domestic residence except the first that is deemed to be in the premises; and</w:t>
      </w:r>
    </w:p>
    <w:p>
      <w:pPr>
        <w:pStyle w:val="nzIndenta"/>
        <w:rPr>
          <w:snapToGrid w:val="0"/>
        </w:rPr>
      </w:pPr>
      <w:r>
        <w:tab/>
        <w:t>(c)</w:t>
      </w:r>
      <w:r>
        <w:tab/>
        <w:t>a charge for</w:t>
      </w:r>
      <w:r>
        <w:rPr>
          <w:snapToGrid w:val="0"/>
        </w:rPr>
        <w:t xml:space="preserve"> metered consumption at the rate of 16.093 cents per unit.</w:t>
      </w:r>
    </w:p>
    <w:p>
      <w:pPr>
        <w:pStyle w:val="nz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nzHeading5"/>
      </w:pPr>
      <w:r>
        <w:t>10.</w:t>
      </w:r>
      <w:r>
        <w:rPr>
          <w:b w:val="0"/>
        </w:rPr>
        <w:tab/>
      </w:r>
      <w:r>
        <w:t>Tariff K2 (general supply with residential tariff)</w:t>
      </w:r>
    </w:p>
    <w:p>
      <w:pPr>
        <w:pStyle w:val="nzSubsection"/>
        <w:rPr>
          <w:snapToGrid w:val="0"/>
        </w:rPr>
      </w:pPr>
      <w:r>
        <w:tab/>
        <w:t>(1)</w:t>
      </w:r>
      <w:r>
        <w:tab/>
        <w:t>Tariff K2</w:t>
      </w:r>
      <w:r>
        <w:rPr>
          <w:snapToGrid w:val="0"/>
        </w:rPr>
        <w:t xml:space="preserve"> is available for premises where the circuit wiring is not separate and the electricity is used partly for general purposes and partly for residential purposes.</w:t>
      </w:r>
    </w:p>
    <w:p>
      <w:pPr>
        <w:pStyle w:val="nzSubsection"/>
      </w:pPr>
      <w:r>
        <w:tab/>
        <w:t>(2)</w:t>
      </w:r>
      <w:r>
        <w:tab/>
        <w:t xml:space="preserve">Tariff K2 comprises — </w:t>
      </w:r>
    </w:p>
    <w:p>
      <w:pPr>
        <w:pStyle w:val="nzIndenta"/>
        <w:rPr>
          <w:snapToGrid w:val="0"/>
        </w:rPr>
      </w:pPr>
      <w:r>
        <w:rPr>
          <w:snapToGrid w:val="0"/>
        </w:rPr>
        <w:tab/>
        <w:t>(a)</w:t>
      </w:r>
      <w:r>
        <w:rPr>
          <w:snapToGrid w:val="0"/>
        </w:rPr>
        <w:tab/>
      </w:r>
      <w:r>
        <w:t>a</w:t>
      </w:r>
      <w:r>
        <w:rPr>
          <w:snapToGrid w:val="0"/>
        </w:rPr>
        <w:t xml:space="preserve"> fixed charge at the rate of 32.329 cents per day; and</w:t>
      </w:r>
    </w:p>
    <w:p>
      <w:pPr>
        <w:pStyle w:val="nzIndenta"/>
        <w:rPr>
          <w:snapToGrid w:val="0"/>
        </w:rPr>
      </w:pPr>
      <w:r>
        <w:rPr>
          <w:snapToGrid w:val="0"/>
        </w:rPr>
        <w:tab/>
        <w:t>(b)</w:t>
      </w:r>
      <w:r>
        <w:rPr>
          <w:snapToGrid w:val="0"/>
        </w:rPr>
        <w:tab/>
      </w:r>
      <w:r>
        <w:t>a charge for</w:t>
      </w:r>
      <w:r>
        <w:rPr>
          <w:snapToGrid w:val="0"/>
        </w:rPr>
        <w:t xml:space="preserve"> metered consumption at the rate of — </w:t>
      </w:r>
    </w:p>
    <w:p>
      <w:pPr>
        <w:pStyle w:val="nzIndenti"/>
        <w:rPr>
          <w:snapToGrid w:val="0"/>
        </w:rPr>
      </w:pPr>
      <w:r>
        <w:rPr>
          <w:snapToGrid w:val="0"/>
        </w:rPr>
        <w:tab/>
        <w:t>(i)</w:t>
      </w:r>
      <w:r>
        <w:rPr>
          <w:snapToGrid w:val="0"/>
        </w:rPr>
        <w:tab/>
        <w:t>17.611 cents per unit for the first 20 units per day; and</w:t>
      </w:r>
    </w:p>
    <w:p>
      <w:pPr>
        <w:pStyle w:val="nzIndenti"/>
        <w:rPr>
          <w:snapToGrid w:val="0"/>
        </w:rPr>
      </w:pPr>
      <w:r>
        <w:rPr>
          <w:snapToGrid w:val="0"/>
        </w:rPr>
        <w:tab/>
        <w:t>(ii)</w:t>
      </w:r>
      <w:r>
        <w:rPr>
          <w:snapToGrid w:val="0"/>
        </w:rPr>
        <w:tab/>
        <w:t>22.077 cents per unit for the next 1 630 units per day; and</w:t>
      </w:r>
    </w:p>
    <w:p>
      <w:pPr>
        <w:pStyle w:val="nzIndenti"/>
        <w:rPr>
          <w:snapToGrid w:val="0"/>
        </w:rPr>
      </w:pPr>
      <w:r>
        <w:rPr>
          <w:snapToGrid w:val="0"/>
        </w:rPr>
        <w:tab/>
        <w:t>(iii)</w:t>
      </w:r>
      <w:r>
        <w:rPr>
          <w:snapToGrid w:val="0"/>
        </w:rPr>
        <w:tab/>
        <w:t>19.932 cents per unit per day for all units exceeding 1 650 units.</w:t>
      </w:r>
    </w:p>
    <w:p>
      <w:pPr>
        <w:pStyle w:val="nzHeading5"/>
      </w:pPr>
      <w:r>
        <w:t>11.</w:t>
      </w:r>
      <w:r>
        <w:rPr>
          <w:b w:val="0"/>
        </w:rPr>
        <w:tab/>
      </w:r>
      <w:r>
        <w:t>Tariff W2 (traffic light installations)</w:t>
      </w:r>
    </w:p>
    <w:p>
      <w:pPr>
        <w:pStyle w:val="nzSubsection"/>
      </w:pPr>
      <w:r>
        <w:tab/>
      </w:r>
      <w:r>
        <w:tab/>
        <w:t>Tariff W2 comprises a charge of $3.8833 per day per kW of installed wattage.</w:t>
      </w:r>
    </w:p>
    <w:p>
      <w:pPr>
        <w:pStyle w:val="BlankClose"/>
      </w:pPr>
    </w:p>
    <w:p>
      <w:pPr>
        <w:pStyle w:val="nHeading5"/>
      </w:pPr>
      <w:r>
        <w:rPr>
          <w:rStyle w:val="CharSectno"/>
        </w:rPr>
        <w:t>11</w:t>
      </w:r>
      <w:r>
        <w:t>.</w:t>
      </w:r>
      <w:r>
        <w:tab/>
        <w:t>Schedule 2 replaced</w:t>
      </w:r>
    </w:p>
    <w:p>
      <w:pPr>
        <w:pStyle w:val="nSubsection"/>
        <w:tabs>
          <w:tab w:val="left" w:pos="882"/>
        </w:tabs>
      </w:pPr>
      <w:r>
        <w:tab/>
      </w:r>
      <w:r>
        <w:tab/>
        <w:t>Delete Schedule 2 and insert:</w:t>
      </w:r>
    </w:p>
    <w:p>
      <w:pPr>
        <w:pStyle w:val="BlankOpen"/>
      </w:pPr>
    </w:p>
    <w:p>
      <w:pPr>
        <w:pStyle w:val="nzHeading2"/>
      </w:pPr>
      <w:r>
        <w:t>Schedule 2 — Street lighting</w:t>
      </w:r>
    </w:p>
    <w:p>
      <w:pPr>
        <w:pStyle w:val="nzMiscellaneousBody"/>
        <w:jc w:val="right"/>
      </w:pPr>
      <w:r>
        <w:t>[bl. 4(2)]</w:t>
      </w:r>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701"/>
        <w:gridCol w:w="1275"/>
        <w:gridCol w:w="1276"/>
        <w:gridCol w:w="1134"/>
      </w:tblGrid>
      <w:tr>
        <w:trPr>
          <w:cantSplit/>
          <w:tblHeader/>
        </w:trPr>
        <w:tc>
          <w:tcPr>
            <w:tcW w:w="567" w:type="dxa"/>
            <w:tcBorders>
              <w:top w:val="single" w:sz="4" w:space="0" w:color="auto"/>
              <w:bottom w:val="single" w:sz="4" w:space="0" w:color="auto"/>
            </w:tcBorders>
          </w:tcPr>
          <w:p>
            <w:pPr>
              <w:pStyle w:val="nzTable"/>
            </w:pPr>
            <w:r>
              <w:t>Item</w:t>
            </w:r>
          </w:p>
        </w:tc>
        <w:tc>
          <w:tcPr>
            <w:tcW w:w="851" w:type="dxa"/>
            <w:tcBorders>
              <w:top w:val="single" w:sz="4" w:space="0" w:color="auto"/>
              <w:bottom w:val="single" w:sz="4" w:space="0" w:color="auto"/>
            </w:tcBorders>
          </w:tcPr>
          <w:p>
            <w:pPr>
              <w:pStyle w:val="nzTable"/>
            </w:pPr>
            <w:r>
              <w:t>Wattage</w:t>
            </w:r>
          </w:p>
        </w:tc>
        <w:tc>
          <w:tcPr>
            <w:tcW w:w="1701" w:type="dxa"/>
            <w:tcBorders>
              <w:top w:val="single" w:sz="4" w:space="0" w:color="auto"/>
              <w:bottom w:val="single" w:sz="4" w:space="0" w:color="auto"/>
            </w:tcBorders>
          </w:tcPr>
          <w:p>
            <w:pPr>
              <w:pStyle w:val="nzTable"/>
            </w:pPr>
            <w:r>
              <w:t>Type</w:t>
            </w:r>
          </w:p>
        </w:tc>
        <w:tc>
          <w:tcPr>
            <w:tcW w:w="1275" w:type="dxa"/>
            <w:tcBorders>
              <w:top w:val="single" w:sz="4" w:space="0" w:color="auto"/>
              <w:bottom w:val="single" w:sz="4" w:space="0" w:color="auto"/>
            </w:tcBorders>
          </w:tcPr>
          <w:p>
            <w:pPr>
              <w:pStyle w:val="nzTable"/>
              <w:rPr>
                <w:spacing w:val="-4"/>
              </w:rPr>
            </w:pPr>
            <w:r>
              <w:rPr>
                <w:spacing w:val="-4"/>
              </w:rPr>
              <w:t>Midnight Switch</w:t>
            </w:r>
            <w:r>
              <w:rPr>
                <w:spacing w:val="-4"/>
              </w:rPr>
              <w:noBreakHyphen/>
              <w:t>off (Obsolescent) Cents per day</w:t>
            </w:r>
          </w:p>
        </w:tc>
        <w:tc>
          <w:tcPr>
            <w:tcW w:w="1276" w:type="dxa"/>
            <w:tcBorders>
              <w:top w:val="single" w:sz="4" w:space="0" w:color="auto"/>
              <w:bottom w:val="single" w:sz="4" w:space="0" w:color="auto"/>
            </w:tcBorders>
          </w:tcPr>
          <w:p>
            <w:pPr>
              <w:pStyle w:val="nzTable"/>
              <w:rPr>
                <w:spacing w:val="-8"/>
              </w:rPr>
            </w:pPr>
            <w:r>
              <w:rPr>
                <w:spacing w:val="-8"/>
              </w:rPr>
              <w:t>1.15 a.m. Switch</w:t>
            </w:r>
            <w:r>
              <w:rPr>
                <w:spacing w:val="-8"/>
              </w:rPr>
              <w:noBreakHyphen/>
              <w:t>off Cents per day</w:t>
            </w:r>
          </w:p>
        </w:tc>
        <w:tc>
          <w:tcPr>
            <w:tcW w:w="1134" w:type="dxa"/>
            <w:tcBorders>
              <w:top w:val="single" w:sz="4" w:space="0" w:color="auto"/>
              <w:bottom w:val="single" w:sz="4" w:space="0" w:color="auto"/>
            </w:tcBorders>
          </w:tcPr>
          <w:p>
            <w:pPr>
              <w:pStyle w:val="nzTable"/>
              <w:rPr>
                <w:spacing w:val="-8"/>
              </w:rPr>
            </w:pPr>
            <w:r>
              <w:rPr>
                <w:spacing w:val="-8"/>
              </w:rPr>
              <w:t>Dawn Switch</w:t>
            </w:r>
            <w:r>
              <w:rPr>
                <w:spacing w:val="-8"/>
              </w:rPr>
              <w:noBreakHyphen/>
              <w:t>off Cents per day</w:t>
            </w:r>
          </w:p>
        </w:tc>
      </w:tr>
      <w:tr>
        <w:trPr>
          <w:cantSplit/>
        </w:trPr>
        <w:tc>
          <w:tcPr>
            <w:tcW w:w="6804" w:type="dxa"/>
            <w:gridSpan w:val="6"/>
          </w:tcPr>
          <w:p>
            <w:pPr>
              <w:pStyle w:val="nzTable"/>
              <w:rPr>
                <w:i/>
                <w:iCs/>
              </w:rPr>
            </w:pPr>
            <w:r>
              <w:rPr>
                <w:i/>
                <w:iCs/>
              </w:rPr>
              <w:t>Street lighting on current offer and for existing services</w:t>
            </w:r>
          </w:p>
        </w:tc>
      </w:tr>
      <w:tr>
        <w:trPr>
          <w:cantSplit/>
        </w:trPr>
        <w:tc>
          <w:tcPr>
            <w:tcW w:w="567" w:type="dxa"/>
          </w:tcPr>
          <w:p>
            <w:pPr>
              <w:pStyle w:val="nzTable"/>
            </w:pPr>
            <w:r>
              <w:t>Z.01</w:t>
            </w:r>
          </w:p>
        </w:tc>
        <w:tc>
          <w:tcPr>
            <w:tcW w:w="851" w:type="dxa"/>
          </w:tcPr>
          <w:p>
            <w:pPr>
              <w:pStyle w:val="nzTable"/>
            </w:pPr>
            <w:r>
              <w:t>50</w:t>
            </w:r>
          </w:p>
        </w:tc>
        <w:tc>
          <w:tcPr>
            <w:tcW w:w="1701" w:type="dxa"/>
          </w:tcPr>
          <w:p>
            <w:pPr>
              <w:pStyle w:val="nzTable"/>
            </w:pPr>
            <w:r>
              <w:t>Mercury Vapour</w:t>
            </w:r>
          </w:p>
        </w:tc>
        <w:tc>
          <w:tcPr>
            <w:tcW w:w="1275" w:type="dxa"/>
          </w:tcPr>
          <w:p>
            <w:pPr>
              <w:pStyle w:val="nzTable"/>
            </w:pPr>
            <w:r>
              <w:t>22.605</w:t>
            </w:r>
          </w:p>
        </w:tc>
        <w:tc>
          <w:tcPr>
            <w:tcW w:w="1276" w:type="dxa"/>
          </w:tcPr>
          <w:p>
            <w:pPr>
              <w:pStyle w:val="nzTable"/>
            </w:pPr>
            <w:r>
              <w:t>23.089</w:t>
            </w:r>
          </w:p>
        </w:tc>
        <w:tc>
          <w:tcPr>
            <w:tcW w:w="1134" w:type="dxa"/>
          </w:tcPr>
          <w:p>
            <w:pPr>
              <w:pStyle w:val="nzTable"/>
            </w:pPr>
            <w:r>
              <w:t>24.838</w:t>
            </w:r>
          </w:p>
        </w:tc>
      </w:tr>
      <w:tr>
        <w:trPr>
          <w:cantSplit/>
        </w:trPr>
        <w:tc>
          <w:tcPr>
            <w:tcW w:w="567" w:type="dxa"/>
          </w:tcPr>
          <w:p>
            <w:pPr>
              <w:pStyle w:val="nzTable"/>
            </w:pPr>
            <w:r>
              <w:t>Z.02</w:t>
            </w:r>
          </w:p>
        </w:tc>
        <w:tc>
          <w:tcPr>
            <w:tcW w:w="851" w:type="dxa"/>
          </w:tcPr>
          <w:p>
            <w:pPr>
              <w:pStyle w:val="nzTable"/>
            </w:pPr>
            <w:r>
              <w:t>80</w:t>
            </w:r>
          </w:p>
        </w:tc>
        <w:tc>
          <w:tcPr>
            <w:tcW w:w="1701" w:type="dxa"/>
          </w:tcPr>
          <w:p>
            <w:pPr>
              <w:pStyle w:val="nzTable"/>
            </w:pPr>
            <w:r>
              <w:t>Mercury Vapour</w:t>
            </w:r>
          </w:p>
        </w:tc>
        <w:tc>
          <w:tcPr>
            <w:tcW w:w="1275" w:type="dxa"/>
          </w:tcPr>
          <w:p>
            <w:pPr>
              <w:pStyle w:val="nzTable"/>
            </w:pPr>
            <w:r>
              <w:t>26.620</w:t>
            </w:r>
          </w:p>
        </w:tc>
        <w:tc>
          <w:tcPr>
            <w:tcW w:w="1276" w:type="dxa"/>
          </w:tcPr>
          <w:p>
            <w:pPr>
              <w:pStyle w:val="nzTable"/>
            </w:pPr>
            <w:r>
              <w:t>27.214</w:t>
            </w:r>
          </w:p>
        </w:tc>
        <w:tc>
          <w:tcPr>
            <w:tcW w:w="1134" w:type="dxa"/>
          </w:tcPr>
          <w:p>
            <w:pPr>
              <w:pStyle w:val="nzTable"/>
            </w:pPr>
            <w:r>
              <w:t>29.942</w:t>
            </w:r>
          </w:p>
        </w:tc>
      </w:tr>
      <w:tr>
        <w:trPr>
          <w:cantSplit/>
        </w:trPr>
        <w:tc>
          <w:tcPr>
            <w:tcW w:w="567" w:type="dxa"/>
          </w:tcPr>
          <w:p>
            <w:pPr>
              <w:pStyle w:val="nzTable"/>
            </w:pPr>
            <w:r>
              <w:t>Z.03</w:t>
            </w:r>
          </w:p>
        </w:tc>
        <w:tc>
          <w:tcPr>
            <w:tcW w:w="851" w:type="dxa"/>
          </w:tcPr>
          <w:p>
            <w:pPr>
              <w:pStyle w:val="nzTable"/>
            </w:pPr>
            <w:r>
              <w:t>125</w:t>
            </w:r>
          </w:p>
        </w:tc>
        <w:tc>
          <w:tcPr>
            <w:tcW w:w="1701" w:type="dxa"/>
          </w:tcPr>
          <w:p>
            <w:pPr>
              <w:pStyle w:val="nzTable"/>
            </w:pPr>
            <w:r>
              <w:t>Mercury Vapour</w:t>
            </w:r>
          </w:p>
        </w:tc>
        <w:tc>
          <w:tcPr>
            <w:tcW w:w="1275" w:type="dxa"/>
          </w:tcPr>
          <w:p>
            <w:pPr>
              <w:pStyle w:val="nzTable"/>
            </w:pPr>
            <w:r>
              <w:t>32.923</w:t>
            </w:r>
          </w:p>
        </w:tc>
        <w:tc>
          <w:tcPr>
            <w:tcW w:w="1276" w:type="dxa"/>
          </w:tcPr>
          <w:p>
            <w:pPr>
              <w:pStyle w:val="nzTable"/>
            </w:pPr>
            <w:r>
              <w:t>33.990</w:t>
            </w:r>
          </w:p>
        </w:tc>
        <w:tc>
          <w:tcPr>
            <w:tcW w:w="1134" w:type="dxa"/>
          </w:tcPr>
          <w:p>
            <w:pPr>
              <w:pStyle w:val="nzTable"/>
            </w:pPr>
            <w:r>
              <w:t>37.840</w:t>
            </w:r>
          </w:p>
        </w:tc>
      </w:tr>
      <w:tr>
        <w:trPr>
          <w:cantSplit/>
        </w:trPr>
        <w:tc>
          <w:tcPr>
            <w:tcW w:w="567" w:type="dxa"/>
          </w:tcPr>
          <w:p>
            <w:pPr>
              <w:pStyle w:val="nzTable"/>
            </w:pPr>
            <w:r>
              <w:t>Z.04</w:t>
            </w:r>
          </w:p>
        </w:tc>
        <w:tc>
          <w:tcPr>
            <w:tcW w:w="851" w:type="dxa"/>
          </w:tcPr>
          <w:p>
            <w:pPr>
              <w:pStyle w:val="nzTable"/>
            </w:pPr>
            <w:r>
              <w:t>140</w:t>
            </w:r>
          </w:p>
        </w:tc>
        <w:tc>
          <w:tcPr>
            <w:tcW w:w="1701" w:type="dxa"/>
          </w:tcPr>
          <w:p>
            <w:pPr>
              <w:pStyle w:val="nzTable"/>
            </w:pPr>
            <w:r>
              <w:t xml:space="preserve">Low Pressure Sodium </w:t>
            </w:r>
          </w:p>
        </w:tc>
        <w:tc>
          <w:tcPr>
            <w:tcW w:w="1275" w:type="dxa"/>
          </w:tcPr>
          <w:p>
            <w:pPr>
              <w:pStyle w:val="nzTable"/>
            </w:pPr>
            <w:r>
              <w:br/>
              <w:t>33.693</w:t>
            </w:r>
          </w:p>
        </w:tc>
        <w:tc>
          <w:tcPr>
            <w:tcW w:w="1276" w:type="dxa"/>
          </w:tcPr>
          <w:p>
            <w:pPr>
              <w:pStyle w:val="nzTable"/>
            </w:pPr>
            <w:r>
              <w:br/>
              <w:t>34.793</w:t>
            </w:r>
          </w:p>
        </w:tc>
        <w:tc>
          <w:tcPr>
            <w:tcW w:w="1134" w:type="dxa"/>
          </w:tcPr>
          <w:p>
            <w:pPr>
              <w:pStyle w:val="nzTable"/>
            </w:pPr>
            <w:r>
              <w:br/>
              <w:t>39.215</w:t>
            </w:r>
          </w:p>
        </w:tc>
      </w:tr>
      <w:tr>
        <w:trPr>
          <w:cantSplit/>
        </w:trPr>
        <w:tc>
          <w:tcPr>
            <w:tcW w:w="567" w:type="dxa"/>
          </w:tcPr>
          <w:p>
            <w:pPr>
              <w:pStyle w:val="nzTable"/>
            </w:pPr>
            <w:r>
              <w:t>Z.07</w:t>
            </w:r>
          </w:p>
        </w:tc>
        <w:tc>
          <w:tcPr>
            <w:tcW w:w="851" w:type="dxa"/>
          </w:tcPr>
          <w:p>
            <w:pPr>
              <w:pStyle w:val="nzTable"/>
            </w:pPr>
            <w:r>
              <w:t>250</w:t>
            </w:r>
          </w:p>
        </w:tc>
        <w:tc>
          <w:tcPr>
            <w:tcW w:w="1701" w:type="dxa"/>
          </w:tcPr>
          <w:p>
            <w:pPr>
              <w:pStyle w:val="nzTable"/>
            </w:pPr>
            <w:r>
              <w:t>Mercury Vapour</w:t>
            </w:r>
          </w:p>
        </w:tc>
        <w:tc>
          <w:tcPr>
            <w:tcW w:w="1275" w:type="dxa"/>
          </w:tcPr>
          <w:p>
            <w:pPr>
              <w:pStyle w:val="nzTable"/>
            </w:pPr>
            <w:r>
              <w:t>40.854</w:t>
            </w:r>
          </w:p>
        </w:tc>
        <w:tc>
          <w:tcPr>
            <w:tcW w:w="1276" w:type="dxa"/>
          </w:tcPr>
          <w:p>
            <w:pPr>
              <w:pStyle w:val="nzTable"/>
            </w:pPr>
            <w:r>
              <w:t>42.933</w:t>
            </w:r>
          </w:p>
        </w:tc>
        <w:tc>
          <w:tcPr>
            <w:tcW w:w="1134" w:type="dxa"/>
          </w:tcPr>
          <w:p>
            <w:pPr>
              <w:pStyle w:val="nzTable"/>
            </w:pPr>
            <w:r>
              <w:t>50.688</w:t>
            </w:r>
          </w:p>
        </w:tc>
      </w:tr>
      <w:tr>
        <w:trPr>
          <w:cantSplit/>
        </w:trPr>
        <w:tc>
          <w:tcPr>
            <w:tcW w:w="567" w:type="dxa"/>
          </w:tcPr>
          <w:p>
            <w:pPr>
              <w:pStyle w:val="nzTable"/>
            </w:pPr>
            <w:r>
              <w:t>Z.10</w:t>
            </w:r>
          </w:p>
        </w:tc>
        <w:tc>
          <w:tcPr>
            <w:tcW w:w="851" w:type="dxa"/>
          </w:tcPr>
          <w:p>
            <w:pPr>
              <w:pStyle w:val="nzTable"/>
            </w:pPr>
            <w:r>
              <w:t>400</w:t>
            </w:r>
          </w:p>
        </w:tc>
        <w:tc>
          <w:tcPr>
            <w:tcW w:w="1701" w:type="dxa"/>
          </w:tcPr>
          <w:p>
            <w:pPr>
              <w:pStyle w:val="nzTable"/>
            </w:pPr>
            <w:r>
              <w:t>Mercury Vapour</w:t>
            </w:r>
          </w:p>
        </w:tc>
        <w:tc>
          <w:tcPr>
            <w:tcW w:w="1275" w:type="dxa"/>
          </w:tcPr>
          <w:p>
            <w:pPr>
              <w:pStyle w:val="nzTable"/>
            </w:pPr>
            <w:r>
              <w:t>60.522</w:t>
            </w:r>
          </w:p>
        </w:tc>
        <w:tc>
          <w:tcPr>
            <w:tcW w:w="1276" w:type="dxa"/>
          </w:tcPr>
          <w:p>
            <w:pPr>
              <w:pStyle w:val="nzTable"/>
            </w:pPr>
            <w:r>
              <w:t>63.690</w:t>
            </w:r>
          </w:p>
        </w:tc>
        <w:tc>
          <w:tcPr>
            <w:tcW w:w="1134" w:type="dxa"/>
          </w:tcPr>
          <w:p>
            <w:pPr>
              <w:pStyle w:val="nzTable"/>
            </w:pPr>
            <w:r>
              <w:t>75.790</w:t>
            </w:r>
          </w:p>
        </w:tc>
      </w:tr>
      <w:tr>
        <w:trPr>
          <w:cantSplit/>
        </w:trPr>
        <w:tc>
          <w:tcPr>
            <w:tcW w:w="567" w:type="dxa"/>
          </w:tcPr>
          <w:p>
            <w:pPr>
              <w:pStyle w:val="nzTable"/>
            </w:pPr>
            <w:r>
              <w:t>Z.13</w:t>
            </w:r>
          </w:p>
        </w:tc>
        <w:tc>
          <w:tcPr>
            <w:tcW w:w="851" w:type="dxa"/>
          </w:tcPr>
          <w:p>
            <w:pPr>
              <w:pStyle w:val="nzTable"/>
            </w:pPr>
            <w:r>
              <w:t>150</w:t>
            </w:r>
          </w:p>
        </w:tc>
        <w:tc>
          <w:tcPr>
            <w:tcW w:w="1701" w:type="dxa"/>
          </w:tcPr>
          <w:p>
            <w:pPr>
              <w:pStyle w:val="nzTable"/>
            </w:pPr>
            <w:r>
              <w:t>High Pressure Sodium</w:t>
            </w:r>
          </w:p>
        </w:tc>
        <w:tc>
          <w:tcPr>
            <w:tcW w:w="1275" w:type="dxa"/>
          </w:tcPr>
          <w:p>
            <w:pPr>
              <w:pStyle w:val="nzTable"/>
            </w:pPr>
            <w:r>
              <w:br/>
              <w:t>31.185</w:t>
            </w:r>
          </w:p>
        </w:tc>
        <w:tc>
          <w:tcPr>
            <w:tcW w:w="1276" w:type="dxa"/>
          </w:tcPr>
          <w:p>
            <w:pPr>
              <w:pStyle w:val="nzTable"/>
            </w:pPr>
            <w:r>
              <w:br/>
              <w:t>32.329</w:t>
            </w:r>
          </w:p>
        </w:tc>
        <w:tc>
          <w:tcPr>
            <w:tcW w:w="1134" w:type="dxa"/>
          </w:tcPr>
          <w:p>
            <w:pPr>
              <w:pStyle w:val="nzTable"/>
            </w:pPr>
            <w:r>
              <w:br/>
              <w:t>38.731</w:t>
            </w:r>
          </w:p>
        </w:tc>
      </w:tr>
      <w:tr>
        <w:trPr>
          <w:cantSplit/>
        </w:trPr>
        <w:tc>
          <w:tcPr>
            <w:tcW w:w="567" w:type="dxa"/>
          </w:tcPr>
          <w:p>
            <w:pPr>
              <w:pStyle w:val="nzTable"/>
            </w:pPr>
            <w:r>
              <w:t>Z.15</w:t>
            </w:r>
          </w:p>
        </w:tc>
        <w:tc>
          <w:tcPr>
            <w:tcW w:w="851" w:type="dxa"/>
          </w:tcPr>
          <w:p>
            <w:pPr>
              <w:pStyle w:val="nzTable"/>
            </w:pPr>
            <w:r>
              <w:t>250</w:t>
            </w:r>
          </w:p>
        </w:tc>
        <w:tc>
          <w:tcPr>
            <w:tcW w:w="1701" w:type="dxa"/>
          </w:tcPr>
          <w:p>
            <w:pPr>
              <w:pStyle w:val="nzTable"/>
            </w:pPr>
            <w:r>
              <w:t>High Pressure Sodium</w:t>
            </w:r>
          </w:p>
        </w:tc>
        <w:tc>
          <w:tcPr>
            <w:tcW w:w="1275" w:type="dxa"/>
          </w:tcPr>
          <w:p>
            <w:pPr>
              <w:pStyle w:val="nzTable"/>
            </w:pPr>
            <w:r>
              <w:br/>
              <w:t>46.233</w:t>
            </w:r>
          </w:p>
        </w:tc>
        <w:tc>
          <w:tcPr>
            <w:tcW w:w="1276" w:type="dxa"/>
          </w:tcPr>
          <w:p>
            <w:pPr>
              <w:pStyle w:val="nzTable"/>
            </w:pPr>
            <w:r>
              <w:br/>
              <w:t>48.697</w:t>
            </w:r>
          </w:p>
        </w:tc>
        <w:tc>
          <w:tcPr>
            <w:tcW w:w="1134" w:type="dxa"/>
          </w:tcPr>
          <w:p>
            <w:pPr>
              <w:pStyle w:val="nzTable"/>
            </w:pPr>
            <w:r>
              <w:br/>
              <w:t>58.201</w:t>
            </w:r>
          </w:p>
        </w:tc>
      </w:tr>
      <w:tr>
        <w:trPr>
          <w:cantSplit/>
        </w:trPr>
        <w:tc>
          <w:tcPr>
            <w:tcW w:w="567" w:type="dxa"/>
          </w:tcPr>
          <w:p>
            <w:pPr>
              <w:pStyle w:val="nzTable"/>
            </w:pPr>
            <w:r>
              <w:t>Z.18</w:t>
            </w:r>
          </w:p>
        </w:tc>
        <w:tc>
          <w:tcPr>
            <w:tcW w:w="851" w:type="dxa"/>
          </w:tcPr>
          <w:p>
            <w:pPr>
              <w:pStyle w:val="nzTable"/>
            </w:pPr>
            <w:r>
              <w:t>per kW</w:t>
            </w:r>
          </w:p>
        </w:tc>
        <w:tc>
          <w:tcPr>
            <w:tcW w:w="1701" w:type="dxa"/>
          </w:tcPr>
          <w:p>
            <w:pPr>
              <w:pStyle w:val="nzTable"/>
            </w:pPr>
            <w:r>
              <w:t>Auxiliary Lighting in Public Places</w:t>
            </w:r>
          </w:p>
        </w:tc>
        <w:tc>
          <w:tcPr>
            <w:tcW w:w="1275" w:type="dxa"/>
          </w:tcPr>
          <w:p>
            <w:pPr>
              <w:pStyle w:val="nzTable"/>
            </w:pPr>
            <w:r>
              <w:br/>
              <w:t>132.451</w:t>
            </w:r>
          </w:p>
        </w:tc>
        <w:tc>
          <w:tcPr>
            <w:tcW w:w="1276" w:type="dxa"/>
          </w:tcPr>
          <w:p>
            <w:pPr>
              <w:pStyle w:val="nzTable"/>
            </w:pPr>
            <w:r>
              <w:br/>
              <w:t>139.810</w:t>
            </w:r>
          </w:p>
        </w:tc>
        <w:tc>
          <w:tcPr>
            <w:tcW w:w="1134" w:type="dxa"/>
          </w:tcPr>
          <w:p>
            <w:pPr>
              <w:pStyle w:val="nzTable"/>
            </w:pPr>
            <w:r>
              <w:br/>
              <w:t>168.773</w:t>
            </w:r>
          </w:p>
        </w:tc>
      </w:tr>
      <w:tr>
        <w:trPr>
          <w:cantSplit/>
        </w:trPr>
        <w:tc>
          <w:tcPr>
            <w:tcW w:w="6804" w:type="dxa"/>
            <w:gridSpan w:val="6"/>
          </w:tcPr>
          <w:p>
            <w:pPr>
              <w:pStyle w:val="nzTable"/>
              <w:rPr>
                <w:i/>
                <w:iCs/>
              </w:rPr>
            </w:pPr>
            <w:r>
              <w:rPr>
                <w:i/>
                <w:iCs/>
              </w:rPr>
              <w:t>Street lighting for existing services only</w:t>
            </w:r>
          </w:p>
        </w:tc>
      </w:tr>
      <w:tr>
        <w:trPr>
          <w:cantSplit/>
        </w:trPr>
        <w:tc>
          <w:tcPr>
            <w:tcW w:w="567" w:type="dxa"/>
          </w:tcPr>
          <w:p>
            <w:pPr>
              <w:pStyle w:val="nzTable"/>
            </w:pPr>
            <w:r>
              <w:t>Z.05</w:t>
            </w:r>
          </w:p>
        </w:tc>
        <w:tc>
          <w:tcPr>
            <w:tcW w:w="851" w:type="dxa"/>
          </w:tcPr>
          <w:p>
            <w:pPr>
              <w:pStyle w:val="nzTable"/>
            </w:pPr>
            <w:r>
              <w:t>250</w:t>
            </w:r>
          </w:p>
        </w:tc>
        <w:tc>
          <w:tcPr>
            <w:tcW w:w="1701" w:type="dxa"/>
          </w:tcPr>
          <w:p>
            <w:pPr>
              <w:pStyle w:val="nzTable"/>
            </w:pPr>
            <w:r>
              <w:t>Mercury Vapour</w:t>
            </w:r>
          </w:p>
        </w:tc>
        <w:tc>
          <w:tcPr>
            <w:tcW w:w="1275" w:type="dxa"/>
          </w:tcPr>
          <w:p>
            <w:pPr>
              <w:pStyle w:val="nzTable"/>
            </w:pPr>
            <w:r>
              <w:t>52.943</w:t>
            </w:r>
          </w:p>
        </w:tc>
        <w:tc>
          <w:tcPr>
            <w:tcW w:w="1276" w:type="dxa"/>
          </w:tcPr>
          <w:p>
            <w:pPr>
              <w:pStyle w:val="nzTable"/>
            </w:pPr>
            <w:r>
              <w:t>55.011</w:t>
            </w:r>
          </w:p>
        </w:tc>
        <w:tc>
          <w:tcPr>
            <w:tcW w:w="1134" w:type="dxa"/>
          </w:tcPr>
          <w:p>
            <w:pPr>
              <w:pStyle w:val="nzTable"/>
            </w:pPr>
            <w:r>
              <w:t>62.777</w:t>
            </w:r>
          </w:p>
        </w:tc>
      </w:tr>
      <w:tr>
        <w:trPr>
          <w:cantSplit/>
        </w:trPr>
        <w:tc>
          <w:tcPr>
            <w:tcW w:w="567" w:type="dxa"/>
          </w:tcPr>
          <w:p>
            <w:pPr>
              <w:pStyle w:val="nzTable"/>
            </w:pPr>
            <w:r>
              <w:t>Z.06</w:t>
            </w:r>
          </w:p>
        </w:tc>
        <w:tc>
          <w:tcPr>
            <w:tcW w:w="851" w:type="dxa"/>
          </w:tcPr>
          <w:p>
            <w:pPr>
              <w:pStyle w:val="nzTable"/>
            </w:pPr>
            <w:r>
              <w:t>400</w:t>
            </w:r>
          </w:p>
        </w:tc>
        <w:tc>
          <w:tcPr>
            <w:tcW w:w="1701" w:type="dxa"/>
          </w:tcPr>
          <w:p>
            <w:pPr>
              <w:pStyle w:val="nzTable"/>
            </w:pPr>
            <w:r>
              <w:t>Mercury Vapour</w:t>
            </w:r>
          </w:p>
        </w:tc>
        <w:tc>
          <w:tcPr>
            <w:tcW w:w="1275" w:type="dxa"/>
          </w:tcPr>
          <w:p>
            <w:pPr>
              <w:pStyle w:val="nzTable"/>
            </w:pPr>
            <w:r>
              <w:t>72.622</w:t>
            </w:r>
          </w:p>
        </w:tc>
        <w:tc>
          <w:tcPr>
            <w:tcW w:w="1276" w:type="dxa"/>
          </w:tcPr>
          <w:p>
            <w:pPr>
              <w:pStyle w:val="nzTable"/>
            </w:pPr>
            <w:r>
              <w:t>75.790</w:t>
            </w:r>
          </w:p>
        </w:tc>
        <w:tc>
          <w:tcPr>
            <w:tcW w:w="1134" w:type="dxa"/>
          </w:tcPr>
          <w:p>
            <w:pPr>
              <w:pStyle w:val="nzTable"/>
            </w:pPr>
            <w:r>
              <w:t>87.835</w:t>
            </w:r>
          </w:p>
        </w:tc>
      </w:tr>
      <w:tr>
        <w:trPr>
          <w:cantSplit/>
        </w:trPr>
        <w:tc>
          <w:tcPr>
            <w:tcW w:w="567" w:type="dxa"/>
          </w:tcPr>
          <w:p>
            <w:pPr>
              <w:pStyle w:val="nzTable"/>
            </w:pPr>
            <w:r>
              <w:t>Z.08</w:t>
            </w:r>
          </w:p>
        </w:tc>
        <w:tc>
          <w:tcPr>
            <w:tcW w:w="851" w:type="dxa"/>
          </w:tcPr>
          <w:p>
            <w:pPr>
              <w:pStyle w:val="nzTable"/>
            </w:pPr>
            <w:r>
              <w:t>250</w:t>
            </w:r>
          </w:p>
        </w:tc>
        <w:tc>
          <w:tcPr>
            <w:tcW w:w="1701" w:type="dxa"/>
          </w:tcPr>
          <w:p>
            <w:pPr>
              <w:pStyle w:val="nzTable"/>
            </w:pPr>
            <w:r>
              <w:t>Mercury Vapour 50% E.C. cost</w:t>
            </w:r>
          </w:p>
        </w:tc>
        <w:tc>
          <w:tcPr>
            <w:tcW w:w="1275" w:type="dxa"/>
          </w:tcPr>
          <w:p>
            <w:pPr>
              <w:pStyle w:val="nzTable"/>
            </w:pPr>
            <w:r>
              <w:t>46.893</w:t>
            </w:r>
          </w:p>
        </w:tc>
        <w:tc>
          <w:tcPr>
            <w:tcW w:w="1276" w:type="dxa"/>
          </w:tcPr>
          <w:p>
            <w:pPr>
              <w:pStyle w:val="nzTable"/>
            </w:pPr>
            <w:r>
              <w:t>48.939</w:t>
            </w:r>
          </w:p>
        </w:tc>
        <w:tc>
          <w:tcPr>
            <w:tcW w:w="1134" w:type="dxa"/>
          </w:tcPr>
          <w:p>
            <w:pPr>
              <w:pStyle w:val="nzTable"/>
            </w:pPr>
            <w:r>
              <w:t>56.727</w:t>
            </w:r>
          </w:p>
        </w:tc>
      </w:tr>
      <w:tr>
        <w:trPr>
          <w:cantSplit/>
        </w:trPr>
        <w:tc>
          <w:tcPr>
            <w:tcW w:w="567" w:type="dxa"/>
          </w:tcPr>
          <w:p>
            <w:pPr>
              <w:pStyle w:val="nzTable"/>
            </w:pPr>
            <w:r>
              <w:t>Z.09</w:t>
            </w:r>
          </w:p>
        </w:tc>
        <w:tc>
          <w:tcPr>
            <w:tcW w:w="851" w:type="dxa"/>
          </w:tcPr>
          <w:p>
            <w:pPr>
              <w:pStyle w:val="nzTable"/>
            </w:pPr>
            <w:r>
              <w:t>250</w:t>
            </w:r>
          </w:p>
        </w:tc>
        <w:tc>
          <w:tcPr>
            <w:tcW w:w="1701" w:type="dxa"/>
          </w:tcPr>
          <w:p>
            <w:pPr>
              <w:pStyle w:val="nzTable"/>
            </w:pPr>
            <w:r>
              <w:t>Mercury Vapour 100% E.C. cost</w:t>
            </w:r>
          </w:p>
        </w:tc>
        <w:tc>
          <w:tcPr>
            <w:tcW w:w="1275" w:type="dxa"/>
          </w:tcPr>
          <w:p>
            <w:pPr>
              <w:pStyle w:val="nzTable"/>
            </w:pPr>
            <w:r>
              <w:br/>
              <w:t>52.943</w:t>
            </w:r>
          </w:p>
        </w:tc>
        <w:tc>
          <w:tcPr>
            <w:tcW w:w="1276" w:type="dxa"/>
          </w:tcPr>
          <w:p>
            <w:pPr>
              <w:pStyle w:val="nzTable"/>
            </w:pPr>
            <w:r>
              <w:br/>
              <w:t>55.011</w:t>
            </w:r>
          </w:p>
        </w:tc>
        <w:tc>
          <w:tcPr>
            <w:tcW w:w="1134" w:type="dxa"/>
          </w:tcPr>
          <w:p>
            <w:pPr>
              <w:pStyle w:val="nzTable"/>
            </w:pPr>
            <w:r>
              <w:br/>
              <w:t>62.777</w:t>
            </w:r>
          </w:p>
        </w:tc>
      </w:tr>
      <w:tr>
        <w:trPr>
          <w:cantSplit/>
        </w:trPr>
        <w:tc>
          <w:tcPr>
            <w:tcW w:w="567" w:type="dxa"/>
          </w:tcPr>
          <w:p>
            <w:pPr>
              <w:pStyle w:val="nzTable"/>
            </w:pPr>
            <w:r>
              <w:t>Z.11</w:t>
            </w:r>
          </w:p>
        </w:tc>
        <w:tc>
          <w:tcPr>
            <w:tcW w:w="851" w:type="dxa"/>
          </w:tcPr>
          <w:p>
            <w:pPr>
              <w:pStyle w:val="nzTable"/>
            </w:pPr>
            <w:r>
              <w:t>400</w:t>
            </w:r>
          </w:p>
        </w:tc>
        <w:tc>
          <w:tcPr>
            <w:tcW w:w="1701" w:type="dxa"/>
          </w:tcPr>
          <w:p>
            <w:pPr>
              <w:pStyle w:val="nzTable"/>
            </w:pPr>
            <w:r>
              <w:t>Mercury Vapour 50% E.C. cost</w:t>
            </w:r>
          </w:p>
        </w:tc>
        <w:tc>
          <w:tcPr>
            <w:tcW w:w="1275" w:type="dxa"/>
          </w:tcPr>
          <w:p>
            <w:pPr>
              <w:pStyle w:val="nzTable"/>
            </w:pPr>
            <w:r>
              <w:br/>
              <w:t>66.572</w:t>
            </w:r>
          </w:p>
        </w:tc>
        <w:tc>
          <w:tcPr>
            <w:tcW w:w="1276" w:type="dxa"/>
          </w:tcPr>
          <w:p>
            <w:pPr>
              <w:pStyle w:val="nzTable"/>
            </w:pPr>
            <w:r>
              <w:br/>
              <w:t>69.751</w:t>
            </w:r>
          </w:p>
        </w:tc>
        <w:tc>
          <w:tcPr>
            <w:tcW w:w="1134" w:type="dxa"/>
          </w:tcPr>
          <w:p>
            <w:pPr>
              <w:pStyle w:val="nzTable"/>
            </w:pPr>
            <w:r>
              <w:br/>
              <w:t>81.807</w:t>
            </w:r>
          </w:p>
        </w:tc>
      </w:tr>
      <w:tr>
        <w:trPr>
          <w:cantSplit/>
        </w:trPr>
        <w:tc>
          <w:tcPr>
            <w:tcW w:w="567" w:type="dxa"/>
          </w:tcPr>
          <w:p>
            <w:pPr>
              <w:pStyle w:val="nzTable"/>
            </w:pPr>
            <w:r>
              <w:t>Z.12</w:t>
            </w:r>
          </w:p>
        </w:tc>
        <w:tc>
          <w:tcPr>
            <w:tcW w:w="851" w:type="dxa"/>
          </w:tcPr>
          <w:p>
            <w:pPr>
              <w:pStyle w:val="nzTable"/>
            </w:pPr>
            <w:r>
              <w:t>400</w:t>
            </w:r>
          </w:p>
        </w:tc>
        <w:tc>
          <w:tcPr>
            <w:tcW w:w="1701" w:type="dxa"/>
          </w:tcPr>
          <w:p>
            <w:pPr>
              <w:pStyle w:val="nzTable"/>
            </w:pPr>
            <w:r>
              <w:t>Mercury Vapour 100% E.C. cost</w:t>
            </w:r>
          </w:p>
        </w:tc>
        <w:tc>
          <w:tcPr>
            <w:tcW w:w="1275" w:type="dxa"/>
          </w:tcPr>
          <w:p>
            <w:pPr>
              <w:pStyle w:val="nzTable"/>
            </w:pPr>
            <w:r>
              <w:br/>
              <w:t>72.622</w:t>
            </w:r>
          </w:p>
        </w:tc>
        <w:tc>
          <w:tcPr>
            <w:tcW w:w="1276" w:type="dxa"/>
          </w:tcPr>
          <w:p>
            <w:pPr>
              <w:pStyle w:val="nzTable"/>
            </w:pPr>
            <w:r>
              <w:br/>
              <w:t>75.790</w:t>
            </w:r>
          </w:p>
        </w:tc>
        <w:tc>
          <w:tcPr>
            <w:tcW w:w="1134" w:type="dxa"/>
          </w:tcPr>
          <w:p>
            <w:pPr>
              <w:pStyle w:val="nzTable"/>
            </w:pPr>
            <w:r>
              <w:br/>
              <w:t>87.835</w:t>
            </w:r>
          </w:p>
        </w:tc>
      </w:tr>
      <w:tr>
        <w:trPr>
          <w:cantSplit/>
        </w:trPr>
        <w:tc>
          <w:tcPr>
            <w:tcW w:w="567" w:type="dxa"/>
          </w:tcPr>
          <w:p>
            <w:pPr>
              <w:pStyle w:val="nzTable"/>
            </w:pPr>
            <w:r>
              <w:t>Z.14</w:t>
            </w:r>
          </w:p>
        </w:tc>
        <w:tc>
          <w:tcPr>
            <w:tcW w:w="851" w:type="dxa"/>
          </w:tcPr>
          <w:p>
            <w:pPr>
              <w:pStyle w:val="nzTable"/>
            </w:pPr>
            <w:r>
              <w:t>150</w:t>
            </w:r>
          </w:p>
        </w:tc>
        <w:tc>
          <w:tcPr>
            <w:tcW w:w="1701" w:type="dxa"/>
          </w:tcPr>
          <w:p>
            <w:pPr>
              <w:pStyle w:val="nzTable"/>
            </w:pPr>
            <w:r>
              <w:t>H.P. Sodium</w:t>
            </w:r>
          </w:p>
        </w:tc>
        <w:tc>
          <w:tcPr>
            <w:tcW w:w="1275" w:type="dxa"/>
          </w:tcPr>
          <w:p>
            <w:pPr>
              <w:pStyle w:val="nzTable"/>
            </w:pPr>
            <w:r>
              <w:t>48.114</w:t>
            </w:r>
          </w:p>
        </w:tc>
        <w:tc>
          <w:tcPr>
            <w:tcW w:w="1276" w:type="dxa"/>
          </w:tcPr>
          <w:p>
            <w:pPr>
              <w:pStyle w:val="nzTable"/>
            </w:pPr>
            <w:r>
              <w:t>49.236</w:t>
            </w:r>
          </w:p>
        </w:tc>
        <w:tc>
          <w:tcPr>
            <w:tcW w:w="1134" w:type="dxa"/>
          </w:tcPr>
          <w:p>
            <w:pPr>
              <w:pStyle w:val="nzTable"/>
            </w:pPr>
            <w:r>
              <w:t>55.616</w:t>
            </w:r>
          </w:p>
        </w:tc>
      </w:tr>
      <w:tr>
        <w:trPr>
          <w:cantSplit/>
        </w:trPr>
        <w:tc>
          <w:tcPr>
            <w:tcW w:w="567" w:type="dxa"/>
          </w:tcPr>
          <w:p>
            <w:pPr>
              <w:pStyle w:val="nzTable"/>
            </w:pPr>
            <w:r>
              <w:t>Z.16</w:t>
            </w:r>
          </w:p>
        </w:tc>
        <w:tc>
          <w:tcPr>
            <w:tcW w:w="851" w:type="dxa"/>
          </w:tcPr>
          <w:p>
            <w:pPr>
              <w:pStyle w:val="nzTable"/>
            </w:pPr>
            <w:r>
              <w:t>250</w:t>
            </w:r>
          </w:p>
        </w:tc>
        <w:tc>
          <w:tcPr>
            <w:tcW w:w="1701" w:type="dxa"/>
          </w:tcPr>
          <w:p>
            <w:pPr>
              <w:pStyle w:val="nzTable"/>
            </w:pPr>
            <w:r>
              <w:t>H.P. Sodium 50% E.C. cost</w:t>
            </w:r>
          </w:p>
        </w:tc>
        <w:tc>
          <w:tcPr>
            <w:tcW w:w="1275" w:type="dxa"/>
          </w:tcPr>
          <w:p>
            <w:pPr>
              <w:pStyle w:val="nzTable"/>
            </w:pPr>
            <w:r>
              <w:br/>
              <w:t>55.286</w:t>
            </w:r>
          </w:p>
        </w:tc>
        <w:tc>
          <w:tcPr>
            <w:tcW w:w="1276" w:type="dxa"/>
          </w:tcPr>
          <w:p>
            <w:pPr>
              <w:pStyle w:val="nzTable"/>
            </w:pPr>
            <w:r>
              <w:br/>
              <w:t>57.772</w:t>
            </w:r>
          </w:p>
        </w:tc>
        <w:tc>
          <w:tcPr>
            <w:tcW w:w="1134" w:type="dxa"/>
          </w:tcPr>
          <w:p>
            <w:pPr>
              <w:pStyle w:val="nzTable"/>
            </w:pPr>
            <w:r>
              <w:br/>
              <w:t>67.254</w:t>
            </w:r>
          </w:p>
        </w:tc>
      </w:tr>
      <w:tr>
        <w:trPr>
          <w:cantSplit/>
        </w:trPr>
        <w:tc>
          <w:tcPr>
            <w:tcW w:w="567" w:type="dxa"/>
          </w:tcPr>
          <w:p>
            <w:pPr>
              <w:pStyle w:val="nzTable"/>
            </w:pPr>
            <w:r>
              <w:t>Z.17</w:t>
            </w:r>
          </w:p>
        </w:tc>
        <w:tc>
          <w:tcPr>
            <w:tcW w:w="851" w:type="dxa"/>
          </w:tcPr>
          <w:p>
            <w:pPr>
              <w:pStyle w:val="nzTable"/>
            </w:pPr>
            <w:r>
              <w:t>250</w:t>
            </w:r>
          </w:p>
        </w:tc>
        <w:tc>
          <w:tcPr>
            <w:tcW w:w="1701" w:type="dxa"/>
          </w:tcPr>
          <w:p>
            <w:pPr>
              <w:pStyle w:val="nzTable"/>
            </w:pPr>
            <w:r>
              <w:t>H.P. Sodium 100% E.C. cost</w:t>
            </w:r>
          </w:p>
        </w:tc>
        <w:tc>
          <w:tcPr>
            <w:tcW w:w="1275" w:type="dxa"/>
          </w:tcPr>
          <w:p>
            <w:pPr>
              <w:pStyle w:val="nzTable"/>
            </w:pPr>
            <w:r>
              <w:br/>
              <w:t>64.317</w:t>
            </w:r>
          </w:p>
        </w:tc>
        <w:tc>
          <w:tcPr>
            <w:tcW w:w="1276" w:type="dxa"/>
          </w:tcPr>
          <w:p>
            <w:pPr>
              <w:pStyle w:val="nzTable"/>
            </w:pPr>
            <w:r>
              <w:br/>
              <w:t>66.836</w:t>
            </w:r>
          </w:p>
        </w:tc>
        <w:tc>
          <w:tcPr>
            <w:tcW w:w="1134" w:type="dxa"/>
          </w:tcPr>
          <w:p>
            <w:pPr>
              <w:pStyle w:val="nzTable"/>
            </w:pPr>
            <w:r>
              <w:br/>
              <w:t>76.329</w:t>
            </w:r>
          </w:p>
        </w:tc>
      </w:tr>
      <w:tr>
        <w:trPr>
          <w:cantSplit/>
        </w:trPr>
        <w:tc>
          <w:tcPr>
            <w:tcW w:w="567" w:type="dxa"/>
          </w:tcPr>
          <w:p>
            <w:pPr>
              <w:pStyle w:val="nzTable"/>
            </w:pPr>
            <w:r>
              <w:t>Z.51</w:t>
            </w:r>
          </w:p>
        </w:tc>
        <w:tc>
          <w:tcPr>
            <w:tcW w:w="851" w:type="dxa"/>
          </w:tcPr>
          <w:p>
            <w:pPr>
              <w:pStyle w:val="nzTable"/>
            </w:pPr>
            <w:r>
              <w:t>60</w:t>
            </w:r>
          </w:p>
        </w:tc>
        <w:tc>
          <w:tcPr>
            <w:tcW w:w="1701" w:type="dxa"/>
          </w:tcPr>
          <w:p>
            <w:pPr>
              <w:pStyle w:val="nzTable"/>
            </w:pPr>
            <w:r>
              <w:t>Incandescent</w:t>
            </w:r>
          </w:p>
        </w:tc>
        <w:tc>
          <w:tcPr>
            <w:tcW w:w="1275" w:type="dxa"/>
          </w:tcPr>
          <w:p>
            <w:pPr>
              <w:pStyle w:val="nzTable"/>
            </w:pPr>
            <w:r>
              <w:t>22.605</w:t>
            </w:r>
          </w:p>
        </w:tc>
        <w:tc>
          <w:tcPr>
            <w:tcW w:w="1276" w:type="dxa"/>
          </w:tcPr>
          <w:p>
            <w:pPr>
              <w:pStyle w:val="nzTable"/>
            </w:pPr>
            <w:r>
              <w:t>23.089</w:t>
            </w:r>
          </w:p>
        </w:tc>
        <w:tc>
          <w:tcPr>
            <w:tcW w:w="1134" w:type="dxa"/>
          </w:tcPr>
          <w:p>
            <w:pPr>
              <w:pStyle w:val="nzTable"/>
            </w:pPr>
            <w:r>
              <w:t>24.838</w:t>
            </w:r>
          </w:p>
        </w:tc>
      </w:tr>
      <w:tr>
        <w:trPr>
          <w:cantSplit/>
        </w:trPr>
        <w:tc>
          <w:tcPr>
            <w:tcW w:w="567" w:type="dxa"/>
          </w:tcPr>
          <w:p>
            <w:pPr>
              <w:pStyle w:val="nzTable"/>
            </w:pPr>
            <w:r>
              <w:t>Z.52</w:t>
            </w:r>
          </w:p>
        </w:tc>
        <w:tc>
          <w:tcPr>
            <w:tcW w:w="851" w:type="dxa"/>
          </w:tcPr>
          <w:p>
            <w:pPr>
              <w:pStyle w:val="nzTable"/>
            </w:pPr>
            <w:r>
              <w:t>100</w:t>
            </w:r>
          </w:p>
        </w:tc>
        <w:tc>
          <w:tcPr>
            <w:tcW w:w="1701" w:type="dxa"/>
          </w:tcPr>
          <w:p>
            <w:pPr>
              <w:pStyle w:val="nzTable"/>
            </w:pPr>
            <w:r>
              <w:t>Incandescent</w:t>
            </w:r>
          </w:p>
        </w:tc>
        <w:tc>
          <w:tcPr>
            <w:tcW w:w="1275" w:type="dxa"/>
          </w:tcPr>
          <w:p>
            <w:pPr>
              <w:pStyle w:val="nzTable"/>
            </w:pPr>
            <w:r>
              <w:t>22.605</w:t>
            </w:r>
          </w:p>
        </w:tc>
        <w:tc>
          <w:tcPr>
            <w:tcW w:w="1276" w:type="dxa"/>
          </w:tcPr>
          <w:p>
            <w:pPr>
              <w:pStyle w:val="nzTable"/>
            </w:pPr>
            <w:r>
              <w:t>23.089</w:t>
            </w:r>
          </w:p>
        </w:tc>
        <w:tc>
          <w:tcPr>
            <w:tcW w:w="1134" w:type="dxa"/>
          </w:tcPr>
          <w:p>
            <w:pPr>
              <w:pStyle w:val="nzTable"/>
            </w:pPr>
            <w:r>
              <w:t>24.838</w:t>
            </w:r>
          </w:p>
        </w:tc>
      </w:tr>
      <w:tr>
        <w:trPr>
          <w:cantSplit/>
        </w:trPr>
        <w:tc>
          <w:tcPr>
            <w:tcW w:w="567" w:type="dxa"/>
          </w:tcPr>
          <w:p>
            <w:pPr>
              <w:pStyle w:val="nzTable"/>
            </w:pPr>
            <w:r>
              <w:t>Z.53</w:t>
            </w:r>
          </w:p>
        </w:tc>
        <w:tc>
          <w:tcPr>
            <w:tcW w:w="851" w:type="dxa"/>
          </w:tcPr>
          <w:p>
            <w:pPr>
              <w:pStyle w:val="nzTable"/>
            </w:pPr>
            <w:r>
              <w:t>200</w:t>
            </w:r>
          </w:p>
        </w:tc>
        <w:tc>
          <w:tcPr>
            <w:tcW w:w="1701" w:type="dxa"/>
          </w:tcPr>
          <w:p>
            <w:pPr>
              <w:pStyle w:val="nzTable"/>
            </w:pPr>
            <w:r>
              <w:t>Incandescent</w:t>
            </w:r>
          </w:p>
        </w:tc>
        <w:tc>
          <w:tcPr>
            <w:tcW w:w="1275" w:type="dxa"/>
          </w:tcPr>
          <w:p>
            <w:pPr>
              <w:pStyle w:val="nzTable"/>
            </w:pPr>
            <w:r>
              <w:t>26.620</w:t>
            </w:r>
          </w:p>
        </w:tc>
        <w:tc>
          <w:tcPr>
            <w:tcW w:w="1276" w:type="dxa"/>
          </w:tcPr>
          <w:p>
            <w:pPr>
              <w:pStyle w:val="nzTable"/>
            </w:pPr>
            <w:r>
              <w:t>27.214</w:t>
            </w:r>
          </w:p>
        </w:tc>
        <w:tc>
          <w:tcPr>
            <w:tcW w:w="1134" w:type="dxa"/>
          </w:tcPr>
          <w:p>
            <w:pPr>
              <w:pStyle w:val="nzTable"/>
            </w:pPr>
            <w:r>
              <w:t>29.942</w:t>
            </w:r>
          </w:p>
        </w:tc>
      </w:tr>
      <w:tr>
        <w:trPr>
          <w:cantSplit/>
        </w:trPr>
        <w:tc>
          <w:tcPr>
            <w:tcW w:w="567" w:type="dxa"/>
          </w:tcPr>
          <w:p>
            <w:pPr>
              <w:pStyle w:val="nzTable"/>
            </w:pPr>
            <w:r>
              <w:t>Z.54</w:t>
            </w:r>
          </w:p>
        </w:tc>
        <w:tc>
          <w:tcPr>
            <w:tcW w:w="851" w:type="dxa"/>
          </w:tcPr>
          <w:p>
            <w:pPr>
              <w:pStyle w:val="nzTable"/>
            </w:pPr>
            <w:r>
              <w:t>300</w:t>
            </w:r>
          </w:p>
        </w:tc>
        <w:tc>
          <w:tcPr>
            <w:tcW w:w="1701" w:type="dxa"/>
          </w:tcPr>
          <w:p>
            <w:pPr>
              <w:pStyle w:val="nzTable"/>
            </w:pPr>
            <w:r>
              <w:t>Incandescent</w:t>
            </w:r>
          </w:p>
        </w:tc>
        <w:tc>
          <w:tcPr>
            <w:tcW w:w="1275" w:type="dxa"/>
          </w:tcPr>
          <w:p>
            <w:pPr>
              <w:pStyle w:val="nzTable"/>
            </w:pPr>
            <w:r>
              <w:t>32.923</w:t>
            </w:r>
          </w:p>
        </w:tc>
        <w:tc>
          <w:tcPr>
            <w:tcW w:w="1276" w:type="dxa"/>
          </w:tcPr>
          <w:p>
            <w:pPr>
              <w:pStyle w:val="nzTable"/>
            </w:pPr>
            <w:r>
              <w:t>33.990</w:t>
            </w:r>
          </w:p>
        </w:tc>
        <w:tc>
          <w:tcPr>
            <w:tcW w:w="1134" w:type="dxa"/>
          </w:tcPr>
          <w:p>
            <w:pPr>
              <w:pStyle w:val="nzTable"/>
            </w:pPr>
            <w:r>
              <w:t>37.840</w:t>
            </w:r>
          </w:p>
        </w:tc>
      </w:tr>
      <w:tr>
        <w:trPr>
          <w:cantSplit/>
        </w:trPr>
        <w:tc>
          <w:tcPr>
            <w:tcW w:w="567" w:type="dxa"/>
          </w:tcPr>
          <w:p>
            <w:pPr>
              <w:pStyle w:val="nzTable"/>
            </w:pPr>
            <w:r>
              <w:t>Z.55</w:t>
            </w:r>
          </w:p>
        </w:tc>
        <w:tc>
          <w:tcPr>
            <w:tcW w:w="851" w:type="dxa"/>
          </w:tcPr>
          <w:p>
            <w:pPr>
              <w:pStyle w:val="nzTable"/>
            </w:pPr>
            <w:r>
              <w:t>500</w:t>
            </w:r>
          </w:p>
        </w:tc>
        <w:tc>
          <w:tcPr>
            <w:tcW w:w="1701" w:type="dxa"/>
          </w:tcPr>
          <w:p>
            <w:pPr>
              <w:pStyle w:val="nzTable"/>
            </w:pPr>
            <w:r>
              <w:t>Incandescent</w:t>
            </w:r>
          </w:p>
        </w:tc>
        <w:tc>
          <w:tcPr>
            <w:tcW w:w="1275" w:type="dxa"/>
          </w:tcPr>
          <w:p>
            <w:pPr>
              <w:pStyle w:val="nzTable"/>
            </w:pPr>
            <w:r>
              <w:t>52.943</w:t>
            </w:r>
          </w:p>
        </w:tc>
        <w:tc>
          <w:tcPr>
            <w:tcW w:w="1276" w:type="dxa"/>
          </w:tcPr>
          <w:p>
            <w:pPr>
              <w:pStyle w:val="nzTable"/>
            </w:pPr>
            <w:r>
              <w:t>55.011</w:t>
            </w:r>
          </w:p>
        </w:tc>
        <w:tc>
          <w:tcPr>
            <w:tcW w:w="1134" w:type="dxa"/>
          </w:tcPr>
          <w:p>
            <w:pPr>
              <w:pStyle w:val="nzTable"/>
            </w:pPr>
            <w:r>
              <w:t>62.777</w:t>
            </w:r>
          </w:p>
        </w:tc>
      </w:tr>
      <w:tr>
        <w:trPr>
          <w:cantSplit/>
        </w:trPr>
        <w:tc>
          <w:tcPr>
            <w:tcW w:w="567" w:type="dxa"/>
          </w:tcPr>
          <w:p>
            <w:pPr>
              <w:pStyle w:val="nzTable"/>
            </w:pPr>
            <w:r>
              <w:t>Z.56</w:t>
            </w:r>
          </w:p>
        </w:tc>
        <w:tc>
          <w:tcPr>
            <w:tcW w:w="851" w:type="dxa"/>
          </w:tcPr>
          <w:p>
            <w:pPr>
              <w:pStyle w:val="nzTable"/>
            </w:pPr>
            <w:r>
              <w:t>40</w:t>
            </w:r>
          </w:p>
        </w:tc>
        <w:tc>
          <w:tcPr>
            <w:tcW w:w="1701" w:type="dxa"/>
          </w:tcPr>
          <w:p>
            <w:pPr>
              <w:pStyle w:val="nzTable"/>
            </w:pPr>
            <w:r>
              <w:t>Fluorescent</w:t>
            </w:r>
          </w:p>
        </w:tc>
        <w:tc>
          <w:tcPr>
            <w:tcW w:w="1275" w:type="dxa"/>
          </w:tcPr>
          <w:p>
            <w:pPr>
              <w:pStyle w:val="nzTable"/>
            </w:pPr>
            <w:r>
              <w:t>22.605</w:t>
            </w:r>
          </w:p>
        </w:tc>
        <w:tc>
          <w:tcPr>
            <w:tcW w:w="1276" w:type="dxa"/>
          </w:tcPr>
          <w:p>
            <w:pPr>
              <w:pStyle w:val="nzTable"/>
            </w:pPr>
            <w:r>
              <w:t>23.089</w:t>
            </w:r>
          </w:p>
        </w:tc>
        <w:tc>
          <w:tcPr>
            <w:tcW w:w="1134" w:type="dxa"/>
          </w:tcPr>
          <w:p>
            <w:pPr>
              <w:pStyle w:val="nzTable"/>
            </w:pPr>
            <w:r>
              <w:t>24.838</w:t>
            </w:r>
          </w:p>
        </w:tc>
      </w:tr>
      <w:tr>
        <w:trPr>
          <w:cantSplit/>
        </w:trPr>
        <w:tc>
          <w:tcPr>
            <w:tcW w:w="567" w:type="dxa"/>
          </w:tcPr>
          <w:p>
            <w:pPr>
              <w:pStyle w:val="nzTable"/>
            </w:pPr>
            <w:r>
              <w:t>Z.57</w:t>
            </w:r>
          </w:p>
        </w:tc>
        <w:tc>
          <w:tcPr>
            <w:tcW w:w="851" w:type="dxa"/>
          </w:tcPr>
          <w:p>
            <w:pPr>
              <w:pStyle w:val="nzTable"/>
            </w:pPr>
            <w:r>
              <w:t>80</w:t>
            </w:r>
          </w:p>
        </w:tc>
        <w:tc>
          <w:tcPr>
            <w:tcW w:w="1701" w:type="dxa"/>
          </w:tcPr>
          <w:p>
            <w:pPr>
              <w:pStyle w:val="nzTable"/>
            </w:pPr>
            <w:r>
              <w:t>Fluorescent</w:t>
            </w:r>
          </w:p>
        </w:tc>
        <w:tc>
          <w:tcPr>
            <w:tcW w:w="1275" w:type="dxa"/>
          </w:tcPr>
          <w:p>
            <w:pPr>
              <w:pStyle w:val="nzTable"/>
            </w:pPr>
            <w:r>
              <w:t>26.620</w:t>
            </w:r>
          </w:p>
        </w:tc>
        <w:tc>
          <w:tcPr>
            <w:tcW w:w="1276" w:type="dxa"/>
          </w:tcPr>
          <w:p>
            <w:pPr>
              <w:pStyle w:val="nzTable"/>
            </w:pPr>
            <w:r>
              <w:t>27.214</w:t>
            </w:r>
          </w:p>
        </w:tc>
        <w:tc>
          <w:tcPr>
            <w:tcW w:w="1134" w:type="dxa"/>
          </w:tcPr>
          <w:p>
            <w:pPr>
              <w:pStyle w:val="nzTable"/>
            </w:pPr>
            <w:r>
              <w:t>29.942</w:t>
            </w:r>
          </w:p>
        </w:tc>
      </w:tr>
      <w:tr>
        <w:trPr>
          <w:cantSplit/>
        </w:trPr>
        <w:tc>
          <w:tcPr>
            <w:tcW w:w="567" w:type="dxa"/>
            <w:tcBorders>
              <w:bottom w:val="single" w:sz="4" w:space="0" w:color="auto"/>
            </w:tcBorders>
          </w:tcPr>
          <w:p>
            <w:pPr>
              <w:pStyle w:val="nzTable"/>
            </w:pPr>
            <w:r>
              <w:t>Z.58</w:t>
            </w:r>
          </w:p>
        </w:tc>
        <w:tc>
          <w:tcPr>
            <w:tcW w:w="851" w:type="dxa"/>
            <w:tcBorders>
              <w:bottom w:val="single" w:sz="4" w:space="0" w:color="auto"/>
            </w:tcBorders>
          </w:tcPr>
          <w:p>
            <w:pPr>
              <w:pStyle w:val="nzTable"/>
            </w:pPr>
            <w:r>
              <w:t>160</w:t>
            </w:r>
          </w:p>
        </w:tc>
        <w:tc>
          <w:tcPr>
            <w:tcW w:w="1701" w:type="dxa"/>
            <w:tcBorders>
              <w:bottom w:val="single" w:sz="4" w:space="0" w:color="auto"/>
            </w:tcBorders>
          </w:tcPr>
          <w:p>
            <w:pPr>
              <w:pStyle w:val="nzTable"/>
            </w:pPr>
            <w:r>
              <w:t>Fluorescent</w:t>
            </w:r>
          </w:p>
        </w:tc>
        <w:tc>
          <w:tcPr>
            <w:tcW w:w="1275" w:type="dxa"/>
            <w:tcBorders>
              <w:bottom w:val="single" w:sz="4" w:space="0" w:color="auto"/>
            </w:tcBorders>
          </w:tcPr>
          <w:p>
            <w:pPr>
              <w:pStyle w:val="nzTable"/>
            </w:pPr>
            <w:r>
              <w:t>37.235</w:t>
            </w:r>
          </w:p>
        </w:tc>
        <w:tc>
          <w:tcPr>
            <w:tcW w:w="1276" w:type="dxa"/>
            <w:tcBorders>
              <w:bottom w:val="single" w:sz="4" w:space="0" w:color="auto"/>
            </w:tcBorders>
          </w:tcPr>
          <w:p>
            <w:pPr>
              <w:pStyle w:val="nzTable"/>
            </w:pPr>
            <w:r>
              <w:t>37.752</w:t>
            </w:r>
          </w:p>
        </w:tc>
        <w:tc>
          <w:tcPr>
            <w:tcW w:w="1134" w:type="dxa"/>
            <w:tcBorders>
              <w:bottom w:val="single" w:sz="4" w:space="0" w:color="auto"/>
            </w:tcBorders>
          </w:tcPr>
          <w:p>
            <w:pPr>
              <w:pStyle w:val="nzTable"/>
            </w:pPr>
            <w:r>
              <w:t>43.802</w:t>
            </w:r>
          </w:p>
        </w:tc>
      </w:tr>
    </w:tbl>
    <w:p>
      <w:pPr>
        <w:pStyle w:val="BlankClose"/>
      </w:pPr>
    </w:p>
    <w:p>
      <w:pPr>
        <w:pStyle w:val="nHeading5"/>
      </w:pPr>
      <w:r>
        <w:rPr>
          <w:rStyle w:val="CharSectno"/>
        </w:rPr>
        <w:t>12</w:t>
      </w:r>
      <w:r>
        <w:t>.</w:t>
      </w:r>
      <w:r>
        <w:tab/>
        <w:t>Schedule 4 amended</w:t>
      </w:r>
    </w:p>
    <w:p>
      <w:pPr>
        <w:pStyle w:val="nSubsection"/>
        <w:tabs>
          <w:tab w:val="left" w:pos="882"/>
        </w:tabs>
      </w:pPr>
      <w:r>
        <w:tab/>
        <w:t>(1)</w:t>
      </w:r>
      <w:r>
        <w:tab/>
        <w:t>In Schedule 4 delete item 11 and insert:</w:t>
      </w:r>
    </w:p>
    <w:p>
      <w:pPr>
        <w:pStyle w:val="BlankOpen"/>
      </w:pPr>
    </w:p>
    <w:tbl>
      <w:tblPr>
        <w:tblW w:w="0" w:type="auto"/>
        <w:tblInd w:w="622" w:type="dxa"/>
        <w:tblLayout w:type="fixed"/>
        <w:tblCellMar>
          <w:left w:w="142" w:type="dxa"/>
          <w:right w:w="142" w:type="dxa"/>
        </w:tblCellMar>
        <w:tblLook w:val="0000" w:firstRow="0" w:lastRow="0" w:firstColumn="0" w:lastColumn="0" w:noHBand="0" w:noVBand="0"/>
      </w:tblPr>
      <w:tblGrid>
        <w:gridCol w:w="720"/>
        <w:gridCol w:w="4560"/>
        <w:gridCol w:w="840"/>
      </w:tblGrid>
      <w:tr>
        <w:tc>
          <w:tcPr>
            <w:tcW w:w="720" w:type="dxa"/>
          </w:tcPr>
          <w:p>
            <w:pPr>
              <w:pStyle w:val="nzTable"/>
            </w:pPr>
            <w:r>
              <w:t>11.</w:t>
            </w:r>
          </w:p>
        </w:tc>
        <w:tc>
          <w:tcPr>
            <w:tcW w:w="4560" w:type="dxa"/>
          </w:tcPr>
          <w:p>
            <w:pPr>
              <w:pStyle w:val="nzTable"/>
            </w:pPr>
            <w:r>
              <w:t>Rejected account payment (where payment made through Australia Post) ...............................................</w:t>
            </w:r>
          </w:p>
        </w:tc>
        <w:tc>
          <w:tcPr>
            <w:tcW w:w="840" w:type="dxa"/>
          </w:tcPr>
          <w:p>
            <w:pPr>
              <w:pStyle w:val="nzTable"/>
            </w:pPr>
            <w:r>
              <w:br/>
              <w:t>$23.00</w:t>
            </w:r>
          </w:p>
        </w:tc>
      </w:tr>
    </w:tbl>
    <w:p>
      <w:pPr>
        <w:pStyle w:val="BlankClose"/>
      </w:pPr>
    </w:p>
    <w:p>
      <w:pPr>
        <w:pStyle w:val="nSubsection"/>
        <w:tabs>
          <w:tab w:val="left" w:pos="882"/>
        </w:tabs>
      </w:pPr>
      <w:r>
        <w:tab/>
        <w:t>(2)</w:t>
      </w:r>
      <w:r>
        <w:tab/>
        <w:t>Amend the provisions listed in the Table as set out in the Table.</w:t>
      </w:r>
    </w:p>
    <w:p>
      <w:pPr>
        <w:pStyle w:val="nzMiscellaneousHeading"/>
      </w:pPr>
      <w:bookmarkStart w:id="317" w:name="UpToHere"/>
      <w:r>
        <w:t>Table</w:t>
      </w:r>
    </w:p>
    <w:tbl>
      <w:tblPr>
        <w:tblW w:w="0" w:type="auto"/>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575"/>
        <w:gridCol w:w="2268"/>
        <w:gridCol w:w="2268"/>
      </w:tblGrid>
      <w:tr>
        <w:trPr>
          <w:cantSplit/>
          <w:tblHeader/>
          <w:jc w:val="center"/>
        </w:trPr>
        <w:tc>
          <w:tcPr>
            <w:tcW w:w="1575" w:type="dxa"/>
          </w:tcPr>
          <w:bookmarkEnd w:id="317"/>
          <w:p>
            <w:pPr>
              <w:pStyle w:val="nzTable"/>
            </w:pPr>
            <w:r>
              <w:t>Provision</w:t>
            </w:r>
          </w:p>
        </w:tc>
        <w:tc>
          <w:tcPr>
            <w:tcW w:w="2268" w:type="dxa"/>
          </w:tcPr>
          <w:p>
            <w:pPr>
              <w:pStyle w:val="nzTable"/>
            </w:pPr>
            <w:r>
              <w:t>Delete</w:t>
            </w:r>
          </w:p>
        </w:tc>
        <w:tc>
          <w:tcPr>
            <w:tcW w:w="2268" w:type="dxa"/>
          </w:tcPr>
          <w:p>
            <w:pPr>
              <w:pStyle w:val="nzTable"/>
            </w:pPr>
            <w:r>
              <w:t>Insert</w:t>
            </w:r>
          </w:p>
        </w:tc>
      </w:tr>
      <w:tr>
        <w:trPr>
          <w:cantSplit/>
          <w:jc w:val="center"/>
        </w:trPr>
        <w:tc>
          <w:tcPr>
            <w:tcW w:w="1575" w:type="dxa"/>
          </w:tcPr>
          <w:p>
            <w:pPr>
              <w:pStyle w:val="nzTable"/>
            </w:pPr>
            <w:r>
              <w:t>Sch. 4 it. 1</w:t>
            </w:r>
          </w:p>
        </w:tc>
        <w:tc>
          <w:tcPr>
            <w:tcW w:w="2268" w:type="dxa"/>
          </w:tcPr>
          <w:p>
            <w:pPr>
              <w:pStyle w:val="nzTable"/>
              <w:rPr>
                <w:sz w:val="22"/>
              </w:rPr>
            </w:pPr>
            <w:r>
              <w:rPr>
                <w:sz w:val="22"/>
              </w:rPr>
              <w:t>$29.80</w:t>
            </w:r>
          </w:p>
        </w:tc>
        <w:tc>
          <w:tcPr>
            <w:tcW w:w="2268" w:type="dxa"/>
          </w:tcPr>
          <w:p>
            <w:pPr>
              <w:pStyle w:val="nzTable"/>
              <w:rPr>
                <w:sz w:val="22"/>
              </w:rPr>
            </w:pPr>
            <w:r>
              <w:rPr>
                <w:sz w:val="22"/>
              </w:rPr>
              <w:t>$32.10</w:t>
            </w:r>
          </w:p>
        </w:tc>
      </w:tr>
      <w:tr>
        <w:trPr>
          <w:cantSplit/>
          <w:jc w:val="center"/>
        </w:trPr>
        <w:tc>
          <w:tcPr>
            <w:tcW w:w="1575" w:type="dxa"/>
          </w:tcPr>
          <w:p>
            <w:pPr>
              <w:pStyle w:val="nzTable"/>
            </w:pPr>
            <w:r>
              <w:t>Sch. 4 it. 3</w:t>
            </w:r>
          </w:p>
        </w:tc>
        <w:tc>
          <w:tcPr>
            <w:tcW w:w="2268" w:type="dxa"/>
          </w:tcPr>
          <w:p>
            <w:pPr>
              <w:pStyle w:val="nzTable"/>
              <w:rPr>
                <w:sz w:val="22"/>
              </w:rPr>
            </w:pPr>
            <w:r>
              <w:rPr>
                <w:sz w:val="22"/>
              </w:rPr>
              <w:t>$27.50</w:t>
            </w:r>
          </w:p>
        </w:tc>
        <w:tc>
          <w:tcPr>
            <w:tcW w:w="2268" w:type="dxa"/>
          </w:tcPr>
          <w:p>
            <w:pPr>
              <w:pStyle w:val="nzTable"/>
              <w:rPr>
                <w:sz w:val="22"/>
              </w:rPr>
            </w:pPr>
            <w:r>
              <w:rPr>
                <w:sz w:val="22"/>
              </w:rPr>
              <w:t>$29.60</w:t>
            </w:r>
          </w:p>
        </w:tc>
      </w:tr>
      <w:tr>
        <w:trPr>
          <w:cantSplit/>
          <w:jc w:val="center"/>
        </w:trPr>
        <w:tc>
          <w:tcPr>
            <w:tcW w:w="1575" w:type="dxa"/>
          </w:tcPr>
          <w:p>
            <w:pPr>
              <w:pStyle w:val="nzTable"/>
            </w:pPr>
            <w:r>
              <w:t>Sch. 4 it. 4</w:t>
            </w:r>
          </w:p>
        </w:tc>
        <w:tc>
          <w:tcPr>
            <w:tcW w:w="2268" w:type="dxa"/>
          </w:tcPr>
          <w:p>
            <w:pPr>
              <w:pStyle w:val="nzTable"/>
              <w:rPr>
                <w:sz w:val="22"/>
              </w:rPr>
            </w:pPr>
            <w:r>
              <w:rPr>
                <w:sz w:val="22"/>
              </w:rPr>
              <w:t>35.227 cents</w:t>
            </w:r>
          </w:p>
        </w:tc>
        <w:tc>
          <w:tcPr>
            <w:tcW w:w="2268" w:type="dxa"/>
          </w:tcPr>
          <w:p>
            <w:pPr>
              <w:pStyle w:val="nzTable"/>
              <w:rPr>
                <w:sz w:val="22"/>
              </w:rPr>
            </w:pPr>
            <w:r>
              <w:rPr>
                <w:sz w:val="22"/>
              </w:rPr>
              <w:t>40.568 cents</w:t>
            </w:r>
          </w:p>
        </w:tc>
      </w:tr>
      <w:tr>
        <w:trPr>
          <w:cantSplit/>
          <w:jc w:val="center"/>
        </w:trPr>
        <w:tc>
          <w:tcPr>
            <w:tcW w:w="1575" w:type="dxa"/>
          </w:tcPr>
          <w:p>
            <w:pPr>
              <w:pStyle w:val="nzTable"/>
            </w:pPr>
            <w:r>
              <w:t>Sch. 4 it. 9</w:t>
            </w:r>
          </w:p>
        </w:tc>
        <w:tc>
          <w:tcPr>
            <w:tcW w:w="2268" w:type="dxa"/>
          </w:tcPr>
          <w:p>
            <w:pPr>
              <w:pStyle w:val="nzTable"/>
              <w:rPr>
                <w:sz w:val="22"/>
              </w:rPr>
            </w:pPr>
            <w:r>
              <w:rPr>
                <w:sz w:val="22"/>
              </w:rPr>
              <w:t>45.089 cents</w:t>
            </w:r>
          </w:p>
        </w:tc>
        <w:tc>
          <w:tcPr>
            <w:tcW w:w="2268" w:type="dxa"/>
          </w:tcPr>
          <w:p>
            <w:pPr>
              <w:pStyle w:val="nzTable"/>
              <w:rPr>
                <w:sz w:val="22"/>
              </w:rPr>
            </w:pPr>
            <w:r>
              <w:rPr>
                <w:sz w:val="22"/>
              </w:rPr>
              <w:t>51.843 cents</w:t>
            </w:r>
          </w:p>
        </w:tc>
      </w:tr>
      <w:tr>
        <w:trPr>
          <w:cantSplit/>
          <w:jc w:val="center"/>
        </w:trPr>
        <w:tc>
          <w:tcPr>
            <w:tcW w:w="1575" w:type="dxa"/>
          </w:tcPr>
          <w:p>
            <w:pPr>
              <w:pStyle w:val="nzTable"/>
            </w:pPr>
            <w:r>
              <w:t>Sch. 4 it. 10</w:t>
            </w:r>
          </w:p>
        </w:tc>
        <w:tc>
          <w:tcPr>
            <w:tcW w:w="2268" w:type="dxa"/>
          </w:tcPr>
          <w:p>
            <w:pPr>
              <w:pStyle w:val="nzTable"/>
              <w:rPr>
                <w:sz w:val="22"/>
              </w:rPr>
            </w:pPr>
            <w:r>
              <w:rPr>
                <w:sz w:val="22"/>
              </w:rPr>
              <w:t>$4.10</w:t>
            </w:r>
          </w:p>
        </w:tc>
        <w:tc>
          <w:tcPr>
            <w:tcW w:w="2268" w:type="dxa"/>
          </w:tcPr>
          <w:p>
            <w:pPr>
              <w:pStyle w:val="nzTable"/>
              <w:rPr>
                <w:sz w:val="22"/>
              </w:rPr>
            </w:pPr>
            <w:r>
              <w:rPr>
                <w:sz w:val="22"/>
              </w:rPr>
              <w:t>$4.40</w:t>
            </w:r>
          </w:p>
        </w:tc>
      </w:tr>
    </w:tbl>
    <w:p>
      <w:pPr>
        <w:pStyle w:val="BlankClose"/>
      </w:pP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(Regional Power Corporation) (Charges) By-laws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133"/>
    <w:docVar w:name="WAFER_20151207170133" w:val="RemoveTrackChanges"/>
    <w:docVar w:name="WAFER_20151207170133_GUID" w:val="6f16e532-f355-42b1-a7d8-0e40a815a3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5303</Words>
  <Characters>26095</Characters>
  <Application>Microsoft Office Word</Application>
  <DocSecurity>0</DocSecurity>
  <Lines>1186</Lines>
  <Paragraphs>897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Supply charges</vt:lpstr>
      <vt:lpstr>    Schedule 2 — Street lighting</vt:lpstr>
      <vt:lpstr>    Schedule 3 — Meter rentals</vt:lpstr>
      <vt:lpstr>    Schedule 4 — Fees</vt:lpstr>
      <vt:lpstr>    Notes</vt:lpstr>
      <vt:lpstr>    Part 3 — Amendments commencing on 1 July 2009</vt:lpstr>
    </vt:vector>
  </TitlesOfParts>
  <Manager/>
  <Company/>
  <LinksUpToDate>false</LinksUpToDate>
  <CharactersWithSpaces>30501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2006 - 00-c0-02</dc:title>
  <dc:subject/>
  <dc:creator/>
  <cp:keywords/>
  <dc:description/>
  <cp:lastModifiedBy>svcMRProcess</cp:lastModifiedBy>
  <cp:revision>4</cp:revision>
  <cp:lastPrinted>2006-02-17T09:03:00Z</cp:lastPrinted>
  <dcterms:created xsi:type="dcterms:W3CDTF">2020-02-24T14:06:00Z</dcterms:created>
  <dcterms:modified xsi:type="dcterms:W3CDTF">2020-02-24T14:07:00Z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20090401</vt:lpwstr>
  </property>
  <property fmtid="{D5CDD505-2E9C-101B-9397-08002B2CF9AE}" pid="4" name="DocumentType">
    <vt:lpwstr>Reg</vt:lpwstr>
  </property>
  <property fmtid="{D5CDD505-2E9C-101B-9397-08002B2CF9AE}" pid="5" name="OwlsUID">
    <vt:i4>38408</vt:i4>
  </property>
  <property fmtid="{D5CDD505-2E9C-101B-9397-08002B2CF9AE}" pid="6" name="AsAtDate">
    <vt:lpwstr>01 Apr 2009</vt:lpwstr>
  </property>
  <property fmtid="{D5CDD505-2E9C-101B-9397-08002B2CF9AE}" pid="7" name="Suffix">
    <vt:lpwstr>00-c0-02</vt:lpwstr>
  </property>
</Properties>
</file>