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Offenders (Legal Action) Act 2000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Offenders (Legal Action) Act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</w:r>
      <w:r>
        <w:t>Short</w:t>
      </w:r>
      <w:r>
        <w:rPr>
          <w:snapToGrid w:val="0"/>
        </w:rPr>
        <w:t xml:space="preserve"> title</w:t>
      </w:r>
      <w:r>
        <w:tab/>
      </w:r>
      <w:r>
        <w:fldChar w:fldCharType="begin"/>
      </w:r>
      <w:r>
        <w:instrText xml:space="preserve"> PAGEREF _Toc421719352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_Toc421719353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_Toc421719354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</w:t>
      </w:r>
      <w:r>
        <w:tab/>
      </w:r>
      <w:r>
        <w:fldChar w:fldCharType="begin"/>
      </w:r>
      <w:r>
        <w:instrText xml:space="preserve"> PAGEREF _Toc421719355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Actions in respect of harm suffered by offenders barred</w:t>
      </w:r>
      <w:r>
        <w:tab/>
      </w:r>
      <w:r>
        <w:fldChar w:fldCharType="begin"/>
      </w:r>
      <w:r>
        <w:instrText xml:space="preserve"> PAGEREF _Toc421719356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_Toc421719358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Offenders (Legal Action) Act 2000</w:t>
      </w:r>
    </w:p>
    <w:p>
      <w:pPr>
        <w:pStyle w:val="LongTitle"/>
        <w:suppressLineNumbers/>
      </w:pPr>
      <w:bookmarkStart w:id="3" w:name="BillCited"/>
      <w:bookmarkEnd w:id="3"/>
      <w:r>
        <w:rPr>
          <w:snapToGrid w:val="0"/>
        </w:rPr>
        <w:t>An Act to prevent offenders and others from taking legal action in respect of harm suffered in the course of committing an offence</w:t>
      </w:r>
      <w:r>
        <w:t>.</w:t>
      </w:r>
    </w:p>
    <w:p>
      <w:pPr>
        <w:pStyle w:val="Heading5"/>
        <w:rPr>
          <w:snapToGrid w:val="0"/>
        </w:rPr>
      </w:pPr>
      <w:bookmarkStart w:id="4" w:name="_Toc378088012"/>
      <w:bookmarkStart w:id="5" w:name="_Toc42171935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rStyle w:val="CharSectno"/>
        </w:rPr>
        <w:t>Short</w:t>
      </w:r>
      <w:r>
        <w:rPr>
          <w:snapToGrid w:val="0"/>
        </w:rPr>
        <w:t xml:space="preserve"> title</w:t>
      </w:r>
      <w:bookmarkEnd w:id="4"/>
      <w:bookmarkEnd w:id="5"/>
    </w:p>
    <w:p>
      <w:pPr>
        <w:pStyle w:val="Subsection"/>
      </w:pPr>
      <w:r>
        <w:tab/>
      </w:r>
      <w:r>
        <w:tab/>
        <w:t xml:space="preserve">This Act may be cited as the </w:t>
      </w:r>
      <w:r>
        <w:rPr>
          <w:i/>
          <w:iCs/>
        </w:rPr>
        <w:t>Offenders (Legal Action) Act 2000</w:t>
      </w:r>
      <w:r>
        <w:t>.</w:t>
      </w:r>
    </w:p>
    <w:p>
      <w:pPr>
        <w:pStyle w:val="Heading5"/>
        <w:pageBreakBefore/>
      </w:pPr>
      <w:bookmarkStart w:id="6" w:name="Start_Cursor"/>
      <w:bookmarkStart w:id="7" w:name="_Toc378088013"/>
      <w:bookmarkStart w:id="8" w:name="_Toc421719353"/>
      <w:bookmarkEnd w:id="6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</w:p>
    <w:p>
      <w:pPr>
        <w:pStyle w:val="Subsection"/>
      </w:pPr>
      <w:r>
        <w:tab/>
      </w:r>
      <w:r>
        <w:tab/>
        <w:t>This Act comes into operation on the day on which it receives the Royal Assent.</w:t>
      </w:r>
    </w:p>
    <w:p>
      <w:pPr>
        <w:pStyle w:val="Heading5"/>
        <w:rPr>
          <w:rStyle w:val="CharSectno"/>
        </w:rPr>
      </w:pPr>
      <w:bookmarkStart w:id="9" w:name="_Toc378088014"/>
      <w:bookmarkStart w:id="10" w:name="_Toc421719354"/>
      <w:r>
        <w:rPr>
          <w:rStyle w:val="CharSectno"/>
        </w:rPr>
        <w:t>3.</w:t>
      </w:r>
      <w:r>
        <w:rPr>
          <w:rStyle w:val="CharSectno"/>
        </w:rPr>
        <w:tab/>
        <w:t>Interpretation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In this Act, unless the contrary intention appears —</w:t>
      </w:r>
    </w:p>
    <w:p>
      <w:pPr>
        <w:pStyle w:val="Defstart"/>
        <w:ind w:left="1140" w:hanging="885"/>
      </w:pPr>
      <w:r>
        <w:tab/>
      </w:r>
      <w:r>
        <w:rPr>
          <w:rStyle w:val="CharDefText"/>
        </w:rPr>
        <w:t>action</w:t>
      </w:r>
      <w:r>
        <w:t xml:space="preserve"> means an action in tort, an action of a similar kind to an action in tort, or an action under the </w:t>
      </w:r>
      <w:r>
        <w:rPr>
          <w:i/>
        </w:rPr>
        <w:t>Fatal Accidents Act 1959</w:t>
      </w:r>
      <w:r>
        <w:t>;</w:t>
      </w:r>
    </w:p>
    <w:p>
      <w:pPr>
        <w:pStyle w:val="Defstart"/>
        <w:ind w:left="1140" w:hanging="885"/>
      </w:pPr>
      <w:r>
        <w:tab/>
      </w:r>
      <w:r>
        <w:rPr>
          <w:rStyle w:val="CharDefText"/>
        </w:rPr>
        <w:t>criminal conduct</w:t>
      </w:r>
      <w:r>
        <w:t xml:space="preserve"> means —</w:t>
      </w:r>
    </w:p>
    <w:p>
      <w:pPr>
        <w:pStyle w:val="Defpara"/>
      </w:pPr>
      <w:r>
        <w:tab/>
        <w:t>(a)</w:t>
      </w:r>
      <w:r>
        <w:tab/>
        <w:t>the commission of an offence; or</w:t>
      </w:r>
    </w:p>
    <w:p>
      <w:pPr>
        <w:pStyle w:val="Defpara"/>
      </w:pPr>
      <w:r>
        <w:tab/>
        <w:t>(b)</w:t>
      </w:r>
      <w:r>
        <w:tab/>
        <w:t>anything done or omitted to be done for the purpose of the commission of an offence, including —</w:t>
      </w:r>
    </w:p>
    <w:p>
      <w:pPr>
        <w:pStyle w:val="Defsubpara"/>
        <w:keepLines w:val="0"/>
      </w:pPr>
      <w:r>
        <w:tab/>
        <w:t>(i)</w:t>
      </w:r>
      <w:r>
        <w:tab/>
        <w:t>planning it;</w:t>
      </w:r>
    </w:p>
    <w:p>
      <w:pPr>
        <w:pStyle w:val="Defsubpara"/>
        <w:keepLines w:val="0"/>
      </w:pPr>
      <w:r>
        <w:tab/>
        <w:t>(ii)</w:t>
      </w:r>
      <w:r>
        <w:tab/>
        <w:t>preparing for it;</w:t>
      </w:r>
    </w:p>
    <w:p>
      <w:pPr>
        <w:pStyle w:val="Defsubpara"/>
        <w:keepLines w:val="0"/>
      </w:pPr>
      <w:r>
        <w:tab/>
        <w:t>(iii)</w:t>
      </w:r>
      <w:r>
        <w:tab/>
        <w:t>travelling to o</w:t>
      </w:r>
      <w:bookmarkStart w:id="11" w:name="OddPGBreak"/>
      <w:bookmarkEnd w:id="11"/>
      <w:r>
        <w:t>r from the place where it is committed;</w:t>
      </w:r>
    </w:p>
    <w:p>
      <w:pPr>
        <w:pStyle w:val="Defsubpara"/>
        <w:keepLines w:val="0"/>
      </w:pPr>
      <w:r>
        <w:tab/>
        <w:t>(iv)</w:t>
      </w:r>
      <w:r>
        <w:tab/>
        <w:t>concealing it;</w:t>
      </w:r>
    </w:p>
    <w:p>
      <w:pPr>
        <w:pStyle w:val="Defsubpara"/>
        <w:keepLines w:val="0"/>
      </w:pPr>
      <w:r>
        <w:tab/>
        <w:t>(v)</w:t>
      </w:r>
      <w:r>
        <w:tab/>
        <w:t>disposing of anything used in the course of it or obtained from it.</w:t>
      </w:r>
    </w:p>
    <w:p>
      <w:pPr>
        <w:pStyle w:val="Subsection"/>
      </w:pPr>
      <w:r>
        <w:tab/>
        <w:t>(2)</w:t>
      </w:r>
      <w:r>
        <w:tab/>
        <w:t>A reference in subsection (1) to an offence is a reference to —</w:t>
      </w:r>
    </w:p>
    <w:p>
      <w:pPr>
        <w:pStyle w:val="Indenta"/>
      </w:pPr>
      <w:r>
        <w:tab/>
        <w:t>(a)</w:t>
      </w:r>
      <w:r>
        <w:tab/>
        <w:t>an indictable offence against a written law or a law of another State, a Territory or the Commonwealth; or</w:t>
      </w:r>
    </w:p>
    <w:p>
      <w:pPr>
        <w:pStyle w:val="Indenta"/>
      </w:pPr>
      <w:r>
        <w:tab/>
        <w:t>(b)</w:t>
      </w:r>
      <w:r>
        <w:tab/>
        <w:t>conduct that —</w:t>
      </w:r>
    </w:p>
    <w:p>
      <w:pPr>
        <w:pStyle w:val="Indenti"/>
      </w:pPr>
      <w:r>
        <w:tab/>
        <w:t>(i)</w:t>
      </w:r>
      <w:r>
        <w:tab/>
        <w:t>constitutes an offence against a law of another country for which a person could be sentenced, on conviction in that country, to imprisonment for a period of not less than 2 years or for an indefinite period; and</w:t>
      </w:r>
    </w:p>
    <w:p>
      <w:pPr>
        <w:pStyle w:val="Indenti"/>
      </w:pPr>
      <w:r>
        <w:tab/>
        <w:t>(ii)</w:t>
      </w:r>
      <w:r>
        <w:tab/>
        <w:t>would, if it had taken place in this State, have constituted an indictable offence against a written law.</w:t>
      </w:r>
    </w:p>
    <w:p>
      <w:pPr>
        <w:pStyle w:val="Subsection"/>
      </w:pPr>
      <w:r>
        <w:tab/>
        <w:t>(3)</w:t>
      </w:r>
      <w:r>
        <w:tab/>
        <w:t>For the purposes of subsection (2) an offence is indictable if the trial of that offence can or has to be by jury.</w:t>
      </w:r>
    </w:p>
    <w:p>
      <w:pPr>
        <w:pStyle w:val="Footnotesection"/>
      </w:pPr>
      <w:r>
        <w:tab/>
        <w:t>[Section 3 amended: No. 77 of 2003 s. 73.]</w:t>
      </w:r>
    </w:p>
    <w:p>
      <w:pPr>
        <w:pStyle w:val="Heading5"/>
      </w:pPr>
      <w:bookmarkStart w:id="12" w:name="_Toc378088015"/>
      <w:bookmarkStart w:id="13" w:name="_Toc421719355"/>
      <w:r>
        <w:rPr>
          <w:rStyle w:val="CharSectno"/>
        </w:rPr>
        <w:t>4</w:t>
      </w:r>
      <w:r>
        <w:t>.</w:t>
      </w:r>
      <w:r>
        <w:tab/>
        <w:t>Application</w:t>
      </w:r>
      <w:bookmarkEnd w:id="12"/>
      <w:bookmarkEnd w:id="13"/>
    </w:p>
    <w:p>
      <w:pPr>
        <w:pStyle w:val="Subsection"/>
      </w:pPr>
      <w:r>
        <w:tab/>
      </w:r>
      <w:r>
        <w:tab/>
        <w:t>This Act applies to an action whether the cause of action arose before or after the coming into operation of this Act.</w:t>
      </w:r>
    </w:p>
    <w:p>
      <w:pPr>
        <w:pStyle w:val="Heading5"/>
      </w:pPr>
      <w:bookmarkStart w:id="14" w:name="_Toc378088016"/>
      <w:bookmarkStart w:id="15" w:name="_Toc421719356"/>
      <w:r>
        <w:rPr>
          <w:rStyle w:val="CharSectno"/>
        </w:rPr>
        <w:t>5</w:t>
      </w:r>
      <w:r>
        <w:t>.</w:t>
      </w:r>
      <w:r>
        <w:tab/>
        <w:t>Actions in respect of harm suffered by offenders barred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It is a defence to an action in respect of injury or loss suffered by a person (</w:t>
      </w:r>
      <w:r>
        <w:rPr>
          <w:rStyle w:val="CharDefText"/>
        </w:rPr>
        <w:t>the offender</w:t>
      </w:r>
      <w:r>
        <w:t>)</w:t>
      </w:r>
      <w:bookmarkStart w:id="16" w:name="comma"/>
      <w:bookmarkEnd w:id="16"/>
      <w:r>
        <w:t xml:space="preserve"> for the defendant to show that the injury or loss was suffered in the course of criminal conduct by the offender.</w:t>
      </w:r>
    </w:p>
    <w:p>
      <w:pPr>
        <w:pStyle w:val="Subsection"/>
      </w:pPr>
      <w:r>
        <w:tab/>
        <w:t>(2)</w:t>
      </w:r>
      <w:r>
        <w:tab/>
        <w:t>Subsection (1) does not apply if the person bringing the action can show that the injury or loss suffered by the offender —</w:t>
      </w:r>
    </w:p>
    <w:p>
      <w:pPr>
        <w:pStyle w:val="Indenta"/>
      </w:pPr>
      <w:r>
        <w:tab/>
        <w:t>(a)</w:t>
      </w:r>
      <w:r>
        <w:tab/>
        <w:t>arose from an unlawful act that was intended to result in the offender suffering injury or loss; or</w:t>
      </w:r>
    </w:p>
    <w:p>
      <w:pPr>
        <w:pStyle w:val="Indenta"/>
      </w:pPr>
      <w:r>
        <w:tab/>
        <w:t>(b)</w:t>
      </w:r>
      <w:r>
        <w:tab/>
        <w:t>arose from circumstances —</w:t>
      </w:r>
    </w:p>
    <w:p>
      <w:pPr>
        <w:pStyle w:val="Indenti"/>
      </w:pPr>
      <w:r>
        <w:tab/>
        <w:t>(i)</w:t>
      </w:r>
      <w:r>
        <w:tab/>
        <w:t>which were entirely separate from those to which the offender was exposed by reason of being engaged in criminal conduct; and</w:t>
      </w:r>
    </w:p>
    <w:p>
      <w:pPr>
        <w:pStyle w:val="Indenti"/>
      </w:pPr>
      <w:r>
        <w:tab/>
        <w:t>(ii)</w:t>
      </w:r>
      <w:r>
        <w:tab/>
        <w:t>to which the offender was exposed in common with other persons who were not engaged in criminal conduct.</w:t>
      </w:r>
    </w:p>
    <w:p>
      <w:pPr>
        <w:pStyle w:val="Subsection"/>
      </w:pPr>
      <w:r>
        <w:tab/>
        <w:t>(3)</w:t>
      </w:r>
      <w:r>
        <w:tab/>
        <w:t xml:space="preserve">This section has effect despite anything in section 5 of the </w:t>
      </w:r>
      <w:r>
        <w:rPr>
          <w:i/>
        </w:rPr>
        <w:t>Occupiers’ Liability Act 1985.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8088017"/>
      <w:bookmarkStart w:id="18" w:name="_Toc421719348"/>
      <w:bookmarkStart w:id="19" w:name="_Toc421719357"/>
      <w:r>
        <w:t>Notes</w:t>
      </w:r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Offenders (Legal Action) Act 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0" w:name="_Toc378088018"/>
      <w:bookmarkStart w:id="21" w:name="_Toc421719358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</w:pPr>
            <w:r>
              <w:rPr>
                <w:i/>
                <w:snapToGrid w:val="0"/>
              </w:rPr>
              <w:t>Offenders (Legal Action) Act 2000</w:t>
            </w:r>
          </w:p>
        </w:tc>
        <w:tc>
          <w:tcPr>
            <w:tcW w:w="1134" w:type="dxa"/>
          </w:tcPr>
          <w:p>
            <w:pPr>
              <w:pStyle w:val="nTable"/>
            </w:pPr>
            <w:r>
              <w:t>46 of 2000</w:t>
            </w:r>
          </w:p>
        </w:tc>
        <w:tc>
          <w:tcPr>
            <w:tcW w:w="1134" w:type="dxa"/>
          </w:tcPr>
          <w:p>
            <w:pPr>
              <w:pStyle w:val="nTable"/>
            </w:pPr>
            <w:r>
              <w:t>17 Nov 2000</w:t>
            </w:r>
          </w:p>
        </w:tc>
        <w:tc>
          <w:tcPr>
            <w:tcW w:w="2551" w:type="dxa"/>
          </w:tcPr>
          <w:p>
            <w:pPr>
              <w:pStyle w:val="nTable"/>
            </w:pPr>
            <w:r>
              <w:t>17 Nov 2000 (see s. 2)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i/>
                <w:snapToGrid w:val="0"/>
              </w:rPr>
              <w:t>Criminal Injuries Compensation Act 2003</w:t>
            </w:r>
            <w:r>
              <w:rPr>
                <w:snapToGrid w:val="0"/>
              </w:rPr>
              <w:t xml:space="preserve"> s. 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77 of 2003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15 Dec 2003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t xml:space="preserve">1 Jan 2004 (see s. 2 and </w:t>
            </w:r>
            <w:r>
              <w:rPr>
                <w:i/>
              </w:rPr>
              <w:t xml:space="preserve">Gazette </w:t>
            </w:r>
            <w:r>
              <w:t>30 Dec 2003 p. 5722)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3" w:name="_Toc421719359"/>
      <w:r>
        <w:rPr>
          <w:sz w:val="28"/>
        </w:rPr>
        <w:t>Defined terms</w:t>
      </w:r>
      <w:bookmarkEnd w:id="2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action</w:t>
      </w:r>
      <w:r>
        <w:tab/>
        <w:t>3(1)</w:t>
      </w:r>
    </w:p>
    <w:p>
      <w:pPr>
        <w:pStyle w:val="DefinedTerms"/>
      </w:pPr>
      <w:r>
        <w:t>criminal conduct</w:t>
      </w:r>
      <w:r>
        <w:tab/>
        <w:t>3(1)</w:t>
      </w:r>
    </w:p>
    <w:p>
      <w:pPr>
        <w:pStyle w:val="DefinedTerms"/>
      </w:pPr>
      <w:r>
        <w:t>the offender</w:t>
      </w:r>
      <w:r>
        <w:tab/>
        <w:t>5(1)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4" w:name="DefinedTerms"/>
    <w:bookmarkEnd w:id="2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Offenders (Legal Action)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74930"/>
    <w:docVar w:name="WAFER_20140121163630" w:val="RemoveTocBookmarks,RemoveUnusedBookmarks,RemoveLanguageTags,UsedStyles,ResetPageSize,UpdateArrangement"/>
    <w:docVar w:name="WAFER_20140121163630_GUID" w:val="56d4d353-0282-4e58-969e-1bd832eeb769"/>
    <w:docVar w:name="WAFER_20140121170930" w:val="RemoveTocBookmarks,RunningHeaders"/>
    <w:docVar w:name="WAFER_20140121170930_GUID" w:val="e950a160-a4db-4068-b408-5c4d98adbadb"/>
    <w:docVar w:name="WAFER_20150610165825" w:val="ResetPageSize,UpdateArrangement,UpdateNTable"/>
    <w:docVar w:name="WAFER_20150610165825_GUID" w:val="2503d5a2-074c-4eb0-83fe-f53bdad3fcb2"/>
    <w:docVar w:name="WAFER_20151109111514" w:val="UpdateStyles,UsedStyles"/>
    <w:docVar w:name="WAFER_20151109111514_GUID" w:val="bccbdb30-b0af-4801-a569-1559e76fe253"/>
    <w:docVar w:name="WAFER_20151130174930" w:val="RemoveTrackChanges"/>
    <w:docVar w:name="WAFER_20151130174930_GUID" w:val="f5352c6e-2565-4bc3-8a64-4956d5a3173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739</Words>
  <Characters>3409</Characters>
  <Application>Microsoft Office Word</Application>
  <DocSecurity>0</DocSecurity>
  <Lines>131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Offenders (Legal Action) Act 2000 - 00-a0-10</dc:title>
  <dc:subject/>
  <dc:creator/>
  <cp:keywords/>
  <dc:description/>
  <cp:lastModifiedBy>svcMRProcess</cp:lastModifiedBy>
  <cp:revision>4</cp:revision>
  <cp:lastPrinted>2000-11-09T12:14:00Z</cp:lastPrinted>
  <dcterms:created xsi:type="dcterms:W3CDTF">2019-01-22T07:01:00Z</dcterms:created>
  <dcterms:modified xsi:type="dcterms:W3CDTF">2019-01-22T07:01:00Z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46 of 2000</vt:lpwstr>
  </property>
  <property fmtid="{D5CDD505-2E9C-101B-9397-08002B2CF9AE}" pid="3" name="CommencementDate">
    <vt:lpwstr>20040101</vt:lpwstr>
  </property>
  <property fmtid="{D5CDD505-2E9C-101B-9397-08002B2CF9AE}" pid="4" name="DocumentType">
    <vt:lpwstr>Act</vt:lpwstr>
  </property>
  <property fmtid="{D5CDD505-2E9C-101B-9397-08002B2CF9AE}" pid="5" name="OwlsUID">
    <vt:i4>2033</vt:i4>
  </property>
  <property fmtid="{D5CDD505-2E9C-101B-9397-08002B2CF9AE}" pid="6" name="AsAtDate">
    <vt:lpwstr>01 Jan 2004</vt:lpwstr>
  </property>
  <property fmtid="{D5CDD505-2E9C-101B-9397-08002B2CF9AE}" pid="7" name="Suffix">
    <vt:lpwstr>00-a0-10</vt:lpwstr>
  </property>
</Properties>
</file>