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E" w:rsidRDefault="00995A0E">
      <w:pPr>
        <w:pStyle w:val="WA"/>
      </w:pPr>
      <w:bookmarkStart w:id="0" w:name="_GoBack"/>
      <w:bookmarkEnd w:id="0"/>
      <w:smartTag w:uri="urn:schemas-microsoft-com:office:smarttags" w:element="State">
        <w:smartTag w:uri="urn:schemas-microsoft-com:office:smarttags" w:element="place">
          <w:r>
            <w:t>Western Australia</w:t>
          </w:r>
        </w:smartTag>
      </w:smartTag>
    </w:p>
    <w:p w:rsidR="00995A0E" w:rsidRDefault="00995A0E">
      <w:pPr>
        <w:pStyle w:val="PrincipalActReg"/>
        <w:spacing w:before="2600" w:after="0"/>
      </w:pPr>
      <w:r>
        <w:t>Duties Act 2008</w:t>
      </w:r>
    </w:p>
    <w:p w:rsidR="00995A0E" w:rsidRDefault="00995A0E">
      <w:pPr>
        <w:pStyle w:val="NameofActRegPage1"/>
        <w:spacing w:before="1800" w:after="4200"/>
      </w:pPr>
      <w:r>
        <w:fldChar w:fldCharType="begin"/>
      </w:r>
      <w:r>
        <w:instrText xml:space="preserve"> STYLEREF "Name Of Act/Reg"</w:instrText>
      </w:r>
      <w:r>
        <w:fldChar w:fldCharType="separate"/>
      </w:r>
      <w:r w:rsidR="003005B8">
        <w:rPr>
          <w:noProof/>
        </w:rPr>
        <w:t>Duties Regulations 2008</w:t>
      </w:r>
      <w:r>
        <w:fldChar w:fldCharType="end"/>
      </w:r>
    </w:p>
    <w:p w:rsidR="00995A0E" w:rsidRDefault="00995A0E">
      <w:pPr>
        <w:jc w:val="center"/>
        <w:rPr>
          <w:b/>
        </w:rPr>
        <w:sectPr w:rsidR="00995A0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95A0E" w:rsidRDefault="00995A0E">
      <w:pPr>
        <w:pStyle w:val="WA"/>
      </w:pPr>
      <w:smartTag w:uri="urn:schemas-microsoft-com:office:smarttags" w:element="State">
        <w:smartTag w:uri="urn:schemas-microsoft-com:office:smarttags" w:element="place">
          <w:r>
            <w:lastRenderedPageBreak/>
            <w:t>Western Australia</w:t>
          </w:r>
        </w:smartTag>
      </w:smartTag>
    </w:p>
    <w:p w:rsidR="00995A0E" w:rsidRDefault="00995A0E">
      <w:pPr>
        <w:pStyle w:val="NameofActRegPage1"/>
      </w:pPr>
      <w:r>
        <w:fldChar w:fldCharType="begin"/>
      </w:r>
      <w:r>
        <w:instrText xml:space="preserve"> STYLEREF "Name Of Act/Reg"</w:instrText>
      </w:r>
      <w:r>
        <w:fldChar w:fldCharType="separate"/>
      </w:r>
      <w:r w:rsidR="003005B8">
        <w:rPr>
          <w:noProof/>
        </w:rPr>
        <w:t>Duties Regulations 2008</w:t>
      </w:r>
      <w:r>
        <w:fldChar w:fldCharType="end"/>
      </w:r>
    </w:p>
    <w:p w:rsidR="00995A0E" w:rsidRDefault="00995A0E">
      <w:pPr>
        <w:pStyle w:val="Arrangement"/>
      </w:pPr>
      <w:r>
        <w:t>CONTENTS</w:t>
      </w:r>
    </w:p>
    <w:p w:rsidR="00D53952" w:rsidRDefault="00995A0E">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53952">
        <w:t>1.</w:t>
      </w:r>
      <w:r w:rsidR="00D53952">
        <w:tab/>
        <w:t>Citation</w:t>
      </w:r>
      <w:r w:rsidR="00D53952">
        <w:tab/>
      </w:r>
      <w:r w:rsidR="00D53952">
        <w:fldChar w:fldCharType="begin"/>
      </w:r>
      <w:r w:rsidR="00D53952">
        <w:instrText xml:space="preserve"> PAGEREF _Toc309039479 \h </w:instrText>
      </w:r>
      <w:r w:rsidR="00D53952">
        <w:fldChar w:fldCharType="separate"/>
      </w:r>
      <w:r w:rsidR="003005B8">
        <w:t>1</w:t>
      </w:r>
      <w:r w:rsidR="00D53952">
        <w:fldChar w:fldCharType="end"/>
      </w:r>
    </w:p>
    <w:p w:rsidR="00D53952" w:rsidRDefault="00D53952">
      <w:pPr>
        <w:pStyle w:val="TOC8"/>
        <w:rPr>
          <w:sz w:val="24"/>
          <w:szCs w:val="24"/>
          <w:lang w:val="en-US"/>
        </w:rPr>
      </w:pPr>
      <w:r>
        <w:t>2</w:t>
      </w:r>
      <w:r w:rsidRPr="00541F37">
        <w:rPr>
          <w:spacing w:val="-2"/>
        </w:rPr>
        <w:t>.</w:t>
      </w:r>
      <w:r w:rsidRPr="00541F37">
        <w:rPr>
          <w:spacing w:val="-2"/>
        </w:rPr>
        <w:tab/>
        <w:t>Commencement</w:t>
      </w:r>
      <w:r>
        <w:tab/>
      </w:r>
      <w:r>
        <w:fldChar w:fldCharType="begin"/>
      </w:r>
      <w:r>
        <w:instrText xml:space="preserve"> PAGEREF _Toc309039480 \h </w:instrText>
      </w:r>
      <w:r>
        <w:fldChar w:fldCharType="separate"/>
      </w:r>
      <w:r w:rsidR="003005B8">
        <w:t>1</w:t>
      </w:r>
      <w:r>
        <w:fldChar w:fldCharType="end"/>
      </w:r>
    </w:p>
    <w:p w:rsidR="00D53952" w:rsidRDefault="00D53952">
      <w:pPr>
        <w:pStyle w:val="TOC8"/>
        <w:rPr>
          <w:sz w:val="24"/>
          <w:szCs w:val="24"/>
          <w:lang w:val="en-US"/>
        </w:rPr>
      </w:pPr>
      <w:r>
        <w:t>3.</w:t>
      </w:r>
      <w:r>
        <w:tab/>
        <w:t>Prescribed financial markets (s. 3)</w:t>
      </w:r>
      <w:r>
        <w:tab/>
      </w:r>
      <w:r>
        <w:fldChar w:fldCharType="begin"/>
      </w:r>
      <w:r>
        <w:instrText xml:space="preserve"> PAGEREF _Toc309039481 \h </w:instrText>
      </w:r>
      <w:r>
        <w:fldChar w:fldCharType="separate"/>
      </w:r>
      <w:r w:rsidR="003005B8">
        <w:t>1</w:t>
      </w:r>
      <w:r>
        <w:fldChar w:fldCharType="end"/>
      </w:r>
    </w:p>
    <w:p w:rsidR="00D53952" w:rsidRDefault="00D53952">
      <w:pPr>
        <w:pStyle w:val="TOC8"/>
        <w:rPr>
          <w:sz w:val="24"/>
          <w:szCs w:val="24"/>
          <w:lang w:val="en-US"/>
        </w:rPr>
      </w:pPr>
      <w:r>
        <w:t>4.</w:t>
      </w:r>
      <w:r>
        <w:tab/>
        <w:t>Prescribed excluded transactions that are not dutiable transactions (s. 11(2)(e))</w:t>
      </w:r>
      <w:r>
        <w:tab/>
      </w:r>
      <w:r>
        <w:fldChar w:fldCharType="begin"/>
      </w:r>
      <w:r>
        <w:instrText xml:space="preserve"> PAGEREF _Toc309039482 \h </w:instrText>
      </w:r>
      <w:r>
        <w:fldChar w:fldCharType="separate"/>
      </w:r>
      <w:r w:rsidR="003005B8">
        <w:t>1</w:t>
      </w:r>
      <w:r>
        <w:fldChar w:fldCharType="end"/>
      </w:r>
    </w:p>
    <w:p w:rsidR="00D53952" w:rsidRDefault="00D53952">
      <w:pPr>
        <w:pStyle w:val="TOC8"/>
        <w:rPr>
          <w:sz w:val="24"/>
          <w:szCs w:val="24"/>
          <w:lang w:val="en-US"/>
        </w:rPr>
      </w:pPr>
      <w:r>
        <w:t>5A.</w:t>
      </w:r>
      <w:r>
        <w:tab/>
        <w:t>Prescribed special dutiable property (s. 18(h))</w:t>
      </w:r>
      <w:r>
        <w:tab/>
      </w:r>
      <w:r>
        <w:fldChar w:fldCharType="begin"/>
      </w:r>
      <w:r>
        <w:instrText xml:space="preserve"> PAGEREF _Toc309039483 \h </w:instrText>
      </w:r>
      <w:r>
        <w:fldChar w:fldCharType="separate"/>
      </w:r>
      <w:r w:rsidR="003005B8">
        <w:t>2</w:t>
      </w:r>
      <w:r>
        <w:fldChar w:fldCharType="end"/>
      </w:r>
    </w:p>
    <w:p w:rsidR="00D53952" w:rsidRDefault="00D53952">
      <w:pPr>
        <w:pStyle w:val="TOC8"/>
        <w:rPr>
          <w:sz w:val="24"/>
          <w:szCs w:val="24"/>
          <w:lang w:val="en-US"/>
        </w:rPr>
      </w:pPr>
      <w:r>
        <w:t>5B.</w:t>
      </w:r>
      <w:r>
        <w:tab/>
        <w:t>Nominal duty in relation to certain profits à prendre (s. 140)</w:t>
      </w:r>
      <w:r>
        <w:tab/>
      </w:r>
      <w:r>
        <w:fldChar w:fldCharType="begin"/>
      </w:r>
      <w:r>
        <w:instrText xml:space="preserve"> PAGEREF _Toc309039484 \h </w:instrText>
      </w:r>
      <w:r>
        <w:fldChar w:fldCharType="separate"/>
      </w:r>
      <w:r w:rsidR="003005B8">
        <w:t>2</w:t>
      </w:r>
      <w:r>
        <w:fldChar w:fldCharType="end"/>
      </w:r>
    </w:p>
    <w:p w:rsidR="00D53952" w:rsidRDefault="00D53952">
      <w:pPr>
        <w:pStyle w:val="TOC8"/>
        <w:rPr>
          <w:sz w:val="24"/>
          <w:szCs w:val="24"/>
          <w:lang w:val="en-US"/>
        </w:rPr>
      </w:pPr>
      <w:r>
        <w:t>5.</w:t>
      </w:r>
      <w:r>
        <w:tab/>
        <w:t>Prescribed information and particulars (s. 203(1)(b))</w:t>
      </w:r>
      <w:r>
        <w:tab/>
      </w:r>
      <w:r>
        <w:fldChar w:fldCharType="begin"/>
      </w:r>
      <w:r>
        <w:instrText xml:space="preserve"> PAGEREF _Toc309039485 \h </w:instrText>
      </w:r>
      <w:r>
        <w:fldChar w:fldCharType="separate"/>
      </w:r>
      <w:r w:rsidR="003005B8">
        <w:t>3</w:t>
      </w:r>
      <w:r>
        <w:fldChar w:fldCharType="end"/>
      </w:r>
    </w:p>
    <w:p w:rsidR="00D53952" w:rsidRDefault="00D53952">
      <w:pPr>
        <w:pStyle w:val="TOC8"/>
        <w:rPr>
          <w:sz w:val="24"/>
          <w:szCs w:val="24"/>
          <w:lang w:val="en-US"/>
        </w:rPr>
      </w:pPr>
      <w:r>
        <w:t>6.</w:t>
      </w:r>
      <w:r>
        <w:tab/>
        <w:t>Prescribed classes of new vehicles — dutiable value (s. 237(1)(b))</w:t>
      </w:r>
      <w:r>
        <w:tab/>
      </w:r>
      <w:r>
        <w:fldChar w:fldCharType="begin"/>
      </w:r>
      <w:r>
        <w:instrText xml:space="preserve"> PAGEREF _Toc309039486 \h </w:instrText>
      </w:r>
      <w:r>
        <w:fldChar w:fldCharType="separate"/>
      </w:r>
      <w:r w:rsidR="003005B8">
        <w:t>4</w:t>
      </w:r>
      <w:r>
        <w:fldChar w:fldCharType="end"/>
      </w:r>
    </w:p>
    <w:p w:rsidR="00D53952" w:rsidRDefault="00D53952">
      <w:pPr>
        <w:pStyle w:val="TOC8"/>
        <w:rPr>
          <w:sz w:val="24"/>
          <w:szCs w:val="24"/>
          <w:lang w:val="en-US"/>
        </w:rPr>
      </w:pPr>
      <w:r>
        <w:t>7.</w:t>
      </w:r>
      <w:r>
        <w:tab/>
        <w:t>Prescribed classes of vehicles and persons and prescribed purposes — exemptions from duty (s. 244)</w:t>
      </w:r>
      <w:r>
        <w:tab/>
      </w:r>
      <w:r>
        <w:fldChar w:fldCharType="begin"/>
      </w:r>
      <w:r>
        <w:instrText xml:space="preserve"> PAGEREF _Toc309039487 \h </w:instrText>
      </w:r>
      <w:r>
        <w:fldChar w:fldCharType="separate"/>
      </w:r>
      <w:r w:rsidR="003005B8">
        <w:t>5</w:t>
      </w:r>
      <w:r>
        <w:fldChar w:fldCharType="end"/>
      </w:r>
    </w:p>
    <w:p w:rsidR="00D53952" w:rsidRDefault="00D53952">
      <w:pPr>
        <w:pStyle w:val="TOC8"/>
        <w:rPr>
          <w:sz w:val="24"/>
          <w:szCs w:val="24"/>
          <w:lang w:val="en-US"/>
        </w:rPr>
      </w:pPr>
      <w:r>
        <w:t>8.</w:t>
      </w:r>
      <w:r>
        <w:tab/>
        <w:t>Prescribed records to be kept for vehicles with exempt uses (s. 256(a))</w:t>
      </w:r>
      <w:r>
        <w:tab/>
      </w:r>
      <w:r>
        <w:fldChar w:fldCharType="begin"/>
      </w:r>
      <w:r>
        <w:instrText xml:space="preserve"> PAGEREF _Toc309039488 \h </w:instrText>
      </w:r>
      <w:r>
        <w:fldChar w:fldCharType="separate"/>
      </w:r>
      <w:r w:rsidR="003005B8">
        <w:t>6</w:t>
      </w:r>
      <w:r>
        <w:fldChar w:fldCharType="end"/>
      </w:r>
    </w:p>
    <w:p w:rsidR="00D53952" w:rsidRDefault="00D53952">
      <w:pPr>
        <w:pStyle w:val="TOC8"/>
        <w:rPr>
          <w:sz w:val="24"/>
          <w:szCs w:val="24"/>
          <w:lang w:val="en-US"/>
        </w:rPr>
      </w:pPr>
      <w:r>
        <w:t>9.</w:t>
      </w:r>
      <w:r>
        <w:tab/>
        <w:t>Variation of clause 13(1) of Schedule 3 to the Act (Sch. 3 cl. 27(1)(b))</w:t>
      </w:r>
      <w:r>
        <w:tab/>
      </w:r>
      <w:r>
        <w:fldChar w:fldCharType="begin"/>
      </w:r>
      <w:r>
        <w:instrText xml:space="preserve"> PAGEREF _Toc309039489 \h </w:instrText>
      </w:r>
      <w:r>
        <w:fldChar w:fldCharType="separate"/>
      </w:r>
      <w:r w:rsidR="003005B8">
        <w:t>7</w:t>
      </w:r>
      <w:r>
        <w:fldChar w:fldCharType="end"/>
      </w:r>
    </w:p>
    <w:p w:rsidR="00D53952" w:rsidRDefault="00D53952">
      <w:pPr>
        <w:pStyle w:val="TOC8"/>
        <w:rPr>
          <w:sz w:val="24"/>
          <w:szCs w:val="24"/>
          <w:lang w:val="en-US"/>
        </w:rPr>
      </w:pPr>
      <w:r>
        <w:t>10.</w:t>
      </w:r>
      <w:r>
        <w:tab/>
        <w:t>Consideration for the grant of a lease</w:t>
      </w:r>
      <w:r>
        <w:tab/>
      </w:r>
      <w:r>
        <w:fldChar w:fldCharType="begin"/>
      </w:r>
      <w:r>
        <w:instrText xml:space="preserve"> PAGEREF _Toc309039490 \h </w:instrText>
      </w:r>
      <w:r>
        <w:fldChar w:fldCharType="separate"/>
      </w:r>
      <w:r w:rsidR="003005B8">
        <w:t>8</w:t>
      </w:r>
      <w:r>
        <w:fldChar w:fldCharType="end"/>
      </w:r>
    </w:p>
    <w:p w:rsidR="00D53952" w:rsidRDefault="00D53952">
      <w:pPr>
        <w:pStyle w:val="TOC2"/>
        <w:tabs>
          <w:tab w:val="right" w:leader="dot" w:pos="7086"/>
        </w:tabs>
        <w:rPr>
          <w:b w:val="0"/>
          <w:sz w:val="24"/>
          <w:szCs w:val="24"/>
          <w:lang w:val="en-US"/>
        </w:rPr>
      </w:pPr>
      <w:r>
        <w:t>Notes</w:t>
      </w:r>
    </w:p>
    <w:p w:rsidR="00D53952" w:rsidRDefault="00D53952" w:rsidP="00D53952">
      <w:pPr>
        <w:pStyle w:val="TOC8"/>
        <w:rPr>
          <w:sz w:val="24"/>
          <w:szCs w:val="24"/>
          <w:lang w:val="en-US"/>
        </w:rPr>
      </w:pPr>
      <w:r>
        <w:tab/>
        <w:t>Compilation table</w:t>
      </w:r>
      <w:r>
        <w:tab/>
      </w:r>
      <w:r>
        <w:fldChar w:fldCharType="begin"/>
      </w:r>
      <w:r>
        <w:instrText xml:space="preserve"> PAGEREF _Toc309039492 \h </w:instrText>
      </w:r>
      <w:r>
        <w:fldChar w:fldCharType="separate"/>
      </w:r>
      <w:r w:rsidR="003005B8">
        <w:t>9</w:t>
      </w:r>
      <w:r>
        <w:fldChar w:fldCharType="end"/>
      </w:r>
    </w:p>
    <w:p w:rsidR="00995A0E" w:rsidRDefault="00995A0E">
      <w:pPr>
        <w:pStyle w:val="TOC8"/>
      </w:pPr>
      <w:r>
        <w:fldChar w:fldCharType="end"/>
      </w:r>
    </w:p>
    <w:p w:rsidR="00995A0E" w:rsidRDefault="00995A0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95A0E" w:rsidRDefault="00995A0E">
      <w:pPr>
        <w:pStyle w:val="NoteHeading"/>
        <w:sectPr w:rsidR="00995A0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95A0E" w:rsidRDefault="00995A0E">
      <w:pPr>
        <w:pStyle w:val="WA"/>
      </w:pPr>
      <w:smartTag w:uri="urn:schemas-microsoft-com:office:smarttags" w:element="State">
        <w:smartTag w:uri="urn:schemas-microsoft-com:office:smarttags" w:element="place">
          <w:r>
            <w:t>Western Australia</w:t>
          </w:r>
        </w:smartTag>
      </w:smartTag>
    </w:p>
    <w:p w:rsidR="00995A0E" w:rsidRDefault="00995A0E">
      <w:pPr>
        <w:pStyle w:val="PrincipalActReg"/>
      </w:pPr>
      <w:r>
        <w:t>Duties Act 2008</w:t>
      </w:r>
    </w:p>
    <w:p w:rsidR="00995A0E" w:rsidRDefault="00995A0E">
      <w:pPr>
        <w:pStyle w:val="NameofActReg"/>
      </w:pPr>
      <w:r>
        <w:t>Duties Regulations 2008</w:t>
      </w:r>
    </w:p>
    <w:p w:rsidR="00995A0E" w:rsidRDefault="00995A0E">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99828670"/>
      <w:bookmarkStart w:id="9" w:name="_Toc202241649"/>
      <w:bookmarkStart w:id="10" w:name="_Toc309039479"/>
      <w:r>
        <w:rPr>
          <w:rStyle w:val="CharSectno"/>
        </w:rPr>
        <w:t>1</w:t>
      </w:r>
      <w:r>
        <w:t>.</w:t>
      </w:r>
      <w:r>
        <w:tab/>
        <w:t>Citation</w:t>
      </w:r>
      <w:bookmarkEnd w:id="1"/>
      <w:bookmarkEnd w:id="2"/>
      <w:bookmarkEnd w:id="3"/>
      <w:bookmarkEnd w:id="4"/>
      <w:bookmarkEnd w:id="5"/>
      <w:bookmarkEnd w:id="6"/>
      <w:bookmarkEnd w:id="7"/>
      <w:bookmarkEnd w:id="8"/>
      <w:bookmarkEnd w:id="9"/>
      <w:bookmarkEnd w:id="10"/>
    </w:p>
    <w:p w:rsidR="00995A0E" w:rsidRDefault="00995A0E">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Duties Regulations 2008</w:t>
      </w:r>
      <w:r>
        <w:t>.</w:t>
      </w:r>
    </w:p>
    <w:p w:rsidR="00995A0E" w:rsidRDefault="00995A0E">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99828671"/>
      <w:bookmarkStart w:id="20" w:name="_Toc202241650"/>
      <w:bookmarkStart w:id="21" w:name="_Toc30903948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995A0E" w:rsidRDefault="00995A0E">
      <w:pPr>
        <w:pStyle w:val="Subsection"/>
        <w:rPr>
          <w:spacing w:val="-2"/>
        </w:rPr>
      </w:pPr>
      <w:r>
        <w:rPr>
          <w:spacing w:val="-2"/>
        </w:rPr>
        <w:tab/>
      </w:r>
      <w:r>
        <w:rPr>
          <w:spacing w:val="-2"/>
        </w:rPr>
        <w:tab/>
        <w:t>These regulations come into operation as follows:</w:t>
      </w:r>
    </w:p>
    <w:p w:rsidR="00995A0E" w:rsidRDefault="00995A0E">
      <w:pPr>
        <w:pStyle w:val="Indenta"/>
      </w:pPr>
      <w:r>
        <w:tab/>
        <w:t>(a)</w:t>
      </w:r>
      <w:r>
        <w:tab/>
        <w:t xml:space="preserve">regulations 1 and 2 — on the day on which these regulations are published in the </w:t>
      </w:r>
      <w:r>
        <w:rPr>
          <w:i/>
          <w:iCs/>
        </w:rPr>
        <w:t>Gazette</w:t>
      </w:r>
      <w:r>
        <w:t>;</w:t>
      </w:r>
    </w:p>
    <w:p w:rsidR="00995A0E" w:rsidRDefault="00995A0E">
      <w:pPr>
        <w:pStyle w:val="Indenta"/>
      </w:pPr>
      <w:r>
        <w:tab/>
        <w:t>(b)</w:t>
      </w:r>
      <w:r>
        <w:tab/>
        <w:t>the rest of the regulations — on 1 July 2008.</w:t>
      </w:r>
    </w:p>
    <w:p w:rsidR="00995A0E" w:rsidRDefault="00995A0E">
      <w:pPr>
        <w:pStyle w:val="Heading5"/>
      </w:pPr>
      <w:bookmarkStart w:id="22" w:name="_Toc199828672"/>
      <w:bookmarkStart w:id="23" w:name="_Toc202241505"/>
      <w:bookmarkStart w:id="24" w:name="_Toc202241651"/>
      <w:bookmarkStart w:id="25" w:name="_Toc309039481"/>
      <w:r>
        <w:rPr>
          <w:rStyle w:val="CharSectno"/>
        </w:rPr>
        <w:t>3</w:t>
      </w:r>
      <w:r>
        <w:t>.</w:t>
      </w:r>
      <w:r>
        <w:tab/>
        <w:t>Prescribed financial markets (s. 3)</w:t>
      </w:r>
      <w:bookmarkEnd w:id="22"/>
      <w:bookmarkEnd w:id="23"/>
      <w:bookmarkEnd w:id="24"/>
      <w:bookmarkEnd w:id="25"/>
    </w:p>
    <w:p w:rsidR="00995A0E" w:rsidRDefault="00995A0E">
      <w:pPr>
        <w:pStyle w:val="Subsection"/>
      </w:pPr>
      <w:r>
        <w:tab/>
      </w:r>
      <w:r>
        <w:tab/>
        <w:t xml:space="preserve">For the purposes of the definition of “prescribed financial market” in section 3 of the Act, these financial markets are prescribed — </w:t>
      </w:r>
    </w:p>
    <w:p w:rsidR="00995A0E" w:rsidRDefault="00995A0E">
      <w:pPr>
        <w:pStyle w:val="Indenta"/>
      </w:pPr>
      <w:r>
        <w:tab/>
        <w:t>(a)</w:t>
      </w:r>
      <w:r>
        <w:tab/>
        <w:t>the Australian Stock Exchange Limited;</w:t>
      </w:r>
    </w:p>
    <w:p w:rsidR="00995A0E" w:rsidRDefault="00995A0E">
      <w:pPr>
        <w:pStyle w:val="Indenta"/>
      </w:pPr>
      <w:r>
        <w:tab/>
        <w:t>(b)</w:t>
      </w:r>
      <w:r>
        <w:tab/>
        <w:t>the Stock Exchange of Newcastle Limited;</w:t>
      </w:r>
    </w:p>
    <w:p w:rsidR="00995A0E" w:rsidRDefault="00995A0E">
      <w:pPr>
        <w:pStyle w:val="Indenta"/>
      </w:pPr>
      <w:r>
        <w:tab/>
        <w:t>(c)</w:t>
      </w:r>
      <w:r>
        <w:tab/>
        <w:t>a stock exchange that is a member of the World Federation of Exchanges.</w:t>
      </w:r>
    </w:p>
    <w:p w:rsidR="00995A0E" w:rsidRDefault="00995A0E">
      <w:pPr>
        <w:pStyle w:val="Heading5"/>
      </w:pPr>
      <w:bookmarkStart w:id="26" w:name="_Toc199828673"/>
      <w:bookmarkStart w:id="27" w:name="_Toc202241506"/>
      <w:bookmarkStart w:id="28" w:name="_Toc202241652"/>
      <w:bookmarkStart w:id="29" w:name="_Toc309039482"/>
      <w:r>
        <w:rPr>
          <w:rStyle w:val="CharSectno"/>
        </w:rPr>
        <w:t>4</w:t>
      </w:r>
      <w:r>
        <w:t>.</w:t>
      </w:r>
      <w:r>
        <w:tab/>
        <w:t>Prescribed excluded transactions that are not dutiable transactions (s. 11(2)(e))</w:t>
      </w:r>
      <w:bookmarkEnd w:id="26"/>
      <w:bookmarkEnd w:id="27"/>
      <w:bookmarkEnd w:id="28"/>
      <w:bookmarkEnd w:id="29"/>
    </w:p>
    <w:p w:rsidR="00995A0E" w:rsidRDefault="00995A0E">
      <w:pPr>
        <w:pStyle w:val="Subsection"/>
      </w:pPr>
      <w:r>
        <w:tab/>
        <w:t>(1)</w:t>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rsidR="00995A0E" w:rsidRDefault="00995A0E">
      <w:pPr>
        <w:pStyle w:val="Subsection"/>
      </w:pPr>
      <w:bookmarkStart w:id="30" w:name="_Toc199828674"/>
      <w:bookmarkStart w:id="31" w:name="_Toc202241507"/>
      <w:bookmarkStart w:id="32" w:name="_Toc202241653"/>
      <w:r>
        <w:tab/>
        <w:t>(2)</w:t>
      </w:r>
      <w:r>
        <w:tab/>
        <w:t>For the purposes of section 11 of the Act, a transaction the subject of which is an interest in a partnership is prescribed as an excluded transaction, unless the transaction is a partnership acquisition under section 11(1)(i) of the Act.</w:t>
      </w:r>
    </w:p>
    <w:p w:rsidR="00995A0E" w:rsidRDefault="00995A0E">
      <w:pPr>
        <w:pStyle w:val="Subsection"/>
      </w:pPr>
      <w:r>
        <w:tab/>
        <w:t>(3)</w:t>
      </w:r>
      <w:r>
        <w:tab/>
        <w:t xml:space="preserve">Subregulation (2) applies to all transactions that take place on or after 1 July 2008, whether before or after the commencement of the </w:t>
      </w:r>
      <w:r>
        <w:rPr>
          <w:i/>
          <w:iCs/>
        </w:rPr>
        <w:t xml:space="preserve">Duties Amendment Regulations (No. 2) 2009 </w:t>
      </w:r>
      <w:r>
        <w:t>regulation 4.</w:t>
      </w:r>
    </w:p>
    <w:p w:rsidR="00995A0E" w:rsidRDefault="00995A0E">
      <w:pPr>
        <w:pStyle w:val="Footnotesection"/>
      </w:pPr>
      <w:r>
        <w:tab/>
        <w:t>[Regulation 4 amended in Gazette 15 May 2009 p. 1638.]</w:t>
      </w:r>
    </w:p>
    <w:p w:rsidR="00995A0E" w:rsidRDefault="00995A0E">
      <w:pPr>
        <w:pStyle w:val="Heading5"/>
      </w:pPr>
      <w:bookmarkStart w:id="33" w:name="_Toc309039483"/>
      <w:r>
        <w:rPr>
          <w:rStyle w:val="CharSectno"/>
        </w:rPr>
        <w:t>5A</w:t>
      </w:r>
      <w:r>
        <w:t>.</w:t>
      </w:r>
      <w:r>
        <w:tab/>
        <w:t>Prescribed special dutiable property (s. 18(h))</w:t>
      </w:r>
      <w:bookmarkEnd w:id="33"/>
    </w:p>
    <w:p w:rsidR="00995A0E" w:rsidRDefault="00995A0E">
      <w:pPr>
        <w:pStyle w:val="Subsection"/>
      </w:pPr>
      <w:r>
        <w:tab/>
      </w:r>
      <w:r>
        <w:tab/>
        <w:t>For the purposes of section 18 of the Act, dutiable property that is a profit à prendre is prescribed as special dutiable property.</w:t>
      </w:r>
    </w:p>
    <w:p w:rsidR="00995A0E" w:rsidRDefault="00995A0E">
      <w:pPr>
        <w:pStyle w:val="Footnotesection"/>
      </w:pPr>
      <w:r>
        <w:tab/>
        <w:t>[Regulation 5A inserted in Gazette 15 May 2009 p. 1639.]</w:t>
      </w:r>
    </w:p>
    <w:p w:rsidR="00995A0E" w:rsidRDefault="00995A0E" w:rsidP="00995A0E">
      <w:pPr>
        <w:pStyle w:val="Heading5"/>
      </w:pPr>
      <w:bookmarkStart w:id="34" w:name="_Toc309033751"/>
      <w:bookmarkStart w:id="35" w:name="_Toc309039484"/>
      <w:r w:rsidRPr="00D53952">
        <w:rPr>
          <w:rStyle w:val="CharSectno"/>
        </w:rPr>
        <w:t>5B</w:t>
      </w:r>
      <w:r>
        <w:t>.</w:t>
      </w:r>
      <w:r>
        <w:tab/>
      </w:r>
      <w:r w:rsidRPr="000528FC">
        <w:t>Nominal</w:t>
      </w:r>
      <w:r>
        <w:t xml:space="preserve"> duty in relation to certain profits à prendre (s. 140)</w:t>
      </w:r>
      <w:bookmarkEnd w:id="34"/>
      <w:bookmarkEnd w:id="35"/>
    </w:p>
    <w:p w:rsidR="00995A0E" w:rsidRDefault="00995A0E" w:rsidP="00995A0E">
      <w:pPr>
        <w:pStyle w:val="Subsection"/>
      </w:pPr>
      <w:r>
        <w:tab/>
        <w:t>(1)</w:t>
      </w:r>
      <w:r>
        <w:tab/>
        <w:t xml:space="preserve">In this regulation — </w:t>
      </w:r>
    </w:p>
    <w:p w:rsidR="00995A0E" w:rsidRDefault="00995A0E" w:rsidP="00995A0E">
      <w:pPr>
        <w:pStyle w:val="Defstart"/>
      </w:pPr>
      <w:r>
        <w:tab/>
      </w:r>
      <w:r w:rsidRPr="000528FC">
        <w:rPr>
          <w:rStyle w:val="CharDefText"/>
        </w:rPr>
        <w:t>lot</w:t>
      </w:r>
      <w:r>
        <w:t xml:space="preserve"> </w:t>
      </w:r>
      <w:r w:rsidRPr="000528FC">
        <w:t>has</w:t>
      </w:r>
      <w:r>
        <w:t xml:space="preserve"> the meaning given in the </w:t>
      </w:r>
      <w:r>
        <w:rPr>
          <w:i/>
        </w:rPr>
        <w:t>Land Tax Assessment Act </w:t>
      </w:r>
      <w:r w:rsidRPr="000528FC">
        <w:rPr>
          <w:i/>
        </w:rPr>
        <w:t>2002</w:t>
      </w:r>
      <w:r>
        <w:t xml:space="preserve"> Glossary clause 2;</w:t>
      </w:r>
    </w:p>
    <w:p w:rsidR="00995A0E" w:rsidRDefault="00995A0E" w:rsidP="00995A0E">
      <w:pPr>
        <w:pStyle w:val="Defstart"/>
      </w:pPr>
      <w:r>
        <w:tab/>
      </w:r>
      <w:r w:rsidRPr="000528FC">
        <w:rPr>
          <w:rStyle w:val="CharDefText"/>
        </w:rPr>
        <w:t>profit à</w:t>
      </w:r>
      <w:r>
        <w:rPr>
          <w:rStyle w:val="CharDefText"/>
        </w:rPr>
        <w:t xml:space="preserve"> prendre</w:t>
      </w:r>
      <w:r>
        <w:t xml:space="preserve"> m</w:t>
      </w:r>
      <w:r w:rsidRPr="000528FC">
        <w:t>eans</w:t>
      </w:r>
      <w:r>
        <w:t xml:space="preserve"> a profit à prendre created under a timber sharefarming agreement under the </w:t>
      </w:r>
      <w:r w:rsidRPr="000528FC">
        <w:rPr>
          <w:i/>
        </w:rPr>
        <w:t>Conservation and Land Management Act</w:t>
      </w:r>
      <w:r>
        <w:rPr>
          <w:i/>
        </w:rPr>
        <w:t> </w:t>
      </w:r>
      <w:r w:rsidRPr="000528FC">
        <w:rPr>
          <w:i/>
        </w:rPr>
        <w:t>1984</w:t>
      </w:r>
      <w:r>
        <w:t xml:space="preserve"> or the </w:t>
      </w:r>
      <w:smartTag w:uri="urn:schemas-microsoft-com:office:smarttags" w:element="place">
        <w:r w:rsidRPr="000528FC">
          <w:rPr>
            <w:i/>
          </w:rPr>
          <w:t>Forest</w:t>
        </w:r>
      </w:smartTag>
      <w:r w:rsidRPr="000528FC">
        <w:rPr>
          <w:i/>
        </w:rPr>
        <w:t xml:space="preserve"> Products Act</w:t>
      </w:r>
      <w:r>
        <w:rPr>
          <w:i/>
        </w:rPr>
        <w:t> </w:t>
      </w:r>
      <w:r w:rsidRPr="000528FC">
        <w:rPr>
          <w:i/>
        </w:rPr>
        <w:t>2000</w:t>
      </w:r>
      <w:r>
        <w:t>.</w:t>
      </w:r>
    </w:p>
    <w:p w:rsidR="00995A0E" w:rsidRDefault="00995A0E" w:rsidP="00995A0E">
      <w:pPr>
        <w:pStyle w:val="Subsection"/>
      </w:pPr>
      <w:r>
        <w:tab/>
        <w:t>(2)</w:t>
      </w:r>
      <w:r>
        <w:tab/>
        <w:t xml:space="preserve">For the purposes of </w:t>
      </w:r>
      <w:r w:rsidRPr="000A2169">
        <w:t>section</w:t>
      </w:r>
      <w:r>
        <w:t xml:space="preserve"> 140 of the Act, the following dutiable transactions are prescribed — </w:t>
      </w:r>
    </w:p>
    <w:p w:rsidR="00995A0E" w:rsidRPr="000A2169" w:rsidRDefault="00995A0E" w:rsidP="00995A0E">
      <w:pPr>
        <w:pStyle w:val="Indenta"/>
      </w:pPr>
      <w:r>
        <w:tab/>
        <w:t>(a)</w:t>
      </w:r>
      <w:r>
        <w:tab/>
        <w:t xml:space="preserve">the surrender of a profit à prendre in relation to </w:t>
      </w:r>
      <w:r w:rsidRPr="000A2169">
        <w:t xml:space="preserve">a lot (the </w:t>
      </w:r>
      <w:r w:rsidRPr="000A2169">
        <w:rPr>
          <w:rStyle w:val="CharDefText"/>
        </w:rPr>
        <w:t>old profit à prendre</w:t>
      </w:r>
      <w:r w:rsidRPr="000A2169">
        <w:t xml:space="preserve">) in the following circumstances — </w:t>
      </w:r>
    </w:p>
    <w:p w:rsidR="00995A0E" w:rsidRPr="000A2169" w:rsidRDefault="00995A0E" w:rsidP="00995A0E">
      <w:pPr>
        <w:pStyle w:val="Indenti"/>
      </w:pPr>
      <w:r w:rsidRPr="000A2169">
        <w:tab/>
        <w:t>(i)</w:t>
      </w:r>
      <w:r w:rsidRPr="000A2169">
        <w:tab/>
        <w:t>the benefit of the old profit à prendre is in re</w:t>
      </w:r>
      <w:r>
        <w:t>lation to a portion of the lot;</w:t>
      </w:r>
    </w:p>
    <w:p w:rsidR="00995A0E" w:rsidRPr="000A2169" w:rsidRDefault="00995A0E" w:rsidP="00995A0E">
      <w:pPr>
        <w:pStyle w:val="Indenti"/>
      </w:pPr>
      <w:r w:rsidRPr="000A2169">
        <w:tab/>
        <w:t>(ii)</w:t>
      </w:r>
      <w:r w:rsidRPr="000A2169">
        <w:tab/>
        <w:t xml:space="preserve">the surrender is part of replacing the old profit à prendre with another profit à prendre in relation to the lot (the </w:t>
      </w:r>
      <w:r w:rsidRPr="000A2169">
        <w:rPr>
          <w:rStyle w:val="CharDefText"/>
        </w:rPr>
        <w:t>new profit à prendre</w:t>
      </w:r>
      <w:r w:rsidRPr="000A2169">
        <w:t>) that is limi</w:t>
      </w:r>
      <w:r>
        <w:t>ted to that portion of the lot;</w:t>
      </w:r>
    </w:p>
    <w:p w:rsidR="00995A0E" w:rsidRDefault="00995A0E" w:rsidP="00995A0E">
      <w:pPr>
        <w:pStyle w:val="Indenti"/>
      </w:pPr>
      <w:r w:rsidRPr="000A2169">
        <w:tab/>
        <w:t>(iii)</w:t>
      </w:r>
      <w:r w:rsidRPr="000A2169">
        <w:tab/>
        <w:t>the same person who has, or persons</w:t>
      </w:r>
      <w:r>
        <w:t xml:space="preserve"> who have, the benefit of the old profit à prendre will have the benefit of the new profit à prendre;</w:t>
      </w:r>
    </w:p>
    <w:p w:rsidR="00995A0E" w:rsidRDefault="00995A0E" w:rsidP="00995A0E">
      <w:pPr>
        <w:pStyle w:val="Indenti"/>
      </w:pPr>
      <w:r>
        <w:tab/>
        <w:t>(iv)</w:t>
      </w:r>
      <w:r>
        <w:tab/>
        <w:t>no consideration is provided in relation to the surrender;</w:t>
      </w:r>
    </w:p>
    <w:p w:rsidR="00995A0E" w:rsidRDefault="00995A0E" w:rsidP="00995A0E">
      <w:pPr>
        <w:pStyle w:val="Indenta"/>
      </w:pPr>
      <w:r>
        <w:tab/>
        <w:t>(b)</w:t>
      </w:r>
      <w:r>
        <w:tab/>
        <w:t xml:space="preserve">the acquisition of new dutiable property by the creation of a profit à prendre in the following circumstances — </w:t>
      </w:r>
    </w:p>
    <w:p w:rsidR="00995A0E" w:rsidRDefault="00995A0E" w:rsidP="00995A0E">
      <w:pPr>
        <w:pStyle w:val="Indenti"/>
      </w:pPr>
      <w:r>
        <w:tab/>
        <w:t>(i)</w:t>
      </w:r>
      <w:r>
        <w:tab/>
        <w:t>the profit à prendre is a new profit à prendre as defined in paragraph (a)(ii);</w:t>
      </w:r>
    </w:p>
    <w:p w:rsidR="00995A0E" w:rsidRDefault="00995A0E" w:rsidP="00995A0E">
      <w:pPr>
        <w:pStyle w:val="Indenti"/>
      </w:pPr>
      <w:r>
        <w:tab/>
        <w:t>(ii)</w:t>
      </w:r>
      <w:r>
        <w:tab/>
        <w:t>the circumstances described in paragraph (a)(ii) and (iii) apply in relation to the new profit à prendre;</w:t>
      </w:r>
    </w:p>
    <w:p w:rsidR="00995A0E" w:rsidRDefault="00995A0E" w:rsidP="00995A0E">
      <w:pPr>
        <w:pStyle w:val="Indenti"/>
      </w:pPr>
      <w:r>
        <w:tab/>
        <w:t>(iii)</w:t>
      </w:r>
      <w:r>
        <w:tab/>
        <w:t>no consideration is provided in relation to the acquisition.</w:t>
      </w:r>
    </w:p>
    <w:p w:rsidR="00995A0E" w:rsidRDefault="00995A0E" w:rsidP="00995A0E">
      <w:pPr>
        <w:pStyle w:val="Subsection"/>
      </w:pPr>
      <w:r>
        <w:tab/>
        <w:t>(3)</w:t>
      </w:r>
      <w:r>
        <w:tab/>
        <w:t>This regulation does not have the effect of making the surrender of a profit à prendre before 16 May 2009 dutiable.</w:t>
      </w:r>
    </w:p>
    <w:p w:rsidR="00995A0E" w:rsidRDefault="00995A0E" w:rsidP="00995A0E">
      <w:pPr>
        <w:pStyle w:val="Footnotesection"/>
      </w:pPr>
      <w:r>
        <w:tab/>
        <w:t>[Regulation 5B inserted in Gazette 15 Nov 2011 p. 4795-6.]</w:t>
      </w:r>
    </w:p>
    <w:p w:rsidR="00995A0E" w:rsidRDefault="00995A0E">
      <w:pPr>
        <w:pStyle w:val="Heading5"/>
      </w:pPr>
      <w:bookmarkStart w:id="36" w:name="_Toc309039485"/>
      <w:r>
        <w:rPr>
          <w:rStyle w:val="CharSectno"/>
        </w:rPr>
        <w:t>5</w:t>
      </w:r>
      <w:r>
        <w:t>.</w:t>
      </w:r>
      <w:r>
        <w:tab/>
        <w:t>Prescribed information and particulars (s. 203(1)(b))</w:t>
      </w:r>
      <w:bookmarkEnd w:id="30"/>
      <w:bookmarkEnd w:id="31"/>
      <w:bookmarkEnd w:id="32"/>
      <w:bookmarkEnd w:id="36"/>
    </w:p>
    <w:p w:rsidR="00995A0E" w:rsidRDefault="00995A0E">
      <w:pPr>
        <w:pStyle w:val="Subsection"/>
      </w:pPr>
      <w:r>
        <w:tab/>
      </w:r>
      <w:r>
        <w:tab/>
        <w:t xml:space="preserve">For the purposes of section 203(1)(b) of the Act, this information and these particulars are prescribed in respect of a relevant acquisition — </w:t>
      </w:r>
    </w:p>
    <w:p w:rsidR="00995A0E" w:rsidRDefault="00995A0E">
      <w:pPr>
        <w:pStyle w:val="Indenta"/>
      </w:pPr>
      <w:r>
        <w:tab/>
        <w:t>(a)</w:t>
      </w:r>
      <w:r>
        <w:tab/>
        <w:t xml:space="preserve">the name and address of — </w:t>
      </w:r>
    </w:p>
    <w:p w:rsidR="00995A0E" w:rsidRDefault="00995A0E">
      <w:pPr>
        <w:pStyle w:val="Indenti"/>
      </w:pPr>
      <w:r>
        <w:tab/>
        <w:t>(i)</w:t>
      </w:r>
      <w:r>
        <w:tab/>
        <w:t>the landholder concerned; and</w:t>
      </w:r>
    </w:p>
    <w:p w:rsidR="00995A0E" w:rsidRDefault="00995A0E">
      <w:pPr>
        <w:pStyle w:val="Indenti"/>
      </w:pPr>
      <w:r>
        <w:tab/>
        <w:t>(ii)</w:t>
      </w:r>
      <w:r>
        <w:tab/>
        <w:t>if the landholder concerned is a unit trust scheme — the trustee of the scheme;</w:t>
      </w:r>
    </w:p>
    <w:p w:rsidR="00995A0E" w:rsidRDefault="00995A0E">
      <w:pPr>
        <w:pStyle w:val="Indenta"/>
      </w:pPr>
      <w:r>
        <w:tab/>
        <w:t>(b)</w:t>
      </w:r>
      <w:r>
        <w:tab/>
        <w:t xml:space="preserve">the name and address of — </w:t>
      </w:r>
    </w:p>
    <w:p w:rsidR="00995A0E" w:rsidRDefault="00995A0E">
      <w:pPr>
        <w:pStyle w:val="Indenti"/>
      </w:pPr>
      <w:r>
        <w:tab/>
        <w:t>(i)</w:t>
      </w:r>
      <w:r>
        <w:tab/>
        <w:t>the acquirer; and</w:t>
      </w:r>
    </w:p>
    <w:p w:rsidR="00995A0E" w:rsidRDefault="00995A0E">
      <w:pPr>
        <w:pStyle w:val="Indenti"/>
      </w:pPr>
      <w:r>
        <w:tab/>
        <w:t>(ii)</w:t>
      </w:r>
      <w:r>
        <w:tab/>
        <w:t>any related person that is taken into account in relation to the relevant acquisition for the purposes of section 163 or 164 of the Act;</w:t>
      </w:r>
    </w:p>
    <w:p w:rsidR="00995A0E" w:rsidRDefault="00995A0E">
      <w:pPr>
        <w:pStyle w:val="Indenta"/>
      </w:pPr>
      <w:r>
        <w:tab/>
        <w:t>(c)</w:t>
      </w:r>
      <w:r>
        <w:tab/>
        <w:t>the date of the day on which the relevant acquisition occurred or is taken to have occurred;</w:t>
      </w:r>
    </w:p>
    <w:p w:rsidR="00995A0E" w:rsidRDefault="00995A0E">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rsidR="00995A0E" w:rsidRDefault="00995A0E">
      <w:pPr>
        <w:pStyle w:val="Indenta"/>
      </w:pPr>
      <w:r>
        <w:tab/>
        <w:t>(e)</w:t>
      </w:r>
      <w:r>
        <w:tab/>
        <w:t xml:space="preserve">the aggregated interests in the landholder concerned, after the relevant acquisition, of — </w:t>
      </w:r>
    </w:p>
    <w:p w:rsidR="00995A0E" w:rsidRDefault="00995A0E">
      <w:pPr>
        <w:pStyle w:val="Indenti"/>
      </w:pPr>
      <w:r>
        <w:tab/>
        <w:t>(i)</w:t>
      </w:r>
      <w:r>
        <w:tab/>
        <w:t>the acquirer; and</w:t>
      </w:r>
    </w:p>
    <w:p w:rsidR="00995A0E" w:rsidRDefault="00995A0E">
      <w:pPr>
        <w:pStyle w:val="Indenti"/>
      </w:pPr>
      <w:r>
        <w:tab/>
        <w:t>(ii)</w:t>
      </w:r>
      <w:r>
        <w:tab/>
        <w:t>any related person that is taken into account in relation to the relevant acquisition for the purposes of section 163 or 164 of the Act;</w:t>
      </w:r>
    </w:p>
    <w:p w:rsidR="00995A0E" w:rsidRDefault="00995A0E">
      <w:pPr>
        <w:pStyle w:val="Indenta"/>
      </w:pPr>
      <w:r>
        <w:tab/>
        <w:t>(f)</w:t>
      </w:r>
      <w:r>
        <w:tab/>
        <w:t>the acquirer’s estimate of the value of the landholder concerned, as determined under section 186 of the Act;</w:t>
      </w:r>
    </w:p>
    <w:p w:rsidR="00995A0E" w:rsidRDefault="00995A0E">
      <w:pPr>
        <w:pStyle w:val="Indenta"/>
      </w:pPr>
      <w:r>
        <w:tab/>
        <w:t>(g)</w:t>
      </w:r>
      <w:r>
        <w:tab/>
        <w:t>the consideration for the relevant acquisition.</w:t>
      </w:r>
    </w:p>
    <w:p w:rsidR="00995A0E" w:rsidRDefault="00995A0E">
      <w:pPr>
        <w:pStyle w:val="Heading5"/>
      </w:pPr>
      <w:bookmarkStart w:id="37" w:name="_Toc199828675"/>
      <w:bookmarkStart w:id="38" w:name="_Toc202241508"/>
      <w:bookmarkStart w:id="39" w:name="_Toc202241654"/>
      <w:bookmarkStart w:id="40" w:name="_Toc309039486"/>
      <w:r>
        <w:rPr>
          <w:rStyle w:val="CharSectno"/>
        </w:rPr>
        <w:t>6</w:t>
      </w:r>
      <w:r>
        <w:t>.</w:t>
      </w:r>
      <w:r>
        <w:tab/>
        <w:t>Prescribed classes of new vehicles — dutiable value (s. 237(1)(b))</w:t>
      </w:r>
      <w:bookmarkEnd w:id="37"/>
      <w:bookmarkEnd w:id="38"/>
      <w:bookmarkEnd w:id="39"/>
      <w:bookmarkEnd w:id="40"/>
    </w:p>
    <w:p w:rsidR="00995A0E" w:rsidRDefault="00995A0E">
      <w:pPr>
        <w:pStyle w:val="Subsection"/>
      </w:pPr>
      <w:r>
        <w:tab/>
        <w:t>(1)</w:t>
      </w:r>
      <w:r>
        <w:tab/>
        <w:t xml:space="preserve">For the purposes of section 237 of the Act, these classes of vehicles are prescribed — </w:t>
      </w:r>
    </w:p>
    <w:p w:rsidR="00995A0E" w:rsidRDefault="00995A0E">
      <w:pPr>
        <w:pStyle w:val="Indenta"/>
      </w:pPr>
      <w:r>
        <w:tab/>
        <w:t>(a)</w:t>
      </w:r>
      <w:r>
        <w:tab/>
        <w:t>a motor vehicle, including a motor cycle, that is designed primarily to carry people;</w:t>
      </w:r>
    </w:p>
    <w:p w:rsidR="00995A0E" w:rsidRDefault="00995A0E">
      <w:pPr>
        <w:pStyle w:val="Indenta"/>
      </w:pPr>
      <w:r>
        <w:tab/>
        <w:t>(b)</w:t>
      </w:r>
      <w:r>
        <w:tab/>
        <w:t>a motor vehicle that is designed primarily to transport goods or to carry materials used in trade, business or industry.</w:t>
      </w:r>
    </w:p>
    <w:p w:rsidR="00995A0E" w:rsidRDefault="00995A0E">
      <w:pPr>
        <w:pStyle w:val="Subsection"/>
      </w:pPr>
      <w:r>
        <w:tab/>
        <w:t>(2)</w:t>
      </w:r>
      <w:r>
        <w:tab/>
        <w:t xml:space="preserve">The classes of vehicles prescribed by subregulation (1) do not include these vehicles — </w:t>
      </w:r>
    </w:p>
    <w:p w:rsidR="00995A0E" w:rsidRDefault="00995A0E">
      <w:pPr>
        <w:pStyle w:val="Indenta"/>
      </w:pPr>
      <w:r>
        <w:tab/>
        <w:t>(a)</w:t>
      </w:r>
      <w:r>
        <w:tab/>
        <w:t>a motor vehicle that is fitted with seats for 9 or more adults, including the driver, that is used to carry people for hire or reward;</w:t>
      </w:r>
    </w:p>
    <w:p w:rsidR="00995A0E" w:rsidRDefault="00995A0E">
      <w:pPr>
        <w:pStyle w:val="Indenta"/>
      </w:pPr>
      <w:r>
        <w:tab/>
        <w:t>(b)</w:t>
      </w:r>
      <w:r>
        <w:tab/>
        <w:t>a motorised wheelchair;</w:t>
      </w:r>
    </w:p>
    <w:p w:rsidR="00995A0E" w:rsidRDefault="00995A0E">
      <w:pPr>
        <w:pStyle w:val="Indenta"/>
      </w:pPr>
      <w:r>
        <w:tab/>
        <w:t>(c)</w:t>
      </w:r>
      <w:r>
        <w:tab/>
        <w:t>a heavy vehicle.</w:t>
      </w:r>
    </w:p>
    <w:p w:rsidR="00995A0E" w:rsidRDefault="00995A0E">
      <w:pPr>
        <w:pStyle w:val="Heading5"/>
      </w:pPr>
      <w:bookmarkStart w:id="41" w:name="_Toc199828676"/>
      <w:bookmarkStart w:id="42" w:name="_Toc202241509"/>
      <w:bookmarkStart w:id="43" w:name="_Toc202241655"/>
      <w:bookmarkStart w:id="44" w:name="_Toc309039487"/>
      <w:r>
        <w:rPr>
          <w:rStyle w:val="CharSectno"/>
        </w:rPr>
        <w:t>7</w:t>
      </w:r>
      <w:r>
        <w:t>.</w:t>
      </w:r>
      <w:r>
        <w:tab/>
        <w:t>Prescribed classes of vehicles and persons and prescribed purposes — exemptions from duty (s. 244)</w:t>
      </w:r>
      <w:bookmarkEnd w:id="41"/>
      <w:bookmarkEnd w:id="42"/>
      <w:bookmarkEnd w:id="43"/>
      <w:bookmarkEnd w:id="44"/>
    </w:p>
    <w:p w:rsidR="00995A0E" w:rsidRDefault="00995A0E">
      <w:pPr>
        <w:pStyle w:val="Subsection"/>
      </w:pPr>
      <w:r>
        <w:tab/>
        <w:t>(1)</w:t>
      </w:r>
      <w:r>
        <w:tab/>
        <w:t xml:space="preserve">In this regulation — </w:t>
      </w:r>
    </w:p>
    <w:p w:rsidR="00995A0E" w:rsidRDefault="00995A0E">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rsidR="00995A0E" w:rsidRDefault="00995A0E">
      <w:pPr>
        <w:pStyle w:val="Defstart"/>
      </w:pPr>
      <w:r>
        <w:rPr>
          <w:b/>
        </w:rPr>
        <w:tab/>
      </w:r>
      <w:r>
        <w:rPr>
          <w:rStyle w:val="CharDefText"/>
        </w:rPr>
        <w:t>farming land</w:t>
      </w:r>
      <w:r>
        <w:t xml:space="preserve"> has the meaning given in section 99(1) of the Act;</w:t>
      </w:r>
    </w:p>
    <w:p w:rsidR="00995A0E" w:rsidRDefault="00995A0E">
      <w:pPr>
        <w:pStyle w:val="Defstart"/>
      </w:pPr>
      <w:r>
        <w:rPr>
          <w:b/>
        </w:rPr>
        <w:tab/>
      </w:r>
      <w:r>
        <w:rPr>
          <w:rStyle w:val="CharDefText"/>
        </w:rPr>
        <w:t>tractor</w:t>
      </w:r>
      <w:r>
        <w:t xml:space="preserve"> means a motor vehicle that — </w:t>
      </w:r>
    </w:p>
    <w:p w:rsidR="00995A0E" w:rsidRDefault="00995A0E">
      <w:pPr>
        <w:pStyle w:val="Defpara"/>
      </w:pPr>
      <w:r>
        <w:tab/>
        <w:t>(a)</w:t>
      </w:r>
      <w:r>
        <w:tab/>
        <w:t xml:space="preserve">is designed — </w:t>
      </w:r>
    </w:p>
    <w:p w:rsidR="00995A0E" w:rsidRDefault="00995A0E">
      <w:pPr>
        <w:pStyle w:val="Defsubpara"/>
      </w:pPr>
      <w:r>
        <w:tab/>
        <w:t>(i)</w:t>
      </w:r>
      <w:r>
        <w:tab/>
        <w:t>for use primarily in industry (whether in the public or private sector) including, without limiting the meaning of “industry”, agriculture, earth moving and forestry; and</w:t>
      </w:r>
    </w:p>
    <w:p w:rsidR="00995A0E" w:rsidRDefault="00995A0E">
      <w:pPr>
        <w:pStyle w:val="Defsubpara"/>
      </w:pPr>
      <w:r>
        <w:tab/>
        <w:t>(ii)</w:t>
      </w:r>
      <w:r>
        <w:tab/>
        <w:t>to be driven or controlled by a person carried in or on the vehicle;</w:t>
      </w:r>
    </w:p>
    <w:p w:rsidR="00995A0E" w:rsidRDefault="00995A0E">
      <w:pPr>
        <w:pStyle w:val="Defpara"/>
      </w:pPr>
      <w:r>
        <w:tab/>
      </w:r>
      <w:r>
        <w:tab/>
        <w:t>and</w:t>
      </w:r>
    </w:p>
    <w:p w:rsidR="00995A0E" w:rsidRDefault="00995A0E">
      <w:pPr>
        <w:pStyle w:val="Defpara"/>
      </w:pPr>
      <w:r>
        <w:tab/>
        <w:t>(b)</w:t>
      </w:r>
      <w:r>
        <w:tab/>
        <w:t xml:space="preserve">is not designed — </w:t>
      </w:r>
    </w:p>
    <w:p w:rsidR="00995A0E" w:rsidRDefault="00995A0E">
      <w:pPr>
        <w:pStyle w:val="Defsubpara"/>
      </w:pPr>
      <w:r>
        <w:tab/>
        <w:t>(i)</w:t>
      </w:r>
      <w:r>
        <w:tab/>
        <w:t>for use primarily for the carriage on roads of passengers or goods; or</w:t>
      </w:r>
    </w:p>
    <w:p w:rsidR="00995A0E" w:rsidRDefault="00995A0E">
      <w:pPr>
        <w:pStyle w:val="Defsubpara"/>
      </w:pPr>
      <w:r>
        <w:tab/>
        <w:t>(ii)</w:t>
      </w:r>
      <w:r>
        <w:tab/>
        <w:t>for hauling a semi</w:t>
      </w:r>
      <w:r>
        <w:noBreakHyphen/>
        <w:t>trailer;</w:t>
      </w:r>
    </w:p>
    <w:p w:rsidR="00995A0E" w:rsidRDefault="00995A0E">
      <w:pPr>
        <w:pStyle w:val="Defstart"/>
      </w:pPr>
      <w:r>
        <w:rPr>
          <w:b/>
        </w:rPr>
        <w:tab/>
      </w:r>
      <w:r>
        <w:rPr>
          <w:rStyle w:val="CharDefText"/>
        </w:rPr>
        <w:t>tractor plant</w:t>
      </w:r>
      <w:r>
        <w:t xml:space="preserve"> means a motor vehicle that — </w:t>
      </w:r>
    </w:p>
    <w:p w:rsidR="00995A0E" w:rsidRDefault="00995A0E">
      <w:pPr>
        <w:pStyle w:val="Defpara"/>
      </w:pPr>
      <w:r>
        <w:tab/>
        <w:t>(a)</w:t>
      </w:r>
      <w:r>
        <w:tab/>
        <w:t>is, or has permanently attached to it, an excavator, road roller, road grader, bulldozer, mechanical shovel, plough, rotary hoe or similar plant; and</w:t>
      </w:r>
    </w:p>
    <w:p w:rsidR="00995A0E" w:rsidRDefault="00995A0E">
      <w:pPr>
        <w:pStyle w:val="Defpara"/>
      </w:pPr>
      <w:r>
        <w:tab/>
        <w:t>(b)</w:t>
      </w:r>
      <w:r>
        <w:tab/>
        <w:t>is designed to be driven or controlled by a person carried in or on the vehicle; and</w:t>
      </w:r>
    </w:p>
    <w:p w:rsidR="00995A0E" w:rsidRDefault="00995A0E">
      <w:pPr>
        <w:pStyle w:val="Defpara"/>
      </w:pPr>
      <w:r>
        <w:tab/>
        <w:t>(c)</w:t>
      </w:r>
      <w:r>
        <w:tab/>
        <w:t>is not suitable for the carriage of any load other than accessories necessary for the operation of the vehicle.</w:t>
      </w:r>
    </w:p>
    <w:p w:rsidR="00995A0E" w:rsidRDefault="00995A0E">
      <w:pPr>
        <w:pStyle w:val="Subsection"/>
      </w:pPr>
      <w:r>
        <w:tab/>
        <w:t>(2)</w:t>
      </w:r>
      <w:r>
        <w:tab/>
        <w:t xml:space="preserve">For the purposes of section 244(a) of the Act, these classes of vehicles are prescribed — </w:t>
      </w:r>
    </w:p>
    <w:p w:rsidR="00995A0E" w:rsidRDefault="00995A0E">
      <w:pPr>
        <w:pStyle w:val="Indenta"/>
      </w:pPr>
      <w:r>
        <w:tab/>
        <w:t>(a)</w:t>
      </w:r>
      <w:r>
        <w:tab/>
        <w:t>a tractor;</w:t>
      </w:r>
    </w:p>
    <w:p w:rsidR="00995A0E" w:rsidRDefault="00995A0E">
      <w:pPr>
        <w:pStyle w:val="Indenta"/>
      </w:pPr>
      <w:r>
        <w:tab/>
        <w:t>(b)</w:t>
      </w:r>
      <w:r>
        <w:tab/>
        <w:t>tractor plant.</w:t>
      </w:r>
    </w:p>
    <w:p w:rsidR="00995A0E" w:rsidRDefault="00995A0E">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rsidR="00995A0E" w:rsidRDefault="00995A0E">
      <w:pPr>
        <w:pStyle w:val="Subsection"/>
      </w:pPr>
      <w:r>
        <w:tab/>
        <w:t>(4)</w:t>
      </w:r>
      <w:r>
        <w:tab/>
        <w:t xml:space="preserve">For the purposes of section 244(c) of the Act, these classes of purposes are prescribed — </w:t>
      </w:r>
    </w:p>
    <w:p w:rsidR="00995A0E" w:rsidRDefault="00995A0E">
      <w:pPr>
        <w:pStyle w:val="Indenta"/>
      </w:pPr>
      <w:r>
        <w:tab/>
        <w:t>(a)</w:t>
      </w:r>
      <w:r>
        <w:tab/>
        <w:t xml:space="preserve">travelling — </w:t>
      </w:r>
    </w:p>
    <w:p w:rsidR="00995A0E" w:rsidRDefault="00995A0E">
      <w:pPr>
        <w:pStyle w:val="Indenti"/>
      </w:pPr>
      <w:r>
        <w:tab/>
        <w:t>(i)</w:t>
      </w:r>
      <w:r>
        <w:tab/>
        <w:t>from one part of farming land to another part of that land; or</w:t>
      </w:r>
    </w:p>
    <w:p w:rsidR="00995A0E" w:rsidRDefault="00995A0E">
      <w:pPr>
        <w:pStyle w:val="Indenti"/>
      </w:pPr>
      <w:r>
        <w:tab/>
        <w:t>(ii)</w:t>
      </w:r>
      <w:r>
        <w:tab/>
        <w:t>from farming land to another place to carry out farming activities;</w:t>
      </w:r>
    </w:p>
    <w:p w:rsidR="00995A0E" w:rsidRDefault="00995A0E">
      <w:pPr>
        <w:pStyle w:val="Indenta"/>
      </w:pPr>
      <w:r>
        <w:tab/>
        <w:t>(b)</w:t>
      </w:r>
      <w:r>
        <w:tab/>
        <w:t>carrying out fire fighting or fire prevention operations;</w:t>
      </w:r>
    </w:p>
    <w:p w:rsidR="00995A0E" w:rsidRDefault="00995A0E">
      <w:pPr>
        <w:pStyle w:val="Indenta"/>
      </w:pPr>
      <w:r>
        <w:tab/>
        <w:t>(c)</w:t>
      </w:r>
      <w:r>
        <w:tab/>
        <w:t xml:space="preserve">taking part in fire control exercises that have been authorised by a bush fire control officer appointed under the </w:t>
      </w:r>
      <w:r>
        <w:rPr>
          <w:i/>
        </w:rPr>
        <w:t>Bush Fires Act 1954</w:t>
      </w:r>
      <w:r>
        <w:t>;</w:t>
      </w:r>
    </w:p>
    <w:p w:rsidR="00995A0E" w:rsidRDefault="00995A0E">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rsidR="00995A0E" w:rsidRDefault="00995A0E">
      <w:pPr>
        <w:pStyle w:val="Heading5"/>
      </w:pPr>
      <w:bookmarkStart w:id="45" w:name="_Toc199828677"/>
      <w:bookmarkStart w:id="46" w:name="_Toc202241510"/>
      <w:bookmarkStart w:id="47" w:name="_Toc202241656"/>
      <w:bookmarkStart w:id="48" w:name="_Toc309039488"/>
      <w:r>
        <w:rPr>
          <w:rStyle w:val="CharSectno"/>
        </w:rPr>
        <w:t>8</w:t>
      </w:r>
      <w:r>
        <w:t>.</w:t>
      </w:r>
      <w:r>
        <w:tab/>
        <w:t>Prescribed records to be kept for vehicles with exempt uses (s. 256(a))</w:t>
      </w:r>
      <w:bookmarkEnd w:id="45"/>
      <w:bookmarkEnd w:id="46"/>
      <w:bookmarkEnd w:id="47"/>
      <w:bookmarkEnd w:id="48"/>
    </w:p>
    <w:p w:rsidR="00995A0E" w:rsidRDefault="00995A0E">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rsidR="00995A0E" w:rsidRDefault="00995A0E">
      <w:pPr>
        <w:pStyle w:val="Indenta"/>
      </w:pPr>
      <w:r>
        <w:tab/>
        <w:t>(a)</w:t>
      </w:r>
      <w:r>
        <w:tab/>
        <w:t>a record of the date of the grant or transfer of the licence for the vehicle to the dealer;</w:t>
      </w:r>
    </w:p>
    <w:p w:rsidR="00995A0E" w:rsidRDefault="00995A0E">
      <w:pPr>
        <w:pStyle w:val="Indenta"/>
      </w:pPr>
      <w:r>
        <w:tab/>
        <w:t>(b)</w:t>
      </w:r>
      <w:r>
        <w:tab/>
        <w:t xml:space="preserve">for each loan of the vehicle by the dealer, as described in section 247(1)(a) of the Act — </w:t>
      </w:r>
    </w:p>
    <w:p w:rsidR="00995A0E" w:rsidRDefault="00995A0E">
      <w:pPr>
        <w:pStyle w:val="Indenti"/>
      </w:pPr>
      <w:r>
        <w:tab/>
        <w:t>(i)</w:t>
      </w:r>
      <w:r>
        <w:tab/>
        <w:t>a record of the date the loan begins and the date the loan ends;</w:t>
      </w:r>
    </w:p>
    <w:p w:rsidR="00995A0E" w:rsidRDefault="00995A0E">
      <w:pPr>
        <w:pStyle w:val="Indenti"/>
      </w:pPr>
      <w:r>
        <w:tab/>
        <w:t>(ii)</w:t>
      </w:r>
      <w:r>
        <w:tab/>
        <w:t>a record of the name of the charitable organisation, school or individual to which or whom the vehicle is loaned;</w:t>
      </w:r>
    </w:p>
    <w:p w:rsidR="00995A0E" w:rsidRDefault="00995A0E">
      <w:pPr>
        <w:pStyle w:val="Indenti"/>
      </w:pPr>
      <w:r>
        <w:tab/>
        <w:t>(iii)</w:t>
      </w:r>
      <w:r>
        <w:tab/>
        <w:t>a record of the purposes for which the vehicle is loaned;</w:t>
      </w:r>
    </w:p>
    <w:p w:rsidR="00995A0E" w:rsidRDefault="00995A0E">
      <w:pPr>
        <w:pStyle w:val="Indenti"/>
      </w:pPr>
      <w:r>
        <w:tab/>
        <w:t>(iv)</w:t>
      </w:r>
      <w:r>
        <w:tab/>
        <w:t>a description of the vehicle, including type, make, model, licence plate number and engine number;</w:t>
      </w:r>
    </w:p>
    <w:p w:rsidR="00995A0E" w:rsidRDefault="00995A0E">
      <w:pPr>
        <w:pStyle w:val="Indenti"/>
      </w:pPr>
      <w:r>
        <w:tab/>
        <w:t>(v)</w:t>
      </w:r>
      <w:r>
        <w:tab/>
        <w:t>if the vehicle is loaned to an individual for a philanthropic purpose — a copy of the Commissioner’s approval of the philanthropic purpose.</w:t>
      </w:r>
    </w:p>
    <w:p w:rsidR="00995A0E" w:rsidRDefault="00995A0E">
      <w:pPr>
        <w:pStyle w:val="Subsection"/>
      </w:pPr>
      <w:r>
        <w:tab/>
        <w:t>(2)</w:t>
      </w:r>
      <w:r>
        <w:tab/>
        <w:t xml:space="preserve">When a dealer is required by section 256(a) of the Act to keep a record referred to in subregulation (1) for a vehicle — </w:t>
      </w:r>
    </w:p>
    <w:p w:rsidR="00995A0E" w:rsidRDefault="00995A0E">
      <w:pPr>
        <w:pStyle w:val="Indenta"/>
      </w:pPr>
      <w:r>
        <w:tab/>
        <w:t>(a)</w:t>
      </w:r>
      <w:r>
        <w:tab/>
        <w:t>the dealer; and</w:t>
      </w:r>
    </w:p>
    <w:p w:rsidR="00995A0E" w:rsidRDefault="00995A0E">
      <w:pPr>
        <w:pStyle w:val="Indenta"/>
      </w:pPr>
      <w:r>
        <w:tab/>
        <w:t>(b)</w:t>
      </w:r>
      <w:r>
        <w:tab/>
        <w:t>if the vehicle is loaned as described in section 247(1)(a) of the Act — the person responsible for the vehicle while on loan,</w:t>
      </w:r>
    </w:p>
    <w:p w:rsidR="00995A0E" w:rsidRDefault="00995A0E">
      <w:pPr>
        <w:pStyle w:val="Subsection"/>
      </w:pPr>
      <w:r>
        <w:tab/>
      </w:r>
      <w:r>
        <w:tab/>
        <w:t>must certify on the record that the record is accurate.</w:t>
      </w:r>
    </w:p>
    <w:p w:rsidR="00995A0E" w:rsidRDefault="00995A0E">
      <w:pPr>
        <w:pStyle w:val="Penstart"/>
      </w:pPr>
      <w:r>
        <w:tab/>
        <w:t>Penalty: a fine of $2 000.</w:t>
      </w:r>
    </w:p>
    <w:p w:rsidR="00995A0E" w:rsidRDefault="00995A0E">
      <w:pPr>
        <w:pStyle w:val="Heading5"/>
      </w:pPr>
      <w:bookmarkStart w:id="49" w:name="_Toc199828678"/>
      <w:bookmarkStart w:id="50" w:name="_Toc202241511"/>
      <w:bookmarkStart w:id="51" w:name="_Toc202241657"/>
      <w:bookmarkStart w:id="52" w:name="_Toc309039489"/>
      <w:r>
        <w:rPr>
          <w:rStyle w:val="CharSectno"/>
        </w:rPr>
        <w:t>9</w:t>
      </w:r>
      <w:r>
        <w:t>.</w:t>
      </w:r>
      <w:r>
        <w:tab/>
        <w:t>Variation of clause 13(1) of Schedule 3 to the Act (Sch. 3 cl. 27(1)(b))</w:t>
      </w:r>
      <w:bookmarkEnd w:id="49"/>
      <w:bookmarkEnd w:id="50"/>
      <w:bookmarkEnd w:id="51"/>
      <w:bookmarkEnd w:id="52"/>
    </w:p>
    <w:p w:rsidR="00995A0E" w:rsidRDefault="00995A0E">
      <w:pPr>
        <w:pStyle w:val="Subsection"/>
      </w:pPr>
      <w:r>
        <w:tab/>
      </w:r>
      <w:r>
        <w:tab/>
        <w:t xml:space="preserve">Clause 13(1) of Schedule 3 to the Act is varied as if the following were inserted instead of that subclause — </w:t>
      </w:r>
    </w:p>
    <w:p w:rsidR="00995A0E" w:rsidRDefault="00995A0E">
      <w:pPr>
        <w:pStyle w:val="MiscOpen"/>
        <w:ind w:left="600"/>
      </w:pPr>
      <w:r>
        <w:t xml:space="preserve">“    </w:t>
      </w:r>
    </w:p>
    <w:p w:rsidR="00995A0E" w:rsidRDefault="00995A0E">
      <w:pPr>
        <w:pStyle w:val="zySubsection"/>
        <w:spacing w:before="0"/>
      </w:pPr>
      <w:r>
        <w:tab/>
        <w:t>(1)</w:t>
      </w:r>
      <w:r>
        <w:tab/>
        <w:t xml:space="preserve">Despite section 190(1)(a), if the day that is 3 years before the day on which the relevant acquisition occurred is before 1 July 2008, section 190 is to be read as if — </w:t>
      </w:r>
    </w:p>
    <w:p w:rsidR="00995A0E" w:rsidRDefault="00995A0E">
      <w:pPr>
        <w:pStyle w:val="zyIndenta"/>
      </w:pPr>
      <w:r>
        <w:tab/>
        <w:t>(a)</w:t>
      </w:r>
      <w:r>
        <w:tab/>
        <w:t xml:space="preserve">the following paragraph were inserted instead of section 190(1)(a) — </w:t>
      </w:r>
    </w:p>
    <w:p w:rsidR="00995A0E" w:rsidRDefault="00995A0E">
      <w:pPr>
        <w:pStyle w:val="MiscOpen"/>
        <w:ind w:left="1340"/>
      </w:pPr>
      <w:r>
        <w:t xml:space="preserve">“    </w:t>
      </w:r>
    </w:p>
    <w:p w:rsidR="00995A0E" w:rsidRDefault="00995A0E">
      <w:pPr>
        <w:pStyle w:val="zIndenta"/>
        <w:spacing w:before="0"/>
      </w:pPr>
      <w:r>
        <w:tab/>
        <w:t>(a)</w:t>
      </w:r>
      <w:r>
        <w:tab/>
        <w:t>an interest, other than one to which subsection (2) applies, that was held by the person or a related person, or by the person and a related person, before 1 July 2008; or</w:t>
      </w:r>
    </w:p>
    <w:p w:rsidR="00995A0E" w:rsidRDefault="00995A0E">
      <w:pPr>
        <w:pStyle w:val="MiscClose"/>
        <w:rPr>
          <w:sz w:val="22"/>
        </w:rPr>
      </w:pPr>
      <w:r>
        <w:t xml:space="preserve">    ”;</w:t>
      </w:r>
      <w:r>
        <w:rPr>
          <w:sz w:val="22"/>
        </w:rPr>
        <w:t xml:space="preserve"> and</w:t>
      </w:r>
    </w:p>
    <w:p w:rsidR="00995A0E" w:rsidRDefault="00995A0E">
      <w:pPr>
        <w:pStyle w:val="zyIndenta"/>
      </w:pPr>
      <w:r>
        <w:tab/>
        <w:t>(b)</w:t>
      </w:r>
      <w:r>
        <w:tab/>
        <w:t xml:space="preserve">the following subsection were inserted instead of section 190(2) — </w:t>
      </w:r>
    </w:p>
    <w:p w:rsidR="00995A0E" w:rsidRDefault="00995A0E">
      <w:pPr>
        <w:pStyle w:val="MiscOpen"/>
        <w:ind w:left="600"/>
      </w:pPr>
      <w:r>
        <w:t xml:space="preserve">“    </w:t>
      </w:r>
    </w:p>
    <w:p w:rsidR="00995A0E" w:rsidRDefault="00995A0E">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rsidR="00995A0E" w:rsidRDefault="00995A0E">
      <w:pPr>
        <w:pStyle w:val="zIndenta"/>
      </w:pPr>
      <w:r>
        <w:tab/>
        <w:t>(a)</w:t>
      </w:r>
      <w:r>
        <w:tab/>
        <w:t>during the prescribed period in respect of the earlier acquisition; and</w:t>
      </w:r>
    </w:p>
    <w:p w:rsidR="00995A0E" w:rsidRDefault="00995A0E">
      <w:pPr>
        <w:pStyle w:val="zIndenta"/>
      </w:pPr>
      <w:r>
        <w:tab/>
        <w:t>(b)</w:t>
      </w:r>
      <w:r>
        <w:tab/>
        <w:t>in the opinion of the Commissioner, for a purpose of avoiding or reducing the amount of duty payable.</w:t>
      </w:r>
    </w:p>
    <w:p w:rsidR="00995A0E" w:rsidRDefault="00995A0E">
      <w:pPr>
        <w:pStyle w:val="MiscClose"/>
        <w:ind w:right="282"/>
      </w:pPr>
      <w:r>
        <w:t xml:space="preserve">    ”.</w:t>
      </w:r>
    </w:p>
    <w:p w:rsidR="00995A0E" w:rsidRDefault="00995A0E">
      <w:pPr>
        <w:pStyle w:val="MiscClose"/>
      </w:pPr>
      <w:r>
        <w:t xml:space="preserve">    ”.</w:t>
      </w:r>
    </w:p>
    <w:p w:rsidR="00995A0E" w:rsidRDefault="00995A0E">
      <w:pPr>
        <w:pStyle w:val="Heading5"/>
      </w:pPr>
      <w:bookmarkStart w:id="53" w:name="_Toc309039490"/>
      <w:r>
        <w:rPr>
          <w:rStyle w:val="CharSectno"/>
        </w:rPr>
        <w:t>10</w:t>
      </w:r>
      <w:r>
        <w:t>.</w:t>
      </w:r>
      <w:r>
        <w:tab/>
        <w:t>Consideration for the grant of a lease</w:t>
      </w:r>
      <w:bookmarkEnd w:id="53"/>
    </w:p>
    <w:p w:rsidR="00995A0E" w:rsidRDefault="00995A0E">
      <w:pPr>
        <w:pStyle w:val="Subsection"/>
      </w:pPr>
      <w:r>
        <w:tab/>
        <w:t>(1)</w:t>
      </w:r>
      <w:r>
        <w:tab/>
        <w:t xml:space="preserve">In ascertaining the amount of consideration for a dutiable transaction that is the grant of a lease, the value of any substantial improvement of, or addition to, the leased property that the lessee has agreed to carry out, or has already carried out, is not included. </w:t>
      </w:r>
    </w:p>
    <w:p w:rsidR="00995A0E" w:rsidRDefault="00995A0E">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rsidR="00995A0E" w:rsidRDefault="00995A0E">
      <w:pPr>
        <w:pStyle w:val="Footnotesection"/>
      </w:pPr>
      <w:r>
        <w:tab/>
        <w:t>[Regulation 10 inserted in Gazette 27 Mar 2009 p. 933.]</w:t>
      </w:r>
    </w:p>
    <w:p w:rsidR="00995A0E" w:rsidRDefault="00995A0E">
      <w:pPr>
        <w:sectPr w:rsidR="00995A0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95A0E" w:rsidRDefault="00995A0E">
      <w:pPr>
        <w:pStyle w:val="nHeading2"/>
      </w:pPr>
      <w:bookmarkStart w:id="54" w:name="_Toc113695922"/>
      <w:bookmarkStart w:id="55" w:name="_Toc201660796"/>
      <w:bookmarkStart w:id="56" w:name="_Toc201660818"/>
      <w:bookmarkStart w:id="57" w:name="_Toc201660834"/>
      <w:bookmarkStart w:id="58" w:name="_Toc201660878"/>
      <w:bookmarkStart w:id="59" w:name="_Toc201662812"/>
      <w:bookmarkStart w:id="60" w:name="_Toc202241658"/>
      <w:bookmarkStart w:id="61" w:name="_Toc202242647"/>
      <w:bookmarkStart w:id="62" w:name="_Toc202242886"/>
      <w:bookmarkStart w:id="63" w:name="_Toc225850859"/>
      <w:bookmarkStart w:id="64" w:name="_Toc225914498"/>
      <w:bookmarkStart w:id="65" w:name="_Toc230159763"/>
      <w:bookmarkStart w:id="66" w:name="_Toc309033847"/>
      <w:bookmarkStart w:id="67" w:name="_Toc309039491"/>
      <w:r>
        <w:t>Notes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95A0E" w:rsidRDefault="00995A0E">
      <w:pPr>
        <w:pStyle w:val="nSubsection"/>
        <w:rPr>
          <w:snapToGrid w:val="0"/>
        </w:rPr>
      </w:pPr>
      <w:bookmarkStart w:id="68"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w:t>
      </w:r>
    </w:p>
    <w:p w:rsidR="00995A0E" w:rsidRDefault="00995A0E">
      <w:pPr>
        <w:pStyle w:val="nHeading3"/>
      </w:pPr>
      <w:bookmarkStart w:id="69" w:name="_Toc202241659"/>
      <w:bookmarkStart w:id="70" w:name="_Toc309039492"/>
      <w:bookmarkEnd w:id="68"/>
      <w:r>
        <w:t>Compilation table</w:t>
      </w:r>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95A0E">
        <w:trPr>
          <w:tblHeader/>
        </w:trPr>
        <w:tc>
          <w:tcPr>
            <w:tcW w:w="3118" w:type="dxa"/>
            <w:tcBorders>
              <w:bottom w:val="single" w:sz="8" w:space="0" w:color="auto"/>
            </w:tcBorders>
          </w:tcPr>
          <w:p w:rsidR="00995A0E" w:rsidRDefault="00995A0E">
            <w:pPr>
              <w:pStyle w:val="nTable"/>
              <w:spacing w:after="40"/>
              <w:rPr>
                <w:b/>
                <w:sz w:val="19"/>
              </w:rPr>
            </w:pPr>
            <w:r>
              <w:rPr>
                <w:b/>
                <w:sz w:val="19"/>
              </w:rPr>
              <w:t>Citation</w:t>
            </w:r>
          </w:p>
        </w:tc>
        <w:tc>
          <w:tcPr>
            <w:tcW w:w="1276" w:type="dxa"/>
            <w:tcBorders>
              <w:bottom w:val="single" w:sz="8" w:space="0" w:color="auto"/>
            </w:tcBorders>
          </w:tcPr>
          <w:p w:rsidR="00995A0E" w:rsidRDefault="00995A0E">
            <w:pPr>
              <w:pStyle w:val="nTable"/>
              <w:spacing w:after="40"/>
              <w:rPr>
                <w:b/>
                <w:sz w:val="19"/>
              </w:rPr>
            </w:pPr>
            <w:r>
              <w:rPr>
                <w:b/>
                <w:sz w:val="19"/>
              </w:rPr>
              <w:t>Gazettal</w:t>
            </w:r>
          </w:p>
        </w:tc>
        <w:tc>
          <w:tcPr>
            <w:tcW w:w="2693" w:type="dxa"/>
            <w:tcBorders>
              <w:bottom w:val="single" w:sz="8" w:space="0" w:color="auto"/>
            </w:tcBorders>
          </w:tcPr>
          <w:p w:rsidR="00995A0E" w:rsidRDefault="00995A0E">
            <w:pPr>
              <w:pStyle w:val="nTable"/>
              <w:spacing w:after="40"/>
              <w:rPr>
                <w:b/>
                <w:sz w:val="19"/>
              </w:rPr>
            </w:pPr>
            <w:r>
              <w:rPr>
                <w:b/>
                <w:sz w:val="19"/>
              </w:rPr>
              <w:t>Commencement</w:t>
            </w:r>
          </w:p>
        </w:tc>
      </w:tr>
      <w:tr w:rsidR="00995A0E">
        <w:tc>
          <w:tcPr>
            <w:tcW w:w="3118" w:type="dxa"/>
            <w:tcBorders>
              <w:top w:val="single" w:sz="8" w:space="0" w:color="auto"/>
              <w:bottom w:val="nil"/>
            </w:tcBorders>
          </w:tcPr>
          <w:p w:rsidR="00995A0E" w:rsidRDefault="00995A0E">
            <w:pPr>
              <w:pStyle w:val="nTable"/>
              <w:spacing w:after="40"/>
              <w:rPr>
                <w:iCs/>
                <w:sz w:val="19"/>
              </w:rPr>
            </w:pPr>
            <w:r>
              <w:rPr>
                <w:i/>
                <w:noProof/>
                <w:snapToGrid w:val="0"/>
                <w:sz w:val="19"/>
              </w:rPr>
              <w:t>Duties Regulations 2008</w:t>
            </w:r>
          </w:p>
        </w:tc>
        <w:tc>
          <w:tcPr>
            <w:tcW w:w="1276" w:type="dxa"/>
            <w:tcBorders>
              <w:top w:val="single" w:sz="8" w:space="0" w:color="auto"/>
              <w:bottom w:val="nil"/>
            </w:tcBorders>
          </w:tcPr>
          <w:p w:rsidR="00995A0E" w:rsidRDefault="00995A0E">
            <w:pPr>
              <w:pStyle w:val="nTable"/>
              <w:spacing w:after="40"/>
              <w:rPr>
                <w:sz w:val="19"/>
              </w:rPr>
            </w:pPr>
            <w:r>
              <w:rPr>
                <w:sz w:val="19"/>
              </w:rPr>
              <w:t>20 Jun 2008 p. 2751</w:t>
            </w:r>
            <w:r>
              <w:rPr>
                <w:sz w:val="19"/>
              </w:rPr>
              <w:noBreakHyphen/>
              <w:t>61</w:t>
            </w:r>
          </w:p>
        </w:tc>
        <w:tc>
          <w:tcPr>
            <w:tcW w:w="2693" w:type="dxa"/>
            <w:tcBorders>
              <w:top w:val="single" w:sz="8" w:space="0" w:color="auto"/>
              <w:bottom w:val="nil"/>
            </w:tcBorders>
          </w:tcPr>
          <w:p w:rsidR="00995A0E" w:rsidRDefault="00995A0E">
            <w:pPr>
              <w:pStyle w:val="nTable"/>
              <w:spacing w:after="40"/>
              <w:rPr>
                <w:sz w:val="19"/>
              </w:rPr>
            </w:pPr>
            <w:r>
              <w:rPr>
                <w:sz w:val="19"/>
              </w:rPr>
              <w:t>r. 1 and 2: 20 Jun 2008 (see r. 2(a));</w:t>
            </w:r>
          </w:p>
          <w:p w:rsidR="00995A0E" w:rsidRDefault="00995A0E">
            <w:pPr>
              <w:pStyle w:val="nTable"/>
              <w:spacing w:before="0" w:after="40"/>
              <w:rPr>
                <w:sz w:val="19"/>
              </w:rPr>
            </w:pPr>
            <w:r>
              <w:rPr>
                <w:sz w:val="19"/>
              </w:rPr>
              <w:t>Regulations other than r. 1 and 2: 1 Jul 2008 (see r. 2(b))</w:t>
            </w:r>
          </w:p>
        </w:tc>
      </w:tr>
      <w:tr w:rsidR="00995A0E">
        <w:tc>
          <w:tcPr>
            <w:tcW w:w="3118" w:type="dxa"/>
            <w:tcBorders>
              <w:top w:val="nil"/>
              <w:bottom w:val="nil"/>
            </w:tcBorders>
          </w:tcPr>
          <w:p w:rsidR="00995A0E" w:rsidRDefault="00995A0E">
            <w:pPr>
              <w:pStyle w:val="nTable"/>
              <w:spacing w:after="40"/>
              <w:rPr>
                <w:i/>
                <w:noProof/>
                <w:snapToGrid w:val="0"/>
                <w:sz w:val="19"/>
              </w:rPr>
            </w:pPr>
            <w:r>
              <w:rPr>
                <w:i/>
                <w:noProof/>
                <w:snapToGrid w:val="0"/>
                <w:sz w:val="19"/>
              </w:rPr>
              <w:t>Duties Amendment Regulations 2009</w:t>
            </w:r>
          </w:p>
        </w:tc>
        <w:tc>
          <w:tcPr>
            <w:tcW w:w="1276" w:type="dxa"/>
            <w:tcBorders>
              <w:top w:val="nil"/>
              <w:bottom w:val="nil"/>
            </w:tcBorders>
          </w:tcPr>
          <w:p w:rsidR="00995A0E" w:rsidRDefault="00995A0E">
            <w:pPr>
              <w:pStyle w:val="nTable"/>
              <w:spacing w:after="40"/>
              <w:rPr>
                <w:sz w:val="19"/>
              </w:rPr>
            </w:pPr>
            <w:r>
              <w:rPr>
                <w:sz w:val="19"/>
              </w:rPr>
              <w:t>27 Mar 2009 p. 932</w:t>
            </w:r>
            <w:r>
              <w:rPr>
                <w:sz w:val="19"/>
              </w:rPr>
              <w:noBreakHyphen/>
              <w:t>3</w:t>
            </w:r>
          </w:p>
        </w:tc>
        <w:tc>
          <w:tcPr>
            <w:tcW w:w="2693" w:type="dxa"/>
            <w:tcBorders>
              <w:top w:val="nil"/>
              <w:bottom w:val="nil"/>
            </w:tcBorders>
          </w:tcPr>
          <w:p w:rsidR="00995A0E" w:rsidRDefault="00995A0E">
            <w:pPr>
              <w:pStyle w:val="nTable"/>
              <w:spacing w:after="40"/>
              <w:rPr>
                <w:sz w:val="19"/>
              </w:rPr>
            </w:pPr>
            <w:r>
              <w:rPr>
                <w:snapToGrid w:val="0"/>
                <w:spacing w:val="-2"/>
                <w:sz w:val="19"/>
                <w:lang w:val="en-US"/>
              </w:rPr>
              <w:t>r. 1 and 2: 27 Mar 2009 (see r. 2(a));</w:t>
            </w:r>
            <w:r>
              <w:rPr>
                <w:snapToGrid w:val="0"/>
                <w:spacing w:val="-2"/>
                <w:sz w:val="19"/>
                <w:lang w:val="en-US"/>
              </w:rPr>
              <w:br/>
              <w:t>Regulations other than r. 1 and 2: 28 Mar 2009 (see r. 2(b))</w:t>
            </w:r>
          </w:p>
        </w:tc>
      </w:tr>
      <w:tr w:rsidR="00995A0E" w:rsidTr="00995A0E">
        <w:tc>
          <w:tcPr>
            <w:tcW w:w="3118" w:type="dxa"/>
            <w:tcBorders>
              <w:top w:val="nil"/>
              <w:bottom w:val="nil"/>
            </w:tcBorders>
          </w:tcPr>
          <w:p w:rsidR="00995A0E" w:rsidRDefault="00995A0E">
            <w:pPr>
              <w:pStyle w:val="nTable"/>
              <w:spacing w:after="40"/>
              <w:rPr>
                <w:i/>
                <w:noProof/>
                <w:snapToGrid w:val="0"/>
                <w:sz w:val="19"/>
              </w:rPr>
            </w:pPr>
            <w:r>
              <w:rPr>
                <w:i/>
                <w:noProof/>
                <w:snapToGrid w:val="0"/>
                <w:sz w:val="19"/>
              </w:rPr>
              <w:t>Duties Amendment Regulations (No. 2) 2009</w:t>
            </w:r>
          </w:p>
        </w:tc>
        <w:tc>
          <w:tcPr>
            <w:tcW w:w="1276" w:type="dxa"/>
            <w:tcBorders>
              <w:top w:val="nil"/>
              <w:bottom w:val="nil"/>
            </w:tcBorders>
          </w:tcPr>
          <w:p w:rsidR="00995A0E" w:rsidRDefault="00995A0E">
            <w:pPr>
              <w:pStyle w:val="nTable"/>
              <w:spacing w:after="40"/>
              <w:rPr>
                <w:sz w:val="19"/>
              </w:rPr>
            </w:pPr>
            <w:r>
              <w:rPr>
                <w:sz w:val="19"/>
              </w:rPr>
              <w:t>15 May 2009 p. 1638-9</w:t>
            </w:r>
          </w:p>
        </w:tc>
        <w:tc>
          <w:tcPr>
            <w:tcW w:w="2693" w:type="dxa"/>
            <w:tcBorders>
              <w:top w:val="nil"/>
              <w:bottom w:val="nil"/>
            </w:tcBorders>
          </w:tcPr>
          <w:p w:rsidR="00995A0E" w:rsidRDefault="00995A0E">
            <w:pPr>
              <w:pStyle w:val="nTable"/>
              <w:spacing w:after="40"/>
              <w:rPr>
                <w:snapToGrid w:val="0"/>
                <w:spacing w:val="-2"/>
                <w:sz w:val="19"/>
                <w:lang w:val="en-US"/>
              </w:rPr>
            </w:pPr>
            <w:r>
              <w:rPr>
                <w:snapToGrid w:val="0"/>
                <w:spacing w:val="-2"/>
                <w:sz w:val="19"/>
                <w:lang w:val="en-US"/>
              </w:rPr>
              <w:t>r. 1 and 2: 15 May 2009 (see r. 2(a));</w:t>
            </w:r>
            <w:r>
              <w:rPr>
                <w:snapToGrid w:val="0"/>
                <w:spacing w:val="-2"/>
                <w:sz w:val="19"/>
                <w:lang w:val="en-US"/>
              </w:rPr>
              <w:br/>
              <w:t>Regulations other than r. 1 and 2: 16 May 2009 (see r. 2(b))</w:t>
            </w:r>
          </w:p>
        </w:tc>
      </w:tr>
      <w:tr w:rsidR="00995A0E" w:rsidTr="00995A0E">
        <w:tc>
          <w:tcPr>
            <w:tcW w:w="3118" w:type="dxa"/>
            <w:tcBorders>
              <w:top w:val="nil"/>
              <w:bottom w:val="single" w:sz="4" w:space="0" w:color="auto"/>
              <w:right w:val="single" w:sz="8" w:space="0" w:color="auto"/>
            </w:tcBorders>
          </w:tcPr>
          <w:p w:rsidR="00995A0E" w:rsidRDefault="00995A0E" w:rsidP="00995A0E">
            <w:pPr>
              <w:pStyle w:val="nTable"/>
              <w:spacing w:after="40"/>
              <w:rPr>
                <w:i/>
                <w:noProof/>
                <w:snapToGrid w:val="0"/>
                <w:sz w:val="19"/>
              </w:rPr>
            </w:pPr>
            <w:r>
              <w:rPr>
                <w:i/>
                <w:noProof/>
                <w:snapToGrid w:val="0"/>
                <w:sz w:val="19"/>
              </w:rPr>
              <w:t>Duties Amendment Regulations (No. 2) 2011</w:t>
            </w:r>
          </w:p>
        </w:tc>
        <w:tc>
          <w:tcPr>
            <w:tcW w:w="1276" w:type="dxa"/>
            <w:tcBorders>
              <w:top w:val="nil"/>
              <w:bottom w:val="single" w:sz="4" w:space="0" w:color="auto"/>
              <w:right w:val="single" w:sz="8" w:space="0" w:color="auto"/>
            </w:tcBorders>
          </w:tcPr>
          <w:p w:rsidR="00995A0E" w:rsidRDefault="00995A0E" w:rsidP="00995A0E">
            <w:pPr>
              <w:pStyle w:val="nTable"/>
              <w:spacing w:after="40"/>
              <w:rPr>
                <w:sz w:val="19"/>
              </w:rPr>
            </w:pPr>
            <w:r>
              <w:rPr>
                <w:sz w:val="19"/>
              </w:rPr>
              <w:t>15 Nov 2011 p. 4795-6</w:t>
            </w:r>
          </w:p>
        </w:tc>
        <w:tc>
          <w:tcPr>
            <w:tcW w:w="2693" w:type="dxa"/>
            <w:tcBorders>
              <w:top w:val="nil"/>
              <w:bottom w:val="single" w:sz="4" w:space="0" w:color="auto"/>
            </w:tcBorders>
          </w:tcPr>
          <w:p w:rsidR="00995A0E" w:rsidRPr="00AE2004" w:rsidRDefault="00995A0E" w:rsidP="00995A0E">
            <w:pPr>
              <w:pStyle w:val="nTable"/>
              <w:spacing w:after="40"/>
              <w:rPr>
                <w:snapToGrid w:val="0"/>
                <w:spacing w:val="-2"/>
                <w:sz w:val="19"/>
                <w:lang w:val="en-US"/>
              </w:rPr>
            </w:pPr>
            <w:r w:rsidRPr="00AE2004">
              <w:rPr>
                <w:snapToGrid w:val="0"/>
                <w:spacing w:val="-2"/>
                <w:sz w:val="19"/>
                <w:lang w:val="en-US"/>
              </w:rPr>
              <w:t xml:space="preserve">r. 1 and 2: 15 Nov 2011 (see r. 2(a)); </w:t>
            </w:r>
            <w:r w:rsidRPr="00AE2004">
              <w:rPr>
                <w:snapToGrid w:val="0"/>
                <w:spacing w:val="-2"/>
                <w:sz w:val="19"/>
                <w:lang w:val="en-US"/>
              </w:rPr>
              <w:br/>
              <w:t>Regulations other than r. 1 and 2: 1 Jul 2008 (see r. 2(b))</w:t>
            </w:r>
          </w:p>
        </w:tc>
      </w:tr>
    </w:tbl>
    <w:p w:rsidR="00995A0E" w:rsidRDefault="00995A0E"/>
    <w:p w:rsidR="00995A0E" w:rsidRDefault="00995A0E">
      <w:pPr>
        <w:sectPr w:rsidR="00995A0E">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95A0E" w:rsidRDefault="00995A0E"/>
    <w:sectPr w:rsidR="00995A0E">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52" w:rsidRDefault="00D53952">
      <w:pPr>
        <w:rPr>
          <w:b/>
          <w:sz w:val="28"/>
        </w:rPr>
      </w:pPr>
      <w:r>
        <w:rPr>
          <w:b/>
          <w:sz w:val="28"/>
        </w:rPr>
        <w:t>Endnotes</w:t>
      </w:r>
    </w:p>
    <w:p w:rsidR="00D53952" w:rsidRDefault="00D53952">
      <w:pPr>
        <w:spacing w:after="240"/>
        <w:rPr>
          <w:rFonts w:ascii="Times" w:hAnsi="Times"/>
          <w:sz w:val="18"/>
        </w:rPr>
      </w:pPr>
      <w:r>
        <w:rPr>
          <w:sz w:val="20"/>
        </w:rPr>
        <w:t>[For ease of reference detach these notes and read them alongside the draft.]</w:t>
      </w:r>
    </w:p>
    <w:p w:rsidR="00D53952" w:rsidRDefault="00D53952"/>
  </w:endnote>
  <w:endnote w:type="continuationSeparator" w:id="0">
    <w:p w:rsidR="00D53952" w:rsidRDefault="00D53952">
      <w:pPr>
        <w:pStyle w:val="Footer"/>
      </w:pPr>
    </w:p>
    <w:p w:rsidR="00D53952" w:rsidRDefault="00D53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p>
  <w:p w:rsidR="00D53952" w:rsidRDefault="00D539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D53952" w:rsidRDefault="00D539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D53952" w:rsidRDefault="00D539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1C47">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p>
  <w:p w:rsidR="00D53952" w:rsidRDefault="00D539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1C47">
      <w:rPr>
        <w:rStyle w:val="PageNumber"/>
        <w:rFonts w:ascii="Arial" w:hAnsi="Arial" w:cs="Arial"/>
        <w:noProof/>
      </w:rPr>
      <w:t>i</w:t>
    </w:r>
    <w:r>
      <w:rPr>
        <w:rStyle w:val="PageNumber"/>
        <w:rFonts w:ascii="Arial" w:hAnsi="Arial" w:cs="Arial"/>
      </w:rPr>
      <w:fldChar w:fldCharType="end"/>
    </w:r>
  </w:p>
  <w:p w:rsidR="00D53952" w:rsidRDefault="00D5395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05B8">
      <w:rPr>
        <w:rStyle w:val="PageNumber"/>
        <w:rFonts w:ascii="Arial" w:hAnsi="Arial" w:cs="Arial"/>
        <w:noProof/>
      </w:rPr>
      <w:t>i</w:t>
    </w:r>
    <w:r>
      <w:rPr>
        <w:rStyle w:val="PageNumber"/>
        <w:rFonts w:ascii="Arial" w:hAnsi="Arial" w:cs="Arial"/>
      </w:rPr>
      <w:fldChar w:fldCharType="end"/>
    </w:r>
  </w:p>
  <w:p w:rsidR="00D53952" w:rsidRDefault="00D5395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05B8">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 xml:space="preserve"> </w:t>
    </w:r>
  </w:p>
  <w:p w:rsidR="00D53952" w:rsidRDefault="00D539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05B8">
      <w:rPr>
        <w:rStyle w:val="CharPageNo"/>
        <w:rFonts w:ascii="Arial" w:hAnsi="Arial"/>
        <w:noProof/>
      </w:rPr>
      <w:t>9</w:t>
    </w:r>
    <w:r>
      <w:rPr>
        <w:rStyle w:val="CharPageNo"/>
        <w:rFonts w:ascii="Arial" w:hAnsi="Arial"/>
      </w:rPr>
      <w:fldChar w:fldCharType="end"/>
    </w:r>
  </w:p>
  <w:p w:rsidR="00D53952" w:rsidRDefault="00D5395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Footer"/>
      <w:tabs>
        <w:tab w:val="clear" w:pos="4153"/>
        <w:tab w:val="right" w:pos="7088"/>
      </w:tabs>
      <w:rPr>
        <w:rStyle w:val="PageNumber"/>
      </w:rPr>
    </w:pPr>
  </w:p>
  <w:p w:rsidR="00D53952" w:rsidRDefault="00D539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05B8">
      <w:rPr>
        <w:rFonts w:ascii="Arial" w:hAnsi="Arial" w:cs="Arial"/>
        <w:sz w:val="20"/>
        <w:lang w:val="en-US"/>
      </w:rPr>
      <w:t>16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05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05B8">
      <w:rPr>
        <w:rStyle w:val="CharPageNo"/>
        <w:rFonts w:ascii="Arial" w:hAnsi="Arial"/>
        <w:noProof/>
      </w:rPr>
      <w:t>1</w:t>
    </w:r>
    <w:r>
      <w:rPr>
        <w:rStyle w:val="CharPageNo"/>
        <w:rFonts w:ascii="Arial" w:hAnsi="Arial"/>
      </w:rPr>
      <w:fldChar w:fldCharType="end"/>
    </w:r>
  </w:p>
  <w:p w:rsidR="00D53952" w:rsidRDefault="00D5395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52" w:rsidRDefault="00D53952">
      <w:r>
        <w:separator/>
      </w:r>
    </w:p>
  </w:footnote>
  <w:footnote w:type="continuationSeparator" w:id="0">
    <w:p w:rsidR="00D53952" w:rsidRDefault="00D5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headerpartodd"/>
      <w:ind w:left="0" w:firstLine="0"/>
      <w:rPr>
        <w:i/>
      </w:rPr>
    </w:pPr>
    <w:r>
      <w:rPr>
        <w:i/>
      </w:rPr>
      <w:fldChar w:fldCharType="begin"/>
    </w:r>
    <w:r>
      <w:rPr>
        <w:i/>
      </w:rPr>
      <w:instrText xml:space="preserve"> Styleref "Name of Act/Reg" </w:instrText>
    </w:r>
    <w:r>
      <w:rPr>
        <w:i/>
      </w:rPr>
      <w:fldChar w:fldCharType="separate"/>
    </w:r>
    <w:r w:rsidR="003005B8">
      <w:rPr>
        <w:i/>
        <w:noProof/>
      </w:rPr>
      <w:t>Duties Regulations 2008</w:t>
    </w:r>
    <w:r>
      <w:rPr>
        <w:i/>
      </w:rPr>
      <w:fldChar w:fldCharType="end"/>
    </w:r>
  </w:p>
  <w:p w:rsidR="00D53952" w:rsidRDefault="00D5395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3952" w:rsidRDefault="00D5395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3952" w:rsidRDefault="00D53952">
    <w:pPr>
      <w:pStyle w:val="headerpart"/>
    </w:pPr>
  </w:p>
  <w:p w:rsidR="00D53952" w:rsidRDefault="00D53952">
    <w:pPr>
      <w:pBdr>
        <w:bottom w:val="single" w:sz="6" w:space="1" w:color="auto"/>
      </w:pBdr>
      <w:rPr>
        <w:b/>
      </w:rPr>
    </w:pPr>
  </w:p>
  <w:p w:rsidR="00D53952" w:rsidRDefault="00D539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952">
      <w:trPr>
        <w:cantSplit/>
      </w:trPr>
      <w:tc>
        <w:tcPr>
          <w:tcW w:w="7258" w:type="dxa"/>
          <w:gridSpan w:val="2"/>
        </w:tcPr>
        <w:p w:rsidR="00D53952" w:rsidRDefault="00D53952">
          <w:pPr>
            <w:pStyle w:val="HeaderActNameRight"/>
            <w:ind w:right="17"/>
          </w:pPr>
          <w:fldSimple w:instr=" Styleref &quot;Name of Act/Reg&quot; ">
            <w:r w:rsidR="003005B8">
              <w:rPr>
                <w:noProof/>
              </w:rPr>
              <w:t>Duties Regulations 2008</w:t>
            </w:r>
          </w:fldSimple>
        </w:p>
      </w:tc>
    </w:tr>
    <w:tr w:rsidR="00D53952">
      <w:tc>
        <w:tcPr>
          <w:tcW w:w="5715" w:type="dxa"/>
        </w:tcPr>
        <w:p w:rsidR="00D53952" w:rsidRDefault="00D53952">
          <w:pPr>
            <w:pStyle w:val="HeaderTextRight"/>
          </w:pPr>
        </w:p>
      </w:tc>
      <w:tc>
        <w:tcPr>
          <w:tcW w:w="1548" w:type="dxa"/>
        </w:tcPr>
        <w:p w:rsidR="00D53952" w:rsidRDefault="00D53952">
          <w:pPr>
            <w:pStyle w:val="HeaderNumberRight"/>
            <w:ind w:right="17"/>
          </w:pPr>
        </w:p>
      </w:tc>
    </w:tr>
    <w:tr w:rsidR="00D53952">
      <w:tc>
        <w:tcPr>
          <w:tcW w:w="5715" w:type="dxa"/>
        </w:tcPr>
        <w:p w:rsidR="00D53952" w:rsidRDefault="00D53952">
          <w:pPr>
            <w:pStyle w:val="HeaderTextRight"/>
          </w:pPr>
        </w:p>
      </w:tc>
      <w:tc>
        <w:tcPr>
          <w:tcW w:w="1548" w:type="dxa"/>
        </w:tcPr>
        <w:p w:rsidR="00D53952" w:rsidRDefault="00D53952">
          <w:pPr>
            <w:pStyle w:val="HeaderNumberRight"/>
            <w:ind w:right="17"/>
          </w:pPr>
        </w:p>
      </w:tc>
    </w:tr>
    <w:tr w:rsidR="00D53952">
      <w:trPr>
        <w:cantSplit/>
      </w:trPr>
      <w:tc>
        <w:tcPr>
          <w:tcW w:w="7258" w:type="dxa"/>
          <w:gridSpan w:val="2"/>
        </w:tcPr>
        <w:p w:rsidR="00D53952" w:rsidRDefault="00D53952">
          <w:pPr>
            <w:pStyle w:val="HeaderSectionRight"/>
            <w:ind w:right="17"/>
          </w:pPr>
        </w:p>
      </w:tc>
    </w:tr>
  </w:tbl>
  <w:p w:rsidR="00D53952" w:rsidRDefault="00D5395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952">
      <w:trPr>
        <w:cantSplit/>
      </w:trPr>
      <w:tc>
        <w:tcPr>
          <w:tcW w:w="7258" w:type="dxa"/>
          <w:gridSpan w:val="2"/>
        </w:tcPr>
        <w:p w:rsidR="00D53952" w:rsidRDefault="00D53952">
          <w:pPr>
            <w:pStyle w:val="HeaderActNameLeft"/>
          </w:pPr>
          <w:fldSimple w:instr=" Styleref &quot;Name of Act/Reg&quot; ">
            <w:r w:rsidR="003005B8">
              <w:rPr>
                <w:noProof/>
              </w:rPr>
              <w:t>Duties Regulations 2008</w:t>
            </w:r>
          </w:fldSimple>
        </w:p>
      </w:tc>
    </w:tr>
    <w:tr w:rsidR="00D53952">
      <w:tc>
        <w:tcPr>
          <w:tcW w:w="1548" w:type="dxa"/>
        </w:tcPr>
        <w:p w:rsidR="00D53952" w:rsidRDefault="00D53952">
          <w:pPr>
            <w:pStyle w:val="HeaderNumberLeft"/>
          </w:pPr>
        </w:p>
      </w:tc>
      <w:tc>
        <w:tcPr>
          <w:tcW w:w="5715" w:type="dxa"/>
        </w:tcPr>
        <w:p w:rsidR="00D53952" w:rsidRDefault="00D53952">
          <w:pPr>
            <w:pStyle w:val="HeaderTextLeft"/>
          </w:pPr>
        </w:p>
      </w:tc>
    </w:tr>
    <w:tr w:rsidR="00D53952">
      <w:tc>
        <w:tcPr>
          <w:tcW w:w="1548" w:type="dxa"/>
        </w:tcPr>
        <w:p w:rsidR="00D53952" w:rsidRDefault="00D53952">
          <w:pPr>
            <w:pStyle w:val="HeaderNumberLeft"/>
          </w:pPr>
        </w:p>
      </w:tc>
      <w:tc>
        <w:tcPr>
          <w:tcW w:w="5715" w:type="dxa"/>
        </w:tcPr>
        <w:p w:rsidR="00D53952" w:rsidRDefault="00D53952">
          <w:pPr>
            <w:pStyle w:val="HeaderTextLeft"/>
          </w:pPr>
        </w:p>
      </w:tc>
    </w:tr>
    <w:tr w:rsidR="00D53952">
      <w:trPr>
        <w:cantSplit/>
      </w:trPr>
      <w:tc>
        <w:tcPr>
          <w:tcW w:w="7258" w:type="dxa"/>
          <w:gridSpan w:val="2"/>
        </w:tcPr>
        <w:p w:rsidR="00D53952" w:rsidRDefault="00D53952">
          <w:pPr>
            <w:pStyle w:val="HeaderSectionLeft"/>
            <w:rPr>
              <w:b w:val="0"/>
            </w:rPr>
          </w:pPr>
          <w:r>
            <w:rPr>
              <w:b w:val="0"/>
            </w:rPr>
            <w:t>Contents</w:t>
          </w:r>
        </w:p>
      </w:tc>
    </w:tr>
  </w:tbl>
  <w:p w:rsidR="00D53952" w:rsidRDefault="00D5395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952">
      <w:trPr>
        <w:cantSplit/>
      </w:trPr>
      <w:tc>
        <w:tcPr>
          <w:tcW w:w="7258" w:type="dxa"/>
          <w:gridSpan w:val="2"/>
        </w:tcPr>
        <w:p w:rsidR="00D53952" w:rsidRDefault="00D53952">
          <w:pPr>
            <w:pStyle w:val="HeaderActNameRight"/>
            <w:ind w:right="17"/>
          </w:pPr>
          <w:fldSimple w:instr=" Styleref &quot;Name of Act/Reg&quot; ">
            <w:r w:rsidR="003005B8">
              <w:rPr>
                <w:noProof/>
              </w:rPr>
              <w:t>Duties Regulations 2008</w:t>
            </w:r>
          </w:fldSimple>
        </w:p>
      </w:tc>
    </w:tr>
    <w:tr w:rsidR="00D53952">
      <w:tc>
        <w:tcPr>
          <w:tcW w:w="5715" w:type="dxa"/>
        </w:tcPr>
        <w:p w:rsidR="00D53952" w:rsidRDefault="00D53952">
          <w:pPr>
            <w:pStyle w:val="HeaderTextRight"/>
          </w:pPr>
        </w:p>
      </w:tc>
      <w:tc>
        <w:tcPr>
          <w:tcW w:w="1548" w:type="dxa"/>
        </w:tcPr>
        <w:p w:rsidR="00D53952" w:rsidRDefault="00D53952">
          <w:pPr>
            <w:pStyle w:val="HeaderNumberRight"/>
            <w:ind w:right="17"/>
          </w:pPr>
        </w:p>
      </w:tc>
    </w:tr>
    <w:tr w:rsidR="00D53952">
      <w:tc>
        <w:tcPr>
          <w:tcW w:w="5715" w:type="dxa"/>
        </w:tcPr>
        <w:p w:rsidR="00D53952" w:rsidRDefault="00D53952">
          <w:pPr>
            <w:pStyle w:val="HeaderTextRight"/>
          </w:pPr>
        </w:p>
      </w:tc>
      <w:tc>
        <w:tcPr>
          <w:tcW w:w="1548" w:type="dxa"/>
        </w:tcPr>
        <w:p w:rsidR="00D53952" w:rsidRDefault="00D53952">
          <w:pPr>
            <w:pStyle w:val="HeaderNumberRight"/>
            <w:ind w:right="17"/>
          </w:pPr>
        </w:p>
      </w:tc>
    </w:tr>
    <w:tr w:rsidR="00D53952">
      <w:trPr>
        <w:cantSplit/>
      </w:trPr>
      <w:tc>
        <w:tcPr>
          <w:tcW w:w="7258" w:type="dxa"/>
          <w:gridSpan w:val="2"/>
        </w:tcPr>
        <w:p w:rsidR="00D53952" w:rsidRDefault="00D53952">
          <w:pPr>
            <w:pStyle w:val="HeaderSectionRight"/>
            <w:ind w:right="17"/>
            <w:rPr>
              <w:b w:val="0"/>
            </w:rPr>
          </w:pPr>
          <w:r>
            <w:rPr>
              <w:b w:val="0"/>
            </w:rPr>
            <w:t>Contents</w:t>
          </w:r>
        </w:p>
      </w:tc>
    </w:tr>
  </w:tbl>
  <w:p w:rsidR="00D53952" w:rsidRDefault="00D5395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952">
      <w:trPr>
        <w:cantSplit/>
      </w:trPr>
      <w:tc>
        <w:tcPr>
          <w:tcW w:w="7258" w:type="dxa"/>
          <w:gridSpan w:val="2"/>
        </w:tcPr>
        <w:p w:rsidR="00D53952" w:rsidRDefault="00D53952">
          <w:pPr>
            <w:pStyle w:val="HeaderActNameLeft"/>
          </w:pPr>
          <w:fldSimple w:instr=" Styleref &quot;Name of Act/Reg&quot; ">
            <w:r w:rsidR="003005B8">
              <w:rPr>
                <w:noProof/>
              </w:rPr>
              <w:t>Duties Regulations 2008</w:t>
            </w:r>
          </w:fldSimple>
        </w:p>
      </w:tc>
    </w:tr>
    <w:tr w:rsidR="00D53952">
      <w:tc>
        <w:tcPr>
          <w:tcW w:w="1548" w:type="dxa"/>
        </w:tcPr>
        <w:p w:rsidR="00D53952" w:rsidRDefault="00D53952">
          <w:pPr>
            <w:pStyle w:val="HeaderNumberLeft"/>
          </w:pPr>
          <w:r>
            <w:fldChar w:fldCharType="begin"/>
          </w:r>
          <w:r>
            <w:instrText xml:space="preserve"> styleref CharPartNo </w:instrText>
          </w:r>
          <w:r>
            <w:fldChar w:fldCharType="end"/>
          </w:r>
        </w:p>
      </w:tc>
      <w:tc>
        <w:tcPr>
          <w:tcW w:w="5715" w:type="dxa"/>
          <w:vAlign w:val="bottom"/>
        </w:tcPr>
        <w:p w:rsidR="00D53952" w:rsidRDefault="00D53952">
          <w:pPr>
            <w:pStyle w:val="HeaderTextLeft"/>
          </w:pPr>
          <w:r>
            <w:fldChar w:fldCharType="begin"/>
          </w:r>
          <w:r>
            <w:instrText xml:space="preserve"> styleref CharPartText </w:instrText>
          </w:r>
          <w:r>
            <w:fldChar w:fldCharType="end"/>
          </w:r>
        </w:p>
      </w:tc>
    </w:tr>
    <w:tr w:rsidR="00D53952">
      <w:tc>
        <w:tcPr>
          <w:tcW w:w="1548" w:type="dxa"/>
        </w:tcPr>
        <w:p w:rsidR="00D53952" w:rsidRDefault="00D53952">
          <w:pPr>
            <w:pStyle w:val="HeaderNumberLeft"/>
          </w:pPr>
          <w:r>
            <w:fldChar w:fldCharType="begin"/>
          </w:r>
          <w:r>
            <w:instrText xml:space="preserve"> styleref CharDivNo </w:instrText>
          </w:r>
          <w:r>
            <w:fldChar w:fldCharType="end"/>
          </w:r>
        </w:p>
      </w:tc>
      <w:tc>
        <w:tcPr>
          <w:tcW w:w="5715" w:type="dxa"/>
        </w:tcPr>
        <w:p w:rsidR="00D53952" w:rsidRDefault="00D53952">
          <w:pPr>
            <w:pStyle w:val="HeaderTextLeft"/>
          </w:pPr>
          <w:r>
            <w:fldChar w:fldCharType="begin"/>
          </w:r>
          <w:r>
            <w:instrText xml:space="preserve"> styleref CharDivText </w:instrText>
          </w:r>
          <w:r>
            <w:fldChar w:fldCharType="end"/>
          </w:r>
        </w:p>
      </w:tc>
    </w:tr>
    <w:tr w:rsidR="00D53952">
      <w:trPr>
        <w:cantSplit/>
      </w:trPr>
      <w:tc>
        <w:tcPr>
          <w:tcW w:w="7258" w:type="dxa"/>
          <w:gridSpan w:val="2"/>
        </w:tcPr>
        <w:p w:rsidR="00D53952" w:rsidRDefault="00D53952">
          <w:pPr>
            <w:pStyle w:val="HeaderSectionLeft"/>
          </w:pPr>
          <w:r>
            <w:t xml:space="preserve">r. </w:t>
          </w:r>
          <w:fldSimple w:instr=" styleref CharSectno ">
            <w:r w:rsidR="003005B8">
              <w:rPr>
                <w:noProof/>
              </w:rPr>
              <w:t>1</w:t>
            </w:r>
          </w:fldSimple>
        </w:p>
      </w:tc>
    </w:tr>
  </w:tbl>
  <w:p w:rsidR="00D53952" w:rsidRDefault="00D5395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952">
      <w:trPr>
        <w:cantSplit/>
      </w:trPr>
      <w:tc>
        <w:tcPr>
          <w:tcW w:w="7258" w:type="dxa"/>
          <w:gridSpan w:val="2"/>
        </w:tcPr>
        <w:p w:rsidR="00D53952" w:rsidRDefault="00D53952">
          <w:pPr>
            <w:pStyle w:val="HeaderActNameRight"/>
            <w:ind w:right="17"/>
          </w:pPr>
          <w:fldSimple w:instr=" Styleref &quot;Name of Act/Reg&quot; ">
            <w:r w:rsidR="003005B8">
              <w:rPr>
                <w:noProof/>
              </w:rPr>
              <w:t>Duties Regulations 2008</w:t>
            </w:r>
          </w:fldSimple>
        </w:p>
      </w:tc>
    </w:tr>
    <w:tr w:rsidR="00D53952">
      <w:tc>
        <w:tcPr>
          <w:tcW w:w="5715" w:type="dxa"/>
        </w:tcPr>
        <w:p w:rsidR="00D53952" w:rsidRDefault="00D53952">
          <w:pPr>
            <w:pStyle w:val="HeaderTextRight"/>
          </w:pPr>
          <w:r>
            <w:fldChar w:fldCharType="begin"/>
          </w:r>
          <w:r>
            <w:instrText xml:space="preserve"> styleref CharPartText </w:instrText>
          </w:r>
          <w:r>
            <w:fldChar w:fldCharType="end"/>
          </w:r>
        </w:p>
      </w:tc>
      <w:tc>
        <w:tcPr>
          <w:tcW w:w="1548" w:type="dxa"/>
        </w:tcPr>
        <w:p w:rsidR="00D53952" w:rsidRDefault="00D53952">
          <w:pPr>
            <w:pStyle w:val="HeaderNumberRight"/>
            <w:ind w:right="17"/>
          </w:pPr>
          <w:r>
            <w:fldChar w:fldCharType="begin"/>
          </w:r>
          <w:r>
            <w:instrText xml:space="preserve"> styleref CharPartNo </w:instrText>
          </w:r>
          <w:r>
            <w:fldChar w:fldCharType="end"/>
          </w:r>
        </w:p>
      </w:tc>
    </w:tr>
    <w:tr w:rsidR="00D53952">
      <w:tc>
        <w:tcPr>
          <w:tcW w:w="5715" w:type="dxa"/>
        </w:tcPr>
        <w:p w:rsidR="00D53952" w:rsidRDefault="00D53952">
          <w:pPr>
            <w:pStyle w:val="HeaderTextRight"/>
          </w:pPr>
          <w:r>
            <w:fldChar w:fldCharType="begin"/>
          </w:r>
          <w:r>
            <w:instrText xml:space="preserve"> styleref CharDivText </w:instrText>
          </w:r>
          <w:r>
            <w:fldChar w:fldCharType="end"/>
          </w:r>
        </w:p>
      </w:tc>
      <w:tc>
        <w:tcPr>
          <w:tcW w:w="1548" w:type="dxa"/>
        </w:tcPr>
        <w:p w:rsidR="00D53952" w:rsidRDefault="00D53952">
          <w:pPr>
            <w:pStyle w:val="HeaderNumberRight"/>
            <w:ind w:right="17"/>
          </w:pPr>
          <w:r>
            <w:fldChar w:fldCharType="begin"/>
          </w:r>
          <w:r>
            <w:instrText xml:space="preserve"> styleref CharDivNo </w:instrText>
          </w:r>
          <w:r>
            <w:fldChar w:fldCharType="end"/>
          </w:r>
        </w:p>
      </w:tc>
    </w:tr>
    <w:tr w:rsidR="00D53952">
      <w:trPr>
        <w:cantSplit/>
      </w:trPr>
      <w:tc>
        <w:tcPr>
          <w:tcW w:w="7258" w:type="dxa"/>
          <w:gridSpan w:val="2"/>
        </w:tcPr>
        <w:p w:rsidR="00D53952" w:rsidRDefault="00D53952">
          <w:pPr>
            <w:pStyle w:val="HeaderSectionRight"/>
            <w:ind w:right="17"/>
          </w:pPr>
          <w:r>
            <w:t xml:space="preserve">r. </w:t>
          </w:r>
          <w:fldSimple w:instr=" styleref CharSectno ">
            <w:r w:rsidR="003005B8">
              <w:rPr>
                <w:noProof/>
              </w:rPr>
              <w:t>1</w:t>
            </w:r>
          </w:fldSimple>
        </w:p>
      </w:tc>
    </w:tr>
  </w:tbl>
  <w:p w:rsidR="00D53952" w:rsidRDefault="00D5395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52" w:rsidRDefault="00D539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952">
      <w:trPr>
        <w:cantSplit/>
      </w:trPr>
      <w:tc>
        <w:tcPr>
          <w:tcW w:w="7258" w:type="dxa"/>
          <w:gridSpan w:val="2"/>
        </w:tcPr>
        <w:p w:rsidR="00D53952" w:rsidRDefault="00D53952">
          <w:pPr>
            <w:pStyle w:val="HeaderActNameLeft"/>
          </w:pPr>
          <w:fldSimple w:instr=" Styleref &quot;Name of Act/Reg&quot; ">
            <w:r w:rsidR="003005B8">
              <w:rPr>
                <w:noProof/>
              </w:rPr>
              <w:t>Duties Regulations 2008</w:t>
            </w:r>
          </w:fldSimple>
        </w:p>
      </w:tc>
    </w:tr>
    <w:tr w:rsidR="00D53952">
      <w:tc>
        <w:tcPr>
          <w:tcW w:w="1548" w:type="dxa"/>
        </w:tcPr>
        <w:p w:rsidR="00D53952" w:rsidRDefault="00D53952">
          <w:pPr>
            <w:pStyle w:val="HeaderNumberLeft"/>
          </w:pPr>
        </w:p>
      </w:tc>
      <w:tc>
        <w:tcPr>
          <w:tcW w:w="5715" w:type="dxa"/>
        </w:tcPr>
        <w:p w:rsidR="00D53952" w:rsidRDefault="00D53952">
          <w:pPr>
            <w:pStyle w:val="HeaderTextLeft"/>
          </w:pPr>
        </w:p>
      </w:tc>
    </w:tr>
    <w:tr w:rsidR="00D53952">
      <w:tc>
        <w:tcPr>
          <w:tcW w:w="1548" w:type="dxa"/>
        </w:tcPr>
        <w:p w:rsidR="00D53952" w:rsidRDefault="00D53952">
          <w:pPr>
            <w:pStyle w:val="HeaderNumberLeft"/>
          </w:pPr>
        </w:p>
      </w:tc>
      <w:tc>
        <w:tcPr>
          <w:tcW w:w="5715" w:type="dxa"/>
        </w:tcPr>
        <w:p w:rsidR="00D53952" w:rsidRDefault="00D53952">
          <w:pPr>
            <w:pStyle w:val="HeaderTextLeft"/>
          </w:pPr>
        </w:p>
      </w:tc>
    </w:tr>
    <w:tr w:rsidR="00D53952">
      <w:trPr>
        <w:cantSplit/>
      </w:trPr>
      <w:tc>
        <w:tcPr>
          <w:tcW w:w="7258" w:type="dxa"/>
          <w:gridSpan w:val="2"/>
        </w:tcPr>
        <w:p w:rsidR="00D53952" w:rsidRDefault="00D53952">
          <w:pPr>
            <w:pStyle w:val="HeaderSectionRight"/>
            <w:ind w:right="17"/>
            <w:jc w:val="left"/>
          </w:pPr>
        </w:p>
      </w:tc>
    </w:tr>
  </w:tbl>
  <w:p w:rsidR="00D53952" w:rsidRDefault="00D5395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0E"/>
    <w:rsid w:val="001D760F"/>
    <w:rsid w:val="002E5A46"/>
    <w:rsid w:val="003005B8"/>
    <w:rsid w:val="00962429"/>
    <w:rsid w:val="00995A0E"/>
    <w:rsid w:val="009B1C47"/>
    <w:rsid w:val="00D53952"/>
    <w:rsid w:val="00F47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2278</Words>
  <Characters>10894</Characters>
  <Application>Microsoft Office Word</Application>
  <DocSecurity>0</DocSecurity>
  <Lines>340</Lines>
  <Paragraphs>205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2008 - 00-d0-02</dc:title>
  <dc:subject>Subsidiary Legislation</dc:subject>
  <dc:creator>Matthew Pether</dc:creator>
  <cp:keywords/>
  <dc:description/>
  <cp:lastModifiedBy>svcMRProcess</cp:lastModifiedBy>
  <cp:revision>4</cp:revision>
  <cp:lastPrinted>2008-05-29T02:07:00Z</cp:lastPrinted>
  <dcterms:created xsi:type="dcterms:W3CDTF">2013-02-14T02:12:00Z</dcterms:created>
  <dcterms:modified xsi:type="dcterms:W3CDTF">2013-02-14T02:12:00Z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20090516</vt:lpwstr>
  </property>
  <property fmtid="{D5CDD505-2E9C-101B-9397-08002B2CF9AE}" pid="4" name="AsAtDate">
    <vt:lpwstr>16 May 2009</vt:lpwstr>
  </property>
  <property fmtid="{D5CDD505-2E9C-101B-9397-08002B2CF9AE}" pid="5" name="Suffix">
    <vt:lpwstr>00-d0-02</vt:lpwstr>
  </property>
  <property fmtid="{D5CDD505-2E9C-101B-9397-08002B2CF9AE}" pid="6" name="OwlsUID">
    <vt:i4>40675</vt:i4>
  </property>
  <property fmtid="{D5CDD505-2E9C-101B-9397-08002B2CF9AE}" pid="7" name="DocumentType">
    <vt:lpwstr>Reg</vt:lpwstr>
  </property>
</Properties>
</file>