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PrincipalActReg"/>
        <w:spacing w:before="2600" w:after="0"/>
      </w:pPr>
      <w:r>
        <w:rPr>
          <w:snapToGrid w:val="0"/>
        </w:rPr>
        <w:t>Health Act 1911</w:t>
      </w:r>
    </w:p>
    <w:p>
      <w:pPr>
        <w:pStyle w:val="NameofActRegPage1"/>
        <w:spacing w:before="1800" w:after="420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lang w:eastAsia="en-AU"/>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lang w:eastAsia="en-AU"/>
        </w:rPr>
      </w:pPr>
      <w:r>
        <w:t>1</w:t>
      </w:r>
      <w:r>
        <w:rPr>
          <w:snapToGrid w:val="0"/>
        </w:rPr>
        <w:t>.</w:t>
      </w:r>
      <w:r>
        <w:rPr>
          <w:snapToGrid w:val="0"/>
        </w:rPr>
        <w:tab/>
        <w:t>Citation and application</w:t>
      </w:r>
      <w:r>
        <w:tab/>
      </w:r>
      <w:r>
        <w:fldChar w:fldCharType="begin"/>
      </w:r>
      <w:r>
        <w:instrText xml:space="preserve"> PAGEREF _Toc33590419 \h </w:instrText>
      </w:r>
      <w:r>
        <w:fldChar w:fldCharType="separate"/>
      </w:r>
      <w:r>
        <w:t>1</w:t>
      </w:r>
      <w:r>
        <w:fldChar w:fldCharType="end"/>
      </w:r>
    </w:p>
    <w:p>
      <w:pPr>
        <w:pStyle w:val="TOC8"/>
        <w:rPr>
          <w:rFonts w:asciiTheme="minorHAnsi" w:eastAsiaTheme="minorEastAsia" w:hAnsiTheme="minorHAnsi" w:cstheme="minorBidi"/>
          <w:szCs w:val="22"/>
          <w:lang w:eastAsia="en-AU"/>
        </w:rPr>
      </w:pPr>
      <w:r>
        <w:t>3</w:t>
      </w:r>
      <w:r>
        <w:rPr>
          <w:snapToGrid w:val="0"/>
        </w:rPr>
        <w:t>.</w:t>
      </w:r>
      <w:r>
        <w:rPr>
          <w:snapToGrid w:val="0"/>
        </w:rPr>
        <w:tab/>
        <w:t>Interpretation</w:t>
      </w:r>
      <w:r>
        <w:tab/>
      </w:r>
      <w:r>
        <w:fldChar w:fldCharType="begin"/>
      </w:r>
      <w:r>
        <w:instrText xml:space="preserve"> PAGEREF _Toc33590420 \h </w:instrText>
      </w:r>
      <w:r>
        <w:fldChar w:fldCharType="separate"/>
      </w:r>
      <w:r>
        <w:t>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General</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Construction and installation of an apparatus</w:t>
      </w:r>
    </w:p>
    <w:p>
      <w:pPr>
        <w:pStyle w:val="TOC8"/>
        <w:rPr>
          <w:rFonts w:asciiTheme="minorHAnsi" w:eastAsiaTheme="minorEastAsia" w:hAnsiTheme="minorHAnsi" w:cstheme="minorBidi"/>
          <w:szCs w:val="22"/>
          <w:lang w:eastAsia="en-AU"/>
        </w:rPr>
      </w:pPr>
      <w:r>
        <w:t>4</w:t>
      </w:r>
      <w:r>
        <w:rPr>
          <w:snapToGrid w:val="0"/>
        </w:rPr>
        <w:t>.</w:t>
      </w:r>
      <w:r>
        <w:rPr>
          <w:snapToGrid w:val="0"/>
        </w:rPr>
        <w:tab/>
        <w:t>Approval of the construction or installation of an apparatus by local government</w:t>
      </w:r>
      <w:r>
        <w:tab/>
      </w:r>
      <w:r>
        <w:fldChar w:fldCharType="begin"/>
      </w:r>
      <w:r>
        <w:instrText xml:space="preserve"> PAGEREF _Toc33590423 \h </w:instrText>
      </w:r>
      <w:r>
        <w:fldChar w:fldCharType="separate"/>
      </w:r>
      <w:r>
        <w:t>5</w:t>
      </w:r>
      <w:r>
        <w:fldChar w:fldCharType="end"/>
      </w:r>
    </w:p>
    <w:p>
      <w:pPr>
        <w:pStyle w:val="TOC8"/>
        <w:rPr>
          <w:rFonts w:asciiTheme="minorHAnsi" w:eastAsiaTheme="minorEastAsia" w:hAnsiTheme="minorHAnsi" w:cstheme="minorBidi"/>
          <w:szCs w:val="22"/>
          <w:lang w:eastAsia="en-AU"/>
        </w:rPr>
      </w:pPr>
      <w:r>
        <w:t>4A</w:t>
      </w:r>
      <w:r>
        <w:rPr>
          <w:snapToGrid w:val="0"/>
        </w:rPr>
        <w:t>.</w:t>
      </w:r>
      <w:r>
        <w:rPr>
          <w:snapToGrid w:val="0"/>
        </w:rPr>
        <w:tab/>
        <w:t>Approval of the construction or installation of an apparatus by the Executive Director, Public Health</w:t>
      </w:r>
      <w:r>
        <w:tab/>
      </w:r>
      <w:r>
        <w:fldChar w:fldCharType="begin"/>
      </w:r>
      <w:r>
        <w:instrText xml:space="preserve"> PAGEREF _Toc33590424 \h </w:instrText>
      </w:r>
      <w:r>
        <w:fldChar w:fldCharType="separate"/>
      </w:r>
      <w:r>
        <w:t>6</w:t>
      </w:r>
      <w:r>
        <w:fldChar w:fldCharType="end"/>
      </w:r>
    </w:p>
    <w:p>
      <w:pPr>
        <w:pStyle w:val="TOC8"/>
        <w:rPr>
          <w:rFonts w:asciiTheme="minorHAnsi" w:eastAsiaTheme="minorEastAsia" w:hAnsiTheme="minorHAnsi" w:cstheme="minorBidi"/>
          <w:szCs w:val="22"/>
          <w:lang w:eastAsia="en-AU"/>
        </w:rPr>
      </w:pPr>
      <w:r>
        <w:t>5</w:t>
      </w:r>
      <w:r>
        <w:rPr>
          <w:snapToGrid w:val="0"/>
        </w:rPr>
        <w:t>.</w:t>
      </w:r>
      <w:r>
        <w:rPr>
          <w:snapToGrid w:val="0"/>
        </w:rPr>
        <w:tab/>
        <w:t>Documents to accompany an application for approval</w:t>
      </w:r>
      <w:r>
        <w:tab/>
      </w:r>
      <w:r>
        <w:fldChar w:fldCharType="begin"/>
      </w:r>
      <w:r>
        <w:instrText xml:space="preserve"> PAGEREF _Toc33590425 \h </w:instrText>
      </w:r>
      <w:r>
        <w:fldChar w:fldCharType="separate"/>
      </w:r>
      <w:r>
        <w:t>8</w:t>
      </w:r>
      <w:r>
        <w:fldChar w:fldCharType="end"/>
      </w:r>
    </w:p>
    <w:p>
      <w:pPr>
        <w:pStyle w:val="TOC8"/>
        <w:rPr>
          <w:rFonts w:asciiTheme="minorHAnsi" w:eastAsiaTheme="minorEastAsia" w:hAnsiTheme="minorHAnsi" w:cstheme="minorBidi"/>
          <w:szCs w:val="22"/>
          <w:lang w:eastAsia="en-AU"/>
        </w:rPr>
      </w:pPr>
      <w:r>
        <w:t>6</w:t>
      </w:r>
      <w:r>
        <w:rPr>
          <w:snapToGrid w:val="0"/>
        </w:rPr>
        <w:t>.</w:t>
      </w:r>
      <w:r>
        <w:rPr>
          <w:snapToGrid w:val="0"/>
        </w:rPr>
        <w:tab/>
        <w:t>Construction or installation under an approval to be completed within a certain time</w:t>
      </w:r>
      <w:r>
        <w:tab/>
      </w:r>
      <w:r>
        <w:fldChar w:fldCharType="begin"/>
      </w:r>
      <w:r>
        <w:instrText xml:space="preserve"> PAGEREF _Toc33590426 \h </w:instrText>
      </w:r>
      <w:r>
        <w:fldChar w:fldCharType="separate"/>
      </w:r>
      <w:r>
        <w:t>10</w:t>
      </w:r>
      <w:r>
        <w:fldChar w:fldCharType="end"/>
      </w:r>
    </w:p>
    <w:p>
      <w:pPr>
        <w:pStyle w:val="TOC8"/>
        <w:rPr>
          <w:rFonts w:asciiTheme="minorHAnsi" w:eastAsiaTheme="minorEastAsia" w:hAnsiTheme="minorHAnsi" w:cstheme="minorBidi"/>
          <w:szCs w:val="22"/>
          <w:lang w:eastAsia="en-AU"/>
        </w:rPr>
      </w:pPr>
      <w:r>
        <w:t>6A.</w:t>
      </w:r>
      <w:r>
        <w:tab/>
        <w:t>Adoption of codes</w:t>
      </w:r>
      <w:r>
        <w:tab/>
      </w:r>
      <w:r>
        <w:fldChar w:fldCharType="begin"/>
      </w:r>
      <w:r>
        <w:instrText xml:space="preserve"> PAGEREF _Toc33590427 \h </w:instrText>
      </w:r>
      <w:r>
        <w:fldChar w:fldCharType="separate"/>
      </w:r>
      <w:r>
        <w:t>11</w:t>
      </w:r>
      <w:r>
        <w:fldChar w:fldCharType="end"/>
      </w:r>
    </w:p>
    <w:p>
      <w:pPr>
        <w:pStyle w:val="TOC8"/>
        <w:rPr>
          <w:rFonts w:asciiTheme="minorHAnsi" w:eastAsiaTheme="minorEastAsia" w:hAnsiTheme="minorHAnsi" w:cstheme="minorBidi"/>
          <w:szCs w:val="22"/>
          <w:lang w:eastAsia="en-AU"/>
        </w:rPr>
      </w:pPr>
      <w:r>
        <w:t>7</w:t>
      </w:r>
      <w:r>
        <w:rPr>
          <w:snapToGrid w:val="0"/>
        </w:rPr>
        <w:t>.</w:t>
      </w:r>
      <w:r>
        <w:rPr>
          <w:snapToGrid w:val="0"/>
        </w:rPr>
        <w:tab/>
        <w:t>Construction and installation of an apparatus generally</w:t>
      </w:r>
      <w:r>
        <w:tab/>
      </w:r>
      <w:r>
        <w:fldChar w:fldCharType="begin"/>
      </w:r>
      <w:r>
        <w:instrText xml:space="preserve"> PAGEREF _Toc33590428 \h </w:instrText>
      </w:r>
      <w:r>
        <w:fldChar w:fldCharType="separate"/>
      </w:r>
      <w:r>
        <w:t>11</w:t>
      </w:r>
      <w:r>
        <w:fldChar w:fldCharType="end"/>
      </w:r>
    </w:p>
    <w:p>
      <w:pPr>
        <w:pStyle w:val="TOC8"/>
        <w:rPr>
          <w:rFonts w:asciiTheme="minorHAnsi" w:eastAsiaTheme="minorEastAsia" w:hAnsiTheme="minorHAnsi" w:cstheme="minorBidi"/>
          <w:szCs w:val="22"/>
          <w:lang w:eastAsia="en-AU"/>
        </w:rPr>
      </w:pPr>
      <w:r>
        <w:t>7A.</w:t>
      </w:r>
      <w:r>
        <w:tab/>
        <w:t>Compliance with adopted Codes</w:t>
      </w:r>
      <w:r>
        <w:tab/>
      </w:r>
      <w:r>
        <w:fldChar w:fldCharType="begin"/>
      </w:r>
      <w:r>
        <w:instrText xml:space="preserve"> PAGEREF _Toc33590429 \h </w:instrText>
      </w:r>
      <w:r>
        <w:fldChar w:fldCharType="separate"/>
      </w:r>
      <w:r>
        <w:t>12</w:t>
      </w:r>
      <w:r>
        <w:fldChar w:fldCharType="end"/>
      </w:r>
    </w:p>
    <w:p>
      <w:pPr>
        <w:pStyle w:val="TOC8"/>
        <w:rPr>
          <w:rFonts w:asciiTheme="minorHAnsi" w:eastAsiaTheme="minorEastAsia" w:hAnsiTheme="minorHAnsi" w:cstheme="minorBidi"/>
          <w:szCs w:val="22"/>
          <w:lang w:eastAsia="en-AU"/>
        </w:rPr>
      </w:pPr>
      <w:r>
        <w:t>8</w:t>
      </w:r>
      <w:r>
        <w:rPr>
          <w:snapToGrid w:val="0"/>
        </w:rPr>
        <w:t>.</w:t>
      </w:r>
      <w:r>
        <w:rPr>
          <w:snapToGrid w:val="0"/>
        </w:rPr>
        <w:tab/>
        <w:t>Educt and back vents</w:t>
      </w:r>
      <w:r>
        <w:tab/>
      </w:r>
      <w:r>
        <w:fldChar w:fldCharType="begin"/>
      </w:r>
      <w:r>
        <w:instrText xml:space="preserve"> PAGEREF _Toc33590430 \h </w:instrText>
      </w:r>
      <w:r>
        <w:fldChar w:fldCharType="separate"/>
      </w:r>
      <w:r>
        <w:t>12</w:t>
      </w:r>
      <w:r>
        <w:fldChar w:fldCharType="end"/>
      </w:r>
    </w:p>
    <w:p>
      <w:pPr>
        <w:pStyle w:val="TOC8"/>
        <w:rPr>
          <w:rFonts w:asciiTheme="minorHAnsi" w:eastAsiaTheme="minorEastAsia" w:hAnsiTheme="minorHAnsi" w:cstheme="minorBidi"/>
          <w:szCs w:val="22"/>
          <w:lang w:eastAsia="en-AU"/>
        </w:rPr>
      </w:pPr>
      <w:r>
        <w:t>8A</w:t>
      </w:r>
      <w:r>
        <w:rPr>
          <w:snapToGrid w:val="0"/>
        </w:rPr>
        <w:t>.</w:t>
      </w:r>
      <w:r>
        <w:rPr>
          <w:snapToGrid w:val="0"/>
        </w:rPr>
        <w:tab/>
        <w:t>Location of a septic tank</w:t>
      </w:r>
      <w:r>
        <w:tab/>
      </w:r>
      <w:r>
        <w:fldChar w:fldCharType="begin"/>
      </w:r>
      <w:r>
        <w:instrText xml:space="preserve"> PAGEREF _Toc33590431 \h </w:instrText>
      </w:r>
      <w:r>
        <w:fldChar w:fldCharType="separate"/>
      </w:r>
      <w:r>
        <w:t>12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Use of an apparatus</w:t>
      </w:r>
    </w:p>
    <w:p>
      <w:pPr>
        <w:pStyle w:val="TOC8"/>
        <w:rPr>
          <w:rFonts w:asciiTheme="minorHAnsi" w:eastAsiaTheme="minorEastAsia" w:hAnsiTheme="minorHAnsi" w:cstheme="minorBidi"/>
          <w:szCs w:val="22"/>
          <w:lang w:eastAsia="en-AU"/>
        </w:rPr>
      </w:pPr>
      <w:r>
        <w:t>9.</w:t>
      </w:r>
      <w:r>
        <w:tab/>
        <w:t>Notice of completion</w:t>
      </w:r>
      <w:r>
        <w:tab/>
      </w:r>
      <w:r>
        <w:fldChar w:fldCharType="begin"/>
      </w:r>
      <w:r>
        <w:instrText xml:space="preserve"> PAGEREF _Toc33590433 \h </w:instrText>
      </w:r>
      <w:r>
        <w:fldChar w:fldCharType="separate"/>
      </w:r>
      <w:r>
        <w:t>13</w:t>
      </w:r>
      <w:r>
        <w:fldChar w:fldCharType="end"/>
      </w:r>
    </w:p>
    <w:p>
      <w:pPr>
        <w:pStyle w:val="TOC8"/>
        <w:rPr>
          <w:rFonts w:asciiTheme="minorHAnsi" w:eastAsiaTheme="minorEastAsia" w:hAnsiTheme="minorHAnsi" w:cstheme="minorBidi"/>
          <w:szCs w:val="22"/>
          <w:lang w:eastAsia="en-AU"/>
        </w:rPr>
      </w:pPr>
      <w:r>
        <w:t>10</w:t>
      </w:r>
      <w:r>
        <w:rPr>
          <w:snapToGrid w:val="0"/>
        </w:rPr>
        <w:t>.</w:t>
      </w:r>
      <w:r>
        <w:rPr>
          <w:snapToGrid w:val="0"/>
        </w:rPr>
        <w:tab/>
        <w:t>Permit to use an apparatus</w:t>
      </w:r>
      <w:r>
        <w:tab/>
      </w:r>
      <w:r>
        <w:fldChar w:fldCharType="begin"/>
      </w:r>
      <w:r>
        <w:instrText xml:space="preserve"> PAGEREF _Toc33590434 \h </w:instrText>
      </w:r>
      <w:r>
        <w:fldChar w:fldCharType="separate"/>
      </w:r>
      <w:r>
        <w:t>13</w:t>
      </w:r>
      <w:r>
        <w:fldChar w:fldCharType="end"/>
      </w:r>
    </w:p>
    <w:p>
      <w:pPr>
        <w:pStyle w:val="TOC8"/>
        <w:rPr>
          <w:rFonts w:asciiTheme="minorHAnsi" w:eastAsiaTheme="minorEastAsia" w:hAnsiTheme="minorHAnsi" w:cstheme="minorBidi"/>
          <w:szCs w:val="22"/>
          <w:lang w:eastAsia="en-AU"/>
        </w:rPr>
      </w:pPr>
      <w:r>
        <w:t>11</w:t>
      </w:r>
      <w:r>
        <w:rPr>
          <w:snapToGrid w:val="0"/>
        </w:rPr>
        <w:t>.</w:t>
      </w:r>
      <w:r>
        <w:rPr>
          <w:snapToGrid w:val="0"/>
        </w:rPr>
        <w:tab/>
        <w:t>Preparation of an apparatus for inspection</w:t>
      </w:r>
      <w:r>
        <w:tab/>
      </w:r>
      <w:r>
        <w:fldChar w:fldCharType="begin"/>
      </w:r>
      <w:r>
        <w:instrText xml:space="preserve"> PAGEREF _Toc33590435 \h </w:instrText>
      </w:r>
      <w:r>
        <w:fldChar w:fldCharType="separate"/>
      </w:r>
      <w:r>
        <w:t>16</w:t>
      </w:r>
      <w:r>
        <w:fldChar w:fldCharType="end"/>
      </w:r>
    </w:p>
    <w:p>
      <w:pPr>
        <w:pStyle w:val="TOC8"/>
        <w:rPr>
          <w:rFonts w:asciiTheme="minorHAnsi" w:eastAsiaTheme="minorEastAsia" w:hAnsiTheme="minorHAnsi" w:cstheme="minorBidi"/>
          <w:szCs w:val="22"/>
          <w:lang w:eastAsia="en-AU"/>
        </w:rPr>
      </w:pPr>
      <w:r>
        <w:t>12</w:t>
      </w:r>
      <w:r>
        <w:rPr>
          <w:snapToGrid w:val="0"/>
        </w:rPr>
        <w:t>.</w:t>
      </w:r>
      <w:r>
        <w:rPr>
          <w:snapToGrid w:val="0"/>
        </w:rPr>
        <w:tab/>
        <w:t>Testing an apparatus</w:t>
      </w:r>
      <w:r>
        <w:tab/>
      </w:r>
      <w:r>
        <w:fldChar w:fldCharType="begin"/>
      </w:r>
      <w:r>
        <w:instrText xml:space="preserve"> PAGEREF _Toc33590436 \h </w:instrText>
      </w:r>
      <w:r>
        <w:fldChar w:fldCharType="separate"/>
      </w:r>
      <w:r>
        <w:t>16</w:t>
      </w:r>
      <w:r>
        <w:fldChar w:fldCharType="end"/>
      </w:r>
    </w:p>
    <w:p>
      <w:pPr>
        <w:pStyle w:val="TOC8"/>
        <w:rPr>
          <w:rFonts w:asciiTheme="minorHAnsi" w:eastAsiaTheme="minorEastAsia" w:hAnsiTheme="minorHAnsi" w:cstheme="minorBidi"/>
          <w:szCs w:val="22"/>
          <w:lang w:eastAsia="en-AU"/>
        </w:rPr>
      </w:pPr>
      <w:r>
        <w:t>13</w:t>
      </w:r>
      <w:r>
        <w:rPr>
          <w:snapToGrid w:val="0"/>
        </w:rPr>
        <w:t>.</w:t>
      </w:r>
      <w:r>
        <w:rPr>
          <w:snapToGrid w:val="0"/>
        </w:rPr>
        <w:tab/>
        <w:t>Equipment, material, power and labour for an inspection</w:t>
      </w:r>
      <w:r>
        <w:tab/>
      </w:r>
      <w:r>
        <w:fldChar w:fldCharType="begin"/>
      </w:r>
      <w:r>
        <w:instrText xml:space="preserve"> PAGEREF _Toc33590437 \h </w:instrText>
      </w:r>
      <w:r>
        <w:fldChar w:fldCharType="separate"/>
      </w:r>
      <w:r>
        <w:t>16</w:t>
      </w:r>
      <w:r>
        <w:fldChar w:fldCharType="end"/>
      </w:r>
    </w:p>
    <w:p>
      <w:pPr>
        <w:pStyle w:val="TOC8"/>
        <w:rPr>
          <w:rFonts w:asciiTheme="minorHAnsi" w:eastAsiaTheme="minorEastAsia" w:hAnsiTheme="minorHAnsi" w:cstheme="minorBidi"/>
          <w:szCs w:val="22"/>
          <w:lang w:eastAsia="en-AU"/>
        </w:rPr>
      </w:pPr>
      <w:r>
        <w:t>15</w:t>
      </w:r>
      <w:r>
        <w:rPr>
          <w:snapToGrid w:val="0"/>
        </w:rPr>
        <w:t>.</w:t>
      </w:r>
      <w:r>
        <w:rPr>
          <w:snapToGrid w:val="0"/>
        </w:rPr>
        <w:tab/>
        <w:t>Wastes from business or industry</w:t>
      </w:r>
      <w:r>
        <w:tab/>
      </w:r>
      <w:r>
        <w:fldChar w:fldCharType="begin"/>
      </w:r>
      <w:r>
        <w:instrText xml:space="preserve"> PAGEREF _Toc33590438 \h </w:instrText>
      </w:r>
      <w:r>
        <w:fldChar w:fldCharType="separate"/>
      </w:r>
      <w:r>
        <w:t>17</w:t>
      </w:r>
      <w:r>
        <w:fldChar w:fldCharType="end"/>
      </w:r>
    </w:p>
    <w:p>
      <w:pPr>
        <w:pStyle w:val="TOC8"/>
        <w:rPr>
          <w:rFonts w:asciiTheme="minorHAnsi" w:eastAsiaTheme="minorEastAsia" w:hAnsiTheme="minorHAnsi" w:cstheme="minorBidi"/>
          <w:szCs w:val="22"/>
          <w:lang w:eastAsia="en-AU"/>
        </w:rPr>
      </w:pPr>
      <w:r>
        <w:t>16</w:t>
      </w:r>
      <w:r>
        <w:rPr>
          <w:snapToGrid w:val="0"/>
        </w:rPr>
        <w:t>.</w:t>
      </w:r>
      <w:r>
        <w:rPr>
          <w:snapToGrid w:val="0"/>
        </w:rPr>
        <w:tab/>
        <w:t>Matter interfering with the efficient operation of an apparatus</w:t>
      </w:r>
      <w:r>
        <w:tab/>
      </w:r>
      <w:r>
        <w:fldChar w:fldCharType="begin"/>
      </w:r>
      <w:r>
        <w:instrText xml:space="preserve"> PAGEREF _Toc33590439 \h </w:instrText>
      </w:r>
      <w:r>
        <w:fldChar w:fldCharType="separate"/>
      </w:r>
      <w:r>
        <w:t>17</w:t>
      </w:r>
      <w:r>
        <w:fldChar w:fldCharType="end"/>
      </w:r>
    </w:p>
    <w:p>
      <w:pPr>
        <w:pStyle w:val="TOC8"/>
        <w:rPr>
          <w:rFonts w:asciiTheme="minorHAnsi" w:eastAsiaTheme="minorEastAsia" w:hAnsiTheme="minorHAnsi" w:cstheme="minorBidi"/>
          <w:szCs w:val="22"/>
          <w:lang w:eastAsia="en-AU"/>
        </w:rPr>
      </w:pPr>
      <w:r>
        <w:t>16A.</w:t>
      </w:r>
      <w:r>
        <w:tab/>
        <w:t>Use to comply with adopted Codes</w:t>
      </w:r>
      <w:r>
        <w:tab/>
      </w:r>
      <w:r>
        <w:fldChar w:fldCharType="begin"/>
      </w:r>
      <w:r>
        <w:instrText xml:space="preserve"> PAGEREF _Toc33590440 \h </w:instrText>
      </w:r>
      <w:r>
        <w:fldChar w:fldCharType="separate"/>
      </w:r>
      <w:r>
        <w:t>17</w:t>
      </w:r>
      <w:r>
        <w:fldChar w:fldCharType="end"/>
      </w:r>
    </w:p>
    <w:p>
      <w:pPr>
        <w:pStyle w:val="TOC8"/>
        <w:rPr>
          <w:rFonts w:asciiTheme="minorHAnsi" w:eastAsiaTheme="minorEastAsia" w:hAnsiTheme="minorHAnsi" w:cstheme="minorBidi"/>
          <w:szCs w:val="22"/>
          <w:lang w:eastAsia="en-AU"/>
        </w:rPr>
      </w:pPr>
      <w:r>
        <w:t>17</w:t>
      </w:r>
      <w:r>
        <w:rPr>
          <w:snapToGrid w:val="0"/>
        </w:rPr>
        <w:t>.</w:t>
      </w:r>
      <w:r>
        <w:rPr>
          <w:snapToGrid w:val="0"/>
        </w:rPr>
        <w:tab/>
        <w:t>Certain matter not to be discharged into an apparatus</w:t>
      </w:r>
      <w:r>
        <w:tab/>
      </w:r>
      <w:r>
        <w:fldChar w:fldCharType="begin"/>
      </w:r>
      <w:r>
        <w:instrText xml:space="preserve"> PAGEREF _Toc33590441 \h </w:instrText>
      </w:r>
      <w:r>
        <w:fldChar w:fldCharType="separate"/>
      </w:r>
      <w:r>
        <w:t>17</w:t>
      </w:r>
      <w:r>
        <w:fldChar w:fldCharType="end"/>
      </w:r>
    </w:p>
    <w:p>
      <w:pPr>
        <w:pStyle w:val="TOC8"/>
        <w:rPr>
          <w:rFonts w:asciiTheme="minorHAnsi" w:eastAsiaTheme="minorEastAsia" w:hAnsiTheme="minorHAnsi" w:cstheme="minorBidi"/>
          <w:szCs w:val="22"/>
          <w:lang w:eastAsia="en-AU"/>
        </w:rPr>
      </w:pPr>
      <w:r>
        <w:t>18</w:t>
      </w:r>
      <w:r>
        <w:rPr>
          <w:snapToGrid w:val="0"/>
        </w:rPr>
        <w:t>.</w:t>
      </w:r>
      <w:r>
        <w:rPr>
          <w:snapToGrid w:val="0"/>
        </w:rPr>
        <w:tab/>
        <w:t>Interfering with an apparatus</w:t>
      </w:r>
      <w:r>
        <w:tab/>
      </w:r>
      <w:r>
        <w:fldChar w:fldCharType="begin"/>
      </w:r>
      <w:r>
        <w:instrText xml:space="preserve"> PAGEREF _Toc33590442 \h </w:instrText>
      </w:r>
      <w:r>
        <w:fldChar w:fldCharType="separate"/>
      </w:r>
      <w:r>
        <w:t>18</w:t>
      </w:r>
      <w:r>
        <w:fldChar w:fldCharType="end"/>
      </w:r>
    </w:p>
    <w:p>
      <w:pPr>
        <w:pStyle w:val="TOC8"/>
        <w:rPr>
          <w:rFonts w:asciiTheme="minorHAnsi" w:eastAsiaTheme="minorEastAsia" w:hAnsiTheme="minorHAnsi" w:cstheme="minorBidi"/>
          <w:szCs w:val="22"/>
          <w:lang w:eastAsia="en-AU"/>
        </w:rPr>
      </w:pPr>
      <w:r>
        <w:t>18A</w:t>
      </w:r>
      <w:r>
        <w:rPr>
          <w:snapToGrid w:val="0"/>
        </w:rPr>
        <w:t>.</w:t>
      </w:r>
      <w:r>
        <w:rPr>
          <w:snapToGrid w:val="0"/>
        </w:rPr>
        <w:tab/>
        <w:t>Structures not to be erected above an apparatus</w:t>
      </w:r>
      <w:r>
        <w:tab/>
      </w:r>
      <w:r>
        <w:fldChar w:fldCharType="begin"/>
      </w:r>
      <w:r>
        <w:instrText xml:space="preserve"> PAGEREF _Toc33590443 \h </w:instrText>
      </w:r>
      <w:r>
        <w:fldChar w:fldCharType="separate"/>
      </w:r>
      <w:r>
        <w:t>19</w:t>
      </w:r>
      <w:r>
        <w:fldChar w:fldCharType="end"/>
      </w:r>
    </w:p>
    <w:p>
      <w:pPr>
        <w:pStyle w:val="TOC8"/>
        <w:rPr>
          <w:rFonts w:asciiTheme="minorHAnsi" w:eastAsiaTheme="minorEastAsia" w:hAnsiTheme="minorHAnsi" w:cstheme="minorBidi"/>
          <w:szCs w:val="22"/>
          <w:lang w:eastAsia="en-AU"/>
        </w:rPr>
      </w:pPr>
      <w:r>
        <w:t>19</w:t>
      </w:r>
      <w:r>
        <w:rPr>
          <w:snapToGrid w:val="0"/>
        </w:rPr>
        <w:t>.</w:t>
      </w:r>
      <w:r>
        <w:rPr>
          <w:snapToGrid w:val="0"/>
        </w:rPr>
        <w:tab/>
        <w:t>Use of a damaged or defective apparatus prohibited</w:t>
      </w:r>
      <w:r>
        <w:tab/>
      </w:r>
      <w:r>
        <w:fldChar w:fldCharType="begin"/>
      </w:r>
      <w:r>
        <w:instrText xml:space="preserve"> PAGEREF _Toc33590444 \h </w:instrText>
      </w:r>
      <w:r>
        <w:fldChar w:fldCharType="separate"/>
      </w:r>
      <w:r>
        <w:t>19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Decommissioning of an apparatus</w:t>
      </w:r>
    </w:p>
    <w:p>
      <w:pPr>
        <w:pStyle w:val="TOC8"/>
        <w:rPr>
          <w:rFonts w:asciiTheme="minorHAnsi" w:eastAsiaTheme="minorEastAsia" w:hAnsiTheme="minorHAnsi" w:cstheme="minorBidi"/>
          <w:szCs w:val="22"/>
          <w:lang w:eastAsia="en-AU"/>
        </w:rPr>
      </w:pPr>
      <w:r>
        <w:t>20</w:t>
      </w:r>
      <w:r>
        <w:rPr>
          <w:snapToGrid w:val="0"/>
        </w:rPr>
        <w:t>.</w:t>
      </w:r>
      <w:r>
        <w:rPr>
          <w:snapToGrid w:val="0"/>
        </w:rPr>
        <w:tab/>
        <w:t>Application</w:t>
      </w:r>
      <w:r>
        <w:tab/>
      </w:r>
      <w:r>
        <w:fldChar w:fldCharType="begin"/>
      </w:r>
      <w:r>
        <w:instrText xml:space="preserve"> PAGEREF _Toc33590446 \h </w:instrText>
      </w:r>
      <w:r>
        <w:fldChar w:fldCharType="separate"/>
      </w:r>
      <w:r>
        <w:t>20</w:t>
      </w:r>
      <w:r>
        <w:fldChar w:fldCharType="end"/>
      </w:r>
    </w:p>
    <w:p>
      <w:pPr>
        <w:pStyle w:val="TOC8"/>
        <w:rPr>
          <w:rFonts w:asciiTheme="minorHAnsi" w:eastAsiaTheme="minorEastAsia" w:hAnsiTheme="minorHAnsi" w:cstheme="minorBidi"/>
          <w:szCs w:val="22"/>
          <w:lang w:eastAsia="en-AU"/>
        </w:rPr>
      </w:pPr>
      <w:r>
        <w:t>20A</w:t>
      </w:r>
      <w:r>
        <w:rPr>
          <w:snapToGrid w:val="0"/>
        </w:rPr>
        <w:t>.</w:t>
      </w:r>
      <w:r>
        <w:rPr>
          <w:snapToGrid w:val="0"/>
        </w:rPr>
        <w:tab/>
        <w:t>Apparatus to be decommissioned in certain circumstances</w:t>
      </w:r>
      <w:r>
        <w:tab/>
      </w:r>
      <w:r>
        <w:fldChar w:fldCharType="begin"/>
      </w:r>
      <w:r>
        <w:instrText xml:space="preserve"> PAGEREF _Toc33590447 \h </w:instrText>
      </w:r>
      <w:r>
        <w:fldChar w:fldCharType="separate"/>
      </w:r>
      <w:r>
        <w:t>20</w:t>
      </w:r>
      <w:r>
        <w:fldChar w:fldCharType="end"/>
      </w:r>
    </w:p>
    <w:p>
      <w:pPr>
        <w:pStyle w:val="TOC8"/>
        <w:rPr>
          <w:rFonts w:asciiTheme="minorHAnsi" w:eastAsiaTheme="minorEastAsia" w:hAnsiTheme="minorHAnsi" w:cstheme="minorBidi"/>
          <w:szCs w:val="22"/>
          <w:lang w:eastAsia="en-AU"/>
        </w:rPr>
      </w:pPr>
      <w:r>
        <w:t>21</w:t>
      </w:r>
      <w:r>
        <w:rPr>
          <w:snapToGrid w:val="0"/>
        </w:rPr>
        <w:t>.</w:t>
      </w:r>
      <w:r>
        <w:rPr>
          <w:snapToGrid w:val="0"/>
        </w:rPr>
        <w:tab/>
        <w:t>Decommissioning an apparatus</w:t>
      </w:r>
      <w:r>
        <w:tab/>
      </w:r>
      <w:r>
        <w:fldChar w:fldCharType="begin"/>
      </w:r>
      <w:r>
        <w:instrText xml:space="preserve"> PAGEREF _Toc33590448 \h </w:instrText>
      </w:r>
      <w:r>
        <w:fldChar w:fldCharType="separate"/>
      </w:r>
      <w:r>
        <w:t>21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Review</w:t>
      </w:r>
    </w:p>
    <w:p>
      <w:pPr>
        <w:pStyle w:val="TOC8"/>
        <w:rPr>
          <w:rFonts w:asciiTheme="minorHAnsi" w:eastAsiaTheme="minorEastAsia" w:hAnsiTheme="minorHAnsi" w:cstheme="minorBidi"/>
          <w:szCs w:val="22"/>
          <w:lang w:eastAsia="en-AU"/>
        </w:rPr>
      </w:pPr>
      <w:r>
        <w:t>22</w:t>
      </w:r>
      <w:r>
        <w:rPr>
          <w:snapToGrid w:val="0"/>
        </w:rPr>
        <w:t>.</w:t>
      </w:r>
      <w:r>
        <w:rPr>
          <w:snapToGrid w:val="0"/>
        </w:rPr>
        <w:tab/>
        <w:t>Review of a decision of a local government</w:t>
      </w:r>
      <w:r>
        <w:tab/>
      </w:r>
      <w:r>
        <w:fldChar w:fldCharType="begin"/>
      </w:r>
      <w:r>
        <w:instrText xml:space="preserve"> PAGEREF _Toc33590450 \h </w:instrText>
      </w:r>
      <w:r>
        <w:fldChar w:fldCharType="separate"/>
      </w:r>
      <w:r>
        <w:t>22</w:t>
      </w:r>
      <w:r>
        <w:fldChar w:fldCharType="end"/>
      </w:r>
    </w:p>
    <w:p>
      <w:pPr>
        <w:pStyle w:val="TOC8"/>
        <w:rPr>
          <w:rFonts w:asciiTheme="minorHAnsi" w:eastAsiaTheme="minorEastAsia" w:hAnsiTheme="minorHAnsi" w:cstheme="minorBidi"/>
          <w:szCs w:val="22"/>
          <w:lang w:eastAsia="en-AU"/>
        </w:rPr>
      </w:pPr>
      <w:r>
        <w:t>23</w:t>
      </w:r>
      <w:r>
        <w:rPr>
          <w:snapToGrid w:val="0"/>
        </w:rPr>
        <w:t>.</w:t>
      </w:r>
      <w:r>
        <w:rPr>
          <w:snapToGrid w:val="0"/>
        </w:rPr>
        <w:tab/>
        <w:t>Review of a decision of the Executive Director, Public Health</w:t>
      </w:r>
      <w:r>
        <w:tab/>
      </w:r>
      <w:r>
        <w:fldChar w:fldCharType="begin"/>
      </w:r>
      <w:r>
        <w:instrText xml:space="preserve"> PAGEREF _Toc33590451 \h </w:instrText>
      </w:r>
      <w:r>
        <w:fldChar w:fldCharType="separate"/>
      </w:r>
      <w:r>
        <w:t>22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Construction and sizes of septic tanks and sedimentation tanks</w:t>
      </w:r>
    </w:p>
    <w:p>
      <w:pPr>
        <w:pStyle w:val="TOC8"/>
        <w:rPr>
          <w:rFonts w:asciiTheme="minorHAnsi" w:eastAsiaTheme="minorEastAsia" w:hAnsiTheme="minorHAnsi" w:cstheme="minorBidi"/>
          <w:szCs w:val="22"/>
          <w:lang w:eastAsia="en-AU"/>
        </w:rPr>
      </w:pPr>
      <w:r>
        <w:t>24</w:t>
      </w:r>
      <w:r>
        <w:rPr>
          <w:snapToGrid w:val="0"/>
        </w:rPr>
        <w:t>.</w:t>
      </w:r>
      <w:r>
        <w:rPr>
          <w:snapToGrid w:val="0"/>
        </w:rPr>
        <w:tab/>
        <w:t>Minimum water level of a septic tank</w:t>
      </w:r>
      <w:r>
        <w:tab/>
      </w:r>
      <w:r>
        <w:fldChar w:fldCharType="begin"/>
      </w:r>
      <w:r>
        <w:instrText xml:space="preserve"> PAGEREF _Toc33590453 \h </w:instrText>
      </w:r>
      <w:r>
        <w:fldChar w:fldCharType="separate"/>
      </w:r>
      <w:r>
        <w:t>24</w:t>
      </w:r>
      <w:r>
        <w:fldChar w:fldCharType="end"/>
      </w:r>
    </w:p>
    <w:p>
      <w:pPr>
        <w:pStyle w:val="TOC8"/>
        <w:rPr>
          <w:rFonts w:asciiTheme="minorHAnsi" w:eastAsiaTheme="minorEastAsia" w:hAnsiTheme="minorHAnsi" w:cstheme="minorBidi"/>
          <w:szCs w:val="22"/>
          <w:lang w:eastAsia="en-AU"/>
        </w:rPr>
      </w:pPr>
      <w:r>
        <w:t>25</w:t>
      </w:r>
      <w:r>
        <w:rPr>
          <w:snapToGrid w:val="0"/>
        </w:rPr>
        <w:t>.</w:t>
      </w:r>
      <w:r>
        <w:rPr>
          <w:snapToGrid w:val="0"/>
        </w:rPr>
        <w:tab/>
        <w:t>Partition of a septic tank</w:t>
      </w:r>
      <w:r>
        <w:tab/>
      </w:r>
      <w:r>
        <w:fldChar w:fldCharType="begin"/>
      </w:r>
      <w:r>
        <w:instrText xml:space="preserve"> PAGEREF _Toc33590454 \h </w:instrText>
      </w:r>
      <w:r>
        <w:fldChar w:fldCharType="separate"/>
      </w:r>
      <w:r>
        <w:t>24</w:t>
      </w:r>
      <w:r>
        <w:fldChar w:fldCharType="end"/>
      </w:r>
    </w:p>
    <w:p>
      <w:pPr>
        <w:pStyle w:val="TOC8"/>
        <w:rPr>
          <w:rFonts w:asciiTheme="minorHAnsi" w:eastAsiaTheme="minorEastAsia" w:hAnsiTheme="minorHAnsi" w:cstheme="minorBidi"/>
          <w:szCs w:val="22"/>
          <w:lang w:eastAsia="en-AU"/>
        </w:rPr>
      </w:pPr>
      <w:r>
        <w:t>26</w:t>
      </w:r>
      <w:r>
        <w:rPr>
          <w:snapToGrid w:val="0"/>
        </w:rPr>
        <w:t>.</w:t>
      </w:r>
      <w:r>
        <w:rPr>
          <w:snapToGrid w:val="0"/>
        </w:rPr>
        <w:tab/>
        <w:t>Septic tank to be impervious</w:t>
      </w:r>
      <w:r>
        <w:tab/>
      </w:r>
      <w:r>
        <w:fldChar w:fldCharType="begin"/>
      </w:r>
      <w:r>
        <w:instrText xml:space="preserve"> PAGEREF _Toc33590455 \h </w:instrText>
      </w:r>
      <w:r>
        <w:fldChar w:fldCharType="separate"/>
      </w:r>
      <w:r>
        <w:t>24</w:t>
      </w:r>
      <w:r>
        <w:fldChar w:fldCharType="end"/>
      </w:r>
    </w:p>
    <w:p>
      <w:pPr>
        <w:pStyle w:val="TOC8"/>
        <w:rPr>
          <w:rFonts w:asciiTheme="minorHAnsi" w:eastAsiaTheme="minorEastAsia" w:hAnsiTheme="minorHAnsi" w:cstheme="minorBidi"/>
          <w:szCs w:val="22"/>
          <w:lang w:eastAsia="en-AU"/>
        </w:rPr>
      </w:pPr>
      <w:r>
        <w:t>27</w:t>
      </w:r>
      <w:r>
        <w:rPr>
          <w:snapToGrid w:val="0"/>
        </w:rPr>
        <w:t>.</w:t>
      </w:r>
      <w:r>
        <w:rPr>
          <w:snapToGrid w:val="0"/>
        </w:rPr>
        <w:tab/>
        <w:t>Construction of a septic tank generally</w:t>
      </w:r>
      <w:r>
        <w:tab/>
      </w:r>
      <w:r>
        <w:fldChar w:fldCharType="begin"/>
      </w:r>
      <w:r>
        <w:instrText xml:space="preserve"> PAGEREF _Toc33590456 \h </w:instrText>
      </w:r>
      <w:r>
        <w:fldChar w:fldCharType="separate"/>
      </w:r>
      <w:r>
        <w:t>24</w:t>
      </w:r>
      <w:r>
        <w:fldChar w:fldCharType="end"/>
      </w:r>
    </w:p>
    <w:p>
      <w:pPr>
        <w:pStyle w:val="TOC8"/>
        <w:rPr>
          <w:rFonts w:asciiTheme="minorHAnsi" w:eastAsiaTheme="minorEastAsia" w:hAnsiTheme="minorHAnsi" w:cstheme="minorBidi"/>
          <w:szCs w:val="22"/>
          <w:lang w:eastAsia="en-AU"/>
        </w:rPr>
      </w:pPr>
      <w:r>
        <w:t>28</w:t>
      </w:r>
      <w:r>
        <w:rPr>
          <w:snapToGrid w:val="0"/>
        </w:rPr>
        <w:t>.</w:t>
      </w:r>
      <w:r>
        <w:rPr>
          <w:snapToGrid w:val="0"/>
        </w:rPr>
        <w:tab/>
        <w:t>Liquid capacity of septic tanks on residential premises</w:t>
      </w:r>
      <w:r>
        <w:tab/>
      </w:r>
      <w:r>
        <w:fldChar w:fldCharType="begin"/>
      </w:r>
      <w:r>
        <w:instrText xml:space="preserve"> PAGEREF _Toc33590457 \h </w:instrText>
      </w:r>
      <w:r>
        <w:fldChar w:fldCharType="separate"/>
      </w:r>
      <w:r>
        <w:t>25</w:t>
      </w:r>
      <w:r>
        <w:fldChar w:fldCharType="end"/>
      </w:r>
    </w:p>
    <w:p>
      <w:pPr>
        <w:pStyle w:val="TOC8"/>
        <w:rPr>
          <w:rFonts w:asciiTheme="minorHAnsi" w:eastAsiaTheme="minorEastAsia" w:hAnsiTheme="minorHAnsi" w:cstheme="minorBidi"/>
          <w:szCs w:val="22"/>
          <w:lang w:eastAsia="en-AU"/>
        </w:rPr>
      </w:pPr>
      <w:r>
        <w:t>29</w:t>
      </w:r>
      <w:r>
        <w:rPr>
          <w:snapToGrid w:val="0"/>
        </w:rPr>
        <w:t>.</w:t>
      </w:r>
      <w:r>
        <w:rPr>
          <w:snapToGrid w:val="0"/>
        </w:rPr>
        <w:tab/>
        <w:t>Size of a septic tank</w:t>
      </w:r>
      <w:r>
        <w:tab/>
      </w:r>
      <w:r>
        <w:fldChar w:fldCharType="begin"/>
      </w:r>
      <w:r>
        <w:instrText xml:space="preserve"> PAGEREF _Toc33590458 \h </w:instrText>
      </w:r>
      <w:r>
        <w:fldChar w:fldCharType="separate"/>
      </w:r>
      <w:r>
        <w:t>25</w:t>
      </w:r>
      <w:r>
        <w:fldChar w:fldCharType="end"/>
      </w:r>
    </w:p>
    <w:p>
      <w:pPr>
        <w:pStyle w:val="TOC8"/>
        <w:rPr>
          <w:rFonts w:asciiTheme="minorHAnsi" w:eastAsiaTheme="minorEastAsia" w:hAnsiTheme="minorHAnsi" w:cstheme="minorBidi"/>
          <w:szCs w:val="22"/>
          <w:lang w:eastAsia="en-AU"/>
        </w:rPr>
      </w:pPr>
      <w:r>
        <w:t>30</w:t>
      </w:r>
      <w:r>
        <w:rPr>
          <w:snapToGrid w:val="0"/>
        </w:rPr>
        <w:t>.</w:t>
      </w:r>
      <w:r>
        <w:rPr>
          <w:snapToGrid w:val="0"/>
        </w:rPr>
        <w:tab/>
        <w:t>Minimum air space in a septic tank</w:t>
      </w:r>
      <w:r>
        <w:tab/>
      </w:r>
      <w:r>
        <w:fldChar w:fldCharType="begin"/>
      </w:r>
      <w:r>
        <w:instrText xml:space="preserve"> PAGEREF _Toc33590459 \h </w:instrText>
      </w:r>
      <w:r>
        <w:fldChar w:fldCharType="separate"/>
      </w:r>
      <w:r>
        <w:t>26</w:t>
      </w:r>
      <w:r>
        <w:fldChar w:fldCharType="end"/>
      </w:r>
    </w:p>
    <w:p>
      <w:pPr>
        <w:pStyle w:val="TOC8"/>
        <w:rPr>
          <w:rFonts w:asciiTheme="minorHAnsi" w:eastAsiaTheme="minorEastAsia" w:hAnsiTheme="minorHAnsi" w:cstheme="minorBidi"/>
          <w:szCs w:val="22"/>
          <w:lang w:eastAsia="en-AU"/>
        </w:rPr>
      </w:pPr>
      <w:r>
        <w:t>31</w:t>
      </w:r>
      <w:r>
        <w:rPr>
          <w:snapToGrid w:val="0"/>
        </w:rPr>
        <w:t>.</w:t>
      </w:r>
      <w:r>
        <w:rPr>
          <w:snapToGrid w:val="0"/>
        </w:rPr>
        <w:tab/>
        <w:t>Dimensions of a septic tank</w:t>
      </w:r>
      <w:r>
        <w:tab/>
      </w:r>
      <w:r>
        <w:fldChar w:fldCharType="begin"/>
      </w:r>
      <w:r>
        <w:instrText xml:space="preserve"> PAGEREF _Toc33590460 \h </w:instrText>
      </w:r>
      <w:r>
        <w:fldChar w:fldCharType="separate"/>
      </w:r>
      <w:r>
        <w:t>26</w:t>
      </w:r>
      <w:r>
        <w:fldChar w:fldCharType="end"/>
      </w:r>
    </w:p>
    <w:p>
      <w:pPr>
        <w:pStyle w:val="TOC8"/>
        <w:rPr>
          <w:rFonts w:asciiTheme="minorHAnsi" w:eastAsiaTheme="minorEastAsia" w:hAnsiTheme="minorHAnsi" w:cstheme="minorBidi"/>
          <w:szCs w:val="22"/>
          <w:lang w:eastAsia="en-AU"/>
        </w:rPr>
      </w:pPr>
      <w:r>
        <w:t>32</w:t>
      </w:r>
      <w:r>
        <w:rPr>
          <w:snapToGrid w:val="0"/>
        </w:rPr>
        <w:t>.</w:t>
      </w:r>
      <w:r>
        <w:rPr>
          <w:snapToGrid w:val="0"/>
        </w:rPr>
        <w:tab/>
        <w:t>Construction of a precast concrete septic tank</w:t>
      </w:r>
      <w:r>
        <w:tab/>
      </w:r>
      <w:r>
        <w:fldChar w:fldCharType="begin"/>
      </w:r>
      <w:r>
        <w:instrText xml:space="preserve"> PAGEREF _Toc33590461 \h </w:instrText>
      </w:r>
      <w:r>
        <w:fldChar w:fldCharType="separate"/>
      </w:r>
      <w:r>
        <w:t>26</w:t>
      </w:r>
      <w:r>
        <w:fldChar w:fldCharType="end"/>
      </w:r>
    </w:p>
    <w:p>
      <w:pPr>
        <w:pStyle w:val="TOC8"/>
        <w:rPr>
          <w:rFonts w:asciiTheme="minorHAnsi" w:eastAsiaTheme="minorEastAsia" w:hAnsiTheme="minorHAnsi" w:cstheme="minorBidi"/>
          <w:szCs w:val="22"/>
          <w:lang w:eastAsia="en-AU"/>
        </w:rPr>
      </w:pPr>
      <w:r>
        <w:t>33</w:t>
      </w:r>
      <w:r>
        <w:rPr>
          <w:snapToGrid w:val="0"/>
        </w:rPr>
        <w:t>.</w:t>
      </w:r>
      <w:r>
        <w:rPr>
          <w:snapToGrid w:val="0"/>
        </w:rPr>
        <w:tab/>
        <w:t>Testing a precast concrete septic tank</w:t>
      </w:r>
      <w:r>
        <w:tab/>
      </w:r>
      <w:r>
        <w:fldChar w:fldCharType="begin"/>
      </w:r>
      <w:r>
        <w:instrText xml:space="preserve"> PAGEREF _Toc33590462 \h </w:instrText>
      </w:r>
      <w:r>
        <w:fldChar w:fldCharType="separate"/>
      </w:r>
      <w:r>
        <w:t>30</w:t>
      </w:r>
      <w:r>
        <w:fldChar w:fldCharType="end"/>
      </w:r>
    </w:p>
    <w:p>
      <w:pPr>
        <w:pStyle w:val="TOC8"/>
        <w:rPr>
          <w:rFonts w:asciiTheme="minorHAnsi" w:eastAsiaTheme="minorEastAsia" w:hAnsiTheme="minorHAnsi" w:cstheme="minorBidi"/>
          <w:szCs w:val="22"/>
          <w:lang w:eastAsia="en-AU"/>
        </w:rPr>
      </w:pPr>
      <w:r>
        <w:t>34</w:t>
      </w:r>
      <w:r>
        <w:rPr>
          <w:snapToGrid w:val="0"/>
        </w:rPr>
        <w:t>.</w:t>
      </w:r>
      <w:r>
        <w:rPr>
          <w:snapToGrid w:val="0"/>
        </w:rPr>
        <w:tab/>
        <w:t>Construction of an in situ concrete septic tank</w:t>
      </w:r>
      <w:r>
        <w:tab/>
      </w:r>
      <w:r>
        <w:fldChar w:fldCharType="begin"/>
      </w:r>
      <w:r>
        <w:instrText xml:space="preserve"> PAGEREF _Toc33590463 \h </w:instrText>
      </w:r>
      <w:r>
        <w:fldChar w:fldCharType="separate"/>
      </w:r>
      <w:r>
        <w:t>31</w:t>
      </w:r>
      <w:r>
        <w:fldChar w:fldCharType="end"/>
      </w:r>
    </w:p>
    <w:p>
      <w:pPr>
        <w:pStyle w:val="TOC8"/>
        <w:rPr>
          <w:rFonts w:asciiTheme="minorHAnsi" w:eastAsiaTheme="minorEastAsia" w:hAnsiTheme="minorHAnsi" w:cstheme="minorBidi"/>
          <w:szCs w:val="22"/>
          <w:lang w:eastAsia="en-AU"/>
        </w:rPr>
      </w:pPr>
      <w:r>
        <w:t>35</w:t>
      </w:r>
      <w:r>
        <w:rPr>
          <w:snapToGrid w:val="0"/>
        </w:rPr>
        <w:t>.</w:t>
      </w:r>
      <w:r>
        <w:rPr>
          <w:snapToGrid w:val="0"/>
        </w:rPr>
        <w:tab/>
        <w:t>Construction of a brick septic tank</w:t>
      </w:r>
      <w:r>
        <w:tab/>
      </w:r>
      <w:r>
        <w:fldChar w:fldCharType="begin"/>
      </w:r>
      <w:r>
        <w:instrText xml:space="preserve"> PAGEREF _Toc33590464 \h </w:instrText>
      </w:r>
      <w:r>
        <w:fldChar w:fldCharType="separate"/>
      </w:r>
      <w:r>
        <w:t>32</w:t>
      </w:r>
      <w:r>
        <w:fldChar w:fldCharType="end"/>
      </w:r>
    </w:p>
    <w:p>
      <w:pPr>
        <w:pStyle w:val="TOC8"/>
        <w:rPr>
          <w:rFonts w:asciiTheme="minorHAnsi" w:eastAsiaTheme="minorEastAsia" w:hAnsiTheme="minorHAnsi" w:cstheme="minorBidi"/>
          <w:szCs w:val="22"/>
          <w:lang w:eastAsia="en-AU"/>
        </w:rPr>
      </w:pPr>
      <w:r>
        <w:t>36</w:t>
      </w:r>
      <w:r>
        <w:rPr>
          <w:snapToGrid w:val="0"/>
        </w:rPr>
        <w:t>.</w:t>
      </w:r>
      <w:r>
        <w:rPr>
          <w:snapToGrid w:val="0"/>
        </w:rPr>
        <w:tab/>
        <w:t>Manufacturer of a fibreglass septic tank</w:t>
      </w:r>
      <w:r>
        <w:tab/>
      </w:r>
      <w:r>
        <w:fldChar w:fldCharType="begin"/>
      </w:r>
      <w:r>
        <w:instrText xml:space="preserve"> PAGEREF _Toc33590465 \h </w:instrText>
      </w:r>
      <w:r>
        <w:fldChar w:fldCharType="separate"/>
      </w:r>
      <w:r>
        <w:t>33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 — Restricted flush fixtures</w:t>
      </w:r>
    </w:p>
    <w:p>
      <w:pPr>
        <w:pStyle w:val="TOC8"/>
        <w:rPr>
          <w:rFonts w:asciiTheme="minorHAnsi" w:eastAsiaTheme="minorEastAsia" w:hAnsiTheme="minorHAnsi" w:cstheme="minorBidi"/>
          <w:szCs w:val="22"/>
          <w:lang w:eastAsia="en-AU"/>
        </w:rPr>
      </w:pPr>
      <w:r>
        <w:t>38</w:t>
      </w:r>
      <w:r>
        <w:rPr>
          <w:snapToGrid w:val="0"/>
        </w:rPr>
        <w:t>.</w:t>
      </w:r>
      <w:r>
        <w:rPr>
          <w:snapToGrid w:val="0"/>
        </w:rPr>
        <w:tab/>
        <w:t>Minimum flush fixtures and fittings generally</w:t>
      </w:r>
      <w:r>
        <w:tab/>
      </w:r>
      <w:r>
        <w:fldChar w:fldCharType="begin"/>
      </w:r>
      <w:r>
        <w:instrText xml:space="preserve"> PAGEREF _Toc33590467 \h </w:instrText>
      </w:r>
      <w:r>
        <w:fldChar w:fldCharType="separate"/>
      </w:r>
      <w:r>
        <w:t>38</w:t>
      </w:r>
      <w:r>
        <w:fldChar w:fldCharType="end"/>
      </w:r>
    </w:p>
    <w:p>
      <w:pPr>
        <w:pStyle w:val="TOC8"/>
        <w:rPr>
          <w:rFonts w:asciiTheme="minorHAnsi" w:eastAsiaTheme="minorEastAsia" w:hAnsiTheme="minorHAnsi" w:cstheme="minorBidi"/>
          <w:szCs w:val="22"/>
          <w:lang w:eastAsia="en-AU"/>
        </w:rPr>
      </w:pPr>
      <w:r>
        <w:t>39</w:t>
      </w:r>
      <w:r>
        <w:rPr>
          <w:snapToGrid w:val="0"/>
        </w:rPr>
        <w:t>.</w:t>
      </w:r>
      <w:r>
        <w:rPr>
          <w:snapToGrid w:val="0"/>
        </w:rPr>
        <w:tab/>
        <w:t>Minimum flush fixtures and fittings on any land</w:t>
      </w:r>
      <w:r>
        <w:tab/>
      </w:r>
      <w:r>
        <w:fldChar w:fldCharType="begin"/>
      </w:r>
      <w:r>
        <w:instrText xml:space="preserve"> PAGEREF _Toc33590468 \h </w:instrText>
      </w:r>
      <w:r>
        <w:fldChar w:fldCharType="separate"/>
      </w:r>
      <w:r>
        <w:t>39</w:t>
      </w:r>
      <w:r>
        <w:fldChar w:fldCharType="end"/>
      </w:r>
    </w:p>
    <w:p>
      <w:pPr>
        <w:pStyle w:val="TOC8"/>
        <w:rPr>
          <w:rFonts w:asciiTheme="minorHAnsi" w:eastAsiaTheme="minorEastAsia" w:hAnsiTheme="minorHAnsi" w:cstheme="minorBidi"/>
          <w:szCs w:val="22"/>
          <w:lang w:eastAsia="en-AU"/>
        </w:rPr>
      </w:pPr>
      <w:r>
        <w:t>40</w:t>
      </w:r>
      <w:r>
        <w:rPr>
          <w:snapToGrid w:val="0"/>
        </w:rPr>
        <w:t>.</w:t>
      </w:r>
      <w:r>
        <w:rPr>
          <w:snapToGrid w:val="0"/>
        </w:rPr>
        <w:tab/>
        <w:t>Certificate of approval of fixtures and fittings</w:t>
      </w:r>
      <w:r>
        <w:tab/>
      </w:r>
      <w:r>
        <w:fldChar w:fldCharType="begin"/>
      </w:r>
      <w:r>
        <w:instrText xml:space="preserve"> PAGEREF _Toc33590469 \h </w:instrText>
      </w:r>
      <w:r>
        <w:fldChar w:fldCharType="separate"/>
      </w:r>
      <w:r>
        <w:t>41</w:t>
      </w:r>
      <w:r>
        <w:fldChar w:fldCharType="end"/>
      </w:r>
    </w:p>
    <w:p>
      <w:pPr>
        <w:pStyle w:val="TOC8"/>
        <w:rPr>
          <w:rFonts w:asciiTheme="minorHAnsi" w:eastAsiaTheme="minorEastAsia" w:hAnsiTheme="minorHAnsi" w:cstheme="minorBidi"/>
          <w:szCs w:val="22"/>
          <w:lang w:eastAsia="en-AU"/>
        </w:rPr>
      </w:pPr>
      <w:r>
        <w:t>41</w:t>
      </w:r>
      <w:r>
        <w:rPr>
          <w:snapToGrid w:val="0"/>
        </w:rPr>
        <w:t>.</w:t>
      </w:r>
      <w:r>
        <w:rPr>
          <w:snapToGrid w:val="0"/>
        </w:rPr>
        <w:tab/>
        <w:t>Testing a closet pan or flushing cistern</w:t>
      </w:r>
      <w:r>
        <w:tab/>
      </w:r>
      <w:r>
        <w:fldChar w:fldCharType="begin"/>
      </w:r>
      <w:r>
        <w:instrText xml:space="preserve"> PAGEREF _Toc33590470 \h </w:instrText>
      </w:r>
      <w:r>
        <w:fldChar w:fldCharType="separate"/>
      </w:r>
      <w:r>
        <w:t>41</w:t>
      </w:r>
      <w:r>
        <w:fldChar w:fldCharType="end"/>
      </w:r>
    </w:p>
    <w:p>
      <w:pPr>
        <w:pStyle w:val="TOC8"/>
        <w:rPr>
          <w:rFonts w:asciiTheme="minorHAnsi" w:eastAsiaTheme="minorEastAsia" w:hAnsiTheme="minorHAnsi" w:cstheme="minorBidi"/>
          <w:szCs w:val="22"/>
          <w:lang w:eastAsia="en-AU"/>
        </w:rPr>
      </w:pPr>
      <w:r>
        <w:t>42</w:t>
      </w:r>
      <w:r>
        <w:rPr>
          <w:snapToGrid w:val="0"/>
        </w:rPr>
        <w:t>.</w:t>
      </w:r>
      <w:r>
        <w:rPr>
          <w:snapToGrid w:val="0"/>
        </w:rPr>
        <w:tab/>
        <w:t>Restriction on variations</w:t>
      </w:r>
      <w:r>
        <w:tab/>
      </w:r>
      <w:r>
        <w:fldChar w:fldCharType="begin"/>
      </w:r>
      <w:r>
        <w:instrText xml:space="preserve"> PAGEREF _Toc33590471 \h </w:instrText>
      </w:r>
      <w:r>
        <w:fldChar w:fldCharType="separate"/>
      </w:r>
      <w:r>
        <w:t>42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4A — Maintenance of aerobic treatment units</w:t>
      </w:r>
    </w:p>
    <w:p>
      <w:pPr>
        <w:pStyle w:val="TOC8"/>
        <w:rPr>
          <w:rFonts w:asciiTheme="minorHAnsi" w:eastAsiaTheme="minorEastAsia" w:hAnsiTheme="minorHAnsi" w:cstheme="minorBidi"/>
          <w:szCs w:val="22"/>
          <w:lang w:eastAsia="en-AU"/>
        </w:rPr>
      </w:pPr>
      <w:r>
        <w:t>42A</w:t>
      </w:r>
      <w:r>
        <w:rPr>
          <w:snapToGrid w:val="0"/>
        </w:rPr>
        <w:t>.</w:t>
      </w:r>
      <w:r>
        <w:rPr>
          <w:snapToGrid w:val="0"/>
        </w:rPr>
        <w:tab/>
        <w:t>Owner to ensure arrangements in place for maintenance of unit</w:t>
      </w:r>
      <w:r>
        <w:tab/>
      </w:r>
      <w:r>
        <w:fldChar w:fldCharType="begin"/>
      </w:r>
      <w:r>
        <w:instrText xml:space="preserve"> PAGEREF _Toc33590473 \h </w:instrText>
      </w:r>
      <w:r>
        <w:fldChar w:fldCharType="separate"/>
      </w:r>
      <w:r>
        <w:t>43</w:t>
      </w:r>
      <w:r>
        <w:fldChar w:fldCharType="end"/>
      </w:r>
    </w:p>
    <w:p>
      <w:pPr>
        <w:pStyle w:val="TOC8"/>
        <w:rPr>
          <w:rFonts w:asciiTheme="minorHAnsi" w:eastAsiaTheme="minorEastAsia" w:hAnsiTheme="minorHAnsi" w:cstheme="minorBidi"/>
          <w:szCs w:val="22"/>
          <w:lang w:eastAsia="en-AU"/>
        </w:rPr>
      </w:pPr>
      <w:r>
        <w:t>42B</w:t>
      </w:r>
      <w:r>
        <w:rPr>
          <w:snapToGrid w:val="0"/>
        </w:rPr>
        <w:t>.</w:t>
      </w:r>
      <w:r>
        <w:rPr>
          <w:snapToGrid w:val="0"/>
        </w:rPr>
        <w:tab/>
        <w:t>Units to be maintained in accordance with standard</w:t>
      </w:r>
      <w:r>
        <w:tab/>
      </w:r>
      <w:r>
        <w:fldChar w:fldCharType="begin"/>
      </w:r>
      <w:r>
        <w:instrText xml:space="preserve"> PAGEREF _Toc33590474 \h </w:instrText>
      </w:r>
      <w:r>
        <w:fldChar w:fldCharType="separate"/>
      </w:r>
      <w:r>
        <w:t>43</w:t>
      </w:r>
      <w:r>
        <w:fldChar w:fldCharType="end"/>
      </w:r>
    </w:p>
    <w:p>
      <w:pPr>
        <w:pStyle w:val="TOC8"/>
        <w:rPr>
          <w:rFonts w:asciiTheme="minorHAnsi" w:eastAsiaTheme="minorEastAsia" w:hAnsiTheme="minorHAnsi" w:cstheme="minorBidi"/>
          <w:szCs w:val="22"/>
          <w:lang w:eastAsia="en-AU"/>
        </w:rPr>
      </w:pPr>
      <w:r>
        <w:t>42C</w:t>
      </w:r>
      <w:r>
        <w:rPr>
          <w:snapToGrid w:val="0"/>
        </w:rPr>
        <w:t>.</w:t>
      </w:r>
      <w:r>
        <w:rPr>
          <w:snapToGrid w:val="0"/>
        </w:rPr>
        <w:tab/>
        <w:t>Maintenance of units to be carried out by authorised persons</w:t>
      </w:r>
      <w:r>
        <w:tab/>
      </w:r>
      <w:r>
        <w:fldChar w:fldCharType="begin"/>
      </w:r>
      <w:r>
        <w:instrText xml:space="preserve"> PAGEREF _Toc33590475 \h </w:instrText>
      </w:r>
      <w:r>
        <w:fldChar w:fldCharType="separate"/>
      </w:r>
      <w:r>
        <w:t>43</w:t>
      </w:r>
      <w:r>
        <w:fldChar w:fldCharType="end"/>
      </w:r>
    </w:p>
    <w:p>
      <w:pPr>
        <w:pStyle w:val="TOC8"/>
        <w:rPr>
          <w:rFonts w:asciiTheme="minorHAnsi" w:eastAsiaTheme="minorEastAsia" w:hAnsiTheme="minorHAnsi" w:cstheme="minorBidi"/>
          <w:szCs w:val="22"/>
          <w:lang w:eastAsia="en-AU"/>
        </w:rPr>
      </w:pPr>
      <w:r>
        <w:t>42D</w:t>
      </w:r>
      <w:r>
        <w:rPr>
          <w:snapToGrid w:val="0"/>
        </w:rPr>
        <w:t>.</w:t>
      </w:r>
      <w:r>
        <w:rPr>
          <w:snapToGrid w:val="0"/>
        </w:rPr>
        <w:tab/>
        <w:t>Authorised person to notify new owner of maintenance requirements for unit</w:t>
      </w:r>
      <w:r>
        <w:tab/>
      </w:r>
      <w:r>
        <w:fldChar w:fldCharType="begin"/>
      </w:r>
      <w:r>
        <w:instrText xml:space="preserve"> PAGEREF _Toc33590476 \h </w:instrText>
      </w:r>
      <w:r>
        <w:fldChar w:fldCharType="separate"/>
      </w:r>
      <w:r>
        <w:t>45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5 — Dry type septic tank</w:t>
      </w:r>
    </w:p>
    <w:p>
      <w:pPr>
        <w:pStyle w:val="TOC8"/>
        <w:rPr>
          <w:rFonts w:asciiTheme="minorHAnsi" w:eastAsiaTheme="minorEastAsia" w:hAnsiTheme="minorHAnsi" w:cstheme="minorBidi"/>
          <w:szCs w:val="22"/>
          <w:lang w:eastAsia="en-AU"/>
        </w:rPr>
      </w:pPr>
      <w:r>
        <w:t>43</w:t>
      </w:r>
      <w:r>
        <w:rPr>
          <w:snapToGrid w:val="0"/>
        </w:rPr>
        <w:t>.</w:t>
      </w:r>
      <w:r>
        <w:rPr>
          <w:snapToGrid w:val="0"/>
        </w:rPr>
        <w:tab/>
        <w:t>Dry type septic tank</w:t>
      </w:r>
      <w:r>
        <w:tab/>
      </w:r>
      <w:r>
        <w:fldChar w:fldCharType="begin"/>
      </w:r>
      <w:r>
        <w:instrText xml:space="preserve"> PAGEREF _Toc33590478 \h </w:instrText>
      </w:r>
      <w:r>
        <w:fldChar w:fldCharType="separate"/>
      </w:r>
      <w:r>
        <w:t>46</w:t>
      </w:r>
      <w:r>
        <w:fldChar w:fldCharType="end"/>
      </w:r>
    </w:p>
    <w:p>
      <w:pPr>
        <w:pStyle w:val="TOC8"/>
        <w:rPr>
          <w:rFonts w:asciiTheme="minorHAnsi" w:eastAsiaTheme="minorEastAsia" w:hAnsiTheme="minorHAnsi" w:cstheme="minorBidi"/>
          <w:szCs w:val="22"/>
          <w:lang w:eastAsia="en-AU"/>
        </w:rPr>
      </w:pPr>
      <w:r>
        <w:t>44</w:t>
      </w:r>
      <w:r>
        <w:rPr>
          <w:snapToGrid w:val="0"/>
        </w:rPr>
        <w:t>.</w:t>
      </w:r>
      <w:r>
        <w:rPr>
          <w:snapToGrid w:val="0"/>
        </w:rPr>
        <w:tab/>
        <w:t>Area prescribed under section 110</w:t>
      </w:r>
      <w:r>
        <w:tab/>
      </w:r>
      <w:r>
        <w:fldChar w:fldCharType="begin"/>
      </w:r>
      <w:r>
        <w:instrText xml:space="preserve"> PAGEREF _Toc33590479 \h </w:instrText>
      </w:r>
      <w:r>
        <w:fldChar w:fldCharType="separate"/>
      </w:r>
      <w:r>
        <w:t>47</w:t>
      </w:r>
      <w:r>
        <w:fldChar w:fldCharType="end"/>
      </w:r>
    </w:p>
    <w:p>
      <w:pPr>
        <w:pStyle w:val="TOC8"/>
        <w:rPr>
          <w:rFonts w:asciiTheme="minorHAnsi" w:eastAsiaTheme="minorEastAsia" w:hAnsiTheme="minorHAnsi" w:cstheme="minorBidi"/>
          <w:szCs w:val="22"/>
          <w:lang w:eastAsia="en-AU"/>
        </w:rPr>
      </w:pPr>
      <w:r>
        <w:t>45</w:t>
      </w:r>
      <w:r>
        <w:rPr>
          <w:snapToGrid w:val="0"/>
        </w:rPr>
        <w:t>.</w:t>
      </w:r>
      <w:r>
        <w:rPr>
          <w:snapToGrid w:val="0"/>
        </w:rPr>
        <w:tab/>
        <w:t>Chemical closet pan</w:t>
      </w:r>
      <w:r>
        <w:tab/>
      </w:r>
      <w:r>
        <w:fldChar w:fldCharType="begin"/>
      </w:r>
      <w:r>
        <w:instrText xml:space="preserve"> PAGEREF _Toc33590480 \h </w:instrText>
      </w:r>
      <w:r>
        <w:fldChar w:fldCharType="separate"/>
      </w:r>
      <w:r>
        <w:t>47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6 — Emptying apparatus</w:t>
      </w:r>
    </w:p>
    <w:p>
      <w:pPr>
        <w:pStyle w:val="TOC8"/>
        <w:rPr>
          <w:rFonts w:asciiTheme="minorHAnsi" w:eastAsiaTheme="minorEastAsia" w:hAnsiTheme="minorHAnsi" w:cstheme="minorBidi"/>
          <w:szCs w:val="22"/>
          <w:lang w:eastAsia="en-AU"/>
        </w:rPr>
      </w:pPr>
      <w:r>
        <w:t>46</w:t>
      </w:r>
      <w:r>
        <w:rPr>
          <w:snapToGrid w:val="0"/>
        </w:rPr>
        <w:t>.</w:t>
      </w:r>
      <w:r>
        <w:rPr>
          <w:snapToGrid w:val="0"/>
        </w:rPr>
        <w:tab/>
        <w:t xml:space="preserve">Emptying a </w:t>
      </w:r>
      <w:r>
        <w:t>tank or other waste storage component of an apparatus</w:t>
      </w:r>
      <w:r>
        <w:tab/>
      </w:r>
      <w:r>
        <w:fldChar w:fldCharType="begin"/>
      </w:r>
      <w:r>
        <w:instrText xml:space="preserve"> PAGEREF _Toc33590482 \h </w:instrText>
      </w:r>
      <w:r>
        <w:fldChar w:fldCharType="separate"/>
      </w:r>
      <w:r>
        <w:t>48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7 — Disposal of effluent and liquid wastes</w:t>
      </w:r>
    </w:p>
    <w:p>
      <w:pPr>
        <w:pStyle w:val="TOC8"/>
        <w:rPr>
          <w:rFonts w:asciiTheme="minorHAnsi" w:eastAsiaTheme="minorEastAsia" w:hAnsiTheme="minorHAnsi" w:cstheme="minorBidi"/>
          <w:szCs w:val="22"/>
          <w:lang w:eastAsia="en-AU"/>
        </w:rPr>
      </w:pPr>
      <w:r>
        <w:t>47</w:t>
      </w:r>
      <w:r>
        <w:rPr>
          <w:snapToGrid w:val="0"/>
        </w:rPr>
        <w:t>.</w:t>
      </w:r>
      <w:r>
        <w:rPr>
          <w:snapToGrid w:val="0"/>
        </w:rPr>
        <w:tab/>
        <w:t>Receptacles for drainage</w:t>
      </w:r>
      <w:r>
        <w:tab/>
      </w:r>
      <w:r>
        <w:fldChar w:fldCharType="begin"/>
      </w:r>
      <w:r>
        <w:instrText xml:space="preserve"> PAGEREF _Toc33590484 \h </w:instrText>
      </w:r>
      <w:r>
        <w:fldChar w:fldCharType="separate"/>
      </w:r>
      <w:r>
        <w:t>49</w:t>
      </w:r>
      <w:r>
        <w:fldChar w:fldCharType="end"/>
      </w:r>
    </w:p>
    <w:p>
      <w:pPr>
        <w:pStyle w:val="TOC8"/>
        <w:rPr>
          <w:rFonts w:asciiTheme="minorHAnsi" w:eastAsiaTheme="minorEastAsia" w:hAnsiTheme="minorHAnsi" w:cstheme="minorBidi"/>
          <w:szCs w:val="22"/>
          <w:lang w:eastAsia="en-AU"/>
        </w:rPr>
      </w:pPr>
      <w:r>
        <w:t>48</w:t>
      </w:r>
      <w:r>
        <w:rPr>
          <w:snapToGrid w:val="0"/>
        </w:rPr>
        <w:t>.</w:t>
      </w:r>
      <w:r>
        <w:rPr>
          <w:snapToGrid w:val="0"/>
        </w:rPr>
        <w:tab/>
        <w:t>Receptacles for drainage — blackwater disposal</w:t>
      </w:r>
      <w:r>
        <w:tab/>
      </w:r>
      <w:r>
        <w:fldChar w:fldCharType="begin"/>
      </w:r>
      <w:r>
        <w:instrText xml:space="preserve"> PAGEREF _Toc33590485 \h </w:instrText>
      </w:r>
      <w:r>
        <w:fldChar w:fldCharType="separate"/>
      </w:r>
      <w:r>
        <w:t>49</w:t>
      </w:r>
      <w:r>
        <w:fldChar w:fldCharType="end"/>
      </w:r>
    </w:p>
    <w:p>
      <w:pPr>
        <w:pStyle w:val="TOC8"/>
        <w:rPr>
          <w:rFonts w:asciiTheme="minorHAnsi" w:eastAsiaTheme="minorEastAsia" w:hAnsiTheme="minorHAnsi" w:cstheme="minorBidi"/>
          <w:szCs w:val="22"/>
          <w:lang w:eastAsia="en-AU"/>
        </w:rPr>
      </w:pPr>
      <w:r>
        <w:t>49</w:t>
      </w:r>
      <w:r>
        <w:rPr>
          <w:snapToGrid w:val="0"/>
        </w:rPr>
        <w:t>.</w:t>
      </w:r>
      <w:r>
        <w:rPr>
          <w:snapToGrid w:val="0"/>
        </w:rPr>
        <w:tab/>
        <w:t>Requirements for receptacles for drainage</w:t>
      </w:r>
      <w:r>
        <w:tab/>
      </w:r>
      <w:r>
        <w:fldChar w:fldCharType="begin"/>
      </w:r>
      <w:r>
        <w:instrText xml:space="preserve"> PAGEREF _Toc33590486 \h </w:instrText>
      </w:r>
      <w:r>
        <w:fldChar w:fldCharType="separate"/>
      </w:r>
      <w:r>
        <w:t>49</w:t>
      </w:r>
      <w:r>
        <w:fldChar w:fldCharType="end"/>
      </w:r>
    </w:p>
    <w:p>
      <w:pPr>
        <w:pStyle w:val="TOC8"/>
        <w:rPr>
          <w:rFonts w:asciiTheme="minorHAnsi" w:eastAsiaTheme="minorEastAsia" w:hAnsiTheme="minorHAnsi" w:cstheme="minorBidi"/>
          <w:szCs w:val="22"/>
          <w:lang w:eastAsia="en-AU"/>
        </w:rPr>
      </w:pPr>
      <w:r>
        <w:t>50</w:t>
      </w:r>
      <w:r>
        <w:rPr>
          <w:snapToGrid w:val="0"/>
        </w:rPr>
        <w:t>.</w:t>
      </w:r>
      <w:r>
        <w:rPr>
          <w:snapToGrid w:val="0"/>
        </w:rPr>
        <w:tab/>
        <w:t>Drainage of effluent and liquid wastes</w:t>
      </w:r>
      <w:r>
        <w:tab/>
      </w:r>
      <w:r>
        <w:fldChar w:fldCharType="begin"/>
      </w:r>
      <w:r>
        <w:instrText xml:space="preserve"> PAGEREF _Toc33590487 \h </w:instrText>
      </w:r>
      <w:r>
        <w:fldChar w:fldCharType="separate"/>
      </w:r>
      <w:r>
        <w:t>52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8 — Manufacturing</w:t>
      </w:r>
    </w:p>
    <w:p>
      <w:pPr>
        <w:pStyle w:val="TOC8"/>
        <w:rPr>
          <w:rFonts w:asciiTheme="minorHAnsi" w:eastAsiaTheme="minorEastAsia" w:hAnsiTheme="minorHAnsi" w:cstheme="minorBidi"/>
          <w:szCs w:val="22"/>
          <w:lang w:eastAsia="en-AU"/>
        </w:rPr>
      </w:pPr>
      <w:r>
        <w:t>51</w:t>
      </w:r>
      <w:r>
        <w:rPr>
          <w:snapToGrid w:val="0"/>
        </w:rPr>
        <w:t>.</w:t>
      </w:r>
      <w:r>
        <w:rPr>
          <w:snapToGrid w:val="0"/>
        </w:rPr>
        <w:tab/>
        <w:t>Marks and brands</w:t>
      </w:r>
      <w:r>
        <w:tab/>
      </w:r>
      <w:r>
        <w:fldChar w:fldCharType="begin"/>
      </w:r>
      <w:r>
        <w:instrText xml:space="preserve"> PAGEREF _Toc33590489 \h </w:instrText>
      </w:r>
      <w:r>
        <w:fldChar w:fldCharType="separate"/>
      </w:r>
      <w:r>
        <w:t>58</w:t>
      </w:r>
      <w:r>
        <w:fldChar w:fldCharType="end"/>
      </w:r>
    </w:p>
    <w:p>
      <w:pPr>
        <w:pStyle w:val="TOC8"/>
        <w:rPr>
          <w:rFonts w:asciiTheme="minorHAnsi" w:eastAsiaTheme="minorEastAsia" w:hAnsiTheme="minorHAnsi" w:cstheme="minorBidi"/>
          <w:szCs w:val="22"/>
          <w:lang w:eastAsia="en-AU"/>
        </w:rPr>
      </w:pPr>
      <w:r>
        <w:t>52</w:t>
      </w:r>
      <w:r>
        <w:rPr>
          <w:snapToGrid w:val="0"/>
        </w:rPr>
        <w:t>.</w:t>
      </w:r>
      <w:r>
        <w:rPr>
          <w:snapToGrid w:val="0"/>
        </w:rPr>
        <w:tab/>
        <w:t>Wet or steam curing</w:t>
      </w:r>
      <w:r>
        <w:tab/>
      </w:r>
      <w:r>
        <w:fldChar w:fldCharType="begin"/>
      </w:r>
      <w:r>
        <w:instrText xml:space="preserve"> PAGEREF _Toc33590490 \h </w:instrText>
      </w:r>
      <w:r>
        <w:fldChar w:fldCharType="separate"/>
      </w:r>
      <w:r>
        <w:t>58</w:t>
      </w:r>
      <w:r>
        <w:fldChar w:fldCharType="end"/>
      </w:r>
    </w:p>
    <w:p>
      <w:pPr>
        <w:pStyle w:val="TOC8"/>
        <w:rPr>
          <w:rFonts w:asciiTheme="minorHAnsi" w:eastAsiaTheme="minorEastAsia" w:hAnsiTheme="minorHAnsi" w:cstheme="minorBidi"/>
          <w:szCs w:val="22"/>
          <w:lang w:eastAsia="en-AU"/>
        </w:rPr>
      </w:pPr>
      <w:r>
        <w:t>53</w:t>
      </w:r>
      <w:r>
        <w:rPr>
          <w:snapToGrid w:val="0"/>
        </w:rPr>
        <w:t>.</w:t>
      </w:r>
      <w:r>
        <w:rPr>
          <w:snapToGrid w:val="0"/>
        </w:rPr>
        <w:tab/>
        <w:t>Refusal to sell</w:t>
      </w:r>
      <w:r>
        <w:tab/>
      </w:r>
      <w:r>
        <w:fldChar w:fldCharType="begin"/>
      </w:r>
      <w:r>
        <w:instrText xml:space="preserve"> PAGEREF _Toc33590491 \h </w:instrText>
      </w:r>
      <w:r>
        <w:fldChar w:fldCharType="separate"/>
      </w:r>
      <w:r>
        <w:t>59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 — Offences and penalties</w:t>
      </w:r>
    </w:p>
    <w:p>
      <w:pPr>
        <w:pStyle w:val="TOC8"/>
        <w:rPr>
          <w:rFonts w:asciiTheme="minorHAnsi" w:eastAsiaTheme="minorEastAsia" w:hAnsiTheme="minorHAnsi" w:cstheme="minorBidi"/>
          <w:szCs w:val="22"/>
          <w:lang w:eastAsia="en-AU"/>
        </w:rPr>
      </w:pPr>
      <w:r>
        <w:t>54.</w:t>
      </w:r>
      <w:r>
        <w:tab/>
        <w:t>Offence</w:t>
      </w:r>
      <w:r>
        <w:tab/>
      </w:r>
      <w:r>
        <w:fldChar w:fldCharType="begin"/>
      </w:r>
      <w:r>
        <w:instrText xml:space="preserve"> PAGEREF _Toc33590493 \h </w:instrText>
      </w:r>
      <w:r>
        <w:fldChar w:fldCharType="separate"/>
      </w:r>
      <w:r>
        <w:t>60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 — Fees</w:t>
      </w:r>
    </w:p>
    <w:p>
      <w:pPr>
        <w:pStyle w:val="TOC2"/>
        <w:tabs>
          <w:tab w:val="right" w:leader="dot" w:pos="7086"/>
        </w:tabs>
        <w:rPr>
          <w:rFonts w:asciiTheme="minorHAnsi" w:eastAsiaTheme="minorEastAsia" w:hAnsiTheme="minorHAnsi" w:cstheme="minorBidi"/>
          <w:b w:val="0"/>
          <w:sz w:val="22"/>
          <w:szCs w:val="22"/>
          <w:lang w:eastAsia="en-AU"/>
        </w:rPr>
      </w:pPr>
      <w:r>
        <w:t>Schedule 3</w:t>
      </w:r>
    </w:p>
    <w:p>
      <w:pPr>
        <w:pStyle w:val="TOC2"/>
        <w:tabs>
          <w:tab w:val="right" w:leader="dot" w:pos="7086"/>
        </w:tabs>
        <w:rPr>
          <w:rFonts w:asciiTheme="minorHAnsi" w:eastAsiaTheme="minorEastAsia" w:hAnsiTheme="minorHAnsi" w:cstheme="minorBidi"/>
          <w:b w:val="0"/>
          <w:sz w:val="22"/>
          <w:szCs w:val="22"/>
          <w:lang w:eastAsia="en-AU"/>
        </w:rPr>
      </w:pPr>
      <w:r>
        <w:t>Concrete covers for in situ septic tanks</w:t>
      </w:r>
    </w:p>
    <w:p>
      <w:pPr>
        <w:pStyle w:val="TOC2"/>
        <w:tabs>
          <w:tab w:val="right" w:leader="dot" w:pos="7086"/>
        </w:tabs>
        <w:rPr>
          <w:rFonts w:asciiTheme="minorHAnsi" w:eastAsiaTheme="minorEastAsia" w:hAnsiTheme="minorHAnsi" w:cstheme="minorBidi"/>
          <w:b w:val="0"/>
          <w:sz w:val="22"/>
          <w:szCs w:val="22"/>
          <w:lang w:eastAsia="en-AU"/>
        </w:rPr>
      </w:pPr>
      <w:r>
        <w:t>Schedule 4</w:t>
      </w:r>
    </w:p>
    <w:p>
      <w:pPr>
        <w:pStyle w:val="TOC2"/>
        <w:tabs>
          <w:tab w:val="right" w:leader="dot" w:pos="7086"/>
        </w:tabs>
        <w:rPr>
          <w:rFonts w:asciiTheme="minorHAnsi" w:eastAsiaTheme="minorEastAsia" w:hAnsiTheme="minorHAnsi" w:cstheme="minorBidi"/>
          <w:b w:val="0"/>
          <w:sz w:val="22"/>
          <w:szCs w:val="22"/>
          <w:lang w:eastAsia="en-AU"/>
        </w:rPr>
      </w:pPr>
      <w:r>
        <w:rPr>
          <w:spacing w:val="-4"/>
        </w:rPr>
        <w:t>Structural details of brick septic tank (sand conditions only)</w:t>
      </w:r>
    </w:p>
    <w:p>
      <w:pPr>
        <w:pStyle w:val="TOC2"/>
        <w:tabs>
          <w:tab w:val="right" w:leader="dot" w:pos="7086"/>
        </w:tabs>
        <w:rPr>
          <w:rFonts w:asciiTheme="minorHAnsi" w:eastAsiaTheme="minorEastAsia" w:hAnsiTheme="minorHAnsi" w:cstheme="minorBidi"/>
          <w:b w:val="0"/>
          <w:sz w:val="22"/>
          <w:szCs w:val="22"/>
          <w:lang w:eastAsia="en-AU"/>
        </w:rPr>
      </w:pPr>
      <w:r>
        <w:t>Schedule 5</w:t>
      </w:r>
    </w:p>
    <w:p>
      <w:pPr>
        <w:pStyle w:val="TOC2"/>
        <w:tabs>
          <w:tab w:val="right" w:leader="dot" w:pos="7086"/>
        </w:tabs>
        <w:rPr>
          <w:rFonts w:asciiTheme="minorHAnsi" w:eastAsiaTheme="minorEastAsia" w:hAnsiTheme="minorHAnsi" w:cstheme="minorBidi"/>
          <w:b w:val="0"/>
          <w:sz w:val="22"/>
          <w:szCs w:val="22"/>
          <w:lang w:eastAsia="en-AU"/>
        </w:rPr>
      </w:pPr>
      <w:r>
        <w:t>Schedule 6</w:t>
      </w:r>
    </w:p>
    <w:p>
      <w:pPr>
        <w:pStyle w:val="TOC2"/>
        <w:tabs>
          <w:tab w:val="right" w:leader="dot" w:pos="7086"/>
        </w:tabs>
        <w:rPr>
          <w:rFonts w:asciiTheme="minorHAnsi" w:eastAsiaTheme="minorEastAsia" w:hAnsiTheme="minorHAnsi" w:cstheme="minorBidi"/>
          <w:b w:val="0"/>
          <w:sz w:val="22"/>
          <w:szCs w:val="22"/>
          <w:lang w:eastAsia="en-AU"/>
        </w:rPr>
      </w:pPr>
      <w:r>
        <w:t>Dry type septic tank</w:t>
      </w:r>
    </w:p>
    <w:p>
      <w:pPr>
        <w:pStyle w:val="TOC2"/>
        <w:tabs>
          <w:tab w:val="right" w:leader="dot" w:pos="7086"/>
        </w:tabs>
        <w:rPr>
          <w:rFonts w:asciiTheme="minorHAnsi" w:eastAsiaTheme="minorEastAsia" w:hAnsiTheme="minorHAnsi" w:cstheme="minorBidi"/>
          <w:b w:val="0"/>
          <w:sz w:val="22"/>
          <w:szCs w:val="22"/>
          <w:lang w:eastAsia="en-AU"/>
        </w:rPr>
      </w:pPr>
      <w:r>
        <w:t>Schedule 7</w:t>
      </w:r>
    </w:p>
    <w:p>
      <w:pPr>
        <w:pStyle w:val="TOC2"/>
        <w:tabs>
          <w:tab w:val="right" w:leader="dot" w:pos="7086"/>
        </w:tabs>
        <w:rPr>
          <w:rFonts w:asciiTheme="minorHAnsi" w:eastAsiaTheme="minorEastAsia" w:hAnsiTheme="minorHAnsi" w:cstheme="minorBidi"/>
          <w:b w:val="0"/>
          <w:sz w:val="22"/>
          <w:szCs w:val="22"/>
          <w:lang w:eastAsia="en-AU"/>
        </w:rPr>
      </w:pPr>
      <w:r>
        <w:t>Schedule 8</w:t>
      </w:r>
    </w:p>
    <w:p>
      <w:pPr>
        <w:pStyle w:val="TOC2"/>
        <w:tabs>
          <w:tab w:val="right" w:leader="dot" w:pos="7086"/>
        </w:tabs>
        <w:rPr>
          <w:rFonts w:asciiTheme="minorHAnsi" w:eastAsiaTheme="minorEastAsia" w:hAnsiTheme="minorHAnsi" w:cstheme="minorBidi"/>
          <w:b w:val="0"/>
          <w:sz w:val="22"/>
          <w:szCs w:val="22"/>
          <w:lang w:eastAsia="en-AU"/>
        </w:rPr>
      </w:pPr>
      <w:r>
        <w:t>Method of determining absorptive capacity of a soil</w:t>
      </w:r>
    </w:p>
    <w:p>
      <w:pPr>
        <w:pStyle w:val="TOC8"/>
        <w:rPr>
          <w:rFonts w:asciiTheme="minorHAnsi" w:eastAsiaTheme="minorEastAsia" w:hAnsiTheme="minorHAnsi" w:cstheme="minorBidi"/>
          <w:szCs w:val="22"/>
          <w:lang w:eastAsia="en-AU"/>
        </w:rPr>
      </w:pPr>
      <w:r>
        <w:rPr>
          <w:snapToGrid w:val="0"/>
        </w:rPr>
        <w:t>1.</w:t>
      </w:r>
      <w:r>
        <w:tab/>
      </w:r>
      <w:r>
        <w:fldChar w:fldCharType="begin"/>
      </w:r>
      <w:r>
        <w:instrText xml:space="preserve"> PAGEREF _Toc33590505 \h </w:instrText>
      </w:r>
      <w:r>
        <w:fldChar w:fldCharType="separate"/>
      </w:r>
      <w:r>
        <w:t>80</w:t>
      </w:r>
      <w:r>
        <w:fldChar w:fldCharType="end"/>
      </w:r>
    </w:p>
    <w:p>
      <w:pPr>
        <w:pStyle w:val="TOC8"/>
        <w:rPr>
          <w:rFonts w:asciiTheme="minorHAnsi" w:eastAsiaTheme="minorEastAsia" w:hAnsiTheme="minorHAnsi" w:cstheme="minorBidi"/>
          <w:szCs w:val="22"/>
          <w:lang w:eastAsia="en-AU"/>
        </w:rPr>
      </w:pPr>
      <w:r>
        <w:rPr>
          <w:snapToGrid w:val="0"/>
        </w:rPr>
        <w:t>2.</w:t>
      </w:r>
      <w:r>
        <w:tab/>
      </w:r>
      <w:r>
        <w:fldChar w:fldCharType="begin"/>
      </w:r>
      <w:r>
        <w:instrText xml:space="preserve"> PAGEREF _Toc33590506 \h </w:instrText>
      </w:r>
      <w:r>
        <w:fldChar w:fldCharType="separate"/>
      </w:r>
      <w:r>
        <w:t>80</w:t>
      </w:r>
      <w:r>
        <w:fldChar w:fldCharType="end"/>
      </w:r>
    </w:p>
    <w:p>
      <w:pPr>
        <w:pStyle w:val="TOC8"/>
        <w:rPr>
          <w:rFonts w:asciiTheme="minorHAnsi" w:eastAsiaTheme="minorEastAsia" w:hAnsiTheme="minorHAnsi" w:cstheme="minorBidi"/>
          <w:szCs w:val="22"/>
          <w:lang w:eastAsia="en-AU"/>
        </w:rPr>
      </w:pPr>
      <w:r>
        <w:rPr>
          <w:snapToGrid w:val="0"/>
        </w:rPr>
        <w:t>3.</w:t>
      </w:r>
      <w:r>
        <w:tab/>
      </w:r>
      <w:r>
        <w:fldChar w:fldCharType="begin"/>
      </w:r>
      <w:r>
        <w:instrText xml:space="preserve"> PAGEREF _Toc33590507 \h </w:instrText>
      </w:r>
      <w:r>
        <w:fldChar w:fldCharType="separate"/>
      </w:r>
      <w:r>
        <w:t>80</w:t>
      </w:r>
      <w:r>
        <w:fldChar w:fldCharType="end"/>
      </w:r>
    </w:p>
    <w:p>
      <w:pPr>
        <w:pStyle w:val="TOC8"/>
        <w:rPr>
          <w:rFonts w:asciiTheme="minorHAnsi" w:eastAsiaTheme="minorEastAsia" w:hAnsiTheme="minorHAnsi" w:cstheme="minorBidi"/>
          <w:szCs w:val="22"/>
          <w:lang w:eastAsia="en-AU"/>
        </w:rPr>
      </w:pPr>
      <w:r>
        <w:rPr>
          <w:snapToGrid w:val="0"/>
        </w:rPr>
        <w:t>4.</w:t>
      </w:r>
      <w:r>
        <w:tab/>
      </w:r>
      <w:r>
        <w:fldChar w:fldCharType="begin"/>
      </w:r>
      <w:r>
        <w:instrText xml:space="preserve"> PAGEREF _Toc33590508 \h </w:instrText>
      </w:r>
      <w:r>
        <w:fldChar w:fldCharType="separate"/>
      </w:r>
      <w:r>
        <w:t>80</w:t>
      </w:r>
      <w:r>
        <w:fldChar w:fldCharType="end"/>
      </w:r>
    </w:p>
    <w:p>
      <w:pPr>
        <w:pStyle w:val="TOC8"/>
        <w:rPr>
          <w:rFonts w:asciiTheme="minorHAnsi" w:eastAsiaTheme="minorEastAsia" w:hAnsiTheme="minorHAnsi" w:cstheme="minorBidi"/>
          <w:szCs w:val="22"/>
          <w:lang w:eastAsia="en-AU"/>
        </w:rPr>
      </w:pPr>
      <w:r>
        <w:rPr>
          <w:snapToGrid w:val="0"/>
        </w:rPr>
        <w:t>5.</w:t>
      </w:r>
      <w:r>
        <w:tab/>
      </w:r>
      <w:r>
        <w:fldChar w:fldCharType="begin"/>
      </w:r>
      <w:r>
        <w:instrText xml:space="preserve"> PAGEREF _Toc33590509 \h </w:instrText>
      </w:r>
      <w:r>
        <w:fldChar w:fldCharType="separate"/>
      </w:r>
      <w:r>
        <w:t>81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9 — Wastewater volume for residential premises</w:t>
      </w:r>
    </w:p>
    <w:p>
      <w:pPr>
        <w:pStyle w:val="TOC2"/>
        <w:tabs>
          <w:tab w:val="right" w:leader="dot" w:pos="7086"/>
        </w:tabs>
        <w:rPr>
          <w:rFonts w:asciiTheme="minorHAnsi" w:eastAsiaTheme="minorEastAsia" w:hAnsiTheme="minorHAnsi" w:cstheme="minorBidi"/>
          <w:b w:val="0"/>
          <w:sz w:val="22"/>
          <w:szCs w:val="22"/>
          <w:lang w:eastAsia="en-AU"/>
        </w:rPr>
      </w:pPr>
      <w:r>
        <w:t>Notes</w:t>
      </w:r>
    </w:p>
    <w:p>
      <w:pPr>
        <w:pStyle w:val="TOC8"/>
        <w:rPr>
          <w:rFonts w:asciiTheme="minorHAnsi" w:eastAsiaTheme="minorEastAsia" w:hAnsiTheme="minorHAnsi" w:cstheme="minorBidi"/>
          <w:szCs w:val="22"/>
          <w:lang w:eastAsia="en-AU"/>
        </w:rPr>
      </w:pPr>
      <w:r>
        <w:t>Compilation table</w:t>
      </w:r>
      <w:r>
        <w:tab/>
      </w:r>
      <w:r>
        <w:fldChar w:fldCharType="begin"/>
      </w:r>
      <w:r>
        <w:instrText xml:space="preserve"> PAGEREF _Toc33590512 \h </w:instrText>
      </w:r>
      <w:r>
        <w:fldChar w:fldCharType="separate"/>
      </w:r>
      <w:r>
        <w:t>84</w:t>
      </w:r>
      <w:r>
        <w:fldChar w:fldCharType="end"/>
      </w:r>
    </w:p>
    <w:p>
      <w:pPr>
        <w:pStyle w:val="TOC8"/>
        <w:rPr>
          <w:rFonts w:asciiTheme="minorHAnsi" w:eastAsiaTheme="minorEastAsia" w:hAnsiTheme="minorHAnsi" w:cstheme="minorBidi"/>
          <w:szCs w:val="22"/>
          <w:lang w:eastAsia="en-AU"/>
        </w:rPr>
      </w:pPr>
      <w:r>
        <w:t>Provisions that have not come into operation</w:t>
      </w:r>
      <w:r>
        <w:tab/>
      </w:r>
      <w:r>
        <w:fldChar w:fldCharType="begin"/>
      </w:r>
      <w:r>
        <w:instrText xml:space="preserve"> PAGEREF _Toc33590513 \h </w:instrText>
      </w:r>
      <w:r>
        <w:fldChar w:fldCharType="separate"/>
      </w:r>
      <w:r>
        <w:t>86</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Health Act 1911</w:t>
      </w:r>
    </w:p>
    <w:p>
      <w:pPr>
        <w:pStyle w:val="NameofActReg"/>
      </w:pPr>
      <w:r>
        <w:t>Health (Treatment of Sewage and Disposal of Effluent and Liquid Waste) Regulations 1974</w:t>
      </w:r>
    </w:p>
    <w:p>
      <w:pPr>
        <w:pStyle w:val="Heading2"/>
        <w:pageBreakBefore w:val="0"/>
      </w:pPr>
      <w:bookmarkStart w:id="1" w:name="_Toc92695582"/>
      <w:bookmarkStart w:id="2" w:name="_Toc92968524"/>
      <w:bookmarkStart w:id="3" w:name="_Toc92968616"/>
      <w:bookmarkStart w:id="4" w:name="_Toc94935549"/>
      <w:bookmarkStart w:id="5" w:name="_Toc94935764"/>
      <w:bookmarkStart w:id="6" w:name="_Toc94941333"/>
      <w:bookmarkStart w:id="7" w:name="_Toc105237809"/>
      <w:bookmarkStart w:id="8" w:name="_Toc105470578"/>
      <w:bookmarkStart w:id="9" w:name="_Toc107800425"/>
      <w:bookmarkStart w:id="10" w:name="_Toc110666895"/>
      <w:bookmarkStart w:id="11" w:name="_Toc110842735"/>
      <w:bookmarkStart w:id="12" w:name="_Toc113177893"/>
      <w:bookmarkStart w:id="13" w:name="_Toc113259747"/>
      <w:bookmarkStart w:id="14" w:name="_Toc113262892"/>
      <w:bookmarkStart w:id="15" w:name="_Toc117907356"/>
      <w:bookmarkStart w:id="16" w:name="_Toc134332464"/>
      <w:bookmarkStart w:id="17" w:name="_Toc134337413"/>
      <w:bookmarkStart w:id="18" w:name="_Toc134337703"/>
      <w:bookmarkStart w:id="19" w:name="_Toc139258656"/>
      <w:bookmarkStart w:id="20" w:name="_Toc167179010"/>
      <w:bookmarkStart w:id="21" w:name="_Toc170201158"/>
      <w:bookmarkStart w:id="22" w:name="_Toc170715688"/>
      <w:bookmarkStart w:id="23" w:name="_Toc195006235"/>
      <w:bookmarkStart w:id="24" w:name="_Toc195069987"/>
      <w:bookmarkStart w:id="25" w:name="_Toc33590418"/>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Style w:val="CharPartText"/>
        </w:rPr>
        <w:t xml:space="preserve"> </w:t>
      </w:r>
    </w:p>
    <w:p>
      <w:pPr>
        <w:pStyle w:val="Footnoteheading"/>
        <w:ind w:left="890"/>
        <w:rPr>
          <w:snapToGrid w:val="0"/>
        </w:rPr>
      </w:pPr>
      <w:r>
        <w:rPr>
          <w:snapToGrid w:val="0"/>
        </w:rPr>
        <w:tab/>
        <w:t>[Heading inserted in Gazette 29 Jul 1997 p. 4065.]</w:t>
      </w:r>
    </w:p>
    <w:p>
      <w:pPr>
        <w:pStyle w:val="Heading5"/>
        <w:rPr>
          <w:snapToGrid w:val="0"/>
        </w:rPr>
      </w:pPr>
      <w:bookmarkStart w:id="26" w:name="_Toc47935267"/>
      <w:bookmarkStart w:id="27" w:name="_Toc113177894"/>
      <w:bookmarkStart w:id="28" w:name="_Toc33590419"/>
      <w:r>
        <w:rPr>
          <w:rStyle w:val="CharSectno"/>
        </w:rPr>
        <w:t>1</w:t>
      </w:r>
      <w:r>
        <w:rPr>
          <w:snapToGrid w:val="0"/>
        </w:rPr>
        <w:t>.</w:t>
      </w:r>
      <w:r>
        <w:rPr>
          <w:snapToGrid w:val="0"/>
        </w:rPr>
        <w:tab/>
        <w:t>Citation and application</w:t>
      </w:r>
      <w:bookmarkEnd w:id="26"/>
      <w:bookmarkEnd w:id="27"/>
      <w:bookmarkEnd w:id="28"/>
      <w:r>
        <w:rPr>
          <w:snapToGrid w:val="0"/>
        </w:rPr>
        <w:t xml:space="preserve"> </w:t>
      </w:r>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 xml:space="preserve">[Regulation 1 amended in Gazette 4 Sep 1992 p. 4471; 29 Jul 1997 p. 4065.] </w:t>
      </w:r>
    </w:p>
    <w:p>
      <w:pPr>
        <w:pStyle w:val="Ednotesection"/>
      </w:pPr>
      <w:r>
        <w:t>[</w:t>
      </w:r>
      <w:r>
        <w:rPr>
          <w:b/>
        </w:rPr>
        <w:t>2.</w:t>
      </w:r>
      <w:r>
        <w:rPr>
          <w:b/>
        </w:rPr>
        <w:tab/>
      </w:r>
      <w:r>
        <w:t xml:space="preserve">Repealed in Gazette 4 Sep 1992 p. 4471.] </w:t>
      </w:r>
    </w:p>
    <w:p>
      <w:pPr>
        <w:pStyle w:val="Heading5"/>
        <w:rPr>
          <w:snapToGrid w:val="0"/>
        </w:rPr>
      </w:pPr>
      <w:bookmarkStart w:id="29" w:name="_Toc47935268"/>
      <w:bookmarkStart w:id="30" w:name="_Toc113177895"/>
      <w:bookmarkStart w:id="31" w:name="_Toc33590420"/>
      <w:r>
        <w:rPr>
          <w:rStyle w:val="CharSectno"/>
        </w:rPr>
        <w:t>3</w:t>
      </w:r>
      <w:r>
        <w:rPr>
          <w:snapToGrid w:val="0"/>
        </w:rPr>
        <w:t>.</w:t>
      </w:r>
      <w:r>
        <w:rPr>
          <w:snapToGrid w:val="0"/>
        </w:rPr>
        <w:tab/>
        <w:t>Interpretation</w:t>
      </w:r>
      <w:bookmarkEnd w:id="29"/>
      <w:bookmarkEnd w:id="30"/>
      <w:bookmarkEnd w:id="31"/>
      <w:r>
        <w:rPr>
          <w:snapToGrid w:val="0"/>
        </w:rPr>
        <w:t xml:space="preserve"> </w:t>
      </w:r>
    </w:p>
    <w:p>
      <w:pPr>
        <w:pStyle w:val="Subsection"/>
        <w:rPr>
          <w:snapToGrid w:val="0"/>
        </w:rPr>
      </w:pPr>
      <w:r>
        <w:rPr>
          <w:snapToGrid w:val="0"/>
        </w:rPr>
        <w:tab/>
      </w:r>
      <w:r>
        <w:rPr>
          <w:snapToGrid w:val="0"/>
        </w:rPr>
        <w:tab/>
        <w:t>In these regulations, unless the contrary intention appears — </w:t>
      </w:r>
    </w:p>
    <w:p>
      <w:pPr>
        <w:pStyle w:val="Defstart"/>
      </w:pPr>
      <w:r>
        <w:rPr>
          <w:b/>
        </w:rPr>
        <w:tab/>
      </w:r>
      <w:r>
        <w:rPr>
          <w:rStyle w:val="CharDefText"/>
        </w:rPr>
        <w:t>adopted Code</w:t>
      </w:r>
      <w:r>
        <w:t xml:space="preserve"> means a code adopted by regulation 6A(1); </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“apparatus for the treatment of sewage”;</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 </w:t>
      </w:r>
    </w:p>
    <w:p>
      <w:pPr>
        <w:pStyle w:val="Defstart"/>
      </w:pPr>
      <w:r>
        <w:rPr>
          <w:b/>
        </w:rPr>
        <w:tab/>
      </w:r>
      <w:r>
        <w:rPr>
          <w:rStyle w:val="CharDefText"/>
        </w:rPr>
        <w:t>blackwater system</w:t>
      </w:r>
      <w:r>
        <w:rPr>
          <w:bCs/>
        </w:rPr>
        <w:t xml:space="preserve"> means </w:t>
      </w:r>
      <w:r>
        <w:t xml:space="preserve">an apparatus designed to receive blackwater; </w:t>
      </w:r>
    </w:p>
    <w:p>
      <w:pPr>
        <w:pStyle w:val="Defstart"/>
      </w:pPr>
      <w:r>
        <w:rPr>
          <w:b/>
        </w:rPr>
        <w:tab/>
      </w:r>
      <w:r>
        <w:rPr>
          <w:rStyle w:val="CharDefText"/>
        </w:rPr>
        <w:t>certificate of compliance</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dwelling</w:t>
      </w:r>
      <w:r>
        <w:t xml:space="preserve"> means a building or part of a building that is occupied or intended to be occupied for the purpose of human habitation;</w:t>
      </w:r>
    </w:p>
    <w:p>
      <w:pPr>
        <w:pStyle w:val="Defstart"/>
      </w:pPr>
      <w:r>
        <w:rPr>
          <w:b/>
        </w:rPr>
        <w:tab/>
      </w:r>
      <w:r>
        <w:rPr>
          <w:rStyle w:val="CharDefText"/>
        </w:rPr>
        <w:t>effluent</w:t>
      </w:r>
      <w:r>
        <w:t xml:space="preserve"> means the liquid discharge from the treatment tank;</w:t>
      </w:r>
    </w:p>
    <w:p>
      <w:pPr>
        <w:pStyle w:val="Defstart"/>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r>
      <w:r>
        <w:rPr>
          <w:rStyle w:val="CharDefText"/>
        </w:rPr>
        <w:t>greywater</w:t>
      </w:r>
      <w:r>
        <w:t xml:space="preserve"> means water containing kitchen, laundry or bathroom waste other than faeces or urine;</w:t>
      </w:r>
    </w:p>
    <w:p>
      <w:pPr>
        <w:pStyle w:val="Defstart"/>
      </w:pPr>
      <w:r>
        <w:rPr>
          <w:b/>
        </w:rPr>
        <w:tab/>
      </w:r>
      <w:r>
        <w:rPr>
          <w:rStyle w:val="CharDefText"/>
        </w:rPr>
        <w:t>greywater system</w:t>
      </w:r>
      <w:r>
        <w:t xml:space="preserve"> means an apparatus for treating greywater and enabling it to be used for garden irrigation; </w:t>
      </w:r>
    </w:p>
    <w:p>
      <w:pPr>
        <w:pStyle w:val="Defstart"/>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pPr>
      <w:r>
        <w:rPr>
          <w:b/>
        </w:rPr>
        <w:tab/>
      </w:r>
      <w:r>
        <w:rPr>
          <w:rStyle w:val="CharDefText"/>
        </w:rPr>
        <w:t>liquid waste system</w:t>
      </w:r>
      <w:r>
        <w:t xml:space="preserve"> means an apparatus designed to receive liquid wastes only;</w:t>
      </w:r>
    </w:p>
    <w:p>
      <w:pPr>
        <w:pStyle w:val="Defstart"/>
      </w:pPr>
      <w:r>
        <w:rPr>
          <w:b/>
        </w:rPr>
        <w:tab/>
      </w:r>
      <w:r>
        <w:rPr>
          <w:rStyle w:val="CharDefText"/>
        </w:rPr>
        <w:t>liquid wastes</w:t>
      </w:r>
      <w:r>
        <w:t xml:space="preserve"> means wastewater or any other liquid waste from domestic, industrial or commercial activities, other than effluent;</w:t>
      </w:r>
    </w:p>
    <w:p>
      <w:pPr>
        <w:pStyle w:val="Defstart"/>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pPr>
      <w:r>
        <w:rPr>
          <w:b/>
        </w:rPr>
        <w:tab/>
      </w:r>
      <w:r>
        <w:rPr>
          <w:rStyle w:val="CharDefText"/>
        </w:rPr>
        <w:t>owner</w:t>
      </w:r>
      <w:r>
        <w:t>, in relation to an apparatus, means the owner of the premises on which the apparatus is constructed or installed;</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receptacle for drainage</w:t>
      </w:r>
      <w:r>
        <w:t xml:space="preserve"> means — </w:t>
      </w:r>
    </w:p>
    <w:p>
      <w:pPr>
        <w:pStyle w:val="Defpara"/>
      </w:pPr>
      <w:r>
        <w:tab/>
        <w:t>(a)</w:t>
      </w:r>
      <w:r>
        <w:tab/>
        <w:t xml:space="preserve">an evaporation drain, a soak well, French drain, leach drain or impervious sump; or </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 </w:t>
      </w:r>
    </w:p>
    <w:p>
      <w:pPr>
        <w:pStyle w:val="Defpara"/>
      </w:pPr>
      <w:r>
        <w:tab/>
        <w:t>(a)</w:t>
      </w:r>
      <w:r>
        <w:tab/>
        <w:t>that is occupied or intended to be occupied for the purpose of human habitation by not more than 8 persons;</w:t>
      </w:r>
    </w:p>
    <w:p>
      <w:pPr>
        <w:pStyle w:val="Defpara"/>
      </w:pPr>
      <w:r>
        <w:tab/>
        <w:t>(b)</w:t>
      </w:r>
      <w:r>
        <w:tab/>
        <w:t xml:space="preserve">standing on a lot within the meaning of the </w:t>
      </w:r>
      <w:r>
        <w:rPr>
          <w:i/>
        </w:rPr>
        <w:t>Town Planning and Development Act 1928</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 xml:space="preserve">6; 28 Jun 2004 p. 2393-4; 7 Jan 2005 p. 64-5.] </w:t>
      </w:r>
    </w:p>
    <w:p>
      <w:pPr>
        <w:pStyle w:val="Heading2"/>
      </w:pPr>
      <w:bookmarkStart w:id="32" w:name="_Toc92695585"/>
      <w:bookmarkStart w:id="33" w:name="_Toc92968527"/>
      <w:bookmarkStart w:id="34" w:name="_Toc92968619"/>
      <w:bookmarkStart w:id="35" w:name="_Toc94935552"/>
      <w:bookmarkStart w:id="36" w:name="_Toc94935767"/>
      <w:bookmarkStart w:id="37" w:name="_Toc94941336"/>
      <w:bookmarkStart w:id="38" w:name="_Toc105237812"/>
      <w:bookmarkStart w:id="39" w:name="_Toc105470581"/>
      <w:bookmarkStart w:id="40" w:name="_Toc107800428"/>
      <w:bookmarkStart w:id="41" w:name="_Toc110666898"/>
      <w:bookmarkStart w:id="42" w:name="_Toc110842738"/>
      <w:bookmarkStart w:id="43" w:name="_Toc113177896"/>
      <w:bookmarkStart w:id="44" w:name="_Toc113259750"/>
      <w:bookmarkStart w:id="45" w:name="_Toc113262895"/>
      <w:bookmarkStart w:id="46" w:name="_Toc117907359"/>
      <w:bookmarkStart w:id="47" w:name="_Toc134332467"/>
      <w:bookmarkStart w:id="48" w:name="_Toc134337416"/>
      <w:bookmarkStart w:id="49" w:name="_Toc134337706"/>
      <w:bookmarkStart w:id="50" w:name="_Toc139258659"/>
      <w:bookmarkStart w:id="51" w:name="_Toc167179013"/>
      <w:bookmarkStart w:id="52" w:name="_Toc170201161"/>
      <w:bookmarkStart w:id="53" w:name="_Toc170715691"/>
      <w:bookmarkStart w:id="54" w:name="_Toc195006238"/>
      <w:bookmarkStart w:id="55" w:name="_Toc195069990"/>
      <w:bookmarkStart w:id="56" w:name="_Toc33590421"/>
      <w:r>
        <w:rPr>
          <w:rStyle w:val="CharPartNo"/>
        </w:rPr>
        <w:t>Part 2</w:t>
      </w:r>
      <w:r>
        <w:t> — </w:t>
      </w:r>
      <w:r>
        <w:rPr>
          <w:rStyle w:val="CharPartText"/>
        </w:rPr>
        <w:t>General</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Pr>
          <w:rStyle w:val="CharPartText"/>
        </w:rPr>
        <w:t xml:space="preserve"> </w:t>
      </w:r>
    </w:p>
    <w:p>
      <w:pPr>
        <w:pStyle w:val="Footnoteheading"/>
        <w:ind w:left="890"/>
        <w:rPr>
          <w:snapToGrid w:val="0"/>
        </w:rPr>
      </w:pPr>
      <w:r>
        <w:rPr>
          <w:snapToGrid w:val="0"/>
        </w:rPr>
        <w:tab/>
        <w:t>[Heading inserted in Gazette 29 Jul 1997 p. 4067.]</w:t>
      </w:r>
    </w:p>
    <w:p>
      <w:pPr>
        <w:pStyle w:val="Heading3"/>
        <w:rPr>
          <w:snapToGrid w:val="0"/>
        </w:rPr>
      </w:pPr>
      <w:bookmarkStart w:id="57" w:name="_Toc92695586"/>
      <w:bookmarkStart w:id="58" w:name="_Toc92968528"/>
      <w:bookmarkStart w:id="59" w:name="_Toc92968620"/>
      <w:bookmarkStart w:id="60" w:name="_Toc94935553"/>
      <w:bookmarkStart w:id="61" w:name="_Toc94935768"/>
      <w:bookmarkStart w:id="62" w:name="_Toc94941337"/>
      <w:bookmarkStart w:id="63" w:name="_Toc105237813"/>
      <w:bookmarkStart w:id="64" w:name="_Toc105470582"/>
      <w:bookmarkStart w:id="65" w:name="_Toc107800429"/>
      <w:bookmarkStart w:id="66" w:name="_Toc110666899"/>
      <w:bookmarkStart w:id="67" w:name="_Toc110842739"/>
      <w:bookmarkStart w:id="68" w:name="_Toc113177897"/>
      <w:bookmarkStart w:id="69" w:name="_Toc113259751"/>
      <w:bookmarkStart w:id="70" w:name="_Toc113262896"/>
      <w:bookmarkStart w:id="71" w:name="_Toc117907360"/>
      <w:bookmarkStart w:id="72" w:name="_Toc134332468"/>
      <w:bookmarkStart w:id="73" w:name="_Toc134337417"/>
      <w:bookmarkStart w:id="74" w:name="_Toc134337707"/>
      <w:bookmarkStart w:id="75" w:name="_Toc139258660"/>
      <w:bookmarkStart w:id="76" w:name="_Toc167179014"/>
      <w:bookmarkStart w:id="77" w:name="_Toc170201162"/>
      <w:bookmarkStart w:id="78" w:name="_Toc170715692"/>
      <w:bookmarkStart w:id="79" w:name="_Toc195006239"/>
      <w:bookmarkStart w:id="80" w:name="_Toc195069991"/>
      <w:bookmarkStart w:id="81" w:name="_Toc33590422"/>
      <w:r>
        <w:rPr>
          <w:rStyle w:val="CharDivNo"/>
        </w:rPr>
        <w:t>Division 1</w:t>
      </w:r>
      <w:r>
        <w:rPr>
          <w:snapToGrid w:val="0"/>
        </w:rPr>
        <w:t> — </w:t>
      </w:r>
      <w:r>
        <w:rPr>
          <w:rStyle w:val="CharDivText"/>
        </w:rPr>
        <w:t>Construction and installation of an apparatus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Pr>
          <w:rStyle w:val="CharDivText"/>
        </w:rPr>
        <w:t xml:space="preserve"> </w:t>
      </w:r>
    </w:p>
    <w:p>
      <w:pPr>
        <w:pStyle w:val="Footnoteheading"/>
        <w:ind w:left="890"/>
        <w:rPr>
          <w:snapToGrid w:val="0"/>
        </w:rPr>
      </w:pPr>
      <w:r>
        <w:rPr>
          <w:snapToGrid w:val="0"/>
        </w:rPr>
        <w:tab/>
        <w:t>[Heading inserted in Gazette 29 Jul 1997 p. 4067.]</w:t>
      </w:r>
    </w:p>
    <w:p>
      <w:pPr>
        <w:pStyle w:val="Heading5"/>
        <w:rPr>
          <w:snapToGrid w:val="0"/>
        </w:rPr>
      </w:pPr>
      <w:bookmarkStart w:id="82" w:name="_Toc47935269"/>
      <w:bookmarkStart w:id="83" w:name="_Toc113177898"/>
      <w:bookmarkStart w:id="84" w:name="_Toc33590423"/>
      <w:r>
        <w:rPr>
          <w:rStyle w:val="CharSectno"/>
        </w:rPr>
        <w:t>4</w:t>
      </w:r>
      <w:r>
        <w:rPr>
          <w:snapToGrid w:val="0"/>
        </w:rPr>
        <w:t>.</w:t>
      </w:r>
      <w:r>
        <w:rPr>
          <w:snapToGrid w:val="0"/>
        </w:rPr>
        <w:tab/>
        <w:t>Approval of the construction or installation of an apparatus by local government</w:t>
      </w:r>
      <w:bookmarkEnd w:id="82"/>
      <w:bookmarkEnd w:id="83"/>
      <w:bookmarkEnd w:id="84"/>
      <w:r>
        <w:rPr>
          <w:snapToGrid w:val="0"/>
        </w:rPr>
        <w:t xml:space="preserve"> </w:t>
      </w:r>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r>
        <w:rPr>
          <w:snapToGrid w:val="0"/>
        </w:rPr>
        <w:t> </w:t>
      </w:r>
    </w:p>
    <w:p>
      <w:pPr>
        <w:pStyle w:val="Indenta"/>
        <w:rPr>
          <w:snapToGrid w:val="0"/>
        </w:rPr>
      </w:pPr>
      <w:r>
        <w:rPr>
          <w:snapToGrid w:val="0"/>
        </w:rPr>
        <w:tab/>
        <w:t>(a)</w:t>
      </w:r>
      <w:r>
        <w:rPr>
          <w:snapToGrid w:val="0"/>
        </w:rPr>
        <w:tab/>
        <w:t>a single dwelling; or</w:t>
      </w:r>
    </w:p>
    <w:p>
      <w:pPr>
        <w:pStyle w:val="Indenta"/>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relevant local government together with —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r>
        <w:rPr>
          <w:snapToGrid w:val="0"/>
        </w:rPr>
        <w:t>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local government; and</w:t>
      </w:r>
    </w:p>
    <w:p>
      <w:pPr>
        <w:pStyle w:val="Indenti"/>
        <w:rPr>
          <w:snapToGrid w:val="0"/>
        </w:rPr>
      </w:pPr>
      <w:r>
        <w:rPr>
          <w:snapToGrid w:val="0"/>
        </w:rPr>
        <w:tab/>
        <w:t>(ii)</w:t>
      </w:r>
      <w:r>
        <w:rPr>
          <w:snapToGrid w:val="0"/>
        </w:rPr>
        <w:tab/>
        <w:t>subject to such conditions as the local government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 xml:space="preserve">8; amended in Gazette 28 Jun 2004 p. 2394; 7 Jan 2005 p. 65.] </w:t>
      </w:r>
    </w:p>
    <w:p>
      <w:pPr>
        <w:pStyle w:val="Heading5"/>
        <w:rPr>
          <w:snapToGrid w:val="0"/>
        </w:rPr>
      </w:pPr>
      <w:bookmarkStart w:id="85" w:name="_Toc47935270"/>
      <w:bookmarkStart w:id="86" w:name="_Toc113177899"/>
      <w:bookmarkStart w:id="87" w:name="_Toc33590424"/>
      <w:r>
        <w:rPr>
          <w:rStyle w:val="CharSectno"/>
        </w:rPr>
        <w:t>4A</w:t>
      </w:r>
      <w:r>
        <w:rPr>
          <w:snapToGrid w:val="0"/>
        </w:rPr>
        <w:t>.</w:t>
      </w:r>
      <w:r>
        <w:rPr>
          <w:snapToGrid w:val="0"/>
        </w:rPr>
        <w:tab/>
        <w:t>Approval of the construction or installation of an apparatus by the Executive Director, Public Health</w:t>
      </w:r>
      <w:bookmarkEnd w:id="85"/>
      <w:bookmarkEnd w:id="86"/>
      <w:bookmarkEnd w:id="87"/>
      <w:r>
        <w:rPr>
          <w:snapToGrid w:val="0"/>
        </w:rPr>
        <w:t xml:space="preserve"> </w:t>
      </w:r>
    </w:p>
    <w:p>
      <w:pPr>
        <w:pStyle w:val="Subsection"/>
        <w:rPr>
          <w:snapToGrid w:val="0"/>
        </w:rPr>
      </w:pPr>
      <w:r>
        <w:rPr>
          <w:snapToGrid w:val="0"/>
        </w:rPr>
        <w:tab/>
        <w:t>(1)</w:t>
      </w:r>
      <w:r>
        <w:rPr>
          <w:snapToGrid w:val="0"/>
        </w:rPr>
        <w:tab/>
        <w:t>In this regulation — </w:t>
      </w:r>
    </w:p>
    <w:p>
      <w:pPr>
        <w:pStyle w:val="Defstart"/>
        <w:rPr>
          <w:spacing w:val="-4"/>
        </w:rPr>
      </w:pPr>
      <w:r>
        <w:rPr>
          <w:b/>
        </w:rPr>
        <w:tab/>
      </w:r>
      <w:r>
        <w:rPr>
          <w:rStyle w:val="CharDefText"/>
        </w:rPr>
        <w:t>local government report</w:t>
      </w:r>
      <w:r>
        <w:rPr>
          <w:spacing w:val="-4"/>
        </w:rPr>
        <w:t>, in relation to an application for an approval under this regulation, means a report of the relevant local government setting out recommendations as to —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 </w:t>
      </w:r>
    </w:p>
    <w:p>
      <w:pPr>
        <w:pStyle w:val="Indenti"/>
        <w:rPr>
          <w:snapToGrid w:val="0"/>
        </w:rPr>
      </w:pPr>
      <w:r>
        <w:rPr>
          <w:snapToGrid w:val="0"/>
        </w:rPr>
        <w:tab/>
        <w:t>(i)</w:t>
      </w:r>
      <w:r>
        <w:rPr>
          <w:snapToGrid w:val="0"/>
        </w:rPr>
        <w:tab/>
        <w:t>any documents required under regulation 5;</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 xml:space="preserve">subject to such conditions as the Executive Director, Public Health thinks fit;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 xml:space="preserve">9; amended in Gazette 28 Jun 2004 p. 2394.] </w:t>
      </w:r>
    </w:p>
    <w:p>
      <w:pPr>
        <w:pStyle w:val="Heading5"/>
        <w:rPr>
          <w:snapToGrid w:val="0"/>
        </w:rPr>
      </w:pPr>
      <w:bookmarkStart w:id="88" w:name="_Toc47935271"/>
      <w:bookmarkStart w:id="89" w:name="_Toc113177900"/>
      <w:bookmarkStart w:id="90" w:name="_Toc33590425"/>
      <w:r>
        <w:rPr>
          <w:rStyle w:val="CharSectno"/>
        </w:rPr>
        <w:t>5</w:t>
      </w:r>
      <w:r>
        <w:rPr>
          <w:snapToGrid w:val="0"/>
        </w:rPr>
        <w:t>.</w:t>
      </w:r>
      <w:r>
        <w:rPr>
          <w:snapToGrid w:val="0"/>
        </w:rPr>
        <w:tab/>
        <w:t>Documents to accompany an application for approval</w:t>
      </w:r>
      <w:bookmarkEnd w:id="88"/>
      <w:bookmarkEnd w:id="89"/>
      <w:bookmarkEnd w:id="90"/>
      <w:r>
        <w:rPr>
          <w:snapToGrid w:val="0"/>
        </w:rPr>
        <w:t xml:space="preserve"> </w:t>
      </w:r>
    </w:p>
    <w:p>
      <w:pPr>
        <w:pStyle w:val="Subsection"/>
        <w:rPr>
          <w:snapToGrid w:val="0"/>
        </w:rPr>
      </w:pPr>
      <w:r>
        <w:rPr>
          <w:snapToGrid w:val="0"/>
        </w:rPr>
        <w:tab/>
        <w:t>(1)</w:t>
      </w:r>
      <w:r>
        <w:rPr>
          <w:snapToGrid w:val="0"/>
        </w:rPr>
        <w:tab/>
        <w:t>An application under regulation 4 or 4A shall be accompanied by —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w:t>
      </w:r>
    </w:p>
    <w:p>
      <w:pPr>
        <w:pStyle w:val="Indenta"/>
        <w:rPr>
          <w:snapToGrid w:val="0"/>
        </w:rPr>
      </w:pPr>
      <w:r>
        <w:rPr>
          <w:snapToGrid w:val="0"/>
        </w:rPr>
        <w:tab/>
        <w:t>(b)</w:t>
      </w:r>
      <w:r>
        <w:rPr>
          <w:snapToGrid w:val="0"/>
        </w:rPr>
        <w:tab/>
        <w:t>2 copies of a site plan of the premises accurately drawn to a scale not less than 1:100, showing — </w:t>
      </w:r>
    </w:p>
    <w:p>
      <w:pPr>
        <w:pStyle w:val="Indenti"/>
        <w:rPr>
          <w:snapToGrid w:val="0"/>
        </w:rPr>
      </w:pPr>
      <w:r>
        <w:rPr>
          <w:snapToGrid w:val="0"/>
        </w:rPr>
        <w:tab/>
        <w:t>(i)</w:t>
      </w:r>
      <w:r>
        <w:rPr>
          <w:snapToGrid w:val="0"/>
        </w:rPr>
        <w:tab/>
        <w:t>the position of all buildings erected or proposed and the position of the proposed apparatus;</w:t>
      </w:r>
    </w:p>
    <w:p>
      <w:pPr>
        <w:pStyle w:val="Indenti"/>
        <w:rPr>
          <w:snapToGrid w:val="0"/>
        </w:rPr>
      </w:pPr>
      <w:r>
        <w:rPr>
          <w:snapToGrid w:val="0"/>
        </w:rPr>
        <w:tab/>
        <w:t>(ii)</w:t>
      </w:r>
      <w:r>
        <w:rPr>
          <w:snapToGrid w:val="0"/>
        </w:rPr>
        <w:tab/>
        <w:t>the position, type and proposed use of all fixtures intended to discharge into the apparatus;</w:t>
      </w:r>
    </w:p>
    <w:p>
      <w:pPr>
        <w:pStyle w:val="Indenti"/>
        <w:rPr>
          <w:snapToGrid w:val="0"/>
        </w:rPr>
      </w:pPr>
      <w:r>
        <w:rPr>
          <w:snapToGrid w:val="0"/>
        </w:rPr>
        <w:tab/>
        <w:t>(iii)</w:t>
      </w:r>
      <w:r>
        <w:rPr>
          <w:snapToGrid w:val="0"/>
        </w:rPr>
        <w:tab/>
        <w:t>the position of all drains, pipes, inspection openings, vents, traps and junctions in relation to buildings and boundaries;</w:t>
      </w:r>
    </w:p>
    <w:p>
      <w:pPr>
        <w:pStyle w:val="Indenti"/>
        <w:rPr>
          <w:snapToGrid w:val="0"/>
        </w:rPr>
      </w:pPr>
      <w:r>
        <w:rPr>
          <w:snapToGrid w:val="0"/>
        </w:rPr>
        <w:tab/>
        <w:t>(iv)</w:t>
      </w:r>
      <w:r>
        <w:rPr>
          <w:snapToGrid w:val="0"/>
        </w:rPr>
        <w:tab/>
        <w:t>the size of pipes and fittings and the fall of the drains;</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rPr>
          <w:snapToGrid w:val="0"/>
        </w:rPr>
      </w:pPr>
      <w:r>
        <w:rPr>
          <w:snapToGrid w:val="0"/>
        </w:rPr>
        <w:tab/>
      </w:r>
      <w:r>
        <w:rPr>
          <w:snapToGrid w:val="0"/>
        </w:rPr>
        <w:tab/>
        <w:t>and except where the plans refer to a building of Class 1a under the Building Code the plans shall be separate from the application form;</w:t>
      </w:r>
    </w:p>
    <w:p>
      <w:pPr>
        <w:pStyle w:val="Indenta"/>
        <w:rPr>
          <w:snapToGrid w:val="0"/>
        </w:rPr>
      </w:pPr>
      <w:r>
        <w:rPr>
          <w:snapToGrid w:val="0"/>
        </w:rPr>
        <w:tab/>
        <w:t>(c)</w:t>
      </w:r>
      <w:r>
        <w:rPr>
          <w:snapToGrid w:val="0"/>
        </w:rPr>
        <w:tab/>
        <w:t>if so requested by the approving body — </w:t>
      </w:r>
    </w:p>
    <w:p>
      <w:pPr>
        <w:pStyle w:val="Indenti"/>
        <w:rPr>
          <w:snapToGrid w:val="0"/>
        </w:rPr>
      </w:pPr>
      <w:r>
        <w:rPr>
          <w:snapToGrid w:val="0"/>
        </w:rPr>
        <w:tab/>
        <w:t>(i)</w:t>
      </w:r>
      <w:r>
        <w:rPr>
          <w:snapToGrid w:val="0"/>
        </w:rPr>
        <w:tab/>
        <w:t>a detailed architectural drawing of the proposed apparatus;</w:t>
      </w:r>
    </w:p>
    <w:p>
      <w:pPr>
        <w:pStyle w:val="Indenti"/>
        <w:rPr>
          <w:snapToGrid w:val="0"/>
        </w:rPr>
      </w:pPr>
      <w:r>
        <w:rPr>
          <w:snapToGrid w:val="0"/>
        </w:rPr>
        <w:tab/>
        <w:t>(ii)</w:t>
      </w:r>
      <w:r>
        <w:rPr>
          <w:snapToGrid w:val="0"/>
        </w:rPr>
        <w:tab/>
        <w:t>a certificate from an independent technical expert that the apparatus — </w:t>
      </w:r>
    </w:p>
    <w:p>
      <w:pPr>
        <w:pStyle w:val="IndentI0"/>
        <w:rPr>
          <w:snapToGrid w:val="0"/>
        </w:rPr>
      </w:pPr>
      <w:r>
        <w:rPr>
          <w:snapToGrid w:val="0"/>
        </w:rPr>
        <w:tab/>
        <w:t>(I)</w:t>
      </w:r>
      <w:r>
        <w:rPr>
          <w:snapToGrid w:val="0"/>
        </w:rPr>
        <w:tab/>
        <w:t>complies with these regulations or any relevant code or standard;</w:t>
      </w:r>
    </w:p>
    <w:p>
      <w:pPr>
        <w:pStyle w:val="IndentI0"/>
        <w:rPr>
          <w:snapToGrid w:val="0"/>
        </w:rPr>
      </w:pPr>
      <w:r>
        <w:rPr>
          <w:snapToGrid w:val="0"/>
        </w:rPr>
        <w:tab/>
        <w:t>(II)</w:t>
      </w:r>
      <w:r>
        <w:rPr>
          <w:snapToGrid w:val="0"/>
        </w:rPr>
        <w:tab/>
        <w:t>is capable of performing its proposed functions; and</w:t>
      </w:r>
    </w:p>
    <w:p>
      <w:pPr>
        <w:pStyle w:val="IndentI0"/>
        <w:rPr>
          <w:snapToGrid w:val="0"/>
        </w:rPr>
      </w:pPr>
      <w:r>
        <w:rPr>
          <w:snapToGrid w:val="0"/>
        </w:rPr>
        <w:tab/>
        <w:t>(III)</w:t>
      </w:r>
      <w:r>
        <w:rPr>
          <w:snapToGrid w:val="0"/>
        </w:rPr>
        <w:tab/>
        <w:t xml:space="preserve">is reliable and durable; </w:t>
      </w:r>
    </w:p>
    <w:p>
      <w:pPr>
        <w:pStyle w:val="Indenti"/>
        <w:rPr>
          <w:snapToGrid w:val="0"/>
        </w:rPr>
      </w:pPr>
      <w:r>
        <w:rPr>
          <w:snapToGrid w:val="0"/>
        </w:rPr>
        <w:tab/>
      </w:r>
      <w:r>
        <w:rPr>
          <w:snapToGrid w:val="0"/>
        </w:rPr>
        <w:tab/>
        <w:t>and</w:t>
      </w:r>
    </w:p>
    <w:p>
      <w:pPr>
        <w:pStyle w:val="Indenti"/>
        <w:rPr>
          <w:snapToGrid w:val="0"/>
        </w:rPr>
      </w:pPr>
      <w:r>
        <w:rPr>
          <w:snapToGrid w:val="0"/>
        </w:rPr>
        <w:tab/>
        <w:t>(iii)</w:t>
      </w:r>
      <w:r>
        <w:rPr>
          <w:snapToGrid w:val="0"/>
        </w:rPr>
        <w:tab/>
        <w:t xml:space="preserve">any other information or documents relevant to the application; </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rPr>
          <w:snapToGrid w:val="0"/>
        </w:rPr>
      </w:pPr>
      <w:r>
        <w:rPr>
          <w:snapToGrid w:val="0"/>
        </w:rPr>
        <w:tab/>
        <w:t>(2)</w:t>
      </w:r>
      <w:r>
        <w:rPr>
          <w:snapToGrid w:val="0"/>
        </w:rPr>
        <w:tab/>
        <w:t>Where an application for an approval is made, the approving body shall, for the duration of the life of the apparatus, retain a copy of — </w:t>
      </w:r>
    </w:p>
    <w:p>
      <w:pPr>
        <w:pStyle w:val="Indenta"/>
        <w:rPr>
          <w:snapToGrid w:val="0"/>
        </w:rPr>
      </w:pPr>
      <w:r>
        <w:rPr>
          <w:snapToGrid w:val="0"/>
        </w:rPr>
        <w:tab/>
        <w:t>(a)</w:t>
      </w:r>
      <w:r>
        <w:rPr>
          <w:snapToGrid w:val="0"/>
        </w:rPr>
        <w:tab/>
        <w:t>the application;</w:t>
      </w:r>
    </w:p>
    <w:p>
      <w:pPr>
        <w:pStyle w:val="Indenta"/>
        <w:rPr>
          <w:snapToGrid w:val="0"/>
        </w:rPr>
      </w:pPr>
      <w:r>
        <w:rPr>
          <w:snapToGrid w:val="0"/>
        </w:rPr>
        <w:tab/>
        <w:t>(b)</w:t>
      </w:r>
      <w:r>
        <w:rPr>
          <w:snapToGrid w:val="0"/>
        </w:rPr>
        <w:tab/>
        <w:t>every document forwarded with the application; and</w:t>
      </w:r>
    </w:p>
    <w:p>
      <w:pPr>
        <w:pStyle w:val="Indenta"/>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 </w:t>
      </w:r>
    </w:p>
    <w:p>
      <w:pPr>
        <w:pStyle w:val="Defstart"/>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 xml:space="preserve">70.] </w:t>
      </w:r>
    </w:p>
    <w:p>
      <w:pPr>
        <w:pStyle w:val="Heading5"/>
        <w:rPr>
          <w:snapToGrid w:val="0"/>
        </w:rPr>
      </w:pPr>
      <w:bookmarkStart w:id="91" w:name="_Toc47935272"/>
      <w:bookmarkStart w:id="92" w:name="_Toc113177901"/>
      <w:bookmarkStart w:id="93" w:name="_Toc33590426"/>
      <w:r>
        <w:rPr>
          <w:rStyle w:val="CharSectno"/>
        </w:rPr>
        <w:t>6</w:t>
      </w:r>
      <w:r>
        <w:rPr>
          <w:snapToGrid w:val="0"/>
        </w:rPr>
        <w:t>.</w:t>
      </w:r>
      <w:r>
        <w:rPr>
          <w:snapToGrid w:val="0"/>
        </w:rPr>
        <w:tab/>
        <w:t>Construction or installation under an approval to be completed within a certain time</w:t>
      </w:r>
      <w:bookmarkEnd w:id="91"/>
      <w:bookmarkEnd w:id="92"/>
      <w:bookmarkEnd w:id="93"/>
      <w:r>
        <w:rPr>
          <w:snapToGrid w:val="0"/>
        </w:rPr>
        <w:t xml:space="preserve"> </w:t>
      </w:r>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approval is granted for the construction or installation of an apparatus;</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 xml:space="preserve">1.] </w:t>
      </w:r>
    </w:p>
    <w:p>
      <w:pPr>
        <w:pStyle w:val="Heading5"/>
      </w:pPr>
      <w:bookmarkStart w:id="94" w:name="_Toc113177902"/>
      <w:bookmarkStart w:id="95" w:name="_Toc47935274"/>
      <w:bookmarkStart w:id="96" w:name="_Toc33590427"/>
      <w:r>
        <w:rPr>
          <w:rStyle w:val="CharSectno"/>
        </w:rPr>
        <w:t>6A</w:t>
      </w:r>
      <w:r>
        <w:t>.</w:t>
      </w:r>
      <w:r>
        <w:tab/>
        <w:t>Adoption of codes</w:t>
      </w:r>
      <w:bookmarkEnd w:id="94"/>
      <w:bookmarkEnd w:id="96"/>
    </w:p>
    <w:p>
      <w:pPr>
        <w:pStyle w:val="Subsection"/>
        <w:keepNext/>
      </w:pPr>
      <w:r>
        <w:tab/>
        <w:t>(1)</w:t>
      </w:r>
      <w:r>
        <w:tab/>
        <w:t xml:space="preserve">Under section 344A(1) of the Act, the following codes are adopted — </w:t>
      </w:r>
    </w:p>
    <w:p>
      <w:pPr>
        <w:pStyle w:val="Indenta"/>
      </w:pPr>
      <w:r>
        <w:tab/>
        <w:t>(a)</w:t>
      </w:r>
      <w:r>
        <w:tab/>
        <w:t>“</w:t>
      </w:r>
      <w:r>
        <w:rPr>
          <w:i/>
          <w:iCs/>
        </w:rPr>
        <w:t>Code of Practice for the Design, Manufacture, Installation and Operation of Aerobic Treatment Units (ATUs) Serving Single Dwellings</w:t>
      </w:r>
      <w:r>
        <w:t xml:space="preserve">”, published by the Executive Director, Public Health in August 2001, as amended from time to time; </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 xml:space="preserve">For the purposes of section 344A(3) of the Act, the prescribed place is the office of the Environmental Health Directorate of the Department of Health, Grace Vaughan House, 227 Stubbs Terrace, Shenton Park, Western Australia. </w:t>
      </w:r>
    </w:p>
    <w:p>
      <w:pPr>
        <w:pStyle w:val="Footnotesection"/>
      </w:pPr>
      <w:r>
        <w:tab/>
        <w:t>[Regulation 6A inserted in Gazette 7 Jan 2005 p. 65</w:t>
      </w:r>
      <w:r>
        <w:noBreakHyphen/>
        <w:t>6.]</w:t>
      </w:r>
    </w:p>
    <w:p>
      <w:pPr>
        <w:pStyle w:val="Heading5"/>
        <w:rPr>
          <w:snapToGrid w:val="0"/>
        </w:rPr>
      </w:pPr>
      <w:bookmarkStart w:id="97" w:name="_Toc113177903"/>
      <w:bookmarkStart w:id="98" w:name="_Toc33590428"/>
      <w:r>
        <w:rPr>
          <w:rStyle w:val="CharSectno"/>
        </w:rPr>
        <w:t>7</w:t>
      </w:r>
      <w:r>
        <w:rPr>
          <w:snapToGrid w:val="0"/>
        </w:rPr>
        <w:t>.</w:t>
      </w:r>
      <w:r>
        <w:rPr>
          <w:snapToGrid w:val="0"/>
        </w:rPr>
        <w:tab/>
        <w:t>Construction and installation of an apparatus generally</w:t>
      </w:r>
      <w:bookmarkEnd w:id="95"/>
      <w:bookmarkEnd w:id="97"/>
      <w:bookmarkEnd w:id="98"/>
      <w:r>
        <w:rPr>
          <w:snapToGrid w:val="0"/>
        </w:rPr>
        <w:t xml:space="preserve"> </w:t>
      </w:r>
    </w:p>
    <w:p>
      <w:pPr>
        <w:pStyle w:val="Subsection"/>
        <w:rPr>
          <w:snapToGrid w:val="0"/>
        </w:rPr>
      </w:pPr>
      <w:r>
        <w:rPr>
          <w:snapToGrid w:val="0"/>
        </w:rPr>
        <w:tab/>
        <w:t>(1)</w:t>
      </w:r>
      <w:r>
        <w:rPr>
          <w:snapToGrid w:val="0"/>
        </w:rPr>
        <w:tab/>
        <w:t xml:space="preserve">All materials, fixtures and fittings to be used in the construction </w:t>
      </w:r>
      <w:r>
        <w:t>and installation</w:t>
      </w:r>
      <w:r>
        <w:rPr>
          <w:snapToGrid w:val="0"/>
        </w:rPr>
        <w:t xml:space="preserve"> of an apparatus shall be first approved by the Executive Director, Public Health but for the purposes of this regulation, a material, fixture or fitting which has been branded in accordance with the by</w:t>
      </w:r>
      <w:r>
        <w:rPr>
          <w:snapToGrid w:val="0"/>
        </w:rPr>
        <w:noBreakHyphen/>
        <w:t xml:space="preserve">laws made under the </w:t>
      </w:r>
      <w:r>
        <w:rPr>
          <w:i/>
          <w:snapToGrid w:val="0"/>
        </w:rPr>
        <w:t>Metropolitan Water Supply, Sewerage, and Drainage Act 1909</w:t>
      </w:r>
      <w:r>
        <w:rPr>
          <w:snapToGrid w:val="0"/>
        </w:rPr>
        <w:t xml:space="preserve">, or the </w:t>
      </w:r>
      <w:r>
        <w:rPr>
          <w:i/>
          <w:snapToGrid w:val="0"/>
        </w:rPr>
        <w:t>Country Towns Sewerage Act 1948</w:t>
      </w:r>
      <w:r>
        <w:rPr>
          <w:snapToGrid w:val="0"/>
        </w:rPr>
        <w:t>, shall be deemed to have been so approved by the Executive Director, Public Health if the material, fixture or fitting bears a mark indicating that it has been inspected by a person authorised under one of those Acts or these regulations, and passed as fit for use.</w:t>
      </w:r>
    </w:p>
    <w:p>
      <w:pPr>
        <w:pStyle w:val="Subsection"/>
        <w:rPr>
          <w:snapToGrid w:val="0"/>
        </w:rPr>
      </w:pPr>
      <w:r>
        <w:rPr>
          <w:snapToGrid w:val="0"/>
        </w:rPr>
        <w:tab/>
        <w:t>(2)</w:t>
      </w:r>
      <w:r>
        <w:rPr>
          <w:snapToGrid w:val="0"/>
        </w:rPr>
        <w:tab/>
        <w:t xml:space="preserve">All materials, pipes, bends, junctions, traps, vents and apparatus shall be sound and free from defects and the </w:t>
      </w:r>
      <w:r>
        <w:rPr>
          <w:i/>
          <w:snapToGrid w:val="0"/>
        </w:rPr>
        <w:t>Metropolitan Water Supply, Sewerage and Drainage By</w:t>
      </w:r>
      <w:r>
        <w:rPr>
          <w:i/>
          <w:snapToGrid w:val="0"/>
        </w:rPr>
        <w:noBreakHyphen/>
        <w:t>laws 1981</w:t>
      </w:r>
      <w:r>
        <w:rPr>
          <w:snapToGrid w:val="0"/>
        </w:rPr>
        <w:t xml:space="preserve">, and the </w:t>
      </w:r>
      <w:r>
        <w:rPr>
          <w:i/>
          <w:snapToGrid w:val="0"/>
        </w:rPr>
        <w:t>Country Towns Sewerage By</w:t>
      </w:r>
      <w:r>
        <w:rPr>
          <w:i/>
          <w:snapToGrid w:val="0"/>
        </w:rPr>
        <w:noBreakHyphen/>
        <w:t>laws 1952</w:t>
      </w:r>
      <w:r>
        <w:rPr>
          <w:snapToGrid w:val="0"/>
        </w:rPr>
        <w:t xml:space="preserve"> apply to them in addition to these regulations.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 xml:space="preserve">[Regulation 7 amended in Gazette 29 Jun 1984 p. 1781; 4 Sep 1992 p. 4472; 29 Jul 1997 p. 4071; 6 Nov 2001 p. 5839; 7 Jan 2005 p. 66.] </w:t>
      </w:r>
    </w:p>
    <w:p>
      <w:pPr>
        <w:pStyle w:val="Heading5"/>
      </w:pPr>
      <w:bookmarkStart w:id="99" w:name="_Toc113177904"/>
      <w:bookmarkStart w:id="100" w:name="_Toc47935276"/>
      <w:bookmarkStart w:id="101" w:name="_Toc33590429"/>
      <w:r>
        <w:rPr>
          <w:rStyle w:val="CharSectno"/>
        </w:rPr>
        <w:t>7A</w:t>
      </w:r>
      <w:r>
        <w:t>.</w:t>
      </w:r>
      <w:r>
        <w:tab/>
        <w:t>Compliance with adopted Codes</w:t>
      </w:r>
      <w:bookmarkEnd w:id="99"/>
      <w:bookmarkEnd w:id="101"/>
      <w:r>
        <w:t xml:space="preserve"> </w:t>
      </w:r>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02" w:name="_Toc113177905"/>
      <w:bookmarkStart w:id="103" w:name="_Toc33590430"/>
      <w:r>
        <w:rPr>
          <w:rStyle w:val="CharSectno"/>
        </w:rPr>
        <w:t>8</w:t>
      </w:r>
      <w:r>
        <w:rPr>
          <w:snapToGrid w:val="0"/>
        </w:rPr>
        <w:t>.</w:t>
      </w:r>
      <w:r>
        <w:rPr>
          <w:snapToGrid w:val="0"/>
        </w:rPr>
        <w:tab/>
        <w:t>Educt and back vents</w:t>
      </w:r>
      <w:bookmarkEnd w:id="100"/>
      <w:bookmarkEnd w:id="102"/>
      <w:bookmarkEnd w:id="103"/>
      <w:r>
        <w:rPr>
          <w:snapToGrid w:val="0"/>
        </w:rPr>
        <w:t xml:space="preserve"> </w:t>
      </w:r>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 xml:space="preserve">[Regulation 8 amended in Gazette 15 Dec 1989 p. 4548; 4 Sep 1992 p. 4473; 29 Jul 1997 p. 4071; 7 Jan 2005 p. 66.] </w:t>
      </w:r>
    </w:p>
    <w:p>
      <w:pPr>
        <w:pStyle w:val="Heading5"/>
        <w:rPr>
          <w:snapToGrid w:val="0"/>
        </w:rPr>
      </w:pPr>
      <w:bookmarkStart w:id="104" w:name="_Toc47935277"/>
      <w:bookmarkStart w:id="105" w:name="_Toc113177906"/>
      <w:bookmarkStart w:id="106" w:name="_Toc33590431"/>
      <w:r>
        <w:rPr>
          <w:rStyle w:val="CharSectno"/>
        </w:rPr>
        <w:t>8A</w:t>
      </w:r>
      <w:r>
        <w:rPr>
          <w:snapToGrid w:val="0"/>
        </w:rPr>
        <w:t>.</w:t>
      </w:r>
      <w:r>
        <w:rPr>
          <w:snapToGrid w:val="0"/>
        </w:rPr>
        <w:tab/>
        <w:t>Location of a septic tank</w:t>
      </w:r>
      <w:bookmarkEnd w:id="104"/>
      <w:bookmarkEnd w:id="105"/>
      <w:bookmarkEnd w:id="106"/>
      <w:r>
        <w:rPr>
          <w:snapToGrid w:val="0"/>
        </w:rPr>
        <w:t xml:space="preserve"> </w:t>
      </w:r>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 xml:space="preserve">[Regulation 8A inserted in Gazette 29 Jul 1997 p. 4071.] </w:t>
      </w:r>
    </w:p>
    <w:p>
      <w:pPr>
        <w:pStyle w:val="Heading3"/>
        <w:rPr>
          <w:snapToGrid w:val="0"/>
        </w:rPr>
      </w:pPr>
      <w:bookmarkStart w:id="107" w:name="_Toc92695596"/>
      <w:bookmarkStart w:id="108" w:name="_Toc92968538"/>
      <w:bookmarkStart w:id="109" w:name="_Toc92968630"/>
      <w:bookmarkStart w:id="110" w:name="_Toc94935565"/>
      <w:bookmarkStart w:id="111" w:name="_Toc94935780"/>
      <w:bookmarkStart w:id="112" w:name="_Toc94941347"/>
      <w:bookmarkStart w:id="113" w:name="_Toc105237823"/>
      <w:bookmarkStart w:id="114" w:name="_Toc105470592"/>
      <w:bookmarkStart w:id="115" w:name="_Toc107800439"/>
      <w:bookmarkStart w:id="116" w:name="_Toc110666909"/>
      <w:bookmarkStart w:id="117" w:name="_Toc110842749"/>
      <w:bookmarkStart w:id="118" w:name="_Toc113177907"/>
      <w:bookmarkStart w:id="119" w:name="_Toc113259761"/>
      <w:bookmarkStart w:id="120" w:name="_Toc113262906"/>
      <w:bookmarkStart w:id="121" w:name="_Toc117907370"/>
      <w:bookmarkStart w:id="122" w:name="_Toc134332478"/>
      <w:bookmarkStart w:id="123" w:name="_Toc134337427"/>
      <w:bookmarkStart w:id="124" w:name="_Toc134337717"/>
      <w:bookmarkStart w:id="125" w:name="_Toc139258670"/>
      <w:bookmarkStart w:id="126" w:name="_Toc167179024"/>
      <w:bookmarkStart w:id="127" w:name="_Toc170201172"/>
      <w:bookmarkStart w:id="128" w:name="_Toc170715702"/>
      <w:bookmarkStart w:id="129" w:name="_Toc195006249"/>
      <w:bookmarkStart w:id="130" w:name="_Toc195070001"/>
      <w:bookmarkStart w:id="131" w:name="_Toc33590432"/>
      <w:r>
        <w:rPr>
          <w:rStyle w:val="CharDivNo"/>
        </w:rPr>
        <w:t>Division 2</w:t>
      </w:r>
      <w:r>
        <w:rPr>
          <w:snapToGrid w:val="0"/>
        </w:rPr>
        <w:t> — </w:t>
      </w:r>
      <w:r>
        <w:rPr>
          <w:rStyle w:val="CharDivText"/>
        </w:rPr>
        <w:t>Use of an apparatus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Style w:val="CharDivText"/>
        </w:rPr>
        <w:t xml:space="preserve"> </w:t>
      </w:r>
    </w:p>
    <w:p>
      <w:pPr>
        <w:pStyle w:val="Footnoteheading"/>
        <w:keepNext/>
        <w:ind w:left="890"/>
        <w:rPr>
          <w:snapToGrid w:val="0"/>
        </w:rPr>
      </w:pPr>
      <w:r>
        <w:rPr>
          <w:snapToGrid w:val="0"/>
        </w:rPr>
        <w:tab/>
        <w:t xml:space="preserve">[Division heading inserted in Gazette 29 Jul 1997 p. 4072.] </w:t>
      </w:r>
    </w:p>
    <w:p>
      <w:pPr>
        <w:pStyle w:val="Footnoteheading"/>
        <w:keepNext/>
        <w:ind w:left="890"/>
      </w:pPr>
      <w:r>
        <w:rPr>
          <w:snapToGrid w:val="0"/>
        </w:rPr>
        <w:tab/>
        <w:t>[Heading deleted</w:t>
      </w:r>
      <w:r>
        <w:t xml:space="preserve"> in Gazette 5 Sep 1997 p. 5037.]</w:t>
      </w:r>
    </w:p>
    <w:p>
      <w:pPr>
        <w:pStyle w:val="Heading5"/>
      </w:pPr>
      <w:bookmarkStart w:id="132" w:name="_Toc113177908"/>
      <w:bookmarkStart w:id="133" w:name="_Toc47935279"/>
      <w:bookmarkStart w:id="134" w:name="_Toc33590433"/>
      <w:r>
        <w:rPr>
          <w:rStyle w:val="CharSectno"/>
        </w:rPr>
        <w:t>9</w:t>
      </w:r>
      <w:r>
        <w:t>.</w:t>
      </w:r>
      <w:r>
        <w:tab/>
        <w:t>Notice of completion</w:t>
      </w:r>
      <w:bookmarkEnd w:id="132"/>
      <w:bookmarkEnd w:id="134"/>
      <w:r>
        <w:t xml:space="preserve"> </w:t>
      </w:r>
    </w:p>
    <w:p>
      <w:pPr>
        <w:pStyle w:val="Subsection"/>
      </w:pPr>
      <w:r>
        <w:tab/>
      </w:r>
      <w:r>
        <w:tab/>
        <w:t xml:space="preserve">A person who constructs or installs an apparatus must forthwith after the construction or installation is completed, give to the local government a notice — </w:t>
      </w:r>
    </w:p>
    <w:p>
      <w:pPr>
        <w:pStyle w:val="Indenta"/>
      </w:pPr>
      <w:r>
        <w:tab/>
        <w:t>(a)</w:t>
      </w:r>
      <w:r>
        <w:tab/>
        <w:t xml:space="preserve">stating that construction or installation of the apparatus has been completed; and </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133"/>
    <w:p>
      <w:pPr>
        <w:pStyle w:val="Ednotesection"/>
      </w:pPr>
      <w:r>
        <w:t>[</w:t>
      </w:r>
      <w:r>
        <w:rPr>
          <w:b/>
          <w:bCs/>
        </w:rPr>
        <w:t>9A.</w:t>
      </w:r>
      <w:r>
        <w:tab/>
        <w:t>Repealed in Gazette 7 Jan 2005 p. 67.]</w:t>
      </w:r>
    </w:p>
    <w:p>
      <w:pPr>
        <w:pStyle w:val="Heading5"/>
        <w:rPr>
          <w:snapToGrid w:val="0"/>
        </w:rPr>
      </w:pPr>
      <w:bookmarkStart w:id="135" w:name="_Toc47935280"/>
      <w:bookmarkStart w:id="136" w:name="_Toc113177909"/>
      <w:bookmarkStart w:id="137" w:name="_Toc33590434"/>
      <w:r>
        <w:rPr>
          <w:rStyle w:val="CharSectno"/>
        </w:rPr>
        <w:t>10</w:t>
      </w:r>
      <w:r>
        <w:rPr>
          <w:snapToGrid w:val="0"/>
        </w:rPr>
        <w:t>.</w:t>
      </w:r>
      <w:r>
        <w:rPr>
          <w:snapToGrid w:val="0"/>
        </w:rPr>
        <w:tab/>
        <w:t>Permit to use an apparatus</w:t>
      </w:r>
      <w:bookmarkEnd w:id="135"/>
      <w:bookmarkEnd w:id="136"/>
      <w:bookmarkEnd w:id="137"/>
      <w:r>
        <w:rPr>
          <w:snapToGrid w:val="0"/>
        </w:rPr>
        <w:t xml:space="preserve"> </w:t>
      </w:r>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 </w:t>
      </w:r>
    </w:p>
    <w:p>
      <w:pPr>
        <w:pStyle w:val="Defstart"/>
      </w:pPr>
      <w:r>
        <w:rPr>
          <w:b/>
        </w:rPr>
        <w:tab/>
      </w:r>
      <w:r>
        <w:rPr>
          <w:rStyle w:val="CharDefText"/>
        </w:rPr>
        <w:t>prescribed time</w:t>
      </w:r>
      <w:r>
        <w:t xml:space="preserve"> means — </w:t>
      </w:r>
    </w:p>
    <w:p>
      <w:pPr>
        <w:pStyle w:val="Defpara"/>
      </w:pPr>
      <w:r>
        <w:tab/>
        <w:t>(a)</w:t>
      </w:r>
      <w:r>
        <w:tab/>
        <w:t>in the case where the owner has not, within 14 days of receiving notice of the requirement —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w:t>
      </w:r>
    </w:p>
    <w:p>
      <w:pPr>
        <w:pStyle w:val="Defpara"/>
      </w:pPr>
      <w:r>
        <w:tab/>
        <w:t>(b)</w:t>
      </w:r>
      <w:r>
        <w:tab/>
        <w:t>in the case where the owner has, within 14 days of the requirement, made an application under regulation 22 for a review of the requirement, as soon as practicable after the local government has —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 xml:space="preserve">provided to the owner written notification of that determination; </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 xml:space="preserve">3; amended in Gazette 25 Jun 2004 p. 2241; 28 Jun 2004 p. 2395; 30 Dec 2004 p. 6937-8.] </w:t>
      </w:r>
    </w:p>
    <w:p>
      <w:pPr>
        <w:pStyle w:val="Heading5"/>
        <w:rPr>
          <w:snapToGrid w:val="0"/>
        </w:rPr>
      </w:pPr>
      <w:bookmarkStart w:id="138" w:name="_Toc47935281"/>
      <w:bookmarkStart w:id="139" w:name="_Toc113177910"/>
      <w:bookmarkStart w:id="140" w:name="_Toc33590435"/>
      <w:r>
        <w:rPr>
          <w:rStyle w:val="CharSectno"/>
        </w:rPr>
        <w:t>11</w:t>
      </w:r>
      <w:r>
        <w:rPr>
          <w:snapToGrid w:val="0"/>
        </w:rPr>
        <w:t>.</w:t>
      </w:r>
      <w:r>
        <w:rPr>
          <w:snapToGrid w:val="0"/>
        </w:rPr>
        <w:tab/>
        <w:t>Preparation of an apparatus for inspection</w:t>
      </w:r>
      <w:bookmarkEnd w:id="138"/>
      <w:bookmarkEnd w:id="139"/>
      <w:bookmarkEnd w:id="140"/>
      <w:r>
        <w:rPr>
          <w:snapToGrid w:val="0"/>
        </w:rPr>
        <w:t xml:space="preserve"> </w:t>
      </w:r>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 </w:t>
      </w:r>
    </w:p>
    <w:p>
      <w:pPr>
        <w:pStyle w:val="Indenta"/>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pPr>
      <w:r>
        <w:tab/>
        <w:t xml:space="preserve">[Regulation 11 amended in Gazette 29 Jul 1997 p. 4073 and 4082.] </w:t>
      </w:r>
    </w:p>
    <w:p>
      <w:pPr>
        <w:pStyle w:val="Ednotesection"/>
      </w:pPr>
      <w:r>
        <w:tab/>
        <w:t>[Heading deleted in Gazette 29 Jul 1997 p. 4082.]</w:t>
      </w:r>
    </w:p>
    <w:p>
      <w:pPr>
        <w:pStyle w:val="Heading5"/>
        <w:rPr>
          <w:snapToGrid w:val="0"/>
        </w:rPr>
      </w:pPr>
      <w:bookmarkStart w:id="141" w:name="_Toc47935282"/>
      <w:bookmarkStart w:id="142" w:name="_Toc113177911"/>
      <w:bookmarkStart w:id="143" w:name="_Toc33590436"/>
      <w:r>
        <w:rPr>
          <w:rStyle w:val="CharSectno"/>
        </w:rPr>
        <w:t>12</w:t>
      </w:r>
      <w:r>
        <w:rPr>
          <w:snapToGrid w:val="0"/>
        </w:rPr>
        <w:t>.</w:t>
      </w:r>
      <w:r>
        <w:rPr>
          <w:snapToGrid w:val="0"/>
        </w:rPr>
        <w:tab/>
        <w:t>Testing an apparatus</w:t>
      </w:r>
      <w:bookmarkEnd w:id="141"/>
      <w:bookmarkEnd w:id="142"/>
      <w:bookmarkEnd w:id="143"/>
      <w:r>
        <w:rPr>
          <w:snapToGrid w:val="0"/>
        </w:rPr>
        <w:t xml:space="preserve"> </w:t>
      </w:r>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pPr>
      <w:r>
        <w:tab/>
        <w:t xml:space="preserve">[Regulation 12 inserted in Gazette 29 Jul 1997 p. 4074.] </w:t>
      </w:r>
    </w:p>
    <w:p>
      <w:pPr>
        <w:pStyle w:val="Heading5"/>
        <w:rPr>
          <w:snapToGrid w:val="0"/>
        </w:rPr>
      </w:pPr>
      <w:bookmarkStart w:id="144" w:name="_Toc47935283"/>
      <w:bookmarkStart w:id="145" w:name="_Toc113177912"/>
      <w:bookmarkStart w:id="146" w:name="_Toc33590437"/>
      <w:r>
        <w:rPr>
          <w:rStyle w:val="CharSectno"/>
        </w:rPr>
        <w:t>13</w:t>
      </w:r>
      <w:r>
        <w:rPr>
          <w:snapToGrid w:val="0"/>
        </w:rPr>
        <w:t>.</w:t>
      </w:r>
      <w:r>
        <w:rPr>
          <w:snapToGrid w:val="0"/>
        </w:rPr>
        <w:tab/>
        <w:t>Equipment, material, power and labour for an inspection</w:t>
      </w:r>
      <w:bookmarkEnd w:id="144"/>
      <w:bookmarkEnd w:id="145"/>
      <w:bookmarkEnd w:id="146"/>
      <w:r>
        <w:rPr>
          <w:snapToGrid w:val="0"/>
        </w:rPr>
        <w:t xml:space="preserve"> </w:t>
      </w:r>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pPr>
      <w:r>
        <w:tab/>
        <w:t xml:space="preserve">[Regulation 13 amended in Gazette 29 Jul 1997 p. 4074.] </w:t>
      </w:r>
    </w:p>
    <w:p>
      <w:pPr>
        <w:pStyle w:val="Ednotesection"/>
      </w:pPr>
      <w:bookmarkStart w:id="147" w:name="_Toc47935285"/>
      <w:r>
        <w:t>[</w:t>
      </w:r>
      <w:r>
        <w:rPr>
          <w:b/>
        </w:rPr>
        <w:t>14.</w:t>
      </w:r>
      <w:r>
        <w:tab/>
        <w:t>Repealed in Gazette 25 Jun 2004 p. 2241.]</w:t>
      </w:r>
    </w:p>
    <w:p>
      <w:pPr>
        <w:pStyle w:val="Footnoteheading"/>
        <w:spacing w:before="220"/>
        <w:ind w:left="890"/>
      </w:pPr>
      <w:r>
        <w:tab/>
        <w:t xml:space="preserve">[Heading deleted </w:t>
      </w:r>
      <w:r>
        <w:rPr>
          <w:snapToGrid w:val="0"/>
        </w:rPr>
        <w:t>in</w:t>
      </w:r>
      <w:r>
        <w:t xml:space="preserve"> Gazette 29 Jul 1997 p. 4082.]</w:t>
      </w:r>
    </w:p>
    <w:p>
      <w:pPr>
        <w:pStyle w:val="Heading5"/>
        <w:spacing w:before="180"/>
        <w:rPr>
          <w:snapToGrid w:val="0"/>
        </w:rPr>
      </w:pPr>
      <w:bookmarkStart w:id="148" w:name="_Toc113177913"/>
      <w:bookmarkStart w:id="149" w:name="_Toc33590438"/>
      <w:r>
        <w:rPr>
          <w:rStyle w:val="CharSectno"/>
        </w:rPr>
        <w:t>15</w:t>
      </w:r>
      <w:r>
        <w:rPr>
          <w:snapToGrid w:val="0"/>
        </w:rPr>
        <w:t>.</w:t>
      </w:r>
      <w:r>
        <w:rPr>
          <w:snapToGrid w:val="0"/>
        </w:rPr>
        <w:tab/>
        <w:t>Wastes from business or industry</w:t>
      </w:r>
      <w:bookmarkEnd w:id="147"/>
      <w:bookmarkEnd w:id="148"/>
      <w:bookmarkEnd w:id="149"/>
      <w:r>
        <w:rPr>
          <w:snapToGrid w:val="0"/>
        </w:rPr>
        <w:t xml:space="preserve"> </w:t>
      </w:r>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 xml:space="preserve">[Regulation 15 amended in Gazette 29 Jun 1984 p. 1781; 29 Jul 1997 p. 4075 and 4082; 5 Sep 1997 p. 5037.] </w:t>
      </w:r>
    </w:p>
    <w:p>
      <w:pPr>
        <w:pStyle w:val="Heading5"/>
        <w:rPr>
          <w:snapToGrid w:val="0"/>
        </w:rPr>
      </w:pPr>
      <w:bookmarkStart w:id="150" w:name="_Toc47935286"/>
      <w:bookmarkStart w:id="151" w:name="_Toc113177914"/>
      <w:bookmarkStart w:id="152" w:name="_Toc33590439"/>
      <w:r>
        <w:rPr>
          <w:rStyle w:val="CharSectno"/>
        </w:rPr>
        <w:t>16</w:t>
      </w:r>
      <w:r>
        <w:rPr>
          <w:snapToGrid w:val="0"/>
        </w:rPr>
        <w:t>.</w:t>
      </w:r>
      <w:r>
        <w:rPr>
          <w:snapToGrid w:val="0"/>
        </w:rPr>
        <w:tab/>
        <w:t>Matter interfering with the efficient operation of an apparatus</w:t>
      </w:r>
      <w:bookmarkEnd w:id="150"/>
      <w:bookmarkEnd w:id="151"/>
      <w:bookmarkEnd w:id="152"/>
      <w:r>
        <w:rPr>
          <w:snapToGrid w:val="0"/>
        </w:rPr>
        <w:t xml:space="preserve"> </w:t>
      </w:r>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 xml:space="preserve">[Regulation 16 amended in Gazette 29 Jun 1984 p. 1781; 29 Jul 1997 p. 4075.] </w:t>
      </w:r>
    </w:p>
    <w:p>
      <w:pPr>
        <w:pStyle w:val="Heading5"/>
      </w:pPr>
      <w:bookmarkStart w:id="153" w:name="_Toc113177915"/>
      <w:bookmarkStart w:id="154" w:name="_Toc47935287"/>
      <w:bookmarkStart w:id="155" w:name="_Toc33590440"/>
      <w:r>
        <w:rPr>
          <w:rStyle w:val="CharSectno"/>
        </w:rPr>
        <w:t>16A</w:t>
      </w:r>
      <w:r>
        <w:t>.</w:t>
      </w:r>
      <w:r>
        <w:tab/>
        <w:t>Use to comply with adopted Codes</w:t>
      </w:r>
      <w:bookmarkEnd w:id="153"/>
      <w:bookmarkEnd w:id="155"/>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156" w:name="_Toc113177916"/>
      <w:bookmarkStart w:id="157" w:name="_Toc33590441"/>
      <w:r>
        <w:rPr>
          <w:rStyle w:val="CharSectno"/>
        </w:rPr>
        <w:t>17</w:t>
      </w:r>
      <w:r>
        <w:rPr>
          <w:snapToGrid w:val="0"/>
        </w:rPr>
        <w:t>.</w:t>
      </w:r>
      <w:r>
        <w:rPr>
          <w:snapToGrid w:val="0"/>
        </w:rPr>
        <w:tab/>
        <w:t>Certain matter not to be discharged into an apparatus</w:t>
      </w:r>
      <w:bookmarkEnd w:id="154"/>
      <w:bookmarkEnd w:id="156"/>
      <w:bookmarkEnd w:id="157"/>
      <w:r>
        <w:rPr>
          <w:snapToGrid w:val="0"/>
        </w:rPr>
        <w:t xml:space="preserve"> </w:t>
      </w:r>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 xml:space="preserve">[Regulation 17 amended in Gazette 29 Jul 1997 p. 4075.] </w:t>
      </w:r>
    </w:p>
    <w:p>
      <w:pPr>
        <w:pStyle w:val="Ednotesection"/>
      </w:pPr>
      <w:r>
        <w:tab/>
        <w:t>[Heading deleted in Gazette 29 Jul 1997 p. 4082.]</w:t>
      </w:r>
    </w:p>
    <w:p>
      <w:pPr>
        <w:pStyle w:val="Heading5"/>
        <w:rPr>
          <w:snapToGrid w:val="0"/>
        </w:rPr>
      </w:pPr>
      <w:bookmarkStart w:id="158" w:name="_Toc47935288"/>
      <w:bookmarkStart w:id="159" w:name="_Toc113177917"/>
      <w:bookmarkStart w:id="160" w:name="_Toc33590442"/>
      <w:r>
        <w:rPr>
          <w:rStyle w:val="CharSectno"/>
        </w:rPr>
        <w:t>18</w:t>
      </w:r>
      <w:r>
        <w:rPr>
          <w:snapToGrid w:val="0"/>
        </w:rPr>
        <w:t>.</w:t>
      </w:r>
      <w:r>
        <w:rPr>
          <w:snapToGrid w:val="0"/>
        </w:rPr>
        <w:tab/>
        <w:t>Interfering with an apparatus</w:t>
      </w:r>
      <w:bookmarkEnd w:id="158"/>
      <w:bookmarkEnd w:id="159"/>
      <w:bookmarkEnd w:id="160"/>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r>
      <w:r>
        <w:rPr>
          <w:rStyle w:val="CharDefText"/>
        </w:rPr>
        <w:t>interfere</w:t>
      </w:r>
      <w:r>
        <w:t>, in relation to an apparatus, means — </w:t>
      </w:r>
    </w:p>
    <w:p>
      <w:pPr>
        <w:pStyle w:val="Defpara"/>
      </w:pPr>
      <w:r>
        <w:tab/>
        <w:t>(a)</w:t>
      </w:r>
      <w:r>
        <w:tab/>
        <w:t>to dismantle the apparatus;</w:t>
      </w:r>
    </w:p>
    <w:p>
      <w:pPr>
        <w:pStyle w:val="Defpara"/>
      </w:pPr>
      <w:r>
        <w:tab/>
        <w:t>(b)</w:t>
      </w:r>
      <w:r>
        <w:tab/>
        <w:t>to remove the apparatus wholly or in any part; or</w:t>
      </w:r>
    </w:p>
    <w:p>
      <w:pPr>
        <w:pStyle w:val="Defpara"/>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 xml:space="preserve">6.] </w:t>
      </w:r>
    </w:p>
    <w:p>
      <w:pPr>
        <w:pStyle w:val="Heading5"/>
        <w:rPr>
          <w:snapToGrid w:val="0"/>
        </w:rPr>
      </w:pPr>
      <w:bookmarkStart w:id="161" w:name="_Toc47935289"/>
      <w:bookmarkStart w:id="162" w:name="_Toc113177918"/>
      <w:bookmarkStart w:id="163" w:name="_Toc33590443"/>
      <w:r>
        <w:rPr>
          <w:rStyle w:val="CharSectno"/>
        </w:rPr>
        <w:t>18A</w:t>
      </w:r>
      <w:r>
        <w:rPr>
          <w:snapToGrid w:val="0"/>
        </w:rPr>
        <w:t>.</w:t>
      </w:r>
      <w:r>
        <w:rPr>
          <w:snapToGrid w:val="0"/>
        </w:rPr>
        <w:tab/>
        <w:t>Structures not to be erected above an apparatus</w:t>
      </w:r>
      <w:bookmarkEnd w:id="161"/>
      <w:bookmarkEnd w:id="162"/>
      <w:bookmarkEnd w:id="163"/>
      <w:r>
        <w:rPr>
          <w:snapToGrid w:val="0"/>
        </w:rPr>
        <w:t xml:space="preserve"> </w:t>
      </w:r>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 </w:t>
      </w:r>
    </w:p>
    <w:p>
      <w:pPr>
        <w:pStyle w:val="Indenta"/>
        <w:rPr>
          <w:snapToGrid w:val="0"/>
        </w:rPr>
      </w:pPr>
      <w:r>
        <w:rPr>
          <w:snapToGrid w:val="0"/>
        </w:rPr>
        <w:tab/>
        <w:t>(a)</w:t>
      </w:r>
      <w:r>
        <w:rPr>
          <w:snapToGrid w:val="0"/>
        </w:rPr>
        <w:tab/>
        <w:t>to have any structure erected above it;</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 xml:space="preserve">[Regulation 18A inserted in Gazette 29 Jul 1997 p. 4076; amended in Gazette 7 Jan 2005 p. 67.] </w:t>
      </w:r>
    </w:p>
    <w:p>
      <w:pPr>
        <w:pStyle w:val="Ednotesection"/>
      </w:pPr>
      <w:r>
        <w:tab/>
        <w:t>[Heading deleted in Gazette 29 Jul 1997 p. 4082.]</w:t>
      </w:r>
    </w:p>
    <w:p>
      <w:pPr>
        <w:pStyle w:val="Heading5"/>
        <w:rPr>
          <w:snapToGrid w:val="0"/>
        </w:rPr>
      </w:pPr>
      <w:bookmarkStart w:id="164" w:name="_Toc47935290"/>
      <w:bookmarkStart w:id="165" w:name="_Toc113177919"/>
      <w:bookmarkStart w:id="166" w:name="_Toc33590444"/>
      <w:r>
        <w:rPr>
          <w:rStyle w:val="CharSectno"/>
        </w:rPr>
        <w:t>19</w:t>
      </w:r>
      <w:r>
        <w:rPr>
          <w:snapToGrid w:val="0"/>
        </w:rPr>
        <w:t>.</w:t>
      </w:r>
      <w:r>
        <w:rPr>
          <w:snapToGrid w:val="0"/>
        </w:rPr>
        <w:tab/>
        <w:t>Use of a damaged or defective apparatus prohibited</w:t>
      </w:r>
      <w:bookmarkEnd w:id="164"/>
      <w:bookmarkEnd w:id="165"/>
      <w:bookmarkEnd w:id="166"/>
      <w:r>
        <w:rPr>
          <w:snapToGrid w:val="0"/>
        </w:rPr>
        <w:t xml:space="preserve"> </w:t>
      </w:r>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 xml:space="preserve">7.] </w:t>
      </w:r>
    </w:p>
    <w:p>
      <w:pPr>
        <w:pStyle w:val="Ednotesection"/>
      </w:pPr>
      <w:r>
        <w:tab/>
        <w:t>[Heading deleted in Gazette 29 Jul 1997 p. 4082.]</w:t>
      </w:r>
    </w:p>
    <w:p>
      <w:pPr>
        <w:pStyle w:val="Heading3"/>
        <w:rPr>
          <w:snapToGrid w:val="0"/>
        </w:rPr>
      </w:pPr>
      <w:bookmarkStart w:id="167" w:name="_Toc92695609"/>
      <w:bookmarkStart w:id="168" w:name="_Toc92968551"/>
      <w:bookmarkStart w:id="169" w:name="_Toc92968643"/>
      <w:bookmarkStart w:id="170" w:name="_Toc94935580"/>
      <w:bookmarkStart w:id="171" w:name="_Toc94935795"/>
      <w:bookmarkStart w:id="172" w:name="_Toc94941360"/>
      <w:bookmarkStart w:id="173" w:name="_Toc105237836"/>
      <w:bookmarkStart w:id="174" w:name="_Toc105470605"/>
      <w:bookmarkStart w:id="175" w:name="_Toc107800452"/>
      <w:bookmarkStart w:id="176" w:name="_Toc110666922"/>
      <w:bookmarkStart w:id="177" w:name="_Toc110842762"/>
      <w:bookmarkStart w:id="178" w:name="_Toc113177920"/>
      <w:bookmarkStart w:id="179" w:name="_Toc113259774"/>
      <w:bookmarkStart w:id="180" w:name="_Toc113262919"/>
      <w:bookmarkStart w:id="181" w:name="_Toc117907383"/>
      <w:bookmarkStart w:id="182" w:name="_Toc134332491"/>
      <w:bookmarkStart w:id="183" w:name="_Toc134337440"/>
      <w:bookmarkStart w:id="184" w:name="_Toc134337730"/>
      <w:bookmarkStart w:id="185" w:name="_Toc139258683"/>
      <w:bookmarkStart w:id="186" w:name="_Toc167179037"/>
      <w:bookmarkStart w:id="187" w:name="_Toc170201185"/>
      <w:bookmarkStart w:id="188" w:name="_Toc170715715"/>
      <w:bookmarkStart w:id="189" w:name="_Toc195006262"/>
      <w:bookmarkStart w:id="190" w:name="_Toc195070014"/>
      <w:bookmarkStart w:id="191" w:name="_Toc33590445"/>
      <w:r>
        <w:rPr>
          <w:rStyle w:val="CharDivNo"/>
        </w:rPr>
        <w:t>Division 3</w:t>
      </w:r>
      <w:r>
        <w:rPr>
          <w:snapToGrid w:val="0"/>
        </w:rPr>
        <w:t> — </w:t>
      </w:r>
      <w:r>
        <w:rPr>
          <w:rStyle w:val="CharDivText"/>
        </w:rPr>
        <w:t>Decommissioning of an apparatus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Style w:val="CharDivText"/>
        </w:rPr>
        <w:t xml:space="preserve"> </w:t>
      </w:r>
    </w:p>
    <w:p>
      <w:pPr>
        <w:pStyle w:val="Footnoteheading"/>
        <w:spacing w:before="240"/>
        <w:ind w:left="890"/>
      </w:pPr>
      <w:r>
        <w:tab/>
        <w:t xml:space="preserve">[Heading inserted in Gazette 29 Jul 1997 p. 4077.] </w:t>
      </w:r>
    </w:p>
    <w:p>
      <w:pPr>
        <w:pStyle w:val="Heading5"/>
        <w:rPr>
          <w:snapToGrid w:val="0"/>
        </w:rPr>
      </w:pPr>
      <w:bookmarkStart w:id="192" w:name="_Toc47935291"/>
      <w:bookmarkStart w:id="193" w:name="_Toc113177921"/>
      <w:bookmarkStart w:id="194" w:name="_Toc33590446"/>
      <w:r>
        <w:rPr>
          <w:rStyle w:val="CharSectno"/>
        </w:rPr>
        <w:t>20</w:t>
      </w:r>
      <w:r>
        <w:rPr>
          <w:snapToGrid w:val="0"/>
        </w:rPr>
        <w:t>.</w:t>
      </w:r>
      <w:r>
        <w:rPr>
          <w:snapToGrid w:val="0"/>
        </w:rPr>
        <w:tab/>
        <w:t>Application</w:t>
      </w:r>
      <w:bookmarkEnd w:id="192"/>
      <w:bookmarkEnd w:id="193"/>
      <w:bookmarkEnd w:id="194"/>
      <w:r>
        <w:rPr>
          <w:snapToGrid w:val="0"/>
        </w:rPr>
        <w:t xml:space="preserve"> </w:t>
      </w:r>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 xml:space="preserve">[Regulation 20 inserted in Gazette 17 Mar 1998 p. 1417.] </w:t>
      </w:r>
    </w:p>
    <w:p>
      <w:pPr>
        <w:pStyle w:val="Heading5"/>
        <w:rPr>
          <w:snapToGrid w:val="0"/>
        </w:rPr>
      </w:pPr>
      <w:bookmarkStart w:id="195" w:name="_Toc47935292"/>
      <w:bookmarkStart w:id="196" w:name="_Toc113177922"/>
      <w:bookmarkStart w:id="197" w:name="_Toc33590447"/>
      <w:r>
        <w:rPr>
          <w:rStyle w:val="CharSectno"/>
        </w:rPr>
        <w:t>20A</w:t>
      </w:r>
      <w:r>
        <w:rPr>
          <w:snapToGrid w:val="0"/>
        </w:rPr>
        <w:t>.</w:t>
      </w:r>
      <w:r>
        <w:rPr>
          <w:snapToGrid w:val="0"/>
        </w:rPr>
        <w:tab/>
        <w:t>Apparatus to be decommissioned in certain circumstances</w:t>
      </w:r>
      <w:bookmarkEnd w:id="195"/>
      <w:bookmarkEnd w:id="196"/>
      <w:bookmarkEnd w:id="197"/>
      <w:r>
        <w:rPr>
          <w:snapToGrid w:val="0"/>
        </w:rPr>
        <w:t xml:space="preserve"> </w:t>
      </w:r>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 xml:space="preserve">Subregulation (1) does not apply in relation to a greywater system if — </w:t>
      </w:r>
    </w:p>
    <w:p>
      <w:pPr>
        <w:pStyle w:val="Indenta"/>
      </w:pPr>
      <w:r>
        <w:tab/>
        <w:t>(a)</w:t>
      </w:r>
      <w:r>
        <w:tab/>
        <w:t>the system is of a kind approved for use on premises connected to a sewer; and</w:t>
      </w:r>
    </w:p>
    <w:p>
      <w:pPr>
        <w:pStyle w:val="Indenta"/>
        <w:rPr>
          <w:snapToGrid w:val="0"/>
          <w:spacing w:val="-2"/>
        </w:rPr>
      </w:pPr>
      <w:r>
        <w:tab/>
        <w:t>(b)</w:t>
      </w:r>
      <w:r>
        <w:tab/>
        <w:t xml:space="preserve">before the sewer is connected, the owner (having obtained permission under regulation 18A) makes any alterations to the system necessary for it to comply with the code adopted by regulation 6A(1)(b) when the sewer is connected. </w:t>
      </w:r>
    </w:p>
    <w:p>
      <w:pPr>
        <w:pStyle w:val="Footnotesection"/>
      </w:pPr>
      <w:r>
        <w:tab/>
        <w:t>[Regulation 20A inserted in Gazette 17 Mar 1998 p. 1417; amended in Gazette 7 Jan 2005 p. 67</w:t>
      </w:r>
      <w:r>
        <w:noBreakHyphen/>
        <w:t xml:space="preserve">8.] </w:t>
      </w:r>
    </w:p>
    <w:p>
      <w:pPr>
        <w:pStyle w:val="Heading5"/>
        <w:rPr>
          <w:snapToGrid w:val="0"/>
        </w:rPr>
      </w:pPr>
      <w:bookmarkStart w:id="198" w:name="_Toc47935293"/>
      <w:bookmarkStart w:id="199" w:name="_Toc113177923"/>
      <w:bookmarkStart w:id="200" w:name="_Toc33590448"/>
      <w:r>
        <w:rPr>
          <w:rStyle w:val="CharSectno"/>
        </w:rPr>
        <w:t>21</w:t>
      </w:r>
      <w:r>
        <w:rPr>
          <w:snapToGrid w:val="0"/>
        </w:rPr>
        <w:t>.</w:t>
      </w:r>
      <w:r>
        <w:rPr>
          <w:snapToGrid w:val="0"/>
        </w:rPr>
        <w:tab/>
        <w:t>Decommissioning an apparatus</w:t>
      </w:r>
      <w:bookmarkEnd w:id="198"/>
      <w:bookmarkEnd w:id="199"/>
      <w:bookmarkEnd w:id="200"/>
      <w:r>
        <w:rPr>
          <w:snapToGrid w:val="0"/>
        </w:rPr>
        <w:t xml:space="preserve"> </w:t>
      </w:r>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 </w:t>
      </w:r>
    </w:p>
    <w:p>
      <w:pPr>
        <w:pStyle w:val="Indenta"/>
        <w:rPr>
          <w:snapToGrid w:val="0"/>
        </w:rPr>
      </w:pPr>
      <w:r>
        <w:rPr>
          <w:snapToGrid w:val="0"/>
        </w:rPr>
        <w:tab/>
        <w:t>(a)</w:t>
      </w:r>
      <w:r>
        <w:rPr>
          <w:snapToGrid w:val="0"/>
        </w:rPr>
        <w:tab/>
        <w:t>emptying the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Indenta"/>
      </w:pPr>
      <w:r>
        <w:tab/>
        <w:t>(b)</w:t>
      </w:r>
      <w:r>
        <w:tab/>
        <w:t xml:space="preserve">in the case of a septic tank, aerobic treatment unit or greywater system — removing the apparatus or, if that is not practicable, breaking up its base; </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 xml:space="preserve">[Regulation 21 inserted in Gazette 29 Jul 1997 p. 4077; amended in Gazette 7 Jan 2005 p. 68.] </w:t>
      </w:r>
    </w:p>
    <w:p>
      <w:pPr>
        <w:pStyle w:val="Heading3"/>
        <w:rPr>
          <w:snapToGrid w:val="0"/>
        </w:rPr>
      </w:pPr>
      <w:bookmarkStart w:id="201" w:name="_Toc92695613"/>
      <w:bookmarkStart w:id="202" w:name="_Toc92968555"/>
      <w:bookmarkStart w:id="203" w:name="_Toc92968647"/>
      <w:bookmarkStart w:id="204" w:name="_Toc94935584"/>
      <w:bookmarkStart w:id="205" w:name="_Toc94935799"/>
      <w:bookmarkStart w:id="206" w:name="_Toc94941364"/>
      <w:bookmarkStart w:id="207" w:name="_Toc105237840"/>
      <w:bookmarkStart w:id="208" w:name="_Toc105470609"/>
      <w:bookmarkStart w:id="209" w:name="_Toc107800456"/>
      <w:bookmarkStart w:id="210" w:name="_Toc110666926"/>
      <w:bookmarkStart w:id="211" w:name="_Toc110842766"/>
      <w:bookmarkStart w:id="212" w:name="_Toc113177924"/>
      <w:bookmarkStart w:id="213" w:name="_Toc113259778"/>
      <w:bookmarkStart w:id="214" w:name="_Toc113262923"/>
      <w:bookmarkStart w:id="215" w:name="_Toc117907387"/>
      <w:bookmarkStart w:id="216" w:name="_Toc134332495"/>
      <w:bookmarkStart w:id="217" w:name="_Toc134337444"/>
      <w:bookmarkStart w:id="218" w:name="_Toc134337734"/>
      <w:bookmarkStart w:id="219" w:name="_Toc139258687"/>
      <w:bookmarkStart w:id="220" w:name="_Toc167179041"/>
      <w:bookmarkStart w:id="221" w:name="_Toc170201189"/>
      <w:bookmarkStart w:id="222" w:name="_Toc170715719"/>
      <w:bookmarkStart w:id="223" w:name="_Toc195006266"/>
      <w:bookmarkStart w:id="224" w:name="_Toc195070018"/>
      <w:bookmarkStart w:id="225" w:name="_Toc33590449"/>
      <w:r>
        <w:rPr>
          <w:rStyle w:val="CharDivNo"/>
        </w:rPr>
        <w:t>Division 4</w:t>
      </w:r>
      <w:r>
        <w:rPr>
          <w:snapToGrid w:val="0"/>
        </w:rPr>
        <w:t> — </w:t>
      </w:r>
      <w:r>
        <w:rPr>
          <w:rStyle w:val="CharDivText"/>
        </w:rPr>
        <w:t>Review</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Pr>
          <w:rStyle w:val="CharDivText"/>
        </w:rPr>
        <w:t xml:space="preserve"> </w:t>
      </w:r>
    </w:p>
    <w:p>
      <w:pPr>
        <w:pStyle w:val="Footnoteheading"/>
        <w:spacing w:before="100"/>
        <w:ind w:left="890"/>
        <w:rPr>
          <w:snapToGrid w:val="0"/>
        </w:rPr>
      </w:pPr>
      <w:r>
        <w:rPr>
          <w:snapToGrid w:val="0"/>
        </w:rPr>
        <w:tab/>
        <w:t xml:space="preserve">[Heading inserted in Gazette 29 Jul 1997 p. 4077.] </w:t>
      </w:r>
    </w:p>
    <w:p>
      <w:pPr>
        <w:pStyle w:val="Heading5"/>
        <w:rPr>
          <w:snapToGrid w:val="0"/>
        </w:rPr>
      </w:pPr>
      <w:bookmarkStart w:id="226" w:name="_Toc47935294"/>
      <w:bookmarkStart w:id="227" w:name="_Toc113177925"/>
      <w:bookmarkStart w:id="228" w:name="_Toc33590450"/>
      <w:r>
        <w:rPr>
          <w:rStyle w:val="CharSectno"/>
        </w:rPr>
        <w:t>22</w:t>
      </w:r>
      <w:r>
        <w:rPr>
          <w:snapToGrid w:val="0"/>
        </w:rPr>
        <w:t>.</w:t>
      </w:r>
      <w:r>
        <w:rPr>
          <w:snapToGrid w:val="0"/>
        </w:rPr>
        <w:tab/>
        <w:t>Review of a decision of a local government</w:t>
      </w:r>
      <w:bookmarkEnd w:id="226"/>
      <w:bookmarkEnd w:id="227"/>
      <w:bookmarkEnd w:id="228"/>
      <w:r>
        <w:rPr>
          <w:snapToGrid w:val="0"/>
        </w:rPr>
        <w:t xml:space="preserve"> </w:t>
      </w:r>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 xml:space="preserve">8.] </w:t>
      </w:r>
    </w:p>
    <w:p>
      <w:pPr>
        <w:pStyle w:val="Heading5"/>
        <w:rPr>
          <w:snapToGrid w:val="0"/>
        </w:rPr>
      </w:pPr>
      <w:bookmarkStart w:id="229" w:name="_Toc47935295"/>
      <w:bookmarkStart w:id="230" w:name="_Toc113177926"/>
      <w:bookmarkStart w:id="231" w:name="_Toc33590451"/>
      <w:r>
        <w:rPr>
          <w:rStyle w:val="CharSectno"/>
        </w:rPr>
        <w:t>23</w:t>
      </w:r>
      <w:r>
        <w:rPr>
          <w:snapToGrid w:val="0"/>
        </w:rPr>
        <w:t>.</w:t>
      </w:r>
      <w:r>
        <w:rPr>
          <w:snapToGrid w:val="0"/>
        </w:rPr>
        <w:tab/>
        <w:t>Review of a decision of the Executive Director, Public Health</w:t>
      </w:r>
      <w:bookmarkEnd w:id="229"/>
      <w:bookmarkEnd w:id="230"/>
      <w:bookmarkEnd w:id="231"/>
      <w:r>
        <w:rPr>
          <w:snapToGrid w:val="0"/>
        </w:rPr>
        <w:t xml:space="preserve"> </w:t>
      </w:r>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 xml:space="preserve">[Regulation 23 inserted in Gazette 29 Jul 1997 p. 4078.] </w:t>
      </w:r>
    </w:p>
    <w:p>
      <w:pPr>
        <w:pStyle w:val="Heading2"/>
      </w:pPr>
      <w:bookmarkStart w:id="232" w:name="_Toc92695616"/>
      <w:bookmarkStart w:id="233" w:name="_Toc92968558"/>
      <w:bookmarkStart w:id="234" w:name="_Toc92968650"/>
      <w:bookmarkStart w:id="235" w:name="_Toc94935587"/>
      <w:bookmarkStart w:id="236" w:name="_Toc94935802"/>
      <w:bookmarkStart w:id="237" w:name="_Toc94941367"/>
      <w:bookmarkStart w:id="238" w:name="_Toc105237843"/>
      <w:bookmarkStart w:id="239" w:name="_Toc105470612"/>
      <w:bookmarkStart w:id="240" w:name="_Toc107800459"/>
      <w:bookmarkStart w:id="241" w:name="_Toc110666929"/>
      <w:bookmarkStart w:id="242" w:name="_Toc110842769"/>
      <w:bookmarkStart w:id="243" w:name="_Toc113177927"/>
      <w:bookmarkStart w:id="244" w:name="_Toc113259781"/>
      <w:bookmarkStart w:id="245" w:name="_Toc113262926"/>
      <w:bookmarkStart w:id="246" w:name="_Toc117907390"/>
      <w:bookmarkStart w:id="247" w:name="_Toc134332498"/>
      <w:bookmarkStart w:id="248" w:name="_Toc134337447"/>
      <w:bookmarkStart w:id="249" w:name="_Toc134337737"/>
      <w:bookmarkStart w:id="250" w:name="_Toc139258690"/>
      <w:bookmarkStart w:id="251" w:name="_Toc167179044"/>
      <w:bookmarkStart w:id="252" w:name="_Toc170201192"/>
      <w:bookmarkStart w:id="253" w:name="_Toc170715722"/>
      <w:bookmarkStart w:id="254" w:name="_Toc195006269"/>
      <w:bookmarkStart w:id="255" w:name="_Toc195070021"/>
      <w:bookmarkStart w:id="256" w:name="_Toc33590452"/>
      <w:r>
        <w:rPr>
          <w:rStyle w:val="CharPartNo"/>
        </w:rPr>
        <w:t>Part 3</w:t>
      </w:r>
      <w:r>
        <w:rPr>
          <w:rStyle w:val="CharDivNo"/>
        </w:rPr>
        <w:t> </w:t>
      </w:r>
      <w:r>
        <w:t>—</w:t>
      </w:r>
      <w:r>
        <w:rPr>
          <w:rStyle w:val="CharDivText"/>
        </w:rPr>
        <w:t> </w:t>
      </w:r>
      <w:r>
        <w:rPr>
          <w:rStyle w:val="CharPartText"/>
        </w:rPr>
        <w:t>Construction and sizes of septic tanks and sedimentation tanks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Pr>
          <w:rStyle w:val="CharPartText"/>
        </w:rPr>
        <w:t xml:space="preserve"> </w:t>
      </w:r>
    </w:p>
    <w:p>
      <w:pPr>
        <w:pStyle w:val="Footnoteheading"/>
        <w:ind w:left="890"/>
        <w:rPr>
          <w:snapToGrid w:val="0"/>
        </w:rPr>
      </w:pPr>
      <w:r>
        <w:rPr>
          <w:snapToGrid w:val="0"/>
        </w:rPr>
        <w:tab/>
        <w:t>[Heading inserted in Gazette 29 Jul 1997 p. 4078.]</w:t>
      </w:r>
    </w:p>
    <w:p>
      <w:pPr>
        <w:pStyle w:val="Heading5"/>
        <w:rPr>
          <w:snapToGrid w:val="0"/>
        </w:rPr>
      </w:pPr>
      <w:bookmarkStart w:id="257" w:name="_Toc47935296"/>
      <w:bookmarkStart w:id="258" w:name="_Toc113177928"/>
      <w:bookmarkStart w:id="259" w:name="_Toc33590453"/>
      <w:r>
        <w:rPr>
          <w:rStyle w:val="CharSectno"/>
        </w:rPr>
        <w:t>24</w:t>
      </w:r>
      <w:r>
        <w:rPr>
          <w:snapToGrid w:val="0"/>
        </w:rPr>
        <w:t>.</w:t>
      </w:r>
      <w:r>
        <w:rPr>
          <w:snapToGrid w:val="0"/>
        </w:rPr>
        <w:tab/>
        <w:t>Minimum water level of a septic tank</w:t>
      </w:r>
      <w:bookmarkEnd w:id="257"/>
      <w:bookmarkEnd w:id="258"/>
      <w:bookmarkEnd w:id="259"/>
      <w:r>
        <w:rPr>
          <w:snapToGrid w:val="0"/>
        </w:rPr>
        <w:t xml:space="preserve"> </w:t>
      </w:r>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 xml:space="preserve">[Regulation 24 amended in Gazette 29 Jun 1984 p. 1781.] </w:t>
      </w:r>
    </w:p>
    <w:p>
      <w:pPr>
        <w:pStyle w:val="Heading5"/>
        <w:rPr>
          <w:snapToGrid w:val="0"/>
        </w:rPr>
      </w:pPr>
      <w:bookmarkStart w:id="260" w:name="_Toc47935297"/>
      <w:bookmarkStart w:id="261" w:name="_Toc113177929"/>
      <w:bookmarkStart w:id="262" w:name="_Toc33590454"/>
      <w:r>
        <w:rPr>
          <w:rStyle w:val="CharSectno"/>
        </w:rPr>
        <w:t>25</w:t>
      </w:r>
      <w:r>
        <w:rPr>
          <w:snapToGrid w:val="0"/>
        </w:rPr>
        <w:t>.</w:t>
      </w:r>
      <w:r>
        <w:rPr>
          <w:snapToGrid w:val="0"/>
        </w:rPr>
        <w:tab/>
        <w:t>Partition of a septic tank</w:t>
      </w:r>
      <w:bookmarkEnd w:id="260"/>
      <w:bookmarkEnd w:id="261"/>
      <w:bookmarkEnd w:id="262"/>
      <w:r>
        <w:rPr>
          <w:snapToGrid w:val="0"/>
        </w:rPr>
        <w:t xml:space="preserve"> </w:t>
      </w:r>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263" w:name="_Toc47935298"/>
      <w:bookmarkStart w:id="264" w:name="_Toc113177930"/>
      <w:bookmarkStart w:id="265" w:name="_Toc33590455"/>
      <w:r>
        <w:rPr>
          <w:rStyle w:val="CharSectno"/>
        </w:rPr>
        <w:t>26</w:t>
      </w:r>
      <w:r>
        <w:rPr>
          <w:snapToGrid w:val="0"/>
        </w:rPr>
        <w:t>.</w:t>
      </w:r>
      <w:r>
        <w:rPr>
          <w:snapToGrid w:val="0"/>
        </w:rPr>
        <w:tab/>
        <w:t>Septic tank to be impervious</w:t>
      </w:r>
      <w:bookmarkEnd w:id="263"/>
      <w:bookmarkEnd w:id="264"/>
      <w:bookmarkEnd w:id="265"/>
      <w:r>
        <w:rPr>
          <w:snapToGrid w:val="0"/>
        </w:rPr>
        <w:t xml:space="preserve"> </w:t>
      </w:r>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266" w:name="_Toc47935299"/>
      <w:bookmarkStart w:id="267" w:name="_Toc113177931"/>
      <w:bookmarkStart w:id="268" w:name="_Toc33590456"/>
      <w:r>
        <w:rPr>
          <w:rStyle w:val="CharSectno"/>
        </w:rPr>
        <w:t>27</w:t>
      </w:r>
      <w:r>
        <w:rPr>
          <w:snapToGrid w:val="0"/>
        </w:rPr>
        <w:t>.</w:t>
      </w:r>
      <w:r>
        <w:rPr>
          <w:snapToGrid w:val="0"/>
        </w:rPr>
        <w:tab/>
        <w:t>Construction of a septic tank generally</w:t>
      </w:r>
      <w:bookmarkEnd w:id="266"/>
      <w:bookmarkEnd w:id="267"/>
      <w:bookmarkEnd w:id="268"/>
      <w:r>
        <w:rPr>
          <w:snapToGrid w:val="0"/>
        </w:rPr>
        <w:t xml:space="preserve"> </w:t>
      </w:r>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 xml:space="preserve">[Regulation 27 amended in Gazette 29 Jul 1997 p. 4078.] </w:t>
      </w:r>
    </w:p>
    <w:p>
      <w:pPr>
        <w:pStyle w:val="Heading5"/>
        <w:rPr>
          <w:snapToGrid w:val="0"/>
        </w:rPr>
      </w:pPr>
      <w:bookmarkStart w:id="269" w:name="_Toc47935300"/>
      <w:bookmarkStart w:id="270" w:name="_Toc113177932"/>
      <w:bookmarkStart w:id="271" w:name="_Toc33590457"/>
      <w:r>
        <w:rPr>
          <w:rStyle w:val="CharSectno"/>
        </w:rPr>
        <w:t>28</w:t>
      </w:r>
      <w:r>
        <w:rPr>
          <w:snapToGrid w:val="0"/>
        </w:rPr>
        <w:t>.</w:t>
      </w:r>
      <w:r>
        <w:rPr>
          <w:snapToGrid w:val="0"/>
        </w:rPr>
        <w:tab/>
        <w:t>Liquid capacity of septic tanks on residential premises</w:t>
      </w:r>
      <w:bookmarkEnd w:id="269"/>
      <w:bookmarkEnd w:id="270"/>
      <w:bookmarkEnd w:id="271"/>
      <w:r>
        <w:rPr>
          <w:snapToGrid w:val="0"/>
        </w:rPr>
        <w:t xml:space="preserve"> </w:t>
      </w:r>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MiscellaneousHeading"/>
        <w:spacing w:after="80"/>
        <w:rPr>
          <w:b/>
          <w:snapToGrid w:val="0"/>
        </w:rPr>
      </w:pPr>
      <w:r>
        <w:rPr>
          <w:b/>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
              <w:rPr>
                <w:b/>
                <w:sz w:val="20"/>
              </w:rPr>
            </w:pPr>
            <w:r>
              <w:rPr>
                <w:b/>
                <w:sz w:val="20"/>
              </w:rPr>
              <w:t>Type of tank</w:t>
            </w:r>
          </w:p>
        </w:tc>
        <w:tc>
          <w:tcPr>
            <w:tcW w:w="1417" w:type="dxa"/>
          </w:tcPr>
          <w:p>
            <w:pPr>
              <w:pStyle w:val="Table"/>
              <w:jc w:val="center"/>
              <w:rPr>
                <w:b/>
                <w:sz w:val="20"/>
              </w:rPr>
            </w:pPr>
            <w:r>
              <w:rPr>
                <w:b/>
                <w:sz w:val="20"/>
              </w:rPr>
              <w:t>Number of bedrooms</w:t>
            </w:r>
          </w:p>
        </w:tc>
        <w:tc>
          <w:tcPr>
            <w:tcW w:w="3119" w:type="dxa"/>
          </w:tcPr>
          <w:p>
            <w:pPr>
              <w:pStyle w:val="Table"/>
              <w:jc w:val="center"/>
              <w:rPr>
                <w:b/>
                <w:sz w:val="20"/>
              </w:rPr>
            </w:pPr>
            <w:r>
              <w:rPr>
                <w:b/>
                <w:sz w:val="20"/>
              </w:rPr>
              <w:t>Liquid capacity (litres)</w:t>
            </w:r>
          </w:p>
        </w:tc>
      </w:tr>
      <w:tr>
        <w:trPr>
          <w:cantSplit/>
          <w:trHeight w:val="399"/>
        </w:trPr>
        <w:tc>
          <w:tcPr>
            <w:tcW w:w="1843" w:type="dxa"/>
            <w:vMerge w:val="restart"/>
          </w:tcPr>
          <w:p>
            <w:pPr>
              <w:pStyle w:val="Table"/>
              <w:rPr>
                <w:sz w:val="20"/>
              </w:rPr>
            </w:pPr>
            <w:r>
              <w:rPr>
                <w:sz w:val="20"/>
              </w:rPr>
              <w:t>Septic tank serving water closets and urinals only</w:t>
            </w:r>
          </w:p>
        </w:tc>
        <w:tc>
          <w:tcPr>
            <w:tcW w:w="1417" w:type="dxa"/>
          </w:tcPr>
          <w:p>
            <w:pPr>
              <w:pStyle w:val="Table"/>
              <w:jc w:val="center"/>
              <w:rPr>
                <w:sz w:val="20"/>
              </w:rPr>
            </w:pPr>
            <w:r>
              <w:rPr>
                <w:sz w:val="20"/>
              </w:rPr>
              <w:t>5 or less</w:t>
            </w:r>
          </w:p>
        </w:tc>
        <w:tc>
          <w:tcPr>
            <w:tcW w:w="3119" w:type="dxa"/>
          </w:tcPr>
          <w:p>
            <w:pPr>
              <w:pStyle w:val="Table"/>
              <w:jc w:val="center"/>
              <w:rPr>
                <w:sz w:val="20"/>
              </w:rPr>
            </w:pPr>
            <w:r>
              <w:rPr>
                <w:sz w:val="20"/>
              </w:rPr>
              <w:t>1 820</w:t>
            </w:r>
          </w:p>
        </w:tc>
      </w:tr>
      <w:tr>
        <w:trPr>
          <w:cantSplit/>
          <w:trHeight w:val="398"/>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1 360 plus 90 litres per bedroom</w:t>
            </w:r>
          </w:p>
        </w:tc>
      </w:tr>
      <w:tr>
        <w:trPr>
          <w:cantSplit/>
          <w:trHeight w:val="276"/>
        </w:trPr>
        <w:tc>
          <w:tcPr>
            <w:tcW w:w="1843" w:type="dxa"/>
            <w:vMerge w:val="restart"/>
          </w:tcPr>
          <w:p>
            <w:pPr>
              <w:pStyle w:val="Table"/>
              <w:spacing w:before="120"/>
              <w:rPr>
                <w:sz w:val="20"/>
              </w:rPr>
            </w:pPr>
            <w:r>
              <w:rPr>
                <w:sz w:val="20"/>
              </w:rPr>
              <w:t>Septic tank treating all wastes</w:t>
            </w:r>
          </w:p>
        </w:tc>
        <w:tc>
          <w:tcPr>
            <w:tcW w:w="1417" w:type="dxa"/>
          </w:tcPr>
          <w:p>
            <w:pPr>
              <w:pStyle w:val="Table"/>
              <w:spacing w:before="120"/>
              <w:jc w:val="center"/>
              <w:rPr>
                <w:sz w:val="20"/>
              </w:rPr>
            </w:pPr>
            <w:r>
              <w:rPr>
                <w:sz w:val="20"/>
              </w:rPr>
              <w:t>5 or less</w:t>
            </w:r>
          </w:p>
        </w:tc>
        <w:tc>
          <w:tcPr>
            <w:tcW w:w="3119" w:type="dxa"/>
          </w:tcPr>
          <w:p>
            <w:pPr>
              <w:pStyle w:val="Table"/>
              <w:spacing w:before="120"/>
              <w:jc w:val="center"/>
              <w:rPr>
                <w:sz w:val="20"/>
              </w:rPr>
            </w:pPr>
            <w:r>
              <w:rPr>
                <w:sz w:val="20"/>
              </w:rPr>
              <w:t>3 180</w:t>
            </w:r>
          </w:p>
        </w:tc>
      </w:tr>
      <w:tr>
        <w:trPr>
          <w:cantSplit/>
          <w:trHeight w:val="275"/>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1 820 plus 270 litres per bedroom</w:t>
            </w:r>
          </w:p>
        </w:tc>
      </w:tr>
    </w:tbl>
    <w:p>
      <w:pPr>
        <w:pStyle w:val="Footnotesection"/>
      </w:pPr>
      <w:r>
        <w:tab/>
        <w:t xml:space="preserve">[Regulation 28 inserted in Gazette 15 Dec 1989 p. 4549; amended in Gazette 29 Jul 1997 p. 4078; 7 Jan 2005 p. 68.] </w:t>
      </w:r>
    </w:p>
    <w:p>
      <w:pPr>
        <w:pStyle w:val="Heading5"/>
        <w:rPr>
          <w:snapToGrid w:val="0"/>
        </w:rPr>
      </w:pPr>
      <w:bookmarkStart w:id="272" w:name="_Toc47935301"/>
      <w:bookmarkStart w:id="273" w:name="_Toc113177933"/>
      <w:bookmarkStart w:id="274" w:name="_Toc33590458"/>
      <w:r>
        <w:rPr>
          <w:rStyle w:val="CharSectno"/>
        </w:rPr>
        <w:t>29</w:t>
      </w:r>
      <w:r>
        <w:rPr>
          <w:snapToGrid w:val="0"/>
        </w:rPr>
        <w:t>.</w:t>
      </w:r>
      <w:r>
        <w:rPr>
          <w:snapToGrid w:val="0"/>
        </w:rPr>
        <w:tab/>
        <w:t>Size of a septic tank</w:t>
      </w:r>
      <w:bookmarkEnd w:id="272"/>
      <w:bookmarkEnd w:id="273"/>
      <w:bookmarkEnd w:id="274"/>
      <w:r>
        <w:rPr>
          <w:snapToGrid w:val="0"/>
        </w:rPr>
        <w:t xml:space="preserve"> </w:t>
      </w:r>
    </w:p>
    <w:p>
      <w:pPr>
        <w:pStyle w:val="Subsection"/>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p>
      <w:pPr>
        <w:pStyle w:val="MiscellaneousHeading"/>
        <w:rPr>
          <w:b/>
          <w:bCs/>
          <w:snapToGrid w:val="0"/>
        </w:rPr>
      </w:pPr>
    </w:p>
    <w:tbl>
      <w:tblPr>
        <w:tblW w:w="0" w:type="auto"/>
        <w:tblInd w:w="880" w:type="dxa"/>
        <w:tblLayout w:type="fixed"/>
        <w:tblCellMar>
          <w:left w:w="29" w:type="dxa"/>
          <w:right w:w="29" w:type="dxa"/>
        </w:tblCellMar>
        <w:tblLook w:val="0000" w:firstRow="0" w:lastRow="0" w:firstColumn="0" w:lastColumn="0" w:noHBand="0" w:noVBand="0"/>
      </w:tblPr>
      <w:tblGrid>
        <w:gridCol w:w="3685"/>
        <w:gridCol w:w="1134"/>
        <w:gridCol w:w="1418"/>
      </w:tblGrid>
      <w:tr>
        <w:trPr>
          <w:tblHeader/>
        </w:trPr>
        <w:tc>
          <w:tcPr>
            <w:tcW w:w="3685" w:type="dxa"/>
          </w:tcPr>
          <w:p>
            <w:pPr>
              <w:pStyle w:val="Table"/>
              <w:keepNext/>
              <w:keepLines/>
              <w:spacing w:before="160"/>
              <w:jc w:val="center"/>
              <w:rPr>
                <w:b/>
                <w:sz w:val="20"/>
              </w:rPr>
            </w:pPr>
            <w:r>
              <w:rPr>
                <w:b/>
                <w:sz w:val="20"/>
              </w:rPr>
              <w:t>Type of premises</w:t>
            </w:r>
          </w:p>
        </w:tc>
        <w:tc>
          <w:tcPr>
            <w:tcW w:w="1134" w:type="dxa"/>
          </w:tcPr>
          <w:p>
            <w:pPr>
              <w:pStyle w:val="Table"/>
              <w:keepNext/>
              <w:keepLines/>
              <w:jc w:val="center"/>
              <w:rPr>
                <w:b/>
                <w:sz w:val="20"/>
              </w:rPr>
            </w:pPr>
            <w:r>
              <w:rPr>
                <w:b/>
                <w:sz w:val="20"/>
              </w:rPr>
              <w:t>Blackwater system litres</w:t>
            </w:r>
          </w:p>
        </w:tc>
        <w:tc>
          <w:tcPr>
            <w:tcW w:w="1418" w:type="dxa"/>
          </w:tcPr>
          <w:p>
            <w:pPr>
              <w:pStyle w:val="Table"/>
              <w:keepNext/>
              <w:keepLines/>
              <w:jc w:val="center"/>
              <w:rPr>
                <w:b/>
                <w:sz w:val="20"/>
              </w:rPr>
            </w:pPr>
            <w:r>
              <w:rPr>
                <w:b/>
                <w:sz w:val="20"/>
              </w:rPr>
              <w:t>Combined system litres</w:t>
            </w:r>
          </w:p>
        </w:tc>
      </w:tr>
      <w:tr>
        <w:tc>
          <w:tcPr>
            <w:tcW w:w="3685" w:type="dxa"/>
          </w:tcPr>
          <w:p>
            <w:pPr>
              <w:pStyle w:val="Table"/>
              <w:rPr>
                <w:sz w:val="20"/>
              </w:rPr>
            </w:pPr>
            <w:r>
              <w:rPr>
                <w:sz w:val="20"/>
              </w:rPr>
              <w:t>Hotel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180</w:t>
            </w:r>
          </w:p>
        </w:tc>
      </w:tr>
      <w:tr>
        <w:tc>
          <w:tcPr>
            <w:tcW w:w="3685" w:type="dxa"/>
          </w:tcPr>
          <w:p>
            <w:pPr>
              <w:pStyle w:val="Table"/>
              <w:rPr>
                <w:sz w:val="20"/>
              </w:rPr>
            </w:pPr>
            <w:r>
              <w:rPr>
                <w:sz w:val="20"/>
              </w:rPr>
              <w:t>Motel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(boarding)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(day) ..................................................</w:t>
            </w:r>
          </w:p>
        </w:tc>
        <w:tc>
          <w:tcPr>
            <w:tcW w:w="1134" w:type="dxa"/>
          </w:tcPr>
          <w:p>
            <w:pPr>
              <w:pStyle w:val="Table"/>
              <w:jc w:val="center"/>
              <w:rPr>
                <w:sz w:val="20"/>
              </w:rPr>
            </w:pPr>
            <w:r>
              <w:rPr>
                <w:sz w:val="20"/>
              </w:rPr>
              <w:t>30</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Public building (frequent use) .......................</w:t>
            </w:r>
          </w:p>
        </w:tc>
        <w:tc>
          <w:tcPr>
            <w:tcW w:w="1134" w:type="dxa"/>
          </w:tcPr>
          <w:p>
            <w:pPr>
              <w:pStyle w:val="Table"/>
              <w:jc w:val="center"/>
              <w:rPr>
                <w:sz w:val="20"/>
              </w:rPr>
            </w:pPr>
            <w:r>
              <w:rPr>
                <w:sz w:val="20"/>
              </w:rPr>
              <w:t>15</w:t>
            </w:r>
          </w:p>
        </w:tc>
        <w:tc>
          <w:tcPr>
            <w:tcW w:w="1418" w:type="dxa"/>
          </w:tcPr>
          <w:p>
            <w:pPr>
              <w:pStyle w:val="Table"/>
              <w:jc w:val="center"/>
              <w:rPr>
                <w:sz w:val="20"/>
              </w:rPr>
            </w:pPr>
            <w:r>
              <w:rPr>
                <w:sz w:val="20"/>
              </w:rPr>
              <w:t>30</w:t>
            </w:r>
          </w:p>
        </w:tc>
      </w:tr>
      <w:tr>
        <w:tc>
          <w:tcPr>
            <w:tcW w:w="3685" w:type="dxa"/>
          </w:tcPr>
          <w:p>
            <w:pPr>
              <w:pStyle w:val="Table"/>
              <w:rPr>
                <w:sz w:val="20"/>
              </w:rPr>
            </w:pPr>
            <w:r>
              <w:rPr>
                <w:sz w:val="20"/>
              </w:rPr>
              <w:t>Public building (infrequent use) ....................</w:t>
            </w:r>
          </w:p>
        </w:tc>
        <w:tc>
          <w:tcPr>
            <w:tcW w:w="1134" w:type="dxa"/>
          </w:tcPr>
          <w:p>
            <w:pPr>
              <w:pStyle w:val="Table"/>
              <w:jc w:val="center"/>
              <w:rPr>
                <w:sz w:val="20"/>
              </w:rPr>
            </w:pPr>
            <w:r>
              <w:rPr>
                <w:sz w:val="20"/>
              </w:rPr>
              <w:t>5</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Caravan park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Swimming pool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Drive</w:t>
            </w:r>
            <w:r>
              <w:rPr>
                <w:sz w:val="20"/>
              </w:rPr>
              <w:noBreakHyphen/>
              <w:t>in theatres (2 persons per car)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Factories and shops (based on the number of persons therein on any 8 hour shift) ..............</w:t>
            </w:r>
          </w:p>
        </w:tc>
        <w:tc>
          <w:tcPr>
            <w:tcW w:w="1134" w:type="dxa"/>
          </w:tcPr>
          <w:p>
            <w:pPr>
              <w:pStyle w:val="Table"/>
              <w:jc w:val="center"/>
              <w:rPr>
                <w:sz w:val="20"/>
              </w:rPr>
            </w:pPr>
            <w:r>
              <w:rPr>
                <w:sz w:val="20"/>
              </w:rPr>
              <w:br/>
              <w:t>45</w:t>
            </w:r>
          </w:p>
        </w:tc>
        <w:tc>
          <w:tcPr>
            <w:tcW w:w="1418" w:type="dxa"/>
          </w:tcPr>
          <w:p>
            <w:pPr>
              <w:pStyle w:val="Table"/>
              <w:jc w:val="center"/>
              <w:rPr>
                <w:sz w:val="20"/>
              </w:rPr>
            </w:pPr>
            <w:r>
              <w:rPr>
                <w:sz w:val="20"/>
              </w:rPr>
              <w:br/>
              <w:t>70</w:t>
            </w:r>
          </w:p>
        </w:tc>
      </w:tr>
      <w:tr>
        <w:tc>
          <w:tcPr>
            <w:tcW w:w="3685" w:type="dxa"/>
          </w:tcPr>
          <w:p>
            <w:pPr>
              <w:pStyle w:val="Table"/>
              <w:rPr>
                <w:sz w:val="20"/>
              </w:rPr>
            </w:pPr>
            <w:r>
              <w:rPr>
                <w:sz w:val="20"/>
              </w:rPr>
              <w:t>Construction camps (temporary)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Clubs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Clubs (licensed)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3</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 xml:space="preserve">[Regulation 29 amended in Gazette 29 Jun 1984 p. 1781; 15 Dec 1989 p. 4549; 7 Jan 2005 p. 68.] </w:t>
      </w:r>
    </w:p>
    <w:p>
      <w:pPr>
        <w:pStyle w:val="Heading5"/>
        <w:rPr>
          <w:snapToGrid w:val="0"/>
        </w:rPr>
      </w:pPr>
      <w:bookmarkStart w:id="275" w:name="_Toc47935302"/>
      <w:bookmarkStart w:id="276" w:name="_Toc113177934"/>
      <w:bookmarkStart w:id="277" w:name="_Toc33590459"/>
      <w:r>
        <w:rPr>
          <w:rStyle w:val="CharSectno"/>
        </w:rPr>
        <w:t>30</w:t>
      </w:r>
      <w:r>
        <w:rPr>
          <w:snapToGrid w:val="0"/>
        </w:rPr>
        <w:t>.</w:t>
      </w:r>
      <w:r>
        <w:rPr>
          <w:snapToGrid w:val="0"/>
        </w:rPr>
        <w:tab/>
        <w:t>Minimum air space in a septic tank</w:t>
      </w:r>
      <w:bookmarkEnd w:id="275"/>
      <w:bookmarkEnd w:id="276"/>
      <w:bookmarkEnd w:id="277"/>
      <w:r>
        <w:rPr>
          <w:snapToGrid w:val="0"/>
        </w:rPr>
        <w:t xml:space="preserve"> </w:t>
      </w:r>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278" w:name="_Toc47935303"/>
      <w:bookmarkStart w:id="279" w:name="_Toc113177935"/>
      <w:bookmarkStart w:id="280" w:name="_Toc33590460"/>
      <w:r>
        <w:rPr>
          <w:rStyle w:val="CharSectno"/>
        </w:rPr>
        <w:t>31</w:t>
      </w:r>
      <w:r>
        <w:rPr>
          <w:snapToGrid w:val="0"/>
        </w:rPr>
        <w:t>.</w:t>
      </w:r>
      <w:r>
        <w:rPr>
          <w:snapToGrid w:val="0"/>
        </w:rPr>
        <w:tab/>
        <w:t>Dimensions of a septic tank</w:t>
      </w:r>
      <w:bookmarkEnd w:id="278"/>
      <w:bookmarkEnd w:id="279"/>
      <w:bookmarkEnd w:id="280"/>
      <w:r>
        <w:rPr>
          <w:snapToGrid w:val="0"/>
        </w:rPr>
        <w:t xml:space="preserve"> </w:t>
      </w:r>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281" w:name="_Toc47935304"/>
      <w:bookmarkStart w:id="282" w:name="_Toc113177936"/>
      <w:bookmarkStart w:id="283" w:name="_Toc33590461"/>
      <w:r>
        <w:rPr>
          <w:rStyle w:val="CharSectno"/>
        </w:rPr>
        <w:t>32</w:t>
      </w:r>
      <w:r>
        <w:rPr>
          <w:snapToGrid w:val="0"/>
        </w:rPr>
        <w:t>.</w:t>
      </w:r>
      <w:r>
        <w:rPr>
          <w:snapToGrid w:val="0"/>
        </w:rPr>
        <w:tab/>
        <w:t>Construction of a precast concrete septic tank</w:t>
      </w:r>
      <w:bookmarkEnd w:id="281"/>
      <w:bookmarkEnd w:id="282"/>
      <w:bookmarkEnd w:id="283"/>
      <w:r>
        <w:rPr>
          <w:snapToGrid w:val="0"/>
        </w:rPr>
        <w:t xml:space="preserve"> </w:t>
      </w:r>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p>
      <w:pPr>
        <w:pStyle w:val="MiscellaneousHeading"/>
        <w:rPr>
          <w:b/>
          <w:bCs/>
          <w:snapToGrid w:val="0"/>
        </w:rPr>
      </w:pP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
              <w:rPr>
                <w:b/>
                <w:snapToGrid w:val="0"/>
                <w:sz w:val="20"/>
              </w:rPr>
            </w:pPr>
            <w:r>
              <w:rPr>
                <w:b/>
                <w:snapToGrid w:val="0"/>
                <w:sz w:val="20"/>
              </w:rPr>
              <w:t>Internal pipe diameter</w:t>
            </w:r>
          </w:p>
        </w:tc>
        <w:tc>
          <w:tcPr>
            <w:tcW w:w="2520" w:type="dxa"/>
          </w:tcPr>
          <w:p>
            <w:pPr>
              <w:pStyle w:val="Table"/>
              <w:jc w:val="center"/>
              <w:rPr>
                <w:b/>
                <w:snapToGrid w:val="0"/>
                <w:sz w:val="20"/>
              </w:rPr>
            </w:pPr>
            <w:r>
              <w:rPr>
                <w:b/>
                <w:snapToGrid w:val="0"/>
                <w:sz w:val="20"/>
              </w:rPr>
              <w:t>Reinforcement mesh No.</w:t>
            </w:r>
          </w:p>
        </w:tc>
      </w:tr>
      <w:tr>
        <w:tc>
          <w:tcPr>
            <w:tcW w:w="2400" w:type="dxa"/>
          </w:tcPr>
          <w:p>
            <w:pPr>
              <w:pStyle w:val="Table"/>
              <w:rPr>
                <w:snapToGrid w:val="0"/>
                <w:sz w:val="20"/>
              </w:rPr>
            </w:pPr>
            <w:r>
              <w:rPr>
                <w:snapToGrid w:val="0"/>
                <w:sz w:val="20"/>
              </w:rPr>
              <w:t>1 220 mm</w:t>
            </w:r>
          </w:p>
        </w:tc>
        <w:tc>
          <w:tcPr>
            <w:tcW w:w="2520" w:type="dxa"/>
          </w:tcPr>
          <w:p>
            <w:pPr>
              <w:pStyle w:val="Table"/>
              <w:jc w:val="center"/>
              <w:rPr>
                <w:snapToGrid w:val="0"/>
                <w:sz w:val="20"/>
              </w:rPr>
            </w:pPr>
            <w:r>
              <w:rPr>
                <w:snapToGrid w:val="0"/>
                <w:sz w:val="20"/>
              </w:rPr>
              <w:t>F. — 41</w:t>
            </w:r>
          </w:p>
        </w:tc>
      </w:tr>
      <w:tr>
        <w:tc>
          <w:tcPr>
            <w:tcW w:w="2400" w:type="dxa"/>
          </w:tcPr>
          <w:p>
            <w:pPr>
              <w:pStyle w:val="Table"/>
              <w:rPr>
                <w:snapToGrid w:val="0"/>
                <w:sz w:val="20"/>
              </w:rPr>
            </w:pPr>
            <w:r>
              <w:rPr>
                <w:snapToGrid w:val="0"/>
                <w:sz w:val="20"/>
              </w:rPr>
              <w:t>1 520 mm</w:t>
            </w:r>
          </w:p>
        </w:tc>
        <w:tc>
          <w:tcPr>
            <w:tcW w:w="2520" w:type="dxa"/>
          </w:tcPr>
          <w:p>
            <w:pPr>
              <w:pStyle w:val="Table"/>
              <w:jc w:val="center"/>
              <w:rPr>
                <w:snapToGrid w:val="0"/>
                <w:sz w:val="20"/>
              </w:rPr>
            </w:pPr>
            <w:r>
              <w:rPr>
                <w:snapToGrid w:val="0"/>
                <w:sz w:val="2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 xml:space="preserve">[Regulation 32 amended in Gazette 29 Jun 1984 p. 1781; 4 Sep 1992 p. 4473; 29 Jul 1997 p. 4082.] </w:t>
      </w:r>
    </w:p>
    <w:p>
      <w:pPr>
        <w:pStyle w:val="Heading5"/>
        <w:rPr>
          <w:snapToGrid w:val="0"/>
        </w:rPr>
      </w:pPr>
      <w:bookmarkStart w:id="284" w:name="_Toc47935305"/>
      <w:bookmarkStart w:id="285" w:name="_Toc113177937"/>
      <w:bookmarkStart w:id="286" w:name="_Toc33590462"/>
      <w:r>
        <w:rPr>
          <w:rStyle w:val="CharSectno"/>
        </w:rPr>
        <w:t>33</w:t>
      </w:r>
      <w:r>
        <w:rPr>
          <w:snapToGrid w:val="0"/>
        </w:rPr>
        <w:t>.</w:t>
      </w:r>
      <w:r>
        <w:rPr>
          <w:snapToGrid w:val="0"/>
        </w:rPr>
        <w:tab/>
        <w:t>Testing a precast concrete septic tank</w:t>
      </w:r>
      <w:bookmarkEnd w:id="284"/>
      <w:bookmarkEnd w:id="285"/>
      <w:bookmarkEnd w:id="286"/>
      <w:r>
        <w:rPr>
          <w:snapToGrid w:val="0"/>
        </w:rPr>
        <w:t xml:space="preserve"> </w:t>
      </w:r>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3</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 xml:space="preserve">4; 29 Jul 1997 p. 4082 and 4083; 5 Sep 1997 p. 5037.] </w:t>
      </w:r>
    </w:p>
    <w:p>
      <w:pPr>
        <w:pStyle w:val="Ednotesection"/>
      </w:pPr>
      <w:r>
        <w:tab/>
        <w:t>[Heading deleted in Gazette 29 Jul 1997 p. 4082.]</w:t>
      </w:r>
    </w:p>
    <w:p>
      <w:pPr>
        <w:pStyle w:val="Heading5"/>
        <w:rPr>
          <w:snapToGrid w:val="0"/>
        </w:rPr>
      </w:pPr>
      <w:bookmarkStart w:id="287" w:name="_Toc47935306"/>
      <w:bookmarkStart w:id="288" w:name="_Toc113177938"/>
      <w:bookmarkStart w:id="289" w:name="_Toc33590463"/>
      <w:r>
        <w:rPr>
          <w:rStyle w:val="CharSectno"/>
        </w:rPr>
        <w:t>34</w:t>
      </w:r>
      <w:r>
        <w:rPr>
          <w:snapToGrid w:val="0"/>
        </w:rPr>
        <w:t>.</w:t>
      </w:r>
      <w:r>
        <w:rPr>
          <w:snapToGrid w:val="0"/>
        </w:rPr>
        <w:tab/>
        <w:t>Construction of an in situ concrete septic tank</w:t>
      </w:r>
      <w:bookmarkEnd w:id="287"/>
      <w:bookmarkEnd w:id="288"/>
      <w:bookmarkEnd w:id="289"/>
      <w:r>
        <w:rPr>
          <w:snapToGrid w:val="0"/>
        </w:rPr>
        <w:t xml:space="preserve"> </w:t>
      </w:r>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 xml:space="preserve">[Regulation 34 amended in Gazette 15 Dec 1989 p. 4549; 4 Sep 1992 p. 4474.] </w:t>
      </w:r>
    </w:p>
    <w:p>
      <w:pPr>
        <w:pStyle w:val="Ednotesection"/>
      </w:pPr>
      <w:r>
        <w:tab/>
        <w:t>[Heading deleted in Gazette 29 Jul 1997 p. 4082.]</w:t>
      </w:r>
    </w:p>
    <w:p>
      <w:pPr>
        <w:pStyle w:val="Heading5"/>
        <w:rPr>
          <w:snapToGrid w:val="0"/>
        </w:rPr>
      </w:pPr>
      <w:bookmarkStart w:id="290" w:name="_Toc47935307"/>
      <w:bookmarkStart w:id="291" w:name="_Toc113177939"/>
      <w:bookmarkStart w:id="292" w:name="_Toc33590464"/>
      <w:r>
        <w:rPr>
          <w:rStyle w:val="CharSectno"/>
        </w:rPr>
        <w:t>35</w:t>
      </w:r>
      <w:r>
        <w:rPr>
          <w:snapToGrid w:val="0"/>
        </w:rPr>
        <w:t>.</w:t>
      </w:r>
      <w:r>
        <w:rPr>
          <w:snapToGrid w:val="0"/>
        </w:rPr>
        <w:tab/>
        <w:t>Construction of a brick septic tank</w:t>
      </w:r>
      <w:bookmarkEnd w:id="290"/>
      <w:bookmarkEnd w:id="291"/>
      <w:bookmarkEnd w:id="292"/>
      <w:r>
        <w:rPr>
          <w:snapToGrid w:val="0"/>
        </w:rPr>
        <w:t xml:space="preserve"> </w:t>
      </w:r>
    </w:p>
    <w:p>
      <w:pPr>
        <w:pStyle w:val="Subsection"/>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 xml:space="preserve">[Regulation 35 amended in Gazette 15 Dec 1989 p. 4549.] </w:t>
      </w:r>
    </w:p>
    <w:p>
      <w:pPr>
        <w:pStyle w:val="Heading5"/>
        <w:rPr>
          <w:snapToGrid w:val="0"/>
        </w:rPr>
      </w:pPr>
      <w:bookmarkStart w:id="293" w:name="_Toc47935308"/>
      <w:bookmarkStart w:id="294" w:name="_Toc113177940"/>
      <w:bookmarkStart w:id="295" w:name="_Toc33590465"/>
      <w:r>
        <w:rPr>
          <w:rStyle w:val="CharSectno"/>
        </w:rPr>
        <w:t>36</w:t>
      </w:r>
      <w:r>
        <w:rPr>
          <w:snapToGrid w:val="0"/>
        </w:rPr>
        <w:t>.</w:t>
      </w:r>
      <w:r>
        <w:rPr>
          <w:snapToGrid w:val="0"/>
        </w:rPr>
        <w:tab/>
        <w:t>Manufacturer of a fibreglass septic tank</w:t>
      </w:r>
      <w:bookmarkEnd w:id="293"/>
      <w:bookmarkEnd w:id="294"/>
      <w:bookmarkEnd w:id="295"/>
      <w:r>
        <w:rPr>
          <w:snapToGrid w:val="0"/>
        </w:rPr>
        <w:t xml:space="preserve"> </w:t>
      </w:r>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 </w:t>
      </w:r>
    </w:p>
    <w:p>
      <w:pPr>
        <w:pStyle w:val="Indenti"/>
        <w:rPr>
          <w:snapToGrid w:val="0"/>
        </w:rPr>
      </w:pPr>
      <w:r>
        <w:rPr>
          <w:snapToGrid w:val="0"/>
        </w:rPr>
        <w:tab/>
        <w:t>(i)</w:t>
      </w:r>
      <w:r>
        <w:rPr>
          <w:snapToGrid w:val="0"/>
        </w:rPr>
        <w:tab/>
        <w:t>be supplied with 3 openings;</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rPr>
          <w:snapToGrid w:val="0"/>
        </w:rPr>
      </w:pPr>
      <w:r>
        <w:rPr>
          <w:snapToGrid w:val="0"/>
        </w:rPr>
        <w:tab/>
        <w:t>(g)</w:t>
      </w:r>
      <w:r>
        <w:rPr>
          <w:snapToGrid w:val="0"/>
        </w:rPr>
        <w:tab/>
        <w:t>all cured laminate used in the manufacture of fibreglass tanks shall have the following properties — </w:t>
      </w:r>
    </w:p>
    <w:p>
      <w:pPr>
        <w:pStyle w:val="MiscellaneousHeading"/>
        <w:rPr>
          <w:b/>
          <w:bCs/>
          <w:snapToGrid w:val="0"/>
        </w:rPr>
      </w:pP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
              <w:spacing w:before="160"/>
            </w:pPr>
            <w:r>
              <w:t>Specific Gravity .....................</w:t>
            </w:r>
          </w:p>
        </w:tc>
        <w:tc>
          <w:tcPr>
            <w:tcW w:w="2552" w:type="dxa"/>
          </w:tcPr>
          <w:p>
            <w:pPr>
              <w:pStyle w:val="Table"/>
              <w:spacing w:before="160"/>
            </w:pPr>
            <w:r>
              <w:t>1.5 min.</w:t>
            </w:r>
          </w:p>
        </w:tc>
      </w:tr>
      <w:tr>
        <w:tc>
          <w:tcPr>
            <w:tcW w:w="2835" w:type="dxa"/>
          </w:tcPr>
          <w:p>
            <w:pPr>
              <w:pStyle w:val="Table"/>
              <w:spacing w:before="0"/>
            </w:pPr>
            <w:r>
              <w:t>Flexural Strength ....................</w:t>
            </w:r>
          </w:p>
        </w:tc>
        <w:tc>
          <w:tcPr>
            <w:tcW w:w="2552" w:type="dxa"/>
          </w:tcPr>
          <w:p>
            <w:pPr>
              <w:pStyle w:val="Table"/>
              <w:spacing w:before="0"/>
            </w:pPr>
            <w:r>
              <w:t>10 x 10</w:t>
            </w:r>
            <w:r>
              <w:rPr>
                <w:vertAlign w:val="superscript"/>
              </w:rPr>
              <w:t>4</w:t>
            </w:r>
            <w:r>
              <w:t>kPa min.</w:t>
            </w:r>
          </w:p>
        </w:tc>
      </w:tr>
      <w:tr>
        <w:tc>
          <w:tcPr>
            <w:tcW w:w="2835" w:type="dxa"/>
          </w:tcPr>
          <w:p>
            <w:pPr>
              <w:pStyle w:val="Table"/>
              <w:spacing w:before="0"/>
            </w:pPr>
            <w:r>
              <w:t>Flexural Modulus ...................</w:t>
            </w:r>
          </w:p>
        </w:tc>
        <w:tc>
          <w:tcPr>
            <w:tcW w:w="2552" w:type="dxa"/>
          </w:tcPr>
          <w:p>
            <w:pPr>
              <w:pStyle w:val="Table"/>
              <w:spacing w:before="0"/>
            </w:pPr>
            <w:r>
              <w:t>8 x 10</w:t>
            </w:r>
            <w:r>
              <w:rPr>
                <w:vertAlign w:val="superscript"/>
              </w:rPr>
              <w:t>6</w:t>
            </w:r>
            <w:r>
              <w:t>kPa min.</w:t>
            </w:r>
          </w:p>
        </w:tc>
      </w:tr>
      <w:tr>
        <w:tc>
          <w:tcPr>
            <w:tcW w:w="2835" w:type="dxa"/>
          </w:tcPr>
          <w:p>
            <w:pPr>
              <w:pStyle w:val="Table"/>
              <w:spacing w:before="0"/>
            </w:pPr>
            <w:r>
              <w:t>Impact Strength ......................</w:t>
            </w:r>
          </w:p>
        </w:tc>
        <w:tc>
          <w:tcPr>
            <w:tcW w:w="2552" w:type="dxa"/>
          </w:tcPr>
          <w:p>
            <w:pPr>
              <w:pStyle w:val="Table"/>
              <w:spacing w:before="0"/>
            </w:pPr>
            <w:r>
              <w:t>533 Joules/Metre</w:t>
            </w:r>
          </w:p>
        </w:tc>
      </w:tr>
      <w:tr>
        <w:tc>
          <w:tcPr>
            <w:tcW w:w="2835" w:type="dxa"/>
          </w:tcPr>
          <w:p>
            <w:pPr>
              <w:pStyle w:val="Table"/>
              <w:spacing w:before="0"/>
            </w:pPr>
            <w:r>
              <w:t>Hardness (Barcol) Ref,</w:t>
            </w:r>
          </w:p>
          <w:p>
            <w:pPr>
              <w:pStyle w:val="Table"/>
              <w:tabs>
                <w:tab w:val="left" w:pos="227"/>
              </w:tabs>
              <w:spacing w:before="0"/>
              <w:ind w:right="-57"/>
            </w:pPr>
            <w:r>
              <w:tab/>
              <w:t>AS 1799.4</w:t>
            </w:r>
            <w:r>
              <w:noBreakHyphen/>
              <w:t>1985 .................</w:t>
            </w:r>
          </w:p>
        </w:tc>
        <w:tc>
          <w:tcPr>
            <w:tcW w:w="2552" w:type="dxa"/>
          </w:tcPr>
          <w:p>
            <w:pPr>
              <w:pStyle w:val="Table"/>
              <w:spacing w:before="0"/>
            </w:pPr>
          </w:p>
          <w:p>
            <w:pPr>
              <w:pStyle w:val="Table"/>
              <w:spacing w:before="0"/>
            </w:pPr>
            <w:r>
              <w:t>50 min. (after 48 hours)</w:t>
            </w:r>
          </w:p>
        </w:tc>
      </w:tr>
      <w:tr>
        <w:tc>
          <w:tcPr>
            <w:tcW w:w="2835" w:type="dxa"/>
          </w:tcPr>
          <w:p>
            <w:pPr>
              <w:pStyle w:val="Table"/>
              <w:spacing w:before="0"/>
            </w:pPr>
            <w:r>
              <w:t>Moisture pick up .....................</w:t>
            </w:r>
          </w:p>
        </w:tc>
        <w:tc>
          <w:tcPr>
            <w:tcW w:w="2552" w:type="dxa"/>
          </w:tcPr>
          <w:p>
            <w:pPr>
              <w:pStyle w:val="Table"/>
              <w:spacing w:before="0"/>
            </w:pPr>
            <w:r>
              <w:t>0.5% max. 24 hours</w:t>
            </w:r>
          </w:p>
        </w:tc>
      </w:tr>
      <w:tr>
        <w:tc>
          <w:tcPr>
            <w:tcW w:w="2835" w:type="dxa"/>
          </w:tcPr>
          <w:p>
            <w:pPr>
              <w:pStyle w:val="Table"/>
              <w:spacing w:before="0"/>
            </w:pPr>
            <w:r>
              <w:t>Glass content ..........................</w:t>
            </w:r>
          </w:p>
        </w:tc>
        <w:tc>
          <w:tcPr>
            <w:tcW w:w="2552" w:type="dxa"/>
          </w:tcPr>
          <w:p>
            <w:pPr>
              <w:pStyle w:val="Table"/>
              <w:spacing w:before="0"/>
            </w:pPr>
            <w:r>
              <w:t>30% min.</w:t>
            </w:r>
          </w:p>
        </w:tc>
      </w:tr>
      <w:tr>
        <w:tc>
          <w:tcPr>
            <w:tcW w:w="2835" w:type="dxa"/>
          </w:tcPr>
          <w:p>
            <w:pPr>
              <w:pStyle w:val="Table"/>
              <w:spacing w:before="0"/>
            </w:pPr>
            <w:r>
              <w:t>Thickness ................................</w:t>
            </w:r>
          </w:p>
        </w:tc>
        <w:tc>
          <w:tcPr>
            <w:tcW w:w="2552" w:type="dxa"/>
          </w:tcPr>
          <w:p>
            <w:pPr>
              <w:pStyle w:val="Table"/>
              <w:spacing w:before="0"/>
            </w:pPr>
            <w:r>
              <w:t>4 mm for body per min.</w:t>
            </w:r>
          </w:p>
          <w:p>
            <w:pPr>
              <w:pStyle w:val="Table"/>
              <w:spacing w:before="0"/>
            </w:pPr>
            <w:r>
              <w:t>5 mm for lid per min.</w:t>
            </w:r>
          </w:p>
        </w:tc>
      </w:tr>
      <w:tr>
        <w:tc>
          <w:tcPr>
            <w:tcW w:w="2835" w:type="dxa"/>
          </w:tcPr>
          <w:p>
            <w:pPr>
              <w:pStyle w:val="Table"/>
              <w:spacing w:before="0"/>
            </w:pPr>
            <w:r>
              <w:t>Specific Tolerance on length ..</w:t>
            </w:r>
          </w:p>
        </w:tc>
        <w:tc>
          <w:tcPr>
            <w:tcW w:w="2552" w:type="dxa"/>
          </w:tcPr>
          <w:p>
            <w:pPr>
              <w:pStyle w:val="Table"/>
              <w:spacing w:before="0"/>
            </w:pPr>
            <w:r>
              <w:t>Plus or minus 12.7 mm</w:t>
            </w:r>
          </w:p>
        </w:tc>
      </w:tr>
      <w:tr>
        <w:tc>
          <w:tcPr>
            <w:tcW w:w="2835" w:type="dxa"/>
          </w:tcPr>
          <w:p>
            <w:pPr>
              <w:pStyle w:val="Table"/>
              <w:tabs>
                <w:tab w:val="left" w:pos="227"/>
              </w:tabs>
              <w:spacing w:before="0"/>
              <w:ind w:right="-57"/>
            </w:pPr>
            <w:r>
              <w:t xml:space="preserve">Diameter including out of </w:t>
            </w:r>
            <w:r>
              <w:tab/>
              <w:t>round ...................................</w:t>
            </w:r>
          </w:p>
        </w:tc>
        <w:tc>
          <w:tcPr>
            <w:tcW w:w="2552" w:type="dxa"/>
          </w:tcPr>
          <w:p>
            <w:pPr>
              <w:pStyle w:val="Table"/>
              <w:spacing w:before="0"/>
            </w:pPr>
            <w:r>
              <w:br/>
              <w:t>Plus or minus 6.5 mm</w:t>
            </w:r>
          </w:p>
        </w:tc>
      </w:tr>
      <w:tr>
        <w:tc>
          <w:tcPr>
            <w:tcW w:w="2835" w:type="dxa"/>
          </w:tcPr>
          <w:p>
            <w:pPr>
              <w:pStyle w:val="Table"/>
              <w:tabs>
                <w:tab w:val="left" w:pos="227"/>
              </w:tabs>
              <w:spacing w:before="0"/>
            </w:pPr>
            <w:r>
              <w:t xml:space="preserve">Entrapped air Max. No. of </w:t>
            </w:r>
            <w:r>
              <w:tab/>
              <w:t>Bubbles ...............................</w:t>
            </w:r>
          </w:p>
        </w:tc>
        <w:tc>
          <w:tcPr>
            <w:tcW w:w="2552" w:type="dxa"/>
          </w:tcPr>
          <w:p>
            <w:pPr>
              <w:pStyle w:val="Table"/>
              <w:spacing w:before="0"/>
              <w:rPr>
                <w:vertAlign w:val="superscript"/>
              </w:rPr>
            </w:pPr>
            <w:r>
              <w:br/>
              <w:t>15 per 1 000 mm</w:t>
            </w:r>
            <w:r>
              <w:rPr>
                <w:vertAlign w:val="superscript"/>
              </w:rPr>
              <w:t>2</w:t>
            </w:r>
          </w:p>
        </w:tc>
      </w:tr>
      <w:tr>
        <w:tc>
          <w:tcPr>
            <w:tcW w:w="2835" w:type="dxa"/>
          </w:tcPr>
          <w:p>
            <w:pPr>
              <w:pStyle w:val="Table"/>
              <w:spacing w:before="0"/>
            </w:pPr>
            <w:r>
              <w:t>Max. Size ................................</w:t>
            </w:r>
          </w:p>
        </w:tc>
        <w:tc>
          <w:tcPr>
            <w:tcW w:w="2552" w:type="dxa"/>
          </w:tcPr>
          <w:p>
            <w:pPr>
              <w:pStyle w:val="Table"/>
              <w:spacing w:before="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 xml:space="preserve">20; amended in Gazette 29 Jun 1984 p. 1781; 4 Sep 1992 p. 4474; 29 Jul 1997 p. 4083; 5 Sep 1997 p. 5037.] </w:t>
      </w:r>
    </w:p>
    <w:p>
      <w:pPr>
        <w:pStyle w:val="Heading2"/>
      </w:pPr>
      <w:bookmarkStart w:id="296" w:name="_Toc92695630"/>
      <w:bookmarkStart w:id="297" w:name="_Toc92968572"/>
      <w:bookmarkStart w:id="298" w:name="_Toc92968664"/>
      <w:bookmarkStart w:id="299" w:name="_Toc94935601"/>
      <w:bookmarkStart w:id="300" w:name="_Toc94935816"/>
      <w:bookmarkStart w:id="301" w:name="_Toc94941381"/>
      <w:bookmarkStart w:id="302" w:name="_Toc105237857"/>
      <w:bookmarkStart w:id="303" w:name="_Toc105470626"/>
      <w:bookmarkStart w:id="304" w:name="_Toc107800473"/>
      <w:bookmarkStart w:id="305" w:name="_Toc110666943"/>
      <w:bookmarkStart w:id="306" w:name="_Toc110842783"/>
      <w:bookmarkStart w:id="307" w:name="_Toc113177941"/>
      <w:bookmarkStart w:id="308" w:name="_Toc113259795"/>
      <w:bookmarkStart w:id="309" w:name="_Toc113262940"/>
      <w:bookmarkStart w:id="310" w:name="_Toc117907404"/>
      <w:bookmarkStart w:id="311" w:name="_Toc134332512"/>
      <w:bookmarkStart w:id="312" w:name="_Toc134337461"/>
      <w:bookmarkStart w:id="313" w:name="_Toc134337751"/>
      <w:bookmarkStart w:id="314" w:name="_Toc139258704"/>
      <w:bookmarkStart w:id="315" w:name="_Toc167179058"/>
      <w:bookmarkStart w:id="316" w:name="_Toc170201206"/>
      <w:bookmarkStart w:id="317" w:name="_Toc170715736"/>
      <w:bookmarkStart w:id="318" w:name="_Toc195006283"/>
      <w:bookmarkStart w:id="319" w:name="_Toc195070035"/>
      <w:bookmarkStart w:id="320" w:name="_Toc33590466"/>
      <w:r>
        <w:rPr>
          <w:rStyle w:val="CharPartNo"/>
        </w:rPr>
        <w:t>Part 4</w:t>
      </w:r>
      <w:r>
        <w:rPr>
          <w:rStyle w:val="CharDivNo"/>
        </w:rPr>
        <w:t> </w:t>
      </w:r>
      <w:r>
        <w:t>—</w:t>
      </w:r>
      <w:r>
        <w:rPr>
          <w:rStyle w:val="CharDivText"/>
        </w:rPr>
        <w:t> </w:t>
      </w:r>
      <w:r>
        <w:rPr>
          <w:rStyle w:val="CharPartText"/>
        </w:rPr>
        <w:t>Restricted flush fixtures</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Pr>
          <w:rStyle w:val="CharPartText"/>
        </w:rPr>
        <w:t xml:space="preserve"> </w:t>
      </w:r>
    </w:p>
    <w:p>
      <w:pPr>
        <w:pStyle w:val="Footnoteheading"/>
        <w:ind w:left="890"/>
        <w:rPr>
          <w:snapToGrid w:val="0"/>
        </w:rPr>
      </w:pPr>
      <w:r>
        <w:rPr>
          <w:snapToGrid w:val="0"/>
        </w:rPr>
        <w:tab/>
        <w:t>[Heading inserted in Gazette 29 Jul 1997 p. 4078.]</w:t>
      </w:r>
    </w:p>
    <w:p>
      <w:pPr>
        <w:pStyle w:val="Ednotesection"/>
      </w:pPr>
      <w:r>
        <w:t>[</w:t>
      </w:r>
      <w:r>
        <w:rPr>
          <w:b/>
        </w:rPr>
        <w:t>37.</w:t>
      </w:r>
      <w:r>
        <w:tab/>
        <w:t>Repealed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321" w:name="_Toc47935310"/>
      <w:bookmarkStart w:id="322" w:name="_Toc113177942"/>
      <w:bookmarkStart w:id="323" w:name="_Toc33590467"/>
      <w:r>
        <w:rPr>
          <w:rStyle w:val="CharSectno"/>
        </w:rPr>
        <w:t>38</w:t>
      </w:r>
      <w:r>
        <w:rPr>
          <w:snapToGrid w:val="0"/>
        </w:rPr>
        <w:t>.</w:t>
      </w:r>
      <w:r>
        <w:rPr>
          <w:snapToGrid w:val="0"/>
        </w:rPr>
        <w:tab/>
        <w:t>Minimum flush fixtures and fittings generally</w:t>
      </w:r>
      <w:bookmarkEnd w:id="321"/>
      <w:bookmarkEnd w:id="322"/>
      <w:bookmarkEnd w:id="323"/>
      <w:r>
        <w:rPr>
          <w:snapToGrid w:val="0"/>
        </w:rPr>
        <w:t xml:space="preserve"> </w:t>
      </w:r>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 xml:space="preserve">[Regulation 38 amended in Gazette 29 Jun 1984 p. 1781; 29 Jul 1997 p. 4083; 28 Jun 2004 p. 2395.] </w:t>
      </w:r>
    </w:p>
    <w:p>
      <w:pPr>
        <w:pStyle w:val="Heading5"/>
        <w:rPr>
          <w:snapToGrid w:val="0"/>
        </w:rPr>
      </w:pPr>
      <w:bookmarkStart w:id="324" w:name="_Toc47935311"/>
      <w:bookmarkStart w:id="325" w:name="_Toc113177943"/>
      <w:bookmarkStart w:id="326" w:name="_Toc33590468"/>
      <w:r>
        <w:rPr>
          <w:rStyle w:val="CharSectno"/>
        </w:rPr>
        <w:t>39</w:t>
      </w:r>
      <w:r>
        <w:rPr>
          <w:snapToGrid w:val="0"/>
        </w:rPr>
        <w:t>.</w:t>
      </w:r>
      <w:r>
        <w:rPr>
          <w:snapToGrid w:val="0"/>
        </w:rPr>
        <w:tab/>
        <w:t>Minimum flush fixtures and fittings on any land</w:t>
      </w:r>
      <w:bookmarkEnd w:id="324"/>
      <w:bookmarkEnd w:id="325"/>
      <w:bookmarkEnd w:id="326"/>
      <w:r>
        <w:rPr>
          <w:snapToGrid w:val="0"/>
        </w:rPr>
        <w:t xml:space="preserve"> </w:t>
      </w:r>
    </w:p>
    <w:p>
      <w:pPr>
        <w:pStyle w:val="Subsection"/>
        <w:rPr>
          <w:snapToGrid w:val="0"/>
        </w:rPr>
      </w:pPr>
      <w:r>
        <w:rPr>
          <w:snapToGrid w:val="0"/>
        </w:rPr>
        <w:tab/>
        <w:t>(1)</w:t>
      </w:r>
      <w:r>
        <w:rPr>
          <w:snapToGrid w:val="0"/>
        </w:rPr>
        <w:tab/>
        <w:t>The Executive Director, Public Health shall not approve the use of minimum flush fixtures and fittings on any land unless — </w:t>
      </w:r>
    </w:p>
    <w:p>
      <w:pPr>
        <w:pStyle w:val="Indenta"/>
        <w:rPr>
          <w:snapToGrid w:val="0"/>
        </w:rPr>
      </w:pPr>
      <w:r>
        <w:rPr>
          <w:snapToGrid w:val="0"/>
        </w:rPr>
        <w:tab/>
        <w:t>(a)</w:t>
      </w:r>
      <w:r>
        <w:rPr>
          <w:snapToGrid w:val="0"/>
        </w:rPr>
        <w:tab/>
        <w:t>the pan is mounted within 2.4 m of the septic tank;</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 </w:t>
      </w:r>
    </w:p>
    <w:p>
      <w:pPr>
        <w:pStyle w:val="Indenta"/>
        <w:rPr>
          <w:snapToGrid w:val="0"/>
        </w:rPr>
      </w:pPr>
      <w:r>
        <w:rPr>
          <w:snapToGrid w:val="0"/>
        </w:rPr>
        <w:tab/>
        <w:t>(a)</w:t>
      </w:r>
      <w:r>
        <w:rPr>
          <w:snapToGrid w:val="0"/>
        </w:rPr>
        <w:tab/>
        <w:t>have a liquid capacity of at least 1 820 litres;</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 xml:space="preserve">[Regulation 39 amended in Gazette 29 Jun 1984 p. 1781; 15 Dec 1989 p. 4549; 29 Jul 1997 p. 4079 and 4083.] </w:t>
      </w:r>
    </w:p>
    <w:p>
      <w:pPr>
        <w:pStyle w:val="Heading5"/>
        <w:rPr>
          <w:snapToGrid w:val="0"/>
        </w:rPr>
      </w:pPr>
      <w:bookmarkStart w:id="327" w:name="_Toc47935312"/>
      <w:bookmarkStart w:id="328" w:name="_Toc113177944"/>
      <w:bookmarkStart w:id="329" w:name="_Toc33590469"/>
      <w:r>
        <w:rPr>
          <w:rStyle w:val="CharSectno"/>
        </w:rPr>
        <w:t>40</w:t>
      </w:r>
      <w:r>
        <w:rPr>
          <w:snapToGrid w:val="0"/>
        </w:rPr>
        <w:t>.</w:t>
      </w:r>
      <w:r>
        <w:rPr>
          <w:snapToGrid w:val="0"/>
        </w:rPr>
        <w:tab/>
        <w:t>Certificate of approval of fixtures and fittings</w:t>
      </w:r>
      <w:bookmarkEnd w:id="327"/>
      <w:bookmarkEnd w:id="328"/>
      <w:bookmarkEnd w:id="329"/>
      <w:r>
        <w:rPr>
          <w:snapToGrid w:val="0"/>
        </w:rPr>
        <w:t xml:space="preserve"> </w:t>
      </w:r>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 xml:space="preserve">[Regulation 40 amended in Gazette 29 Jun 1984 p. 1781; 15 Dec 1989 p. 4549; 29 Jul 1997 p. 4083.] </w:t>
      </w:r>
    </w:p>
    <w:p>
      <w:pPr>
        <w:pStyle w:val="Heading5"/>
        <w:rPr>
          <w:snapToGrid w:val="0"/>
        </w:rPr>
      </w:pPr>
      <w:bookmarkStart w:id="330" w:name="_Toc47935313"/>
      <w:bookmarkStart w:id="331" w:name="_Toc113177945"/>
      <w:bookmarkStart w:id="332" w:name="_Toc33590470"/>
      <w:r>
        <w:rPr>
          <w:rStyle w:val="CharSectno"/>
        </w:rPr>
        <w:t>41</w:t>
      </w:r>
      <w:r>
        <w:rPr>
          <w:snapToGrid w:val="0"/>
        </w:rPr>
        <w:t>.</w:t>
      </w:r>
      <w:r>
        <w:rPr>
          <w:snapToGrid w:val="0"/>
        </w:rPr>
        <w:tab/>
        <w:t>Testing a closet pan or flushing cistern</w:t>
      </w:r>
      <w:bookmarkEnd w:id="330"/>
      <w:bookmarkEnd w:id="331"/>
      <w:bookmarkEnd w:id="332"/>
      <w:r>
        <w:rPr>
          <w:snapToGrid w:val="0"/>
        </w:rPr>
        <w:t xml:space="preserve"> </w:t>
      </w:r>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p>
      <w:pPr>
        <w:pStyle w:val="MiscellaneousHeading"/>
        <w:rPr>
          <w:b/>
          <w:bCs/>
          <w:snapToGrid w:val="0"/>
        </w:rPr>
      </w:pP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
              <w:rPr>
                <w:b/>
                <w:snapToGrid w:val="0"/>
                <w:sz w:val="20"/>
                <w:lang w:val="en-US"/>
              </w:rPr>
            </w:pPr>
          </w:p>
        </w:tc>
        <w:tc>
          <w:tcPr>
            <w:tcW w:w="1242" w:type="dxa"/>
          </w:tcPr>
          <w:p>
            <w:pPr>
              <w:pStyle w:val="Table"/>
              <w:jc w:val="center"/>
              <w:rPr>
                <w:b/>
                <w:snapToGrid w:val="0"/>
                <w:sz w:val="20"/>
              </w:rPr>
            </w:pPr>
            <w:r>
              <w:rPr>
                <w:b/>
                <w:snapToGrid w:val="0"/>
                <w:sz w:val="20"/>
              </w:rPr>
              <w:t>$</w:t>
            </w:r>
          </w:p>
        </w:tc>
      </w:tr>
      <w:tr>
        <w:tc>
          <w:tcPr>
            <w:tcW w:w="5103" w:type="dxa"/>
          </w:tcPr>
          <w:p>
            <w:pPr>
              <w:pStyle w:val="Table"/>
              <w:rPr>
                <w:snapToGrid w:val="0"/>
              </w:rPr>
            </w:pPr>
            <w:r>
              <w:rPr>
                <w:snapToGrid w:val="0"/>
              </w:rPr>
              <w:t xml:space="preserve">For each closet pan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For each flushing cistern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And for each application </w:t>
            </w:r>
            <w:r>
              <w:rPr>
                <w:sz w:val="20"/>
              </w:rPr>
              <w:t>.....................................................</w:t>
            </w:r>
          </w:p>
        </w:tc>
        <w:tc>
          <w:tcPr>
            <w:tcW w:w="1242" w:type="dxa"/>
          </w:tcPr>
          <w:p>
            <w:pPr>
              <w:pStyle w:val="Table"/>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 xml:space="preserve">[Regulation 41 amended in Gazette 29 Jun 1984 p. 1781; 15 Dec 1989 p. 4549.] </w:t>
      </w:r>
    </w:p>
    <w:p>
      <w:pPr>
        <w:pStyle w:val="Heading5"/>
        <w:rPr>
          <w:snapToGrid w:val="0"/>
        </w:rPr>
      </w:pPr>
      <w:bookmarkStart w:id="333" w:name="_Toc47935314"/>
      <w:bookmarkStart w:id="334" w:name="_Toc113177946"/>
      <w:bookmarkStart w:id="335" w:name="_Toc33590471"/>
      <w:r>
        <w:rPr>
          <w:rStyle w:val="CharSectno"/>
        </w:rPr>
        <w:t>42</w:t>
      </w:r>
      <w:r>
        <w:rPr>
          <w:snapToGrid w:val="0"/>
        </w:rPr>
        <w:t>.</w:t>
      </w:r>
      <w:r>
        <w:rPr>
          <w:snapToGrid w:val="0"/>
        </w:rPr>
        <w:tab/>
        <w:t>Restriction on variations</w:t>
      </w:r>
      <w:bookmarkEnd w:id="333"/>
      <w:bookmarkEnd w:id="334"/>
      <w:bookmarkEnd w:id="335"/>
      <w:r>
        <w:rPr>
          <w:snapToGrid w:val="0"/>
        </w:rPr>
        <w:t xml:space="preserve"> </w:t>
      </w:r>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 xml:space="preserve">[Regulation 42 amended in Gazette 29 Jul 1997 p. 4079 and 4083; 28 Jun 2004 p. 2396.] </w:t>
      </w:r>
    </w:p>
    <w:p>
      <w:pPr>
        <w:pStyle w:val="Heading2"/>
      </w:pPr>
      <w:bookmarkStart w:id="336" w:name="_Toc92695636"/>
      <w:bookmarkStart w:id="337" w:name="_Toc92968578"/>
      <w:bookmarkStart w:id="338" w:name="_Toc92968670"/>
      <w:bookmarkStart w:id="339" w:name="_Toc94935607"/>
      <w:bookmarkStart w:id="340" w:name="_Toc94935822"/>
      <w:bookmarkStart w:id="341" w:name="_Toc94941387"/>
      <w:bookmarkStart w:id="342" w:name="_Toc105237863"/>
      <w:bookmarkStart w:id="343" w:name="_Toc105470632"/>
      <w:bookmarkStart w:id="344" w:name="_Toc107800479"/>
      <w:bookmarkStart w:id="345" w:name="_Toc110666949"/>
      <w:bookmarkStart w:id="346" w:name="_Toc110842789"/>
      <w:bookmarkStart w:id="347" w:name="_Toc113177947"/>
      <w:bookmarkStart w:id="348" w:name="_Toc113259801"/>
      <w:bookmarkStart w:id="349" w:name="_Toc113262946"/>
      <w:bookmarkStart w:id="350" w:name="_Toc117907410"/>
      <w:bookmarkStart w:id="351" w:name="_Toc134332518"/>
      <w:bookmarkStart w:id="352" w:name="_Toc134337467"/>
      <w:bookmarkStart w:id="353" w:name="_Toc134337757"/>
      <w:bookmarkStart w:id="354" w:name="_Toc139258710"/>
      <w:bookmarkStart w:id="355" w:name="_Toc167179064"/>
      <w:bookmarkStart w:id="356" w:name="_Toc170201212"/>
      <w:bookmarkStart w:id="357" w:name="_Toc170715742"/>
      <w:bookmarkStart w:id="358" w:name="_Toc195006289"/>
      <w:bookmarkStart w:id="359" w:name="_Toc195070041"/>
      <w:bookmarkStart w:id="360" w:name="_Toc33590472"/>
      <w:r>
        <w:rPr>
          <w:rStyle w:val="CharPartNo"/>
        </w:rPr>
        <w:t>Part 4A</w:t>
      </w:r>
      <w:r>
        <w:rPr>
          <w:rStyle w:val="CharDivNo"/>
        </w:rPr>
        <w:t> </w:t>
      </w:r>
      <w:r>
        <w:t>—</w:t>
      </w:r>
      <w:r>
        <w:rPr>
          <w:rStyle w:val="CharDivText"/>
        </w:rPr>
        <w:t> </w:t>
      </w:r>
      <w:r>
        <w:rPr>
          <w:rStyle w:val="CharPartText"/>
        </w:rPr>
        <w:t>Maintenance of aerobic treatment units</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361" w:name="_Toc47935315"/>
      <w:bookmarkStart w:id="362" w:name="_Toc113177948"/>
      <w:bookmarkStart w:id="363" w:name="_Toc33590473"/>
      <w:r>
        <w:rPr>
          <w:rStyle w:val="CharSectno"/>
        </w:rPr>
        <w:t>42A</w:t>
      </w:r>
      <w:r>
        <w:rPr>
          <w:snapToGrid w:val="0"/>
        </w:rPr>
        <w:t>.</w:t>
      </w:r>
      <w:r>
        <w:rPr>
          <w:snapToGrid w:val="0"/>
        </w:rPr>
        <w:tab/>
        <w:t>Owner to ensure arrangements in place for maintenance of unit</w:t>
      </w:r>
      <w:bookmarkEnd w:id="361"/>
      <w:bookmarkEnd w:id="362"/>
      <w:bookmarkEnd w:id="363"/>
      <w:r>
        <w:rPr>
          <w:snapToGrid w:val="0"/>
        </w:rPr>
        <w:t xml:space="preserve"> </w:t>
      </w:r>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 xml:space="preserve">[Regulation 42A inserted in Gazette 4 Sep 1992 p. 4474.] </w:t>
      </w:r>
    </w:p>
    <w:p>
      <w:pPr>
        <w:pStyle w:val="Heading5"/>
        <w:rPr>
          <w:snapToGrid w:val="0"/>
        </w:rPr>
      </w:pPr>
      <w:bookmarkStart w:id="364" w:name="_Toc47935316"/>
      <w:bookmarkStart w:id="365" w:name="_Toc113177949"/>
      <w:bookmarkStart w:id="366" w:name="_Toc33590474"/>
      <w:r>
        <w:rPr>
          <w:rStyle w:val="CharSectno"/>
        </w:rPr>
        <w:t>42B</w:t>
      </w:r>
      <w:r>
        <w:rPr>
          <w:snapToGrid w:val="0"/>
        </w:rPr>
        <w:t>.</w:t>
      </w:r>
      <w:r>
        <w:rPr>
          <w:snapToGrid w:val="0"/>
        </w:rPr>
        <w:tab/>
        <w:t>Units to be maintained in accordance with standard</w:t>
      </w:r>
      <w:bookmarkEnd w:id="364"/>
      <w:bookmarkEnd w:id="365"/>
      <w:bookmarkEnd w:id="366"/>
      <w:r>
        <w:rPr>
          <w:snapToGrid w:val="0"/>
        </w:rPr>
        <w:t xml:space="preserve"> </w:t>
      </w:r>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 xml:space="preserve">[Regulation 42B inserted in Gazette 4 Sep 1992 p. 4474; amended in Gazette 6 Nov 2001 p. 5839; 7 Jan 2005 p. 68.] </w:t>
      </w:r>
    </w:p>
    <w:p>
      <w:pPr>
        <w:pStyle w:val="Heading5"/>
        <w:rPr>
          <w:snapToGrid w:val="0"/>
        </w:rPr>
      </w:pPr>
      <w:bookmarkStart w:id="367" w:name="_Toc47935317"/>
      <w:bookmarkStart w:id="368" w:name="_Toc113177950"/>
      <w:bookmarkStart w:id="369" w:name="_Toc33590475"/>
      <w:r>
        <w:rPr>
          <w:rStyle w:val="CharSectno"/>
        </w:rPr>
        <w:t>42C</w:t>
      </w:r>
      <w:r>
        <w:rPr>
          <w:snapToGrid w:val="0"/>
        </w:rPr>
        <w:t>.</w:t>
      </w:r>
      <w:r>
        <w:rPr>
          <w:snapToGrid w:val="0"/>
        </w:rPr>
        <w:tab/>
        <w:t>Maintenance of units to be carried out by authorised persons</w:t>
      </w:r>
      <w:bookmarkEnd w:id="367"/>
      <w:bookmarkEnd w:id="368"/>
      <w:bookmarkEnd w:id="369"/>
      <w:r>
        <w:rPr>
          <w:snapToGrid w:val="0"/>
        </w:rPr>
        <w:t xml:space="preserve"> </w:t>
      </w:r>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 xml:space="preserve">5.] </w:t>
      </w:r>
    </w:p>
    <w:p>
      <w:pPr>
        <w:pStyle w:val="Heading5"/>
        <w:rPr>
          <w:snapToGrid w:val="0"/>
        </w:rPr>
      </w:pPr>
      <w:bookmarkStart w:id="370" w:name="_Toc47935318"/>
      <w:bookmarkStart w:id="371" w:name="_Toc113177951"/>
      <w:bookmarkStart w:id="372" w:name="_Toc33590476"/>
      <w:r>
        <w:rPr>
          <w:rStyle w:val="CharSectno"/>
        </w:rPr>
        <w:t>42D</w:t>
      </w:r>
      <w:r>
        <w:rPr>
          <w:snapToGrid w:val="0"/>
        </w:rPr>
        <w:t>.</w:t>
      </w:r>
      <w:r>
        <w:rPr>
          <w:snapToGrid w:val="0"/>
        </w:rPr>
        <w:tab/>
        <w:t>Authorised person to notify new owner of maintenance requirements for unit</w:t>
      </w:r>
      <w:bookmarkEnd w:id="370"/>
      <w:bookmarkEnd w:id="371"/>
      <w:bookmarkEnd w:id="372"/>
      <w:r>
        <w:rPr>
          <w:snapToGrid w:val="0"/>
        </w:rPr>
        <w:t xml:space="preserve"> </w:t>
      </w:r>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 </w:t>
      </w:r>
    </w:p>
    <w:p>
      <w:pPr>
        <w:pStyle w:val="Indenta"/>
        <w:rPr>
          <w:snapToGrid w:val="0"/>
        </w:rPr>
      </w:pPr>
      <w:r>
        <w:rPr>
          <w:snapToGrid w:val="0"/>
        </w:rPr>
        <w:tab/>
        <w:t>(a)</w:t>
      </w:r>
      <w:r>
        <w:rPr>
          <w:snapToGrid w:val="0"/>
        </w:rPr>
        <w:tab/>
        <w:t>the general requirements for the maintenance of the unit;</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 xml:space="preserve">[Regulation 42D inserted in Gazette 4 Sep 1992 p. 4475.] </w:t>
      </w:r>
    </w:p>
    <w:p>
      <w:pPr>
        <w:pStyle w:val="Heading2"/>
      </w:pPr>
      <w:bookmarkStart w:id="373" w:name="_Toc92695641"/>
      <w:bookmarkStart w:id="374" w:name="_Toc92968583"/>
      <w:bookmarkStart w:id="375" w:name="_Toc92968675"/>
      <w:bookmarkStart w:id="376" w:name="_Toc94935612"/>
      <w:bookmarkStart w:id="377" w:name="_Toc94935827"/>
      <w:bookmarkStart w:id="378" w:name="_Toc94941392"/>
      <w:bookmarkStart w:id="379" w:name="_Toc105237868"/>
      <w:bookmarkStart w:id="380" w:name="_Toc105470637"/>
      <w:bookmarkStart w:id="381" w:name="_Toc107800484"/>
      <w:bookmarkStart w:id="382" w:name="_Toc110666954"/>
      <w:bookmarkStart w:id="383" w:name="_Toc110842794"/>
      <w:bookmarkStart w:id="384" w:name="_Toc113177952"/>
      <w:bookmarkStart w:id="385" w:name="_Toc113259806"/>
      <w:bookmarkStart w:id="386" w:name="_Toc113262951"/>
      <w:bookmarkStart w:id="387" w:name="_Toc117907415"/>
      <w:bookmarkStart w:id="388" w:name="_Toc134332523"/>
      <w:bookmarkStart w:id="389" w:name="_Toc134337472"/>
      <w:bookmarkStart w:id="390" w:name="_Toc134337762"/>
      <w:bookmarkStart w:id="391" w:name="_Toc139258715"/>
      <w:bookmarkStart w:id="392" w:name="_Toc167179069"/>
      <w:bookmarkStart w:id="393" w:name="_Toc170201217"/>
      <w:bookmarkStart w:id="394" w:name="_Toc170715747"/>
      <w:bookmarkStart w:id="395" w:name="_Toc195006294"/>
      <w:bookmarkStart w:id="396" w:name="_Toc195070046"/>
      <w:bookmarkStart w:id="397" w:name="_Toc33590477"/>
      <w:r>
        <w:rPr>
          <w:rStyle w:val="CharPartNo"/>
        </w:rPr>
        <w:t>Part 5</w:t>
      </w:r>
      <w:r>
        <w:rPr>
          <w:rStyle w:val="CharDivNo"/>
        </w:rPr>
        <w:t> </w:t>
      </w:r>
      <w:r>
        <w:t>—</w:t>
      </w:r>
      <w:r>
        <w:rPr>
          <w:rStyle w:val="CharDivText"/>
        </w:rPr>
        <w:t> </w:t>
      </w:r>
      <w:r>
        <w:rPr>
          <w:rStyle w:val="CharPartText"/>
        </w:rPr>
        <w:t>Dry type septic tank</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398" w:name="_Toc47935319"/>
      <w:bookmarkStart w:id="399" w:name="_Toc113177953"/>
      <w:bookmarkStart w:id="400" w:name="_Toc33590478"/>
      <w:r>
        <w:rPr>
          <w:rStyle w:val="CharSectno"/>
        </w:rPr>
        <w:t>43</w:t>
      </w:r>
      <w:r>
        <w:rPr>
          <w:snapToGrid w:val="0"/>
        </w:rPr>
        <w:t>.</w:t>
      </w:r>
      <w:r>
        <w:rPr>
          <w:snapToGrid w:val="0"/>
        </w:rPr>
        <w:tab/>
        <w:t>Dry type septic tank</w:t>
      </w:r>
      <w:bookmarkEnd w:id="398"/>
      <w:bookmarkEnd w:id="399"/>
      <w:bookmarkEnd w:id="400"/>
      <w:r>
        <w:rPr>
          <w:snapToGrid w:val="0"/>
        </w:rPr>
        <w:t xml:space="preserve"> </w:t>
      </w:r>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 </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w:t>
      </w:r>
    </w:p>
    <w:p>
      <w:pPr>
        <w:pStyle w:val="Indenta"/>
        <w:rPr>
          <w:snapToGrid w:val="0"/>
        </w:rPr>
      </w:pPr>
      <w:r>
        <w:rPr>
          <w:snapToGrid w:val="0"/>
        </w:rPr>
        <w:tab/>
        <w:t>(b)</w:t>
      </w:r>
      <w:r>
        <w:rPr>
          <w:snapToGrid w:val="0"/>
        </w:rPr>
        <w:tab/>
        <w:t>the tank shall be constructed as set out in Schedule 6, unless otherwise specified by the Executive Director, Public Health;</w:t>
      </w:r>
    </w:p>
    <w:p>
      <w:pPr>
        <w:pStyle w:val="Indenta"/>
        <w:rPr>
          <w:snapToGrid w:val="0"/>
        </w:rPr>
      </w:pPr>
      <w:r>
        <w:rPr>
          <w:snapToGrid w:val="0"/>
        </w:rPr>
        <w:tab/>
        <w:t>(c)</w:t>
      </w:r>
      <w:r>
        <w:rPr>
          <w:snapToGrid w:val="0"/>
        </w:rPr>
        <w:tab/>
        <w:t>the tank shall not be within 6 m of any house, or 1.8 m of any boundary or 30 m of any well, creek or underground source of water;</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w:t>
      </w:r>
    </w:p>
    <w:p>
      <w:pPr>
        <w:pStyle w:val="Indenta"/>
        <w:rPr>
          <w:snapToGrid w:val="0"/>
        </w:rPr>
      </w:pPr>
      <w:r>
        <w:rPr>
          <w:snapToGrid w:val="0"/>
        </w:rPr>
        <w:tab/>
        <w:t>(g)</w:t>
      </w:r>
      <w:r>
        <w:rPr>
          <w:snapToGrid w:val="0"/>
        </w:rPr>
        <w:tab/>
        <w:t>the liquid capacity of the tank shall be at least 1 820 litres;</w:t>
      </w:r>
    </w:p>
    <w:p>
      <w:pPr>
        <w:pStyle w:val="Indenta"/>
        <w:rPr>
          <w:snapToGrid w:val="0"/>
        </w:rPr>
      </w:pPr>
      <w:r>
        <w:rPr>
          <w:snapToGrid w:val="0"/>
        </w:rPr>
        <w:tab/>
        <w:t>(ga)</w:t>
      </w:r>
      <w:r>
        <w:rPr>
          <w:snapToGrid w:val="0"/>
        </w:rPr>
        <w:tab/>
        <w:t>the tank shall serve only residential premises with not more than 5 bedrooms;</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 xml:space="preserve">[Regulation 43 amended in Gazette 29 Jun 1984 p. 1781; 15 Dec 1989 p. 4550; 29 Jul 1997 p. 4079 and 4083; 5 Sep 1997 p. 5037.] </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401" w:name="_Toc47935320"/>
      <w:bookmarkStart w:id="402" w:name="_Toc113177954"/>
      <w:bookmarkStart w:id="403" w:name="_Toc33590479"/>
      <w:r>
        <w:rPr>
          <w:rStyle w:val="CharSectno"/>
        </w:rPr>
        <w:t>44</w:t>
      </w:r>
      <w:r>
        <w:rPr>
          <w:snapToGrid w:val="0"/>
        </w:rPr>
        <w:t>.</w:t>
      </w:r>
      <w:r>
        <w:rPr>
          <w:snapToGrid w:val="0"/>
        </w:rPr>
        <w:tab/>
        <w:t>Area prescribed under section 110</w:t>
      </w:r>
      <w:bookmarkEnd w:id="401"/>
      <w:bookmarkEnd w:id="402"/>
      <w:bookmarkEnd w:id="403"/>
      <w:r>
        <w:rPr>
          <w:snapToGrid w:val="0"/>
        </w:rPr>
        <w:t xml:space="preserve"> </w:t>
      </w:r>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 xml:space="preserve">[Regulation 44 amended in Gazette 29 Jun 1984 p. 1781; 1 Jul 1997 p. 3255; 29 Jul 1997 p. 4082; 7 Jan 2005 p. 68.] </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404" w:name="_Toc47935321"/>
      <w:bookmarkStart w:id="405" w:name="_Toc113177955"/>
      <w:bookmarkStart w:id="406" w:name="_Toc33590480"/>
      <w:r>
        <w:rPr>
          <w:rStyle w:val="CharSectno"/>
        </w:rPr>
        <w:t>45</w:t>
      </w:r>
      <w:r>
        <w:rPr>
          <w:snapToGrid w:val="0"/>
        </w:rPr>
        <w:t>.</w:t>
      </w:r>
      <w:r>
        <w:rPr>
          <w:snapToGrid w:val="0"/>
        </w:rPr>
        <w:tab/>
        <w:t>Chemical closet pan</w:t>
      </w:r>
      <w:bookmarkEnd w:id="404"/>
      <w:bookmarkEnd w:id="405"/>
      <w:bookmarkEnd w:id="406"/>
      <w:r>
        <w:rPr>
          <w:snapToGrid w:val="0"/>
        </w:rPr>
        <w:t xml:space="preserve"> </w:t>
      </w:r>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 xml:space="preserve">[Regulation 45 amended in Gazette 29 Jun 1984 p. 1781.] </w:t>
      </w:r>
    </w:p>
    <w:p>
      <w:pPr>
        <w:pStyle w:val="Heading2"/>
      </w:pPr>
      <w:bookmarkStart w:id="407" w:name="_Toc92695645"/>
      <w:bookmarkStart w:id="408" w:name="_Toc92968587"/>
      <w:bookmarkStart w:id="409" w:name="_Toc92968679"/>
      <w:bookmarkStart w:id="410" w:name="_Toc94935616"/>
      <w:bookmarkStart w:id="411" w:name="_Toc94935831"/>
      <w:bookmarkStart w:id="412" w:name="_Toc94941396"/>
      <w:bookmarkStart w:id="413" w:name="_Toc105237872"/>
      <w:bookmarkStart w:id="414" w:name="_Toc105470641"/>
      <w:bookmarkStart w:id="415" w:name="_Toc107800488"/>
      <w:bookmarkStart w:id="416" w:name="_Toc110666958"/>
      <w:bookmarkStart w:id="417" w:name="_Toc110842798"/>
      <w:bookmarkStart w:id="418" w:name="_Toc113177956"/>
      <w:bookmarkStart w:id="419" w:name="_Toc113259810"/>
      <w:bookmarkStart w:id="420" w:name="_Toc113262955"/>
      <w:bookmarkStart w:id="421" w:name="_Toc117907419"/>
      <w:bookmarkStart w:id="422" w:name="_Toc134332527"/>
      <w:bookmarkStart w:id="423" w:name="_Toc134337476"/>
      <w:bookmarkStart w:id="424" w:name="_Toc134337766"/>
      <w:bookmarkStart w:id="425" w:name="_Toc139258719"/>
      <w:bookmarkStart w:id="426" w:name="_Toc167179073"/>
      <w:bookmarkStart w:id="427" w:name="_Toc170201221"/>
      <w:bookmarkStart w:id="428" w:name="_Toc170715751"/>
      <w:bookmarkStart w:id="429" w:name="_Toc195006298"/>
      <w:bookmarkStart w:id="430" w:name="_Toc195070050"/>
      <w:bookmarkStart w:id="431" w:name="_Toc33590481"/>
      <w:r>
        <w:rPr>
          <w:rStyle w:val="CharPartNo"/>
        </w:rPr>
        <w:t>Part 6</w:t>
      </w:r>
      <w:r>
        <w:rPr>
          <w:rStyle w:val="CharDivNo"/>
        </w:rPr>
        <w:t> </w:t>
      </w:r>
      <w:r>
        <w:t>—</w:t>
      </w:r>
      <w:r>
        <w:rPr>
          <w:rStyle w:val="CharDivText"/>
        </w:rPr>
        <w:t> </w:t>
      </w:r>
      <w:r>
        <w:rPr>
          <w:rStyle w:val="CharPartText"/>
        </w:rPr>
        <w:t xml:space="preserve">Emptying </w:t>
      </w:r>
      <w:bookmarkEnd w:id="407"/>
      <w:bookmarkEnd w:id="408"/>
      <w:bookmarkEnd w:id="409"/>
      <w:r>
        <w:rPr>
          <w:rStyle w:val="CharPartText"/>
        </w:rPr>
        <w:t>apparatus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432" w:name="_Toc47935322"/>
      <w:bookmarkStart w:id="433" w:name="_Toc113177957"/>
      <w:bookmarkStart w:id="434" w:name="_Toc33590482"/>
      <w:r>
        <w:rPr>
          <w:rStyle w:val="CharSectno"/>
        </w:rPr>
        <w:t>46</w:t>
      </w:r>
      <w:r>
        <w:rPr>
          <w:snapToGrid w:val="0"/>
        </w:rPr>
        <w:t>.</w:t>
      </w:r>
      <w:r>
        <w:rPr>
          <w:snapToGrid w:val="0"/>
        </w:rPr>
        <w:tab/>
        <w:t xml:space="preserve">Emptying a </w:t>
      </w:r>
      <w:bookmarkEnd w:id="432"/>
      <w:r>
        <w:t>tank or other waste storage component of an apparatus</w:t>
      </w:r>
      <w:bookmarkEnd w:id="433"/>
      <w:bookmarkEnd w:id="434"/>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2</w:t>
      </w:r>
      <w:r>
        <w:rPr>
          <w:snapToGrid w:val="0"/>
        </w:rPr>
        <w:t xml:space="preserve"> do not apply, a </w:t>
      </w:r>
      <w:r>
        <w:t>tank or other waste storage component of an apparatus</w:t>
      </w:r>
      <w:r>
        <w:rPr>
          <w:snapToGrid w:val="0"/>
        </w:rPr>
        <w:t xml:space="preserve"> shall be emptied —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 xml:space="preserve">[Regulation 46 inserted in Gazette 29 Jul 1997 p. 4080; amended in Gazette 7 Jan 2005 p. 69.] </w:t>
      </w:r>
    </w:p>
    <w:p>
      <w:pPr>
        <w:pStyle w:val="Heading2"/>
      </w:pPr>
      <w:bookmarkStart w:id="435" w:name="_Toc92695647"/>
      <w:bookmarkStart w:id="436" w:name="_Toc92968589"/>
      <w:bookmarkStart w:id="437" w:name="_Toc92968681"/>
      <w:bookmarkStart w:id="438" w:name="_Toc94935618"/>
      <w:bookmarkStart w:id="439" w:name="_Toc94935833"/>
      <w:bookmarkStart w:id="440" w:name="_Toc94941398"/>
      <w:bookmarkStart w:id="441" w:name="_Toc105237874"/>
      <w:bookmarkStart w:id="442" w:name="_Toc105470643"/>
      <w:bookmarkStart w:id="443" w:name="_Toc107800490"/>
      <w:bookmarkStart w:id="444" w:name="_Toc110666960"/>
      <w:bookmarkStart w:id="445" w:name="_Toc110842800"/>
      <w:bookmarkStart w:id="446" w:name="_Toc113177958"/>
      <w:bookmarkStart w:id="447" w:name="_Toc113259812"/>
      <w:bookmarkStart w:id="448" w:name="_Toc113262957"/>
      <w:bookmarkStart w:id="449" w:name="_Toc117907421"/>
      <w:bookmarkStart w:id="450" w:name="_Toc134332529"/>
      <w:bookmarkStart w:id="451" w:name="_Toc134337478"/>
      <w:bookmarkStart w:id="452" w:name="_Toc134337768"/>
      <w:bookmarkStart w:id="453" w:name="_Toc139258721"/>
      <w:bookmarkStart w:id="454" w:name="_Toc167179075"/>
      <w:bookmarkStart w:id="455" w:name="_Toc170201223"/>
      <w:bookmarkStart w:id="456" w:name="_Toc170715753"/>
      <w:bookmarkStart w:id="457" w:name="_Toc195006300"/>
      <w:bookmarkStart w:id="458" w:name="_Toc195070052"/>
      <w:bookmarkStart w:id="459" w:name="_Toc33590483"/>
      <w:r>
        <w:rPr>
          <w:rStyle w:val="CharPartNo"/>
        </w:rPr>
        <w:t>Part 7</w:t>
      </w:r>
      <w:r>
        <w:rPr>
          <w:rStyle w:val="CharDivNo"/>
        </w:rPr>
        <w:t> </w:t>
      </w:r>
      <w:r>
        <w:t>—</w:t>
      </w:r>
      <w:r>
        <w:rPr>
          <w:rStyle w:val="CharDivText"/>
        </w:rPr>
        <w:t> </w:t>
      </w:r>
      <w:r>
        <w:rPr>
          <w:rStyle w:val="CharPartText"/>
        </w:rPr>
        <w:t>Disposal of effluent and liquid wastes</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Pr>
          <w:rStyle w:val="CharPartText"/>
        </w:rPr>
        <w:t xml:space="preserve"> </w:t>
      </w:r>
    </w:p>
    <w:p>
      <w:pPr>
        <w:pStyle w:val="Footnoteheading"/>
        <w:ind w:left="890"/>
        <w:rPr>
          <w:snapToGrid w:val="0"/>
        </w:rPr>
      </w:pPr>
      <w:r>
        <w:rPr>
          <w:snapToGrid w:val="0"/>
        </w:rPr>
        <w:tab/>
        <w:t xml:space="preserve">[Heading inserted in Gazette 29 Jul 1997 p. 4080.] </w:t>
      </w:r>
    </w:p>
    <w:p>
      <w:pPr>
        <w:pStyle w:val="Heading5"/>
        <w:rPr>
          <w:snapToGrid w:val="0"/>
        </w:rPr>
      </w:pPr>
      <w:bookmarkStart w:id="460" w:name="_Toc47935323"/>
      <w:bookmarkStart w:id="461" w:name="_Toc113177959"/>
      <w:bookmarkStart w:id="462" w:name="_Toc33590484"/>
      <w:r>
        <w:rPr>
          <w:rStyle w:val="CharSectno"/>
        </w:rPr>
        <w:t>47</w:t>
      </w:r>
      <w:r>
        <w:rPr>
          <w:snapToGrid w:val="0"/>
        </w:rPr>
        <w:t>.</w:t>
      </w:r>
      <w:r>
        <w:rPr>
          <w:snapToGrid w:val="0"/>
        </w:rPr>
        <w:tab/>
        <w:t>Receptacles for drainage</w:t>
      </w:r>
      <w:bookmarkEnd w:id="460"/>
      <w:bookmarkEnd w:id="461"/>
      <w:bookmarkEnd w:id="462"/>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repealed]</w:t>
      </w:r>
    </w:p>
    <w:p>
      <w:pPr>
        <w:pStyle w:val="Footnotesection"/>
      </w:pPr>
      <w:r>
        <w:tab/>
        <w:t xml:space="preserve">[Regulation 47 inserted in Gazette 15 Dec 1989 p. 4550; amended in Gazette 7 Jan 2005 p. 69.] </w:t>
      </w:r>
    </w:p>
    <w:p>
      <w:pPr>
        <w:pStyle w:val="Heading5"/>
        <w:rPr>
          <w:snapToGrid w:val="0"/>
        </w:rPr>
      </w:pPr>
      <w:bookmarkStart w:id="463" w:name="_Toc47935324"/>
      <w:bookmarkStart w:id="464" w:name="_Toc113177960"/>
      <w:bookmarkStart w:id="465" w:name="_Toc33590485"/>
      <w:r>
        <w:rPr>
          <w:rStyle w:val="CharSectno"/>
        </w:rPr>
        <w:t>48</w:t>
      </w:r>
      <w:r>
        <w:rPr>
          <w:snapToGrid w:val="0"/>
        </w:rPr>
        <w:t>.</w:t>
      </w:r>
      <w:r>
        <w:rPr>
          <w:snapToGrid w:val="0"/>
        </w:rPr>
        <w:tab/>
        <w:t>Receptacles for drainage — blackwater disposal</w:t>
      </w:r>
      <w:bookmarkEnd w:id="463"/>
      <w:bookmarkEnd w:id="464"/>
      <w:bookmarkEnd w:id="465"/>
      <w:r>
        <w:rPr>
          <w:snapToGrid w:val="0"/>
        </w:rPr>
        <w:t xml:space="preserve"> </w:t>
      </w:r>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 xml:space="preserve">[Regulation 48 amended in Gazette 29 Jul 1997 p. 4080; 7 Jan 2005 p. 69.] </w:t>
      </w:r>
    </w:p>
    <w:p>
      <w:pPr>
        <w:pStyle w:val="Heading5"/>
        <w:rPr>
          <w:snapToGrid w:val="0"/>
        </w:rPr>
      </w:pPr>
      <w:bookmarkStart w:id="466" w:name="_Toc47935325"/>
      <w:bookmarkStart w:id="467" w:name="_Toc113177961"/>
      <w:bookmarkStart w:id="468" w:name="_Toc33590486"/>
      <w:r>
        <w:rPr>
          <w:rStyle w:val="CharSectno"/>
        </w:rPr>
        <w:t>49</w:t>
      </w:r>
      <w:r>
        <w:rPr>
          <w:snapToGrid w:val="0"/>
        </w:rPr>
        <w:t>.</w:t>
      </w:r>
      <w:r>
        <w:rPr>
          <w:snapToGrid w:val="0"/>
        </w:rPr>
        <w:tab/>
        <w:t>Requirements for receptacles for drainage</w:t>
      </w:r>
      <w:bookmarkEnd w:id="466"/>
      <w:bookmarkEnd w:id="467"/>
      <w:bookmarkEnd w:id="468"/>
      <w:r>
        <w:rPr>
          <w:snapToGrid w:val="0"/>
        </w:rPr>
        <w:t xml:space="preserve"> </w:t>
      </w:r>
    </w:p>
    <w:p>
      <w:pPr>
        <w:pStyle w:val="Subsection"/>
        <w:rPr>
          <w:snapToGrid w:val="0"/>
        </w:rPr>
      </w:pPr>
      <w:r>
        <w:rPr>
          <w:snapToGrid w:val="0"/>
        </w:rPr>
        <w:tab/>
        <w:t>(1)</w:t>
      </w:r>
      <w:r>
        <w:rPr>
          <w:snapToGrid w:val="0"/>
        </w:rPr>
        <w:tab/>
        <w:t>The receptacles for drainage referred to in regulations 47 and 48 shall — </w:t>
      </w:r>
    </w:p>
    <w:p>
      <w:pPr>
        <w:pStyle w:val="Indenta"/>
      </w:pPr>
      <w:r>
        <w:tab/>
        <w:t>(a)</w:t>
      </w:r>
      <w:r>
        <w:tab/>
        <w:t xml:space="preserve">be constructed in the manner and using the materials — </w:t>
      </w:r>
    </w:p>
    <w:p>
      <w:pPr>
        <w:pStyle w:val="Indenti"/>
      </w:pPr>
      <w:r>
        <w:tab/>
        <w:t>(i)</w:t>
      </w:r>
      <w:r>
        <w:tab/>
        <w:t>set out in Schedule 7; or</w:t>
      </w:r>
    </w:p>
    <w:p>
      <w:pPr>
        <w:pStyle w:val="Indenti"/>
      </w:pPr>
      <w:r>
        <w:tab/>
        <w:t>(ii)</w:t>
      </w:r>
      <w:r>
        <w:tab/>
        <w:t>approved by the Executive Director, Public Health;</w:t>
      </w:r>
    </w:p>
    <w:p>
      <w:pPr>
        <w:pStyle w:val="Indenta"/>
      </w:pPr>
      <w:r>
        <w:tab/>
        <w:t>(aa)</w:t>
      </w:r>
      <w:r>
        <w:tab/>
        <w:t>if they are part of an apparatus of a kind to which an adopted Code applies, be constructed in compliance with that Code;</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w:t>
      </w:r>
    </w:p>
    <w:p>
      <w:pPr>
        <w:pStyle w:val="Indenta"/>
        <w:rPr>
          <w:snapToGrid w:val="0"/>
        </w:rPr>
      </w:pPr>
      <w:r>
        <w:rPr>
          <w:snapToGrid w:val="0"/>
        </w:rPr>
        <w:tab/>
        <w:t>(c)</w:t>
      </w:r>
      <w:r>
        <w:rPr>
          <w:snapToGrid w:val="0"/>
        </w:rPr>
        <w:tab/>
        <w:t>not be constructed within 6 m of any subsoil drainage system or open drainage channel;</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9.25pt" o:ole="" fillcolor="window">
            <v:imagedata r:id="rId20" o:title=""/>
          </v:shape>
          <o:OLEObject Type="Embed" ProgID="Equation.3" ShapeID="_x0000_i1025" DrawAspect="Content" ObjectID="_1644203168" r:id="rId21"/>
        </w:object>
      </w:r>
    </w:p>
    <w:p>
      <w:pPr>
        <w:pStyle w:val="Subsection"/>
        <w:rPr>
          <w:snapToGrid w:val="0"/>
        </w:rPr>
      </w:pPr>
      <w:r>
        <w:rPr>
          <w:snapToGrid w:val="0"/>
        </w:rPr>
        <w:tab/>
      </w:r>
      <w:r>
        <w:rPr>
          <w:snapToGrid w:val="0"/>
        </w:rPr>
        <w:tab/>
        <w:t>where — </w:t>
      </w:r>
    </w:p>
    <w:p>
      <w:pPr>
        <w:pStyle w:val="Indenta"/>
        <w:rPr>
          <w:snapToGrid w:val="0"/>
        </w:rPr>
      </w:pPr>
      <w:r>
        <w:rPr>
          <w:snapToGrid w:val="0"/>
        </w:rPr>
        <w:tab/>
        <w:t>A</w:t>
      </w:r>
      <w:r>
        <w:rPr>
          <w:snapToGrid w:val="0"/>
        </w:rPr>
        <w:tab/>
        <w:t>= minimum infiltrative area (m</w:t>
      </w:r>
      <w:r>
        <w:rPr>
          <w:snapToGrid w:val="0"/>
          <w:vertAlign w:val="superscript"/>
        </w:rPr>
        <w:t>2</w:t>
      </w:r>
      <w:r>
        <w:rPr>
          <w:snapToGrid w:val="0"/>
        </w:rPr>
        <w:t>)</w:t>
      </w:r>
    </w:p>
    <w:p>
      <w:pPr>
        <w:pStyle w:val="Indenta"/>
        <w:rPr>
          <w:snapToGrid w:val="0"/>
        </w:rPr>
      </w:pPr>
      <w:r>
        <w:rPr>
          <w:snapToGrid w:val="0"/>
        </w:rPr>
        <w:tab/>
        <w:t>V</w:t>
      </w:r>
      <w:r>
        <w:rPr>
          <w:snapToGrid w:val="0"/>
        </w:rPr>
        <w:tab/>
        <w:t>= volume of wastewater (litres), calculated under Schedule 9</w:t>
      </w:r>
    </w:p>
    <w:p>
      <w:pPr>
        <w:pStyle w:val="Indenta"/>
        <w:rPr>
          <w:snapToGrid w:val="0"/>
        </w:rPr>
      </w:pPr>
      <w:r>
        <w:rPr>
          <w:snapToGrid w:val="0"/>
        </w:rPr>
        <w:tab/>
        <w:t>L.I.R.</w:t>
      </w:r>
      <w:r>
        <w:rPr>
          <w:snapToGrid w:val="0"/>
        </w:rPr>
        <w:tab/>
        <w:t>=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spacing w:before="100"/>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MiscellaneousHeading"/>
        <w:rPr>
          <w:b/>
          <w:snapToGrid w:val="0"/>
        </w:rPr>
      </w:pPr>
      <w:r>
        <w:rPr>
          <w:b/>
          <w:snapToGrid w:val="0"/>
        </w:rPr>
        <w:t>Table</w:t>
      </w:r>
      <w:r>
        <w:rPr>
          <w:b/>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34"/>
        <w:gridCol w:w="1560"/>
        <w:gridCol w:w="708"/>
        <w:gridCol w:w="1134"/>
        <w:gridCol w:w="1560"/>
      </w:tblGrid>
      <w:tr>
        <w:trPr>
          <w:cantSplit/>
        </w:trPr>
        <w:tc>
          <w:tcPr>
            <w:tcW w:w="1134" w:type="dxa"/>
            <w:vMerge w:val="restart"/>
          </w:tcPr>
          <w:p>
            <w:pPr>
              <w:pStyle w:val="Table"/>
              <w:jc w:val="center"/>
              <w:rPr>
                <w:b/>
                <w:bCs/>
                <w:sz w:val="18"/>
              </w:rPr>
            </w:pPr>
          </w:p>
          <w:p>
            <w:pPr>
              <w:pStyle w:val="Table"/>
              <w:jc w:val="center"/>
              <w:rPr>
                <w:b/>
                <w:bCs/>
                <w:sz w:val="18"/>
              </w:rPr>
            </w:pPr>
          </w:p>
          <w:p>
            <w:pPr>
              <w:pStyle w:val="Table"/>
              <w:jc w:val="center"/>
              <w:rPr>
                <w:b/>
                <w:bCs/>
                <w:sz w:val="18"/>
              </w:rPr>
            </w:pPr>
            <w:r>
              <w:rPr>
                <w:b/>
                <w:bCs/>
                <w:sz w:val="18"/>
              </w:rPr>
              <w:t>Number of bedrooms</w:t>
            </w:r>
          </w:p>
        </w:tc>
        <w:tc>
          <w:tcPr>
            <w:tcW w:w="6096" w:type="dxa"/>
            <w:gridSpan w:val="5"/>
          </w:tcPr>
          <w:p>
            <w:pPr>
              <w:pStyle w:val="Table"/>
              <w:jc w:val="center"/>
              <w:rPr>
                <w:b/>
                <w:bCs/>
                <w:sz w:val="18"/>
              </w:rPr>
            </w:pPr>
            <w:r>
              <w:rPr>
                <w:b/>
                <w:bCs/>
                <w:sz w:val="18"/>
              </w:rPr>
              <w:t>Soil classification</w:t>
            </w:r>
          </w:p>
        </w:tc>
      </w:tr>
      <w:tr>
        <w:trPr>
          <w:cantSplit/>
        </w:trPr>
        <w:tc>
          <w:tcPr>
            <w:tcW w:w="1134" w:type="dxa"/>
            <w:vMerge/>
          </w:tcPr>
          <w:p>
            <w:pPr>
              <w:pStyle w:val="Table"/>
              <w:jc w:val="center"/>
              <w:rPr>
                <w:b/>
                <w:bCs/>
                <w:sz w:val="18"/>
              </w:rPr>
            </w:pPr>
          </w:p>
        </w:tc>
        <w:tc>
          <w:tcPr>
            <w:tcW w:w="3402" w:type="dxa"/>
            <w:gridSpan w:val="3"/>
          </w:tcPr>
          <w:p>
            <w:pPr>
              <w:pStyle w:val="Table"/>
              <w:jc w:val="center"/>
              <w:rPr>
                <w:b/>
                <w:bCs/>
                <w:sz w:val="18"/>
              </w:rPr>
            </w:pPr>
            <w:r>
              <w:rPr>
                <w:b/>
                <w:bCs/>
                <w:sz w:val="18"/>
              </w:rPr>
              <w:t>Sand</w:t>
            </w:r>
          </w:p>
        </w:tc>
        <w:tc>
          <w:tcPr>
            <w:tcW w:w="2694" w:type="dxa"/>
            <w:gridSpan w:val="2"/>
          </w:tcPr>
          <w:p>
            <w:pPr>
              <w:pStyle w:val="Table"/>
              <w:jc w:val="center"/>
              <w:rPr>
                <w:b/>
                <w:bCs/>
                <w:sz w:val="18"/>
              </w:rPr>
            </w:pPr>
            <w:r>
              <w:rPr>
                <w:b/>
                <w:bCs/>
                <w:sz w:val="18"/>
              </w:rPr>
              <w:t>Loams or gravels</w:t>
            </w:r>
          </w:p>
        </w:tc>
      </w:tr>
      <w:tr>
        <w:trPr>
          <w:cantSplit/>
        </w:trPr>
        <w:tc>
          <w:tcPr>
            <w:tcW w:w="1134" w:type="dxa"/>
            <w:vMerge/>
          </w:tcPr>
          <w:p>
            <w:pPr>
              <w:pStyle w:val="Table"/>
              <w:jc w:val="center"/>
              <w:rPr>
                <w:b/>
                <w:bCs/>
                <w:sz w:val="18"/>
              </w:rPr>
            </w:pP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c>
          <w:tcPr>
            <w:tcW w:w="708" w:type="dxa"/>
          </w:tcPr>
          <w:p>
            <w:pPr>
              <w:pStyle w:val="Table"/>
              <w:jc w:val="center"/>
              <w:rPr>
                <w:b/>
                <w:bCs/>
                <w:sz w:val="18"/>
              </w:rPr>
            </w:pPr>
            <w:r>
              <w:rPr>
                <w:b/>
                <w:bCs/>
                <w:sz w:val="18"/>
              </w:rPr>
              <w:t>Soak wells</w:t>
            </w: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r>
      <w:tr>
        <w:tc>
          <w:tcPr>
            <w:tcW w:w="1134" w:type="dxa"/>
            <w:tcBorders>
              <w:bottom w:val="single" w:sz="2" w:space="0" w:color="auto"/>
            </w:tcBorders>
          </w:tcPr>
          <w:p>
            <w:pPr>
              <w:pStyle w:val="Table"/>
              <w:spacing w:before="0"/>
              <w:rPr>
                <w:sz w:val="18"/>
              </w:rPr>
            </w:pPr>
            <w:r>
              <w:rPr>
                <w:sz w:val="18"/>
              </w:rPr>
              <w:t>2 or less</w:t>
            </w:r>
          </w:p>
          <w:p>
            <w:pPr>
              <w:pStyle w:val="Table"/>
              <w:spacing w:before="0"/>
              <w:rPr>
                <w:sz w:val="18"/>
              </w:rPr>
            </w:pPr>
          </w:p>
          <w:p>
            <w:pPr>
              <w:pStyle w:val="Table"/>
              <w:spacing w:before="0"/>
              <w:rPr>
                <w:sz w:val="18"/>
              </w:rPr>
            </w:pPr>
            <w:r>
              <w:rPr>
                <w:sz w:val="18"/>
              </w:rPr>
              <w:t>3</w:t>
            </w:r>
          </w:p>
          <w:p>
            <w:pPr>
              <w:pStyle w:val="Table"/>
              <w:spacing w:before="0"/>
              <w:rPr>
                <w:sz w:val="18"/>
              </w:rPr>
            </w:pPr>
          </w:p>
          <w:p>
            <w:pPr>
              <w:pStyle w:val="Table"/>
              <w:spacing w:before="0"/>
              <w:rPr>
                <w:sz w:val="18"/>
              </w:rPr>
            </w:pPr>
            <w:r>
              <w:rPr>
                <w:sz w:val="18"/>
              </w:rPr>
              <w:t>4 or more</w:t>
            </w:r>
          </w:p>
        </w:tc>
        <w:tc>
          <w:tcPr>
            <w:tcW w:w="1134" w:type="dxa"/>
            <w:tcBorders>
              <w:bottom w:val="single" w:sz="2" w:space="0" w:color="auto"/>
            </w:tcBorders>
          </w:tcPr>
          <w:p>
            <w:pPr>
              <w:pStyle w:val="Table"/>
              <w:spacing w:before="0"/>
              <w:rPr>
                <w:sz w:val="18"/>
              </w:rPr>
            </w:pPr>
            <w:r>
              <w:rPr>
                <w:sz w:val="18"/>
              </w:rPr>
              <w:t>18.8</w:t>
            </w:r>
          </w:p>
          <w:p>
            <w:pPr>
              <w:pStyle w:val="Table"/>
              <w:spacing w:before="0"/>
              <w:rPr>
                <w:sz w:val="18"/>
              </w:rPr>
            </w:pPr>
          </w:p>
          <w:p>
            <w:pPr>
              <w:pStyle w:val="Table"/>
              <w:spacing w:before="0"/>
              <w:rPr>
                <w:sz w:val="18"/>
              </w:rPr>
            </w:pPr>
            <w:r>
              <w:rPr>
                <w:sz w:val="18"/>
              </w:rPr>
              <w:t>25.4</w:t>
            </w:r>
          </w:p>
          <w:p>
            <w:pPr>
              <w:pStyle w:val="Table"/>
              <w:spacing w:before="0"/>
              <w:rPr>
                <w:sz w:val="18"/>
              </w:rPr>
            </w:pPr>
          </w:p>
          <w:p>
            <w:pPr>
              <w:pStyle w:val="Table"/>
              <w:spacing w:before="0"/>
              <w:rPr>
                <w:sz w:val="18"/>
              </w:rPr>
            </w:pPr>
            <w:r>
              <w:rPr>
                <w:sz w:val="18"/>
              </w:rPr>
              <w:t>27.6</w:t>
            </w:r>
          </w:p>
        </w:tc>
        <w:tc>
          <w:tcPr>
            <w:tcW w:w="1560" w:type="dxa"/>
            <w:tcBorders>
              <w:bottom w:val="single" w:sz="2" w:space="0" w:color="auto"/>
            </w:tcBorders>
          </w:tcPr>
          <w:p>
            <w:pPr>
              <w:pStyle w:val="Table"/>
              <w:spacing w:before="0"/>
              <w:rPr>
                <w:sz w:val="18"/>
              </w:rPr>
            </w:pPr>
            <w:r>
              <w:rPr>
                <w:sz w:val="18"/>
              </w:rPr>
              <w:t>2 x 6m</w:t>
            </w:r>
          </w:p>
          <w:p>
            <w:pPr>
              <w:pStyle w:val="Table"/>
              <w:spacing w:before="0"/>
              <w:rPr>
                <w:sz w:val="18"/>
              </w:rPr>
            </w:pPr>
          </w:p>
          <w:p>
            <w:pPr>
              <w:pStyle w:val="Table"/>
              <w:spacing w:before="0"/>
              <w:rPr>
                <w:sz w:val="18"/>
              </w:rPr>
            </w:pPr>
            <w:r>
              <w:rPr>
                <w:sz w:val="18"/>
              </w:rPr>
              <w:t>2 x 8m</w:t>
            </w:r>
          </w:p>
          <w:p>
            <w:pPr>
              <w:pStyle w:val="Table"/>
              <w:spacing w:before="0"/>
              <w:rPr>
                <w:sz w:val="18"/>
              </w:rPr>
            </w:pPr>
          </w:p>
          <w:p>
            <w:pPr>
              <w:pStyle w:val="Table"/>
              <w:spacing w:before="0"/>
              <w:rPr>
                <w:sz w:val="18"/>
              </w:rPr>
            </w:pPr>
            <w:r>
              <w:rPr>
                <w:sz w:val="18"/>
              </w:rPr>
              <w:t>2 x 9m</w:t>
            </w:r>
          </w:p>
        </w:tc>
        <w:tc>
          <w:tcPr>
            <w:tcW w:w="708" w:type="dxa"/>
            <w:tcBorders>
              <w:bottom w:val="single" w:sz="2" w:space="0" w:color="auto"/>
            </w:tcBorders>
          </w:tcPr>
          <w:p>
            <w:pPr>
              <w:pStyle w:val="Table"/>
              <w:spacing w:before="0"/>
              <w:rPr>
                <w:sz w:val="18"/>
              </w:rPr>
            </w:pPr>
            <w:r>
              <w:rPr>
                <w:sz w:val="18"/>
              </w:rPr>
              <w:t>3</w:t>
            </w:r>
          </w:p>
          <w:p>
            <w:pPr>
              <w:pStyle w:val="Table"/>
              <w:spacing w:before="0"/>
              <w:rPr>
                <w:sz w:val="18"/>
              </w:rPr>
            </w:pPr>
          </w:p>
          <w:p>
            <w:pPr>
              <w:pStyle w:val="Table"/>
              <w:spacing w:before="0"/>
              <w:rPr>
                <w:sz w:val="18"/>
              </w:rPr>
            </w:pPr>
            <w:r>
              <w:rPr>
                <w:sz w:val="18"/>
              </w:rPr>
              <w:t>4</w:t>
            </w:r>
          </w:p>
          <w:p>
            <w:pPr>
              <w:pStyle w:val="Table"/>
              <w:spacing w:before="0"/>
              <w:rPr>
                <w:sz w:val="18"/>
              </w:rPr>
            </w:pPr>
          </w:p>
          <w:p>
            <w:pPr>
              <w:pStyle w:val="Table"/>
              <w:spacing w:before="0"/>
              <w:rPr>
                <w:sz w:val="18"/>
              </w:rPr>
            </w:pPr>
            <w:r>
              <w:rPr>
                <w:sz w:val="18"/>
              </w:rPr>
              <w:t>4</w:t>
            </w:r>
          </w:p>
        </w:tc>
        <w:tc>
          <w:tcPr>
            <w:tcW w:w="1134" w:type="dxa"/>
            <w:tcBorders>
              <w:bottom w:val="single" w:sz="2" w:space="0" w:color="auto"/>
            </w:tcBorders>
          </w:tcPr>
          <w:p>
            <w:pPr>
              <w:pStyle w:val="Table"/>
              <w:spacing w:before="0"/>
              <w:rPr>
                <w:sz w:val="18"/>
              </w:rPr>
            </w:pPr>
            <w:r>
              <w:rPr>
                <w:sz w:val="18"/>
              </w:rPr>
              <w:t>28.2</w:t>
            </w:r>
          </w:p>
          <w:p>
            <w:pPr>
              <w:pStyle w:val="Table"/>
              <w:spacing w:before="0"/>
              <w:rPr>
                <w:sz w:val="18"/>
              </w:rPr>
            </w:pPr>
          </w:p>
          <w:p>
            <w:pPr>
              <w:pStyle w:val="Table"/>
              <w:spacing w:before="0"/>
              <w:rPr>
                <w:sz w:val="18"/>
              </w:rPr>
            </w:pPr>
            <w:r>
              <w:rPr>
                <w:sz w:val="18"/>
              </w:rPr>
              <w:t>38.1</w:t>
            </w:r>
          </w:p>
          <w:p>
            <w:pPr>
              <w:pStyle w:val="Table"/>
              <w:spacing w:before="0"/>
              <w:rPr>
                <w:sz w:val="18"/>
              </w:rPr>
            </w:pPr>
          </w:p>
          <w:p>
            <w:pPr>
              <w:pStyle w:val="Table"/>
              <w:spacing w:before="0"/>
              <w:rPr>
                <w:sz w:val="18"/>
              </w:rPr>
            </w:pPr>
            <w:r>
              <w:rPr>
                <w:sz w:val="18"/>
              </w:rPr>
              <w:t>41.5</w:t>
            </w:r>
          </w:p>
        </w:tc>
        <w:tc>
          <w:tcPr>
            <w:tcW w:w="1560" w:type="dxa"/>
            <w:tcBorders>
              <w:bottom w:val="single" w:sz="2" w:space="0" w:color="auto"/>
            </w:tcBorders>
          </w:tcPr>
          <w:p>
            <w:pPr>
              <w:pStyle w:val="Table"/>
              <w:spacing w:before="0"/>
              <w:rPr>
                <w:sz w:val="18"/>
              </w:rPr>
            </w:pPr>
            <w:r>
              <w:rPr>
                <w:sz w:val="18"/>
              </w:rPr>
              <w:t>2 x 9m</w:t>
            </w:r>
          </w:p>
          <w:p>
            <w:pPr>
              <w:pStyle w:val="Table"/>
              <w:spacing w:before="0"/>
              <w:rPr>
                <w:sz w:val="18"/>
              </w:rPr>
            </w:pPr>
          </w:p>
          <w:p>
            <w:pPr>
              <w:pStyle w:val="Table"/>
              <w:spacing w:before="0"/>
              <w:rPr>
                <w:sz w:val="18"/>
              </w:rPr>
            </w:pPr>
            <w:r>
              <w:rPr>
                <w:sz w:val="18"/>
              </w:rPr>
              <w:t>2 x 12m</w:t>
            </w:r>
          </w:p>
          <w:p>
            <w:pPr>
              <w:pStyle w:val="Table"/>
              <w:spacing w:before="0"/>
              <w:rPr>
                <w:sz w:val="18"/>
              </w:rPr>
            </w:pPr>
          </w:p>
          <w:p>
            <w:pPr>
              <w:pStyle w:val="Table"/>
              <w:spacing w:before="0"/>
              <w:rPr>
                <w:sz w:val="18"/>
              </w:rPr>
            </w:pPr>
            <w:r>
              <w:rPr>
                <w:sz w:val="18"/>
              </w:rPr>
              <w:t>2 x 13m</w:t>
            </w:r>
          </w:p>
        </w:tc>
      </w:tr>
      <w:tr>
        <w:trPr>
          <w:cantSplit/>
        </w:trPr>
        <w:tc>
          <w:tcPr>
            <w:tcW w:w="7230" w:type="dxa"/>
            <w:gridSpan w:val="6"/>
            <w:tcBorders>
              <w:left w:val="nil"/>
              <w:bottom w:val="nil"/>
              <w:right w:val="nil"/>
            </w:tcBorders>
          </w:tcPr>
          <w:p>
            <w:pPr>
              <w:pStyle w:val="Table"/>
              <w:jc w:val="center"/>
              <w:rPr>
                <w:snapToGrid w:val="0"/>
                <w:sz w:val="18"/>
              </w:rPr>
            </w:pPr>
            <w:r>
              <w:rPr>
                <w:snapToGrid w:val="0"/>
                <w:sz w:val="18"/>
              </w:rPr>
              <w:t>NOTES</w:t>
            </w:r>
          </w:p>
          <w:p>
            <w:pPr>
              <w:pStyle w:val="Table"/>
              <w:tabs>
                <w:tab w:val="left" w:pos="600"/>
              </w:tabs>
              <w:ind w:left="600" w:hanging="60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
              <w:tabs>
                <w:tab w:val="left" w:pos="600"/>
              </w:tabs>
              <w:ind w:left="600" w:hanging="60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
              <w:tabs>
                <w:tab w:val="left" w:pos="600"/>
              </w:tabs>
              <w:ind w:left="600" w:hanging="600"/>
              <w:rPr>
                <w:sz w:val="18"/>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 xml:space="preserve">1; 7 Jan 2005 p. 69.] </w:t>
      </w:r>
    </w:p>
    <w:p>
      <w:pPr>
        <w:pStyle w:val="Heading5"/>
        <w:rPr>
          <w:snapToGrid w:val="0"/>
        </w:rPr>
      </w:pPr>
      <w:bookmarkStart w:id="469" w:name="_Toc47935326"/>
      <w:bookmarkStart w:id="470" w:name="_Toc113177962"/>
      <w:bookmarkStart w:id="471" w:name="_Toc33590487"/>
      <w:r>
        <w:rPr>
          <w:rStyle w:val="CharSectno"/>
        </w:rPr>
        <w:t>50</w:t>
      </w:r>
      <w:r>
        <w:rPr>
          <w:snapToGrid w:val="0"/>
        </w:rPr>
        <w:t>.</w:t>
      </w:r>
      <w:r>
        <w:rPr>
          <w:snapToGrid w:val="0"/>
        </w:rPr>
        <w:tab/>
        <w:t>Drainage of effluent and liquid wastes</w:t>
      </w:r>
      <w:bookmarkEnd w:id="469"/>
      <w:bookmarkEnd w:id="470"/>
      <w:bookmarkEnd w:id="471"/>
      <w:r>
        <w:rPr>
          <w:snapToGrid w:val="0"/>
        </w:rPr>
        <w:t xml:space="preserve"> </w:t>
      </w:r>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w:t>
      </w:r>
    </w:p>
    <w:p>
      <w:pPr>
        <w:pStyle w:val="Indenti"/>
        <w:rPr>
          <w:snapToGrid w:val="0"/>
        </w:rPr>
      </w:pPr>
      <w:r>
        <w:rPr>
          <w:snapToGrid w:val="0"/>
        </w:rPr>
        <w:tab/>
        <w:t>(ii)</w:t>
      </w:r>
      <w:r>
        <w:rPr>
          <w:snapToGrid w:val="0"/>
        </w:rPr>
        <w:tab/>
        <w:t>the soak well shall be at least 1.2 m in diameter and 1.5 m effective depth, unless otherwise approved in writing;</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w:t>
      </w:r>
    </w:p>
    <w:p>
      <w:pPr>
        <w:pStyle w:val="Indenti"/>
        <w:rPr>
          <w:snapToGrid w:val="0"/>
        </w:rPr>
      </w:pPr>
      <w:r>
        <w:rPr>
          <w:snapToGrid w:val="0"/>
        </w:rPr>
        <w:tab/>
        <w:t>(ii)</w:t>
      </w:r>
      <w:r>
        <w:rPr>
          <w:snapToGrid w:val="0"/>
        </w:rPr>
        <w:tab/>
        <w:t>the occupier shall not permit the receptacle to overflow or become offensive;</w:t>
      </w:r>
    </w:p>
    <w:p>
      <w:pPr>
        <w:pStyle w:val="Indenti"/>
        <w:rPr>
          <w:snapToGrid w:val="0"/>
        </w:rPr>
      </w:pPr>
      <w:r>
        <w:rPr>
          <w:snapToGrid w:val="0"/>
        </w:rPr>
        <w:tab/>
        <w:t>(iii)</w:t>
      </w:r>
      <w:r>
        <w:rPr>
          <w:snapToGrid w:val="0"/>
        </w:rPr>
        <w:tab/>
        <w:t>the receptacle shall be situated where directed by an environmental health officer;</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w:t>
      </w:r>
    </w:p>
    <w:p>
      <w:pPr>
        <w:pStyle w:val="Indenti"/>
        <w:rPr>
          <w:snapToGrid w:val="0"/>
        </w:rPr>
      </w:pPr>
      <w:r>
        <w:rPr>
          <w:snapToGrid w:val="0"/>
        </w:rPr>
        <w:tab/>
        <w:t>(v)</w:t>
      </w:r>
      <w:r>
        <w:rPr>
          <w:snapToGrid w:val="0"/>
        </w:rPr>
        <w:tab/>
        <w:t>where the contents of the receptacle are to be disposed of by tanker, then the capacity of the receptacle shall be as approved;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w:t>
      </w:r>
    </w:p>
    <w:p>
      <w:pPr>
        <w:pStyle w:val="Indenti"/>
        <w:rPr>
          <w:snapToGrid w:val="0"/>
        </w:rPr>
      </w:pPr>
      <w:r>
        <w:rPr>
          <w:snapToGrid w:val="0"/>
        </w:rPr>
        <w:tab/>
        <w:t>(ii)</w:t>
      </w:r>
      <w:r>
        <w:rPr>
          <w:snapToGrid w:val="0"/>
        </w:rPr>
        <w:tab/>
        <w:t>the drain shall have a 610 mm overall width;</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w:t>
      </w:r>
    </w:p>
    <w:p>
      <w:pPr>
        <w:pStyle w:val="Indenti"/>
        <w:rPr>
          <w:snapToGrid w:val="0"/>
        </w:rPr>
      </w:pPr>
      <w:r>
        <w:rPr>
          <w:snapToGrid w:val="0"/>
        </w:rPr>
        <w:tab/>
        <w:t>(v)</w:t>
      </w:r>
      <w:r>
        <w:rPr>
          <w:snapToGrid w:val="0"/>
        </w:rPr>
        <w:tab/>
        <w:t>the bed of the drain shall have a fall of 1 in 200 away from the inlet pipe;</w:t>
      </w:r>
    </w:p>
    <w:p>
      <w:pPr>
        <w:pStyle w:val="Indenti"/>
        <w:rPr>
          <w:snapToGrid w:val="0"/>
        </w:rPr>
      </w:pPr>
      <w:r>
        <w:rPr>
          <w:snapToGrid w:val="0"/>
        </w:rPr>
        <w:tab/>
        <w:t>(vi)</w:t>
      </w:r>
      <w:r>
        <w:rPr>
          <w:snapToGrid w:val="0"/>
          <w:spacing w:val="-4"/>
        </w:rPr>
        <w:tab/>
        <w:t>a concrete slab shall be fitted into the bed beneath the inlet pipe to prevent scouring of the beds;</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w:t>
      </w:r>
    </w:p>
    <w:p>
      <w:pPr>
        <w:pStyle w:val="Indenti"/>
        <w:rPr>
          <w:snapToGrid w:val="0"/>
        </w:rPr>
      </w:pPr>
      <w:r>
        <w:rPr>
          <w:snapToGrid w:val="0"/>
        </w:rPr>
        <w:tab/>
        <w:t>(viii)</w:t>
      </w:r>
      <w:r>
        <w:rPr>
          <w:snapToGrid w:val="0"/>
        </w:rPr>
        <w:tab/>
        <w:t>if the walls of the drain are constructed of bricks, the bridging pieces shall extend to the top of the drain;</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proof;</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rPr>
          <w:snapToGrid w:val="0"/>
        </w:rPr>
      </w:pPr>
      <w:r>
        <w:rPr>
          <w:snapToGrid w:val="0"/>
        </w:rPr>
        <w:tab/>
        <w:t>(vi)</w:t>
      </w:r>
      <w:r>
        <w:rPr>
          <w:snapToGrid w:val="0"/>
          <w:spacing w:val="-4"/>
        </w:rPr>
        <w:tab/>
        <w:t>plastic manufacture shall be in accordance with the approval of the Executive Director, Public Health;</w:t>
      </w:r>
    </w:p>
    <w:p>
      <w:pPr>
        <w:pStyle w:val="Indenta"/>
        <w:rPr>
          <w:snapToGrid w:val="0"/>
        </w:rPr>
      </w:pPr>
      <w:r>
        <w:rPr>
          <w:snapToGrid w:val="0"/>
        </w:rPr>
        <w:tab/>
      </w:r>
      <w:r>
        <w:rPr>
          <w:snapToGrid w:val="0"/>
        </w:rPr>
        <w:tab/>
        <w:t>or</w:t>
      </w:r>
    </w:p>
    <w:p>
      <w:pPr>
        <w:pStyle w:val="Indenta"/>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rPr>
          <w:snapToGrid w:val="0"/>
        </w:rPr>
      </w:pPr>
      <w:r>
        <w:rPr>
          <w:snapToGrid w:val="0"/>
        </w:rPr>
        <w:tab/>
        <w:t>(i)</w:t>
      </w:r>
      <w:r>
        <w:rPr>
          <w:snapToGrid w:val="0"/>
        </w:rPr>
        <w:tab/>
        <w:t>the pond shall have an effective depth of 1.07 m unless otherwise approved by the Executive Director, Public Health;</w:t>
      </w:r>
    </w:p>
    <w:p>
      <w:pPr>
        <w:pStyle w:val="Indenti"/>
        <w:rPr>
          <w:snapToGrid w:val="0"/>
        </w:rPr>
      </w:pPr>
      <w:r>
        <w:rPr>
          <w:snapToGrid w:val="0"/>
        </w:rPr>
        <w:tab/>
        <w:t>(ii)</w:t>
      </w:r>
      <w:r>
        <w:rPr>
          <w:snapToGrid w:val="0"/>
        </w:rPr>
        <w:tab/>
        <w:t>the sides shall have a slope of 3 : 1;</w:t>
      </w:r>
    </w:p>
    <w:p>
      <w:pPr>
        <w:pStyle w:val="Indenti"/>
        <w:rPr>
          <w:snapToGrid w:val="0"/>
        </w:rPr>
      </w:pPr>
      <w:r>
        <w:rPr>
          <w:snapToGrid w:val="0"/>
        </w:rPr>
        <w:tab/>
        <w:t>(iii)</w:t>
      </w:r>
      <w:r>
        <w:rPr>
          <w:snapToGrid w:val="0"/>
        </w:rPr>
        <w:tab/>
        <w:t>the bank shall have a minimum width of 2.4 m, and shall be raised at least 228 mm above natural ground level;</w:t>
      </w:r>
    </w:p>
    <w:p>
      <w:pPr>
        <w:pStyle w:val="Indenti"/>
        <w:rPr>
          <w:snapToGrid w:val="0"/>
        </w:rPr>
      </w:pPr>
      <w:r>
        <w:rPr>
          <w:snapToGrid w:val="0"/>
        </w:rPr>
        <w:tab/>
        <w:t>(iv)</w:t>
      </w:r>
      <w:r>
        <w:rPr>
          <w:snapToGrid w:val="0"/>
        </w:rPr>
        <w:tab/>
        <w:t>the inner banks shall be kept clear of weed growth at all times;</w:t>
      </w:r>
    </w:p>
    <w:p>
      <w:pPr>
        <w:pStyle w:val="Indenti"/>
        <w:rPr>
          <w:snapToGrid w:val="0"/>
        </w:rPr>
      </w:pPr>
      <w:r>
        <w:rPr>
          <w:snapToGrid w:val="0"/>
        </w:rPr>
        <w:tab/>
        <w:t>(v)</w:t>
      </w:r>
      <w:r>
        <w:rPr>
          <w:snapToGrid w:val="0"/>
        </w:rPr>
        <w:tab/>
        <w:t>all overflow channels and drainage areas shall be kept free of weed growth; and</w:t>
      </w:r>
    </w:p>
    <w:p>
      <w:pPr>
        <w:pStyle w:val="Indenti"/>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 xml:space="preserve">[Regulation 50 amended in Gazette 29 Jun 1984 p. 1781; 15 Dec 1989 p. 4551; 4 Sep 1992 p. 4475; 29 Jul 1997 p. 4081 and 4083; 5 Sep 1997 p. 5037; 28 Jun 2004 p. 2396.] </w:t>
      </w:r>
    </w:p>
    <w:p>
      <w:pPr>
        <w:pStyle w:val="Heading2"/>
      </w:pPr>
      <w:bookmarkStart w:id="472" w:name="_Toc92695652"/>
      <w:bookmarkStart w:id="473" w:name="_Toc92968594"/>
      <w:bookmarkStart w:id="474" w:name="_Toc92968686"/>
      <w:bookmarkStart w:id="475" w:name="_Toc94935623"/>
      <w:bookmarkStart w:id="476" w:name="_Toc94935838"/>
      <w:bookmarkStart w:id="477" w:name="_Toc94941403"/>
      <w:bookmarkStart w:id="478" w:name="_Toc105237879"/>
      <w:bookmarkStart w:id="479" w:name="_Toc105470648"/>
      <w:bookmarkStart w:id="480" w:name="_Toc107800495"/>
      <w:bookmarkStart w:id="481" w:name="_Toc110666965"/>
      <w:bookmarkStart w:id="482" w:name="_Toc110842805"/>
      <w:bookmarkStart w:id="483" w:name="_Toc113177963"/>
      <w:bookmarkStart w:id="484" w:name="_Toc113259817"/>
      <w:bookmarkStart w:id="485" w:name="_Toc113262962"/>
      <w:bookmarkStart w:id="486" w:name="_Toc117907426"/>
      <w:bookmarkStart w:id="487" w:name="_Toc134332534"/>
      <w:bookmarkStart w:id="488" w:name="_Toc134337483"/>
      <w:bookmarkStart w:id="489" w:name="_Toc134337773"/>
      <w:bookmarkStart w:id="490" w:name="_Toc139258726"/>
      <w:bookmarkStart w:id="491" w:name="_Toc167179080"/>
      <w:bookmarkStart w:id="492" w:name="_Toc170201228"/>
      <w:bookmarkStart w:id="493" w:name="_Toc170715758"/>
      <w:bookmarkStart w:id="494" w:name="_Toc195006305"/>
      <w:bookmarkStart w:id="495" w:name="_Toc195070057"/>
      <w:bookmarkStart w:id="496" w:name="_Toc33590488"/>
      <w:r>
        <w:rPr>
          <w:rStyle w:val="CharPartNo"/>
        </w:rPr>
        <w:t>Part 8</w:t>
      </w:r>
      <w:r>
        <w:rPr>
          <w:rStyle w:val="CharDivNo"/>
        </w:rPr>
        <w:t> </w:t>
      </w:r>
      <w:r>
        <w:t>—</w:t>
      </w:r>
      <w:r>
        <w:rPr>
          <w:rStyle w:val="CharDivText"/>
        </w:rPr>
        <w:t> </w:t>
      </w:r>
      <w:r>
        <w:rPr>
          <w:rStyle w:val="CharPartText"/>
        </w:rPr>
        <w:t>Manufacturing</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Pr>
          <w:rStyle w:val="CharPartText"/>
        </w:rPr>
        <w:t xml:space="preserve"> </w:t>
      </w:r>
    </w:p>
    <w:p>
      <w:pPr>
        <w:pStyle w:val="Footnoteheading"/>
        <w:ind w:left="890"/>
        <w:rPr>
          <w:snapToGrid w:val="0"/>
        </w:rPr>
      </w:pPr>
      <w:r>
        <w:rPr>
          <w:snapToGrid w:val="0"/>
        </w:rPr>
        <w:tab/>
        <w:t xml:space="preserve">[Heading inserted in Gazette 29 Jul 1997 p. 4081.] </w:t>
      </w:r>
    </w:p>
    <w:p>
      <w:pPr>
        <w:pStyle w:val="Heading5"/>
        <w:rPr>
          <w:snapToGrid w:val="0"/>
        </w:rPr>
      </w:pPr>
      <w:bookmarkStart w:id="497" w:name="_Toc47935327"/>
      <w:bookmarkStart w:id="498" w:name="_Toc113177964"/>
      <w:bookmarkStart w:id="499" w:name="_Toc33590489"/>
      <w:r>
        <w:rPr>
          <w:rStyle w:val="CharSectno"/>
        </w:rPr>
        <w:t>51</w:t>
      </w:r>
      <w:r>
        <w:rPr>
          <w:snapToGrid w:val="0"/>
        </w:rPr>
        <w:t>.</w:t>
      </w:r>
      <w:r>
        <w:rPr>
          <w:snapToGrid w:val="0"/>
        </w:rPr>
        <w:tab/>
        <w:t>Marks and brands</w:t>
      </w:r>
      <w:bookmarkEnd w:id="497"/>
      <w:bookmarkEnd w:id="498"/>
      <w:bookmarkEnd w:id="499"/>
      <w:r>
        <w:rPr>
          <w:snapToGrid w:val="0"/>
        </w:rPr>
        <w:t xml:space="preserve"> </w:t>
      </w:r>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 xml:space="preserve">[Regulation 51 amended in Gazette 29 Jun 1984 p. 1781; 4 Sep 1992 p. 4475.] </w:t>
      </w:r>
    </w:p>
    <w:p>
      <w:pPr>
        <w:pStyle w:val="Heading5"/>
        <w:rPr>
          <w:snapToGrid w:val="0"/>
        </w:rPr>
      </w:pPr>
      <w:bookmarkStart w:id="500" w:name="_Toc47935328"/>
      <w:bookmarkStart w:id="501" w:name="_Toc113177965"/>
      <w:bookmarkStart w:id="502" w:name="_Toc33590490"/>
      <w:r>
        <w:rPr>
          <w:rStyle w:val="CharSectno"/>
        </w:rPr>
        <w:t>52</w:t>
      </w:r>
      <w:r>
        <w:rPr>
          <w:snapToGrid w:val="0"/>
        </w:rPr>
        <w:t>.</w:t>
      </w:r>
      <w:r>
        <w:rPr>
          <w:snapToGrid w:val="0"/>
        </w:rPr>
        <w:tab/>
        <w:t>Wet or steam curing</w:t>
      </w:r>
      <w:bookmarkEnd w:id="500"/>
      <w:bookmarkEnd w:id="501"/>
      <w:bookmarkEnd w:id="502"/>
      <w:r>
        <w:rPr>
          <w:snapToGrid w:val="0"/>
        </w:rPr>
        <w:t xml:space="preserve"> </w:t>
      </w:r>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503" w:name="_Toc47935329"/>
      <w:bookmarkStart w:id="504" w:name="_Toc113177966"/>
      <w:bookmarkStart w:id="505" w:name="_Toc33590491"/>
      <w:r>
        <w:rPr>
          <w:rStyle w:val="CharSectno"/>
        </w:rPr>
        <w:t>53</w:t>
      </w:r>
      <w:r>
        <w:rPr>
          <w:snapToGrid w:val="0"/>
        </w:rPr>
        <w:t>.</w:t>
      </w:r>
      <w:r>
        <w:rPr>
          <w:snapToGrid w:val="0"/>
        </w:rPr>
        <w:tab/>
        <w:t>Refusal to sell</w:t>
      </w:r>
      <w:bookmarkEnd w:id="503"/>
      <w:bookmarkEnd w:id="504"/>
      <w:bookmarkEnd w:id="505"/>
      <w:r>
        <w:rPr>
          <w:snapToGrid w:val="0"/>
        </w:rPr>
        <w:t xml:space="preserve"> </w:t>
      </w:r>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 xml:space="preserve">[Regulation 53 amended in Gazette 29 Jun 1984 p. 1781; 4 Sep 1992 p. 4475.] </w:t>
      </w:r>
    </w:p>
    <w:p>
      <w:pPr>
        <w:pStyle w:val="Heading2"/>
      </w:pPr>
      <w:bookmarkStart w:id="506" w:name="_Toc92695656"/>
      <w:bookmarkStart w:id="507" w:name="_Toc92968598"/>
      <w:bookmarkStart w:id="508" w:name="_Toc92968690"/>
      <w:bookmarkStart w:id="509" w:name="_Toc94935627"/>
      <w:bookmarkStart w:id="510" w:name="_Toc94935842"/>
      <w:bookmarkStart w:id="511" w:name="_Toc94941407"/>
      <w:bookmarkStart w:id="512" w:name="_Toc105237883"/>
      <w:bookmarkStart w:id="513" w:name="_Toc105470652"/>
      <w:bookmarkStart w:id="514" w:name="_Toc107800499"/>
      <w:bookmarkStart w:id="515" w:name="_Toc110666969"/>
      <w:bookmarkStart w:id="516" w:name="_Toc110842809"/>
      <w:bookmarkStart w:id="517" w:name="_Toc113177967"/>
      <w:bookmarkStart w:id="518" w:name="_Toc113259821"/>
      <w:bookmarkStart w:id="519" w:name="_Toc113262966"/>
      <w:bookmarkStart w:id="520" w:name="_Toc117907430"/>
      <w:bookmarkStart w:id="521" w:name="_Toc134332538"/>
      <w:bookmarkStart w:id="522" w:name="_Toc134337487"/>
      <w:bookmarkStart w:id="523" w:name="_Toc134337777"/>
      <w:bookmarkStart w:id="524" w:name="_Toc139258730"/>
      <w:bookmarkStart w:id="525" w:name="_Toc167179084"/>
      <w:bookmarkStart w:id="526" w:name="_Toc170201232"/>
      <w:bookmarkStart w:id="527" w:name="_Toc170715762"/>
      <w:bookmarkStart w:id="528" w:name="_Toc195006309"/>
      <w:bookmarkStart w:id="529" w:name="_Toc195070061"/>
      <w:bookmarkStart w:id="530" w:name="_Toc33590492"/>
      <w:r>
        <w:rPr>
          <w:rStyle w:val="CharPartNo"/>
        </w:rPr>
        <w:t>Part 9</w:t>
      </w:r>
      <w:r>
        <w:rPr>
          <w:rStyle w:val="CharDivNo"/>
        </w:rPr>
        <w:t> </w:t>
      </w:r>
      <w:r>
        <w:t>—</w:t>
      </w:r>
      <w:r>
        <w:rPr>
          <w:rStyle w:val="CharDivText"/>
        </w:rPr>
        <w:t> </w:t>
      </w:r>
      <w:r>
        <w:rPr>
          <w:rStyle w:val="CharPartText"/>
        </w:rPr>
        <w:t>Offences and penalties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Pr>
          <w:rStyle w:val="CharPartText"/>
        </w:rPr>
        <w:t xml:space="preserve"> </w:t>
      </w:r>
    </w:p>
    <w:p>
      <w:pPr>
        <w:pStyle w:val="Footnoteheading"/>
        <w:ind w:left="890"/>
        <w:rPr>
          <w:snapToGrid w:val="0"/>
        </w:rPr>
      </w:pPr>
      <w:r>
        <w:rPr>
          <w:snapToGrid w:val="0"/>
        </w:rPr>
        <w:tab/>
        <w:t>[Heading inserted in Gazette 29 Jul 1997 p. 4081.]</w:t>
      </w:r>
    </w:p>
    <w:p>
      <w:pPr>
        <w:pStyle w:val="Heading5"/>
      </w:pPr>
      <w:bookmarkStart w:id="531" w:name="_Toc113177968"/>
      <w:bookmarkStart w:id="532" w:name="_Toc33590493"/>
      <w:r>
        <w:rPr>
          <w:rStyle w:val="CharSectno"/>
        </w:rPr>
        <w:t>54</w:t>
      </w:r>
      <w:r>
        <w:t>.</w:t>
      </w:r>
      <w:r>
        <w:tab/>
        <w:t>Offence</w:t>
      </w:r>
      <w:bookmarkEnd w:id="531"/>
      <w:bookmarkEnd w:id="532"/>
      <w:r>
        <w:t xml:space="preserve"> </w:t>
      </w:r>
    </w:p>
    <w:p>
      <w:pPr>
        <w:pStyle w:val="Subsection"/>
      </w:pPr>
      <w:r>
        <w:tab/>
      </w:r>
      <w:r>
        <w:tab/>
        <w:t>A person who contravenes these regulations commits an offence.</w:t>
      </w:r>
    </w:p>
    <w:p>
      <w:pPr>
        <w:pStyle w:val="Penstart"/>
      </w:pPr>
      <w:r>
        <w:tab/>
        <w:t>Maximum penalty: $1 000.</w:t>
      </w:r>
    </w:p>
    <w:p>
      <w:pPr>
        <w:pStyle w:val="Penstart"/>
      </w:pPr>
      <w:r>
        <w:tab/>
        <w:t xml:space="preserve">Minimum penalty: for — </w:t>
      </w:r>
    </w:p>
    <w:p>
      <w:pPr>
        <w:pStyle w:val="Penpara"/>
      </w:pPr>
      <w:r>
        <w:tab/>
        <w:t>(a)</w:t>
      </w:r>
      <w:r>
        <w:tab/>
        <w:t>a first offence, $100;</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sectPr>
          <w:headerReference w:type="even" r:id="rId22"/>
          <w:headerReference w:type="default" r:id="rId23"/>
          <w:footerReference w:type="even" r:id="rId24"/>
          <w:footerReference w:type="default" r:id="rId25"/>
          <w:headerReference w:type="first" r:id="rId26"/>
          <w:footerReference w:type="first" r:id="rId27"/>
          <w:pgSz w:w="11906" w:h="16838" w:code="9"/>
          <w:pgMar w:top="2376" w:right="2405" w:bottom="3542" w:left="2405" w:header="706" w:footer="3380" w:gutter="0"/>
          <w:pgNumType w:start="1"/>
          <w:cols w:space="720"/>
          <w:noEndnote/>
          <w:titlePg/>
          <w:docGrid w:linePitch="326"/>
        </w:sectPr>
      </w:pPr>
    </w:p>
    <w:p>
      <w:pPr>
        <w:pStyle w:val="yScheduleHeading"/>
      </w:pPr>
      <w:bookmarkStart w:id="533" w:name="_Toc170201236"/>
      <w:bookmarkStart w:id="534" w:name="_Toc170715764"/>
      <w:bookmarkStart w:id="535" w:name="_Toc195006311"/>
      <w:bookmarkStart w:id="536" w:name="_Toc195070063"/>
      <w:bookmarkStart w:id="537" w:name="_Toc33590494"/>
      <w:r>
        <w:rPr>
          <w:rStyle w:val="CharSchNo"/>
        </w:rPr>
        <w:t>Schedule 1</w:t>
      </w:r>
      <w:r>
        <w:t> — </w:t>
      </w:r>
      <w:r>
        <w:rPr>
          <w:rStyle w:val="CharSchText"/>
        </w:rPr>
        <w:t>Fees</w:t>
      </w:r>
      <w:bookmarkEnd w:id="533"/>
      <w:bookmarkEnd w:id="534"/>
      <w:bookmarkEnd w:id="535"/>
      <w:bookmarkEnd w:id="536"/>
      <w:bookmarkEnd w:id="537"/>
    </w:p>
    <w:p>
      <w:pPr>
        <w:pStyle w:val="yShoulderClause"/>
      </w:pPr>
      <w:r>
        <w:t>[r. 4, 4A, 10]</w:t>
      </w:r>
    </w:p>
    <w:p>
      <w:pPr>
        <w:pStyle w:val="yFootnoteheading"/>
        <w:spacing w:after="120"/>
      </w:pPr>
      <w:r>
        <w:tab/>
        <w:t>[Heading inserted in Gazette 18 May 2007 p. 2253.]</w:t>
      </w:r>
    </w:p>
    <w:tbl>
      <w:tblPr>
        <w:tblW w:w="0" w:type="auto"/>
        <w:tblInd w:w="993" w:type="dxa"/>
        <w:tblLayout w:type="fixed"/>
        <w:tblCellMar>
          <w:left w:w="142" w:type="dxa"/>
          <w:right w:w="142" w:type="dxa"/>
        </w:tblCellMar>
        <w:tblLook w:val="0000" w:firstRow="0" w:lastRow="0" w:firstColumn="0" w:lastColumn="0" w:noHBand="0" w:noVBand="0"/>
      </w:tblPr>
      <w:tblGrid>
        <w:gridCol w:w="4961"/>
        <w:gridCol w:w="1134"/>
      </w:tblGrid>
      <w:tr>
        <w:tc>
          <w:tcPr>
            <w:tcW w:w="4961" w:type="dxa"/>
            <w:tcBorders>
              <w:top w:val="single" w:sz="4" w:space="0" w:color="auto"/>
              <w:bottom w:val="single" w:sz="4" w:space="0" w:color="auto"/>
            </w:tcBorders>
          </w:tcPr>
          <w:p>
            <w:pPr>
              <w:pStyle w:val="yTable"/>
              <w:tabs>
                <w:tab w:val="left" w:pos="567"/>
              </w:tabs>
              <w:spacing w:before="0"/>
              <w:ind w:right="150"/>
              <w:rPr>
                <w:b/>
              </w:rPr>
            </w:pPr>
            <w:r>
              <w:rPr>
                <w:b/>
              </w:rPr>
              <w:t>Item</w:t>
            </w:r>
            <w:r>
              <w:rPr>
                <w:b/>
              </w:rPr>
              <w:tab/>
              <w:t>Description</w:t>
            </w:r>
          </w:p>
        </w:tc>
        <w:tc>
          <w:tcPr>
            <w:tcW w:w="1134" w:type="dxa"/>
            <w:tcBorders>
              <w:top w:val="single" w:sz="4" w:space="0" w:color="auto"/>
              <w:bottom w:val="single" w:sz="4" w:space="0" w:color="auto"/>
            </w:tcBorders>
          </w:tcPr>
          <w:p>
            <w:pPr>
              <w:pStyle w:val="yTable"/>
              <w:tabs>
                <w:tab w:val="decimal" w:pos="273"/>
              </w:tabs>
              <w:spacing w:before="0"/>
              <w:jc w:val="center"/>
              <w:rPr>
                <w:b/>
              </w:rPr>
            </w:pPr>
            <w:r>
              <w:rPr>
                <w:b/>
              </w:rPr>
              <w:t>Fee</w:t>
            </w:r>
          </w:p>
        </w:tc>
      </w:tr>
      <w:tr>
        <w:tc>
          <w:tcPr>
            <w:tcW w:w="4961" w:type="dxa"/>
            <w:tcBorders>
              <w:top w:val="single" w:sz="4" w:space="0" w:color="auto"/>
            </w:tcBorders>
          </w:tcPr>
          <w:p>
            <w:pPr>
              <w:pStyle w:val="yTable"/>
              <w:spacing w:before="0"/>
              <w:ind w:right="150"/>
            </w:pPr>
          </w:p>
        </w:tc>
        <w:tc>
          <w:tcPr>
            <w:tcW w:w="1134" w:type="dxa"/>
            <w:tcBorders>
              <w:top w:val="single" w:sz="4" w:space="0" w:color="auto"/>
            </w:tcBorders>
          </w:tcPr>
          <w:p>
            <w:pPr>
              <w:pStyle w:val="yTable"/>
              <w:spacing w:before="0"/>
              <w:jc w:val="center"/>
              <w:rPr>
                <w:b/>
                <w:bCs/>
              </w:rPr>
            </w:pPr>
            <w:r>
              <w:rPr>
                <w:b/>
                <w:bCs/>
              </w:rPr>
              <w:t>$</w:t>
            </w:r>
          </w:p>
        </w:tc>
      </w:tr>
      <w:tr>
        <w:tc>
          <w:tcPr>
            <w:tcW w:w="4961" w:type="dxa"/>
          </w:tcPr>
          <w:p>
            <w:pPr>
              <w:pStyle w:val="yTable"/>
              <w:tabs>
                <w:tab w:val="left" w:pos="567"/>
              </w:tabs>
              <w:spacing w:before="0"/>
              <w:ind w:left="567" w:right="150" w:hanging="567"/>
            </w:pPr>
            <w:r>
              <w:t>1.</w:t>
            </w:r>
            <w:r>
              <w:tab/>
              <w:t>Application for the approval of an apparatus by local government under regulation 4 .......</w:t>
            </w:r>
          </w:p>
        </w:tc>
        <w:tc>
          <w:tcPr>
            <w:tcW w:w="1134" w:type="dxa"/>
          </w:tcPr>
          <w:p>
            <w:pPr>
              <w:pStyle w:val="yTable"/>
              <w:tabs>
                <w:tab w:val="right" w:pos="567"/>
                <w:tab w:val="right" w:pos="6521"/>
              </w:tabs>
              <w:spacing w:before="0"/>
              <w:jc w:val="right"/>
            </w:pPr>
          </w:p>
          <w:p>
            <w:pPr>
              <w:pStyle w:val="yTable"/>
              <w:tabs>
                <w:tab w:val="right" w:pos="567"/>
              </w:tabs>
              <w:spacing w:before="0"/>
              <w:ind w:right="141"/>
              <w:jc w:val="right"/>
            </w:pPr>
            <w:r>
              <w:t>104.00</w:t>
            </w:r>
          </w:p>
        </w:tc>
      </w:tr>
      <w:tr>
        <w:tc>
          <w:tcPr>
            <w:tcW w:w="4961" w:type="dxa"/>
          </w:tcPr>
          <w:p>
            <w:pPr>
              <w:pStyle w:val="yTable"/>
              <w:tabs>
                <w:tab w:val="left" w:pos="567"/>
              </w:tabs>
              <w:spacing w:before="0"/>
              <w:ind w:left="567" w:right="150" w:hanging="567"/>
            </w:pPr>
            <w:r>
              <w:t>2.</w:t>
            </w:r>
            <w:r>
              <w:tab/>
              <w:t>Application for the approval of an apparatus by the Executive Director, Public Health under regulation 4A — </w:t>
            </w:r>
          </w:p>
          <w:p>
            <w:pPr>
              <w:pStyle w:val="yTable"/>
              <w:tabs>
                <w:tab w:val="left" w:pos="840"/>
                <w:tab w:val="left" w:pos="1276"/>
              </w:tabs>
              <w:spacing w:before="0"/>
              <w:ind w:left="1265" w:right="150" w:hanging="992"/>
            </w:pPr>
            <w:r>
              <w:tab/>
              <w:t>(a)</w:t>
            </w:r>
            <w:r>
              <w:tab/>
              <w:t>with a local government report ........</w:t>
            </w:r>
          </w:p>
          <w:p>
            <w:pPr>
              <w:pStyle w:val="yTable"/>
              <w:tabs>
                <w:tab w:val="left" w:pos="840"/>
                <w:tab w:val="left" w:pos="1276"/>
              </w:tabs>
              <w:spacing w:before="0"/>
              <w:ind w:left="1265" w:right="150" w:hanging="992"/>
            </w:pPr>
            <w:r>
              <w:tab/>
              <w:t>(b)</w:t>
            </w:r>
            <w:r>
              <w:tab/>
              <w:t>without a local government report under regulation 4A(4) .....................</w:t>
            </w:r>
          </w:p>
        </w:tc>
        <w:tc>
          <w:tcPr>
            <w:tcW w:w="1134" w:type="dxa"/>
          </w:tcPr>
          <w:p>
            <w:pPr>
              <w:pStyle w:val="yTable"/>
              <w:tabs>
                <w:tab w:val="right" w:pos="567"/>
              </w:tabs>
              <w:spacing w:before="0"/>
              <w:ind w:right="141"/>
              <w:jc w:val="right"/>
            </w:pPr>
            <w:r>
              <w:br/>
            </w:r>
            <w:r>
              <w:br/>
            </w:r>
          </w:p>
          <w:p>
            <w:pPr>
              <w:pStyle w:val="yTable"/>
              <w:tabs>
                <w:tab w:val="right" w:pos="567"/>
              </w:tabs>
              <w:spacing w:before="0"/>
              <w:ind w:right="141"/>
              <w:jc w:val="right"/>
            </w:pPr>
            <w:r>
              <w:t>35.00</w:t>
            </w:r>
          </w:p>
          <w:p>
            <w:pPr>
              <w:pStyle w:val="yTable"/>
              <w:tabs>
                <w:tab w:val="right" w:pos="567"/>
              </w:tabs>
              <w:spacing w:before="0"/>
              <w:ind w:right="141"/>
              <w:jc w:val="right"/>
            </w:pPr>
            <w:r>
              <w:br/>
              <w:t>110.00</w:t>
            </w:r>
          </w:p>
        </w:tc>
      </w:tr>
      <w:tr>
        <w:tc>
          <w:tcPr>
            <w:tcW w:w="4961" w:type="dxa"/>
            <w:tcBorders>
              <w:bottom w:val="single" w:sz="4" w:space="0" w:color="auto"/>
            </w:tcBorders>
          </w:tcPr>
          <w:p>
            <w:pPr>
              <w:pStyle w:val="yTable"/>
              <w:tabs>
                <w:tab w:val="left" w:pos="567"/>
              </w:tabs>
              <w:spacing w:before="0"/>
              <w:ind w:left="567" w:right="150" w:hanging="567"/>
            </w:pPr>
            <w:r>
              <w:t>3.</w:t>
            </w:r>
            <w:r>
              <w:tab/>
              <w:t>Fee for the grant of a permit to use an apparatus under regulation 10(2) ..................</w:t>
            </w:r>
          </w:p>
        </w:tc>
        <w:tc>
          <w:tcPr>
            <w:tcW w:w="1134" w:type="dxa"/>
            <w:tcBorders>
              <w:bottom w:val="single" w:sz="4" w:space="0" w:color="auto"/>
            </w:tcBorders>
          </w:tcPr>
          <w:p>
            <w:pPr>
              <w:pStyle w:val="yTable"/>
              <w:tabs>
                <w:tab w:val="right" w:pos="567"/>
              </w:tabs>
              <w:spacing w:before="0"/>
              <w:ind w:right="141"/>
              <w:jc w:val="right"/>
            </w:pPr>
            <w:r>
              <w:br/>
              <w:t>104.00</w:t>
            </w:r>
          </w:p>
        </w:tc>
      </w:tr>
    </w:tbl>
    <w:p>
      <w:pPr>
        <w:pStyle w:val="yFootnotesection"/>
      </w:pPr>
      <w:r>
        <w:tab/>
        <w:t>[Schedule 1 inserted in Gazette 18 May 2007 p. 2253; amended in Gazette 4 Apr 2008 p. 1309.]</w:t>
      </w:r>
    </w:p>
    <w:p>
      <w:pPr>
        <w:pStyle w:val="yEdnoteschedule"/>
      </w:pPr>
      <w:r>
        <w:t>[Schedule 2 repealed in Gazette 29 Jul 1997 p. 4084.]</w:t>
      </w:r>
    </w:p>
    <w:p>
      <w:pPr>
        <w:pStyle w:val="yScheduleHeading"/>
      </w:pPr>
      <w:bookmarkStart w:id="538" w:name="_Toc48022122"/>
      <w:bookmarkStart w:id="539" w:name="_Toc48108981"/>
      <w:bookmarkStart w:id="540" w:name="_Toc49935005"/>
      <w:bookmarkStart w:id="541" w:name="_Toc113177971"/>
      <w:bookmarkStart w:id="542" w:name="_Toc113259825"/>
      <w:bookmarkStart w:id="543" w:name="_Toc113262970"/>
      <w:bookmarkStart w:id="544" w:name="_Toc117907434"/>
      <w:bookmarkStart w:id="545" w:name="_Toc134332542"/>
      <w:bookmarkStart w:id="546" w:name="_Toc134337491"/>
      <w:bookmarkStart w:id="547" w:name="_Toc134337781"/>
      <w:bookmarkStart w:id="548" w:name="_Toc139258733"/>
      <w:bookmarkStart w:id="549" w:name="_Toc167179087"/>
      <w:bookmarkStart w:id="550" w:name="_Toc170201237"/>
      <w:bookmarkStart w:id="551" w:name="_Toc170715765"/>
      <w:bookmarkStart w:id="552" w:name="_Toc195006312"/>
      <w:bookmarkStart w:id="553" w:name="_Toc195070064"/>
      <w:bookmarkStart w:id="554" w:name="_Toc33590495"/>
      <w:r>
        <w:rPr>
          <w:rStyle w:val="CharSchNo"/>
        </w:rPr>
        <w:t>Schedule 3</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pPr>
        <w:pStyle w:val="yShoulderClause"/>
        <w:spacing w:before="40"/>
        <w:rPr>
          <w:snapToGrid w:val="0"/>
        </w:rPr>
      </w:pPr>
      <w:r>
        <w:rPr>
          <w:snapToGrid w:val="0"/>
        </w:rPr>
        <w:t>[Reg. 34]</w:t>
      </w:r>
    </w:p>
    <w:p>
      <w:pPr>
        <w:pStyle w:val="yFootnoteheading"/>
      </w:pPr>
      <w:r>
        <w:tab/>
        <w:t>[Heading inserted in Gazette 15 Dec 1989 p. 4552.]</w:t>
      </w:r>
    </w:p>
    <w:p>
      <w:pPr>
        <w:pStyle w:val="yHeading2"/>
        <w:spacing w:before="120"/>
        <w:outlineLvl w:val="9"/>
      </w:pPr>
      <w:bookmarkStart w:id="555" w:name="_Toc113177972"/>
      <w:bookmarkStart w:id="556" w:name="_Toc113259826"/>
      <w:bookmarkStart w:id="557" w:name="_Toc113262971"/>
      <w:bookmarkStart w:id="558" w:name="_Toc117907435"/>
      <w:bookmarkStart w:id="559" w:name="_Toc134332543"/>
      <w:bookmarkStart w:id="560" w:name="_Toc134337492"/>
      <w:bookmarkStart w:id="561" w:name="_Toc134337782"/>
      <w:bookmarkStart w:id="562" w:name="_Toc139258734"/>
      <w:bookmarkStart w:id="563" w:name="_Toc167179088"/>
      <w:bookmarkStart w:id="564" w:name="_Toc170201238"/>
      <w:bookmarkStart w:id="565" w:name="_Toc170715766"/>
      <w:bookmarkStart w:id="566" w:name="_Toc195006313"/>
      <w:bookmarkStart w:id="567" w:name="_Toc195070065"/>
      <w:bookmarkStart w:id="568" w:name="_Toc33590496"/>
      <w:r>
        <w:rPr>
          <w:rStyle w:val="CharSchText"/>
        </w:rPr>
        <w:t>Concrete covers for in situ septic tanks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pPr>
        <w:pStyle w:val="yFootnoteheading"/>
        <w:spacing w:after="120"/>
      </w:pPr>
      <w:r>
        <w:tab/>
        <w:t>[Heading inserted in Gazette 15 Dec 1989 p. 4552.]</w:t>
      </w:r>
    </w:p>
    <w:p>
      <w:pPr>
        <w:jc w:val="center"/>
        <w:rPr>
          <w:snapToGrid w:val="0"/>
        </w:rPr>
      </w:pPr>
      <w:r>
        <w:rPr>
          <w:noProof/>
          <w:lang w:eastAsia="en-AU"/>
        </w:rPr>
        <w:drawing>
          <wp:inline distT="0" distB="0" distL="0" distR="0">
            <wp:extent cx="3743325" cy="5381625"/>
            <wp:effectExtent l="0" t="0" r="9525" b="9525"/>
            <wp:docPr id="2" name="Picture 2"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3325" cy="5381625"/>
                    </a:xfrm>
                    <a:prstGeom prst="rect">
                      <a:avLst/>
                    </a:prstGeom>
                    <a:noFill/>
                    <a:ln>
                      <a:noFill/>
                    </a:ln>
                  </pic:spPr>
                </pic:pic>
              </a:graphicData>
            </a:graphic>
          </wp:inline>
        </w:drawing>
      </w:r>
    </w:p>
    <w:p>
      <w:pPr>
        <w:pageBreakBefore/>
        <w:jc w:val="center"/>
        <w:rPr>
          <w:snapToGrid w:val="0"/>
        </w:rPr>
      </w:pPr>
      <w:r>
        <w:rPr>
          <w:noProof/>
          <w:lang w:eastAsia="en-AU"/>
        </w:rPr>
        <w:drawing>
          <wp:inline distT="0" distB="0" distL="0" distR="0">
            <wp:extent cx="3933825" cy="6086475"/>
            <wp:effectExtent l="0" t="0" r="9525" b="952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3825" cy="6086475"/>
                    </a:xfrm>
                    <a:prstGeom prst="rect">
                      <a:avLst/>
                    </a:prstGeom>
                    <a:noFill/>
                    <a:ln>
                      <a:noFill/>
                    </a:ln>
                  </pic:spPr>
                </pic:pic>
              </a:graphicData>
            </a:graphic>
          </wp:inline>
        </w:drawing>
      </w:r>
    </w:p>
    <w:p>
      <w:pPr>
        <w:pStyle w:val="MiscellaneousHeading"/>
        <w:pageBreakBefore/>
        <w:rPr>
          <w:snapToGrid w:val="0"/>
        </w:rPr>
      </w:pPr>
      <w:r>
        <w:rPr>
          <w:snapToGrid w:val="0"/>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
              <w:spacing w:before="0"/>
              <w:jc w:val="center"/>
              <w:rPr>
                <w:sz w:val="14"/>
              </w:rPr>
            </w:pPr>
          </w:p>
          <w:p>
            <w:pPr>
              <w:pStyle w:val="yTable"/>
              <w:spacing w:before="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
              <w:spacing w:before="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
              <w:spacing w:before="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REINF. TO BE HELD IN PLACE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pacing w:val="-1"/>
                <w:sz w:val="14"/>
              </w:rPr>
            </w:pPr>
            <w:r>
              <w:rPr>
                <w:spacing w:val="-1"/>
                <w:sz w:val="14"/>
              </w:rPr>
              <w:t>3 000 x 1 500</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60"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r>
      <w:tr>
        <w:tc>
          <w:tcPr>
            <w:tcW w:w="1200" w:type="dxa"/>
          </w:tcPr>
          <w:p>
            <w:pPr>
              <w:pStyle w:val="yTable"/>
              <w:spacing w:before="0"/>
              <w:rPr>
                <w:spacing w:val="-1"/>
                <w:sz w:val="14"/>
              </w:rPr>
            </w:pPr>
            <w:r>
              <w:rPr>
                <w:spacing w:val="-1"/>
                <w:sz w:val="14"/>
              </w:rPr>
              <w:t>3 600 x 1 900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4 200 x 2 200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4 800 x 2 500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r>
      <w:tr>
        <w:tc>
          <w:tcPr>
            <w:tcW w:w="1200" w:type="dxa"/>
          </w:tcPr>
          <w:p>
            <w:pPr>
              <w:pStyle w:val="yTable"/>
              <w:spacing w:before="0"/>
              <w:rPr>
                <w:spacing w:val="-1"/>
                <w:sz w:val="14"/>
              </w:rPr>
            </w:pPr>
            <w:r>
              <w:rPr>
                <w:spacing w:val="-1"/>
                <w:sz w:val="14"/>
              </w:rPr>
              <w:t>5 500 x 2 800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114800" cy="6210300"/>
            <wp:effectExtent l="0" t="0" r="0" b="0"/>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6210300"/>
                    </a:xfrm>
                    <a:prstGeom prst="rect">
                      <a:avLst/>
                    </a:prstGeom>
                    <a:noFill/>
                    <a:ln>
                      <a:noFill/>
                    </a:ln>
                  </pic:spPr>
                </pic:pic>
              </a:graphicData>
            </a:graphic>
          </wp:inline>
        </w:drawing>
      </w:r>
    </w:p>
    <w:p>
      <w:pPr>
        <w:pStyle w:val="MiscellaneousHeading"/>
        <w:pageBreakBefore/>
        <w:rPr>
          <w:snapToGrid w:val="0"/>
        </w:rPr>
      </w:pPr>
      <w:r>
        <w:rPr>
          <w:snapToGrid w:val="0"/>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2 500 DEEP TANK</w:t>
            </w:r>
          </w:p>
        </w:tc>
      </w:tr>
      <w:tr>
        <w:trPr>
          <w:cantSplit/>
        </w:trPr>
        <w:tc>
          <w:tcPr>
            <w:tcW w:w="1309" w:type="dxa"/>
            <w:vMerge/>
          </w:tcPr>
          <w:p>
            <w:pPr>
              <w:pStyle w:val="yTable"/>
              <w:rPr>
                <w:sz w:val="14"/>
              </w:rPr>
            </w:pPr>
          </w:p>
        </w:tc>
        <w:tc>
          <w:tcPr>
            <w:tcW w:w="924" w:type="dxa"/>
          </w:tcPr>
          <w:p>
            <w:pPr>
              <w:pStyle w:val="yTable"/>
              <w:jc w:val="center"/>
              <w:rPr>
                <w:sz w:val="14"/>
              </w:rPr>
            </w:pPr>
            <w:r>
              <w:rPr>
                <w:sz w:val="14"/>
              </w:rPr>
              <w:t>R1</w:t>
            </w:r>
          </w:p>
        </w:tc>
        <w:tc>
          <w:tcPr>
            <w:tcW w:w="972" w:type="dxa"/>
          </w:tcPr>
          <w:p>
            <w:pPr>
              <w:pStyle w:val="yTable"/>
              <w:jc w:val="center"/>
              <w:rPr>
                <w:sz w:val="14"/>
              </w:rPr>
            </w:pPr>
            <w:r>
              <w:rPr>
                <w:sz w:val="14"/>
              </w:rPr>
              <w:t>R2</w:t>
            </w:r>
          </w:p>
        </w:tc>
        <w:tc>
          <w:tcPr>
            <w:tcW w:w="924" w:type="dxa"/>
          </w:tcPr>
          <w:p>
            <w:pPr>
              <w:pStyle w:val="yTable"/>
              <w:jc w:val="center"/>
              <w:rPr>
                <w:sz w:val="14"/>
              </w:rPr>
            </w:pPr>
            <w:r>
              <w:rPr>
                <w:sz w:val="14"/>
              </w:rPr>
              <w:t>R3</w:t>
            </w:r>
          </w:p>
        </w:tc>
        <w:tc>
          <w:tcPr>
            <w:tcW w:w="924" w:type="dxa"/>
          </w:tcPr>
          <w:p>
            <w:pPr>
              <w:pStyle w:val="yTable"/>
              <w:jc w:val="center"/>
              <w:rPr>
                <w:sz w:val="14"/>
              </w:rPr>
            </w:pPr>
            <w:r>
              <w:rPr>
                <w:sz w:val="14"/>
              </w:rPr>
              <w:t>R4</w:t>
            </w:r>
          </w:p>
        </w:tc>
        <w:tc>
          <w:tcPr>
            <w:tcW w:w="826" w:type="dxa"/>
          </w:tcPr>
          <w:p>
            <w:pPr>
              <w:pStyle w:val="yTable"/>
              <w:jc w:val="center"/>
              <w:rPr>
                <w:sz w:val="14"/>
              </w:rPr>
            </w:pPr>
            <w:r>
              <w:rPr>
                <w:sz w:val="14"/>
              </w:rPr>
              <w:t>R5</w:t>
            </w:r>
          </w:p>
        </w:tc>
        <w:tc>
          <w:tcPr>
            <w:tcW w:w="924" w:type="dxa"/>
          </w:tcPr>
          <w:p>
            <w:pPr>
              <w:pStyle w:val="yTable"/>
              <w:jc w:val="center"/>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4 800 x 2 500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F102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F81</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2 500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010025" cy="6057900"/>
            <wp:effectExtent l="0" t="0" r="9525" b="0"/>
            <wp:docPr id="5" name="Picture 5"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0025" cy="6057900"/>
                    </a:xfrm>
                    <a:prstGeom prst="rect">
                      <a:avLst/>
                    </a:prstGeom>
                    <a:noFill/>
                    <a:ln>
                      <a:noFill/>
                    </a:ln>
                  </pic:spPr>
                </pic:pic>
              </a:graphicData>
            </a:graphic>
          </wp:inline>
        </w:drawing>
      </w:r>
    </w:p>
    <w:p>
      <w:pPr>
        <w:pStyle w:val="MiscellaneousHeading"/>
        <w:pageBreakBefore/>
        <w:rPr>
          <w:snapToGrid w:val="0"/>
        </w:rPr>
      </w:pPr>
      <w:r>
        <w:rPr>
          <w:snapToGrid w:val="0"/>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3 000 DEEP TANK</w:t>
            </w:r>
          </w:p>
        </w:tc>
      </w:tr>
      <w:tr>
        <w:trPr>
          <w:cantSplit/>
        </w:trPr>
        <w:tc>
          <w:tcPr>
            <w:tcW w:w="1309" w:type="dxa"/>
            <w:vMerge/>
          </w:tcPr>
          <w:p>
            <w:pPr>
              <w:pStyle w:val="yTable"/>
              <w:rPr>
                <w:sz w:val="14"/>
              </w:rPr>
            </w:pPr>
          </w:p>
        </w:tc>
        <w:tc>
          <w:tcPr>
            <w:tcW w:w="924" w:type="dxa"/>
          </w:tcPr>
          <w:p>
            <w:pPr>
              <w:pStyle w:val="yTable"/>
              <w:rPr>
                <w:sz w:val="14"/>
              </w:rPr>
            </w:pPr>
            <w:r>
              <w:rPr>
                <w:sz w:val="14"/>
              </w:rPr>
              <w:t>R1</w:t>
            </w:r>
          </w:p>
        </w:tc>
        <w:tc>
          <w:tcPr>
            <w:tcW w:w="972" w:type="dxa"/>
          </w:tcPr>
          <w:p>
            <w:pPr>
              <w:pStyle w:val="yTable"/>
              <w:rPr>
                <w:sz w:val="14"/>
              </w:rPr>
            </w:pPr>
            <w:r>
              <w:rPr>
                <w:sz w:val="14"/>
              </w:rPr>
              <w:t>R2</w:t>
            </w:r>
          </w:p>
        </w:tc>
        <w:tc>
          <w:tcPr>
            <w:tcW w:w="924" w:type="dxa"/>
          </w:tcPr>
          <w:p>
            <w:pPr>
              <w:pStyle w:val="yTable"/>
              <w:rPr>
                <w:sz w:val="14"/>
              </w:rPr>
            </w:pPr>
            <w:r>
              <w:rPr>
                <w:sz w:val="14"/>
              </w:rPr>
              <w:t>R3</w:t>
            </w:r>
          </w:p>
        </w:tc>
        <w:tc>
          <w:tcPr>
            <w:tcW w:w="924" w:type="dxa"/>
          </w:tcPr>
          <w:p>
            <w:pPr>
              <w:pStyle w:val="yTable"/>
              <w:rPr>
                <w:sz w:val="14"/>
              </w:rPr>
            </w:pPr>
            <w:r>
              <w:rPr>
                <w:sz w:val="14"/>
              </w:rPr>
              <w:t>R4</w:t>
            </w:r>
          </w:p>
        </w:tc>
        <w:tc>
          <w:tcPr>
            <w:tcW w:w="826" w:type="dxa"/>
          </w:tcPr>
          <w:p>
            <w:pPr>
              <w:pStyle w:val="yTable"/>
              <w:rPr>
                <w:sz w:val="14"/>
              </w:rPr>
            </w:pPr>
            <w:r>
              <w:rPr>
                <w:sz w:val="14"/>
              </w:rPr>
              <w:t>R5</w:t>
            </w:r>
          </w:p>
        </w:tc>
        <w:tc>
          <w:tcPr>
            <w:tcW w:w="924" w:type="dxa"/>
          </w:tcPr>
          <w:p>
            <w:pPr>
              <w:pStyle w:val="yTable"/>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4 800 x 2 500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rPr>
                <w:sz w:val="14"/>
              </w:rPr>
            </w:pPr>
            <w:r>
              <w:rPr>
                <w:sz w:val="14"/>
              </w:rPr>
              <w:t>F81</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F81</w:t>
            </w:r>
          </w:p>
        </w:tc>
        <w:tc>
          <w:tcPr>
            <w:tcW w:w="826" w:type="dxa"/>
          </w:tcPr>
          <w:p>
            <w:pPr>
              <w:pStyle w:val="yTable"/>
              <w:rPr>
                <w:sz w:val="14"/>
              </w:rPr>
            </w:pPr>
            <w:r>
              <w:rPr>
                <w:sz w:val="14"/>
              </w:rPr>
              <w:t>F92</w:t>
            </w:r>
          </w:p>
        </w:tc>
        <w:tc>
          <w:tcPr>
            <w:tcW w:w="924" w:type="dxa"/>
          </w:tcPr>
          <w:p>
            <w:pPr>
              <w:pStyle w:val="yTable"/>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lang w:val="en-US"/>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3 000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569" w:name="_Toc48022124"/>
      <w:bookmarkStart w:id="570" w:name="_Toc48108983"/>
      <w:bookmarkStart w:id="571" w:name="_Toc49935007"/>
      <w:bookmarkStart w:id="572" w:name="_Toc113177973"/>
      <w:bookmarkStart w:id="573" w:name="_Toc113259827"/>
      <w:bookmarkStart w:id="574" w:name="_Toc113262972"/>
      <w:bookmarkStart w:id="575" w:name="_Toc117907436"/>
      <w:bookmarkStart w:id="576" w:name="_Toc134332544"/>
      <w:bookmarkStart w:id="577" w:name="_Toc134337493"/>
      <w:bookmarkStart w:id="578" w:name="_Toc134337783"/>
      <w:bookmarkStart w:id="579" w:name="_Toc139258735"/>
      <w:bookmarkStart w:id="580" w:name="_Toc167179089"/>
      <w:bookmarkStart w:id="581" w:name="_Toc170201239"/>
      <w:bookmarkStart w:id="582" w:name="_Toc170715767"/>
      <w:bookmarkStart w:id="583" w:name="_Toc195006314"/>
      <w:bookmarkStart w:id="584" w:name="_Toc195070066"/>
      <w:bookmarkStart w:id="585" w:name="_Toc33590497"/>
      <w:r>
        <w:rPr>
          <w:rStyle w:val="CharSchNo"/>
        </w:rPr>
        <w:t>Schedule 4</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pPr>
        <w:pStyle w:val="yShoulderClause"/>
        <w:rPr>
          <w:snapToGrid w:val="0"/>
        </w:rPr>
      </w:pPr>
      <w:r>
        <w:rPr>
          <w:snapToGrid w:val="0"/>
        </w:rPr>
        <w:t>[Reg. 35]</w:t>
      </w:r>
    </w:p>
    <w:p>
      <w:pPr>
        <w:pStyle w:val="yFootnoteheading"/>
      </w:pPr>
      <w:r>
        <w:tab/>
        <w:t>[Heading inserted in Gazette 15 Dec 1989 p. 4552.]</w:t>
      </w:r>
    </w:p>
    <w:p>
      <w:pPr>
        <w:pStyle w:val="yHeading2"/>
        <w:outlineLvl w:val="9"/>
      </w:pPr>
      <w:bookmarkStart w:id="586" w:name="_Toc113177974"/>
      <w:bookmarkStart w:id="587" w:name="_Toc113259828"/>
      <w:bookmarkStart w:id="588" w:name="_Toc113262973"/>
      <w:bookmarkStart w:id="589" w:name="_Toc117907437"/>
      <w:bookmarkStart w:id="590" w:name="_Toc134332545"/>
      <w:bookmarkStart w:id="591" w:name="_Toc134337494"/>
      <w:bookmarkStart w:id="592" w:name="_Toc134337784"/>
      <w:bookmarkStart w:id="593" w:name="_Toc139258736"/>
      <w:bookmarkStart w:id="594" w:name="_Toc167179090"/>
      <w:bookmarkStart w:id="595" w:name="_Toc170201240"/>
      <w:bookmarkStart w:id="596" w:name="_Toc170715768"/>
      <w:bookmarkStart w:id="597" w:name="_Toc195006315"/>
      <w:bookmarkStart w:id="598" w:name="_Toc195070067"/>
      <w:bookmarkStart w:id="599" w:name="_Toc33590498"/>
      <w:r>
        <w:rPr>
          <w:rStyle w:val="CharSchText"/>
          <w:spacing w:val="-4"/>
        </w:rPr>
        <w:t>Structural details of brick septic tank (sand conditions only)</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bookmarkStart w:id="600" w:name="_MON_1121763905"/>
    <w:bookmarkStart w:id="601" w:name="_MON_1208079541"/>
    <w:bookmarkEnd w:id="600"/>
    <w:bookmarkEnd w:id="601"/>
    <w:bookmarkStart w:id="602" w:name="_MON_1121761800"/>
    <w:bookmarkEnd w:id="602"/>
    <w:p>
      <w:pPr>
        <w:pStyle w:val="yTable"/>
        <w:jc w:val="center"/>
        <w:rPr>
          <w:snapToGrid w:val="0"/>
        </w:rPr>
      </w:pPr>
      <w:r>
        <w:rPr>
          <w:snapToGrid w:val="0"/>
        </w:rPr>
        <w:object w:dxaOrig="5223" w:dyaOrig="8428">
          <v:shape id="_x0000_i1026" type="#_x0000_t75" style="width:261pt;height:399pt" o:ole="" fillcolor="window">
            <v:imagedata r:id="rId32" o:title=""/>
          </v:shape>
          <o:OLEObject Type="Embed" ProgID="Word.Picture.8" ShapeID="_x0000_i1026" DrawAspect="Content" ObjectID="_1644203169" r:id="rId33"/>
        </w:object>
      </w:r>
    </w:p>
    <w:p>
      <w:pPr>
        <w:pStyle w:val="yScheduleHeading"/>
      </w:pPr>
      <w:bookmarkStart w:id="603" w:name="_Toc113177975"/>
      <w:bookmarkStart w:id="604" w:name="_Toc113259829"/>
      <w:bookmarkStart w:id="605" w:name="_Toc113262974"/>
      <w:bookmarkStart w:id="606" w:name="_Toc117907438"/>
      <w:bookmarkStart w:id="607" w:name="_Toc134332546"/>
      <w:bookmarkStart w:id="608" w:name="_Toc134337495"/>
      <w:bookmarkStart w:id="609" w:name="_Toc134337785"/>
      <w:bookmarkStart w:id="610" w:name="_Toc139258737"/>
      <w:bookmarkStart w:id="611" w:name="_Toc167179091"/>
      <w:bookmarkStart w:id="612" w:name="_Toc170201241"/>
      <w:bookmarkStart w:id="613" w:name="_Toc170715769"/>
      <w:bookmarkStart w:id="614" w:name="_Toc195006316"/>
      <w:bookmarkStart w:id="615" w:name="_Toc195070068"/>
      <w:bookmarkStart w:id="616" w:name="_Toc33590499"/>
      <w:r>
        <w:rPr>
          <w:rStyle w:val="CharSchNo"/>
        </w:rPr>
        <w:t>Schedule 5</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Pr>
          <w:rStyle w:val="CharSchText"/>
        </w:rPr>
        <w:t> </w:t>
      </w:r>
    </w:p>
    <w:p>
      <w:pPr>
        <w:pStyle w:val="yShoulderClause"/>
        <w:rPr>
          <w:snapToGrid w:val="0"/>
        </w:rPr>
      </w:pPr>
      <w:r>
        <w:rPr>
          <w:snapToGrid w:val="0"/>
        </w:rPr>
        <w:t>[Reg. 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 xml:space="preserve">PUBLIC HEALTH AND </w:t>
      </w:r>
    </w:p>
    <w:p>
      <w:pPr>
        <w:pStyle w:val="yMiscellaneousBody"/>
        <w:spacing w:before="0"/>
        <w:jc w:val="right"/>
        <w:rPr>
          <w:snapToGrid w:val="0"/>
        </w:rPr>
      </w:pPr>
      <w:r>
        <w:rPr>
          <w:snapToGrid w:val="0"/>
        </w:rPr>
        <w:t xml:space="preserve">SCIENTIFIC SUPPORT </w:t>
      </w:r>
    </w:p>
    <w:p>
      <w:pPr>
        <w:pStyle w:val="yMiscellaneousBody"/>
        <w:spacing w:before="0"/>
        <w:jc w:val="right"/>
        <w:rPr>
          <w:snapToGrid w:val="0"/>
        </w:rPr>
      </w:pPr>
      <w:r>
        <w:rPr>
          <w:snapToGrid w:val="0"/>
        </w:rPr>
        <w:t xml:space="preserve">SERVICES </w:t>
      </w:r>
    </w:p>
    <w:p>
      <w:pPr>
        <w:pStyle w:val="yFootnotesection"/>
      </w:pPr>
      <w:r>
        <w:tab/>
        <w:t>[Form 2 amended in Gazette 29 Jun 1984 p. 1781.]</w:t>
      </w:r>
    </w:p>
    <w:p>
      <w:pPr>
        <w:pStyle w:val="yScheduleHeading"/>
      </w:pPr>
      <w:bookmarkStart w:id="617" w:name="_Toc48022127"/>
      <w:bookmarkStart w:id="618" w:name="_Toc48108986"/>
      <w:bookmarkStart w:id="619" w:name="_Toc49935010"/>
      <w:bookmarkStart w:id="620" w:name="_Toc113177976"/>
      <w:bookmarkStart w:id="621" w:name="_Toc113259830"/>
      <w:bookmarkStart w:id="622" w:name="_Toc113262975"/>
      <w:bookmarkStart w:id="623" w:name="_Toc117907439"/>
      <w:bookmarkStart w:id="624" w:name="_Toc134332547"/>
      <w:bookmarkStart w:id="625" w:name="_Toc134337496"/>
      <w:bookmarkStart w:id="626" w:name="_Toc134337786"/>
      <w:bookmarkStart w:id="627" w:name="_Toc139258738"/>
      <w:bookmarkStart w:id="628" w:name="_Toc167179092"/>
      <w:bookmarkStart w:id="629" w:name="_Toc170201242"/>
      <w:bookmarkStart w:id="630" w:name="_Toc170715770"/>
      <w:bookmarkStart w:id="631" w:name="_Toc195006317"/>
      <w:bookmarkStart w:id="632" w:name="_Toc195070069"/>
      <w:bookmarkStart w:id="633" w:name="_Toc33590500"/>
      <w:r>
        <w:rPr>
          <w:rStyle w:val="CharSchNo"/>
        </w:rPr>
        <w:t>Schedule 6</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yShoulderClause"/>
        <w:rPr>
          <w:snapToGrid w:val="0"/>
        </w:rPr>
      </w:pPr>
      <w:r>
        <w:rPr>
          <w:snapToGrid w:val="0"/>
        </w:rPr>
        <w:t>[Reg. 43]</w:t>
      </w:r>
    </w:p>
    <w:p>
      <w:pPr>
        <w:pStyle w:val="yFootnoteheading"/>
      </w:pPr>
      <w:r>
        <w:tab/>
        <w:t>[Heading inserted in Gazette 15 Dec 1989 p. 4552.]</w:t>
      </w:r>
    </w:p>
    <w:p>
      <w:pPr>
        <w:pStyle w:val="yHeading2"/>
        <w:outlineLvl w:val="9"/>
      </w:pPr>
      <w:bookmarkStart w:id="634" w:name="_Toc113177977"/>
      <w:bookmarkStart w:id="635" w:name="_Toc113259831"/>
      <w:bookmarkStart w:id="636" w:name="_Toc113262976"/>
      <w:bookmarkStart w:id="637" w:name="_Toc117907440"/>
      <w:bookmarkStart w:id="638" w:name="_Toc134332548"/>
      <w:bookmarkStart w:id="639" w:name="_Toc134337497"/>
      <w:bookmarkStart w:id="640" w:name="_Toc134337787"/>
      <w:bookmarkStart w:id="641" w:name="_Toc139258739"/>
      <w:bookmarkStart w:id="642" w:name="_Toc167179093"/>
      <w:bookmarkStart w:id="643" w:name="_Toc170201243"/>
      <w:bookmarkStart w:id="644" w:name="_Toc170715771"/>
      <w:bookmarkStart w:id="645" w:name="_Toc195006318"/>
      <w:bookmarkStart w:id="646" w:name="_Toc195070070"/>
      <w:bookmarkStart w:id="647" w:name="_Toc33590501"/>
      <w:r>
        <w:rPr>
          <w:rStyle w:val="CharSchText"/>
        </w:rPr>
        <w:t>Dry type septic tank</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bookmarkStart w:id="648" w:name="_MON_1121763907"/>
    <w:bookmarkEnd w:id="648"/>
    <w:bookmarkStart w:id="649" w:name="_MON_1121763001"/>
    <w:bookmarkEnd w:id="649"/>
    <w:p>
      <w:pPr>
        <w:pStyle w:val="yTable"/>
        <w:jc w:val="center"/>
        <w:rPr>
          <w:snapToGrid w:val="0"/>
        </w:rPr>
      </w:pPr>
      <w:r>
        <w:rPr>
          <w:snapToGrid w:val="0"/>
        </w:rPr>
        <w:object w:dxaOrig="5173" w:dyaOrig="7978">
          <v:shape id="_x0000_i1027" type="#_x0000_t75" style="width:258.75pt;height:399pt" o:ole="" fillcolor="window">
            <v:imagedata r:id="rId34" o:title=""/>
          </v:shape>
          <o:OLEObject Type="Embed" ProgID="Word.Picture.8" ShapeID="_x0000_i1027" DrawAspect="Content" ObjectID="_1644203170" r:id="rId35"/>
        </w:object>
      </w:r>
    </w:p>
    <w:p>
      <w:pPr>
        <w:pStyle w:val="yTable"/>
        <w:rPr>
          <w:snapToGrid w:val="0"/>
          <w:sz w:val="14"/>
        </w:rPr>
      </w:pPr>
      <w:r>
        <w:rPr>
          <w:snapToGrid w:val="0"/>
          <w:sz w:val="14"/>
        </w:rPr>
        <w:t>PLAN.</w:t>
      </w:r>
    </w:p>
    <w:p>
      <w:pPr>
        <w:pStyle w:val="yScheduleHeading"/>
      </w:pPr>
      <w:bookmarkStart w:id="650" w:name="_Toc113177978"/>
      <w:bookmarkStart w:id="651" w:name="_Toc113259832"/>
      <w:bookmarkStart w:id="652" w:name="_Toc113262977"/>
      <w:bookmarkStart w:id="653" w:name="_Toc117907441"/>
      <w:bookmarkStart w:id="654" w:name="_Toc134332549"/>
      <w:bookmarkStart w:id="655" w:name="_Toc134337498"/>
      <w:bookmarkStart w:id="656" w:name="_Toc134337788"/>
      <w:bookmarkStart w:id="657" w:name="_Toc139258740"/>
      <w:bookmarkStart w:id="658" w:name="_Toc167179094"/>
      <w:bookmarkStart w:id="659" w:name="_Toc170201244"/>
      <w:bookmarkStart w:id="660" w:name="_Toc170715772"/>
      <w:bookmarkStart w:id="661" w:name="_Toc195006319"/>
      <w:bookmarkStart w:id="662" w:name="_Toc195070071"/>
      <w:bookmarkStart w:id="663" w:name="_Toc33590502"/>
      <w:r>
        <w:rPr>
          <w:rStyle w:val="CharSchNo"/>
        </w:rPr>
        <w:t>Schedule 7</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rPr>
          <w:rStyle w:val="CharSchText"/>
        </w:rPr>
        <w:t> </w:t>
      </w:r>
    </w:p>
    <w:p>
      <w:pPr>
        <w:pStyle w:val="yShoulderClause"/>
        <w:rPr>
          <w:snapToGrid w:val="0"/>
        </w:rPr>
      </w:pPr>
      <w:r>
        <w:rPr>
          <w:snapToGrid w:val="0"/>
        </w:rPr>
        <w:t>[Reg. 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lang w:eastAsia="en-AU"/>
        </w:rPr>
        <w:drawing>
          <wp:inline distT="0" distB="0" distL="0" distR="0">
            <wp:extent cx="4495800" cy="1438275"/>
            <wp:effectExtent l="0" t="0" r="0" b="9525"/>
            <wp:docPr id="8" name="Picture 8"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95800" cy="1438275"/>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 xml:space="preserve">The covers shall withstand a flexural test of 2 MPa and a load bearing of 7 kPa. </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lang w:eastAsia="en-AU"/>
        </w:rPr>
        <w:drawing>
          <wp:inline distT="0" distB="0" distL="0" distR="0">
            <wp:extent cx="4505325" cy="2457450"/>
            <wp:effectExtent l="0" t="0" r="9525" b="0"/>
            <wp:docPr id="9" name="Picture 9"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37" cstate="print">
                      <a:extLst>
                        <a:ext uri="{28A0092B-C50C-407E-A947-70E740481C1C}">
                          <a14:useLocalDpi xmlns:a14="http://schemas.microsoft.com/office/drawing/2010/main" val="0"/>
                        </a:ext>
                      </a:extLst>
                    </a:blip>
                    <a:srcRect t="7613"/>
                    <a:stretch>
                      <a:fillRect/>
                    </a:stretch>
                  </pic:blipFill>
                  <pic:spPr bwMode="auto">
                    <a:xfrm>
                      <a:off x="0" y="0"/>
                      <a:ext cx="4505325" cy="245745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lang w:eastAsia="en-AU"/>
        </w:rPr>
        <w:drawing>
          <wp:inline distT="0" distB="0" distL="0" distR="0">
            <wp:extent cx="4305300" cy="5562600"/>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5562600"/>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lang w:eastAsia="en-AU"/>
        </w:rPr>
        <w:drawing>
          <wp:inline distT="0" distB="0" distL="0" distR="0">
            <wp:extent cx="3800475" cy="5305425"/>
            <wp:effectExtent l="0" t="0" r="9525" b="9525"/>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0475" cy="530542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THE DRAIN SHALL NOT BE SITUATED CLOSER THAN 2000 FROM ANY SEPTIC TANK, BUILDING OR BOUNDARY OF A LOT,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lang w:eastAsia="en-AU"/>
        </w:rPr>
        <w:drawing>
          <wp:inline distT="0" distB="0" distL="0" distR="0">
            <wp:extent cx="4495800" cy="3438525"/>
            <wp:effectExtent l="0" t="0" r="0" b="952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5800" cy="3438525"/>
                    </a:xfrm>
                    <a:prstGeom prst="rect">
                      <a:avLst/>
                    </a:prstGeom>
                    <a:noFill/>
                    <a:ln>
                      <a:noFill/>
                    </a:ln>
                  </pic:spPr>
                </pic:pic>
              </a:graphicData>
            </a:graphic>
          </wp:inline>
        </w:drawing>
      </w:r>
    </w:p>
    <w:p>
      <w:pPr>
        <w:pStyle w:val="yScheduleHeading"/>
      </w:pPr>
      <w:bookmarkStart w:id="664" w:name="_Toc48022130"/>
      <w:bookmarkStart w:id="665" w:name="_Toc48108989"/>
      <w:bookmarkStart w:id="666" w:name="_Toc49935013"/>
      <w:bookmarkStart w:id="667" w:name="_Toc113177979"/>
      <w:bookmarkStart w:id="668" w:name="_Toc113259833"/>
      <w:bookmarkStart w:id="669" w:name="_Toc113262978"/>
      <w:bookmarkStart w:id="670" w:name="_Toc117907442"/>
      <w:bookmarkStart w:id="671" w:name="_Toc134332550"/>
      <w:bookmarkStart w:id="672" w:name="_Toc134337499"/>
      <w:bookmarkStart w:id="673" w:name="_Toc134337789"/>
      <w:bookmarkStart w:id="674" w:name="_Toc139258741"/>
      <w:bookmarkStart w:id="675" w:name="_Toc167179095"/>
      <w:bookmarkStart w:id="676" w:name="_Toc170201245"/>
      <w:bookmarkStart w:id="677" w:name="_Toc170715773"/>
      <w:bookmarkStart w:id="678" w:name="_Toc195006320"/>
      <w:bookmarkStart w:id="679" w:name="_Toc195070072"/>
      <w:bookmarkStart w:id="680" w:name="_Toc33590503"/>
      <w:r>
        <w:rPr>
          <w:rStyle w:val="CharSchNo"/>
        </w:rPr>
        <w:t>Schedule 8</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681" w:name="_Toc113177980"/>
      <w:bookmarkStart w:id="682" w:name="_Toc113259834"/>
      <w:bookmarkStart w:id="683" w:name="_Toc113262979"/>
      <w:bookmarkStart w:id="684" w:name="_Toc117907443"/>
      <w:bookmarkStart w:id="685" w:name="_Toc134332551"/>
      <w:bookmarkStart w:id="686" w:name="_Toc134337500"/>
      <w:bookmarkStart w:id="687" w:name="_Toc134337790"/>
      <w:bookmarkStart w:id="688" w:name="_Toc139258742"/>
      <w:bookmarkStart w:id="689" w:name="_Toc167179096"/>
      <w:bookmarkStart w:id="690" w:name="_Toc170201246"/>
      <w:bookmarkStart w:id="691" w:name="_Toc170715774"/>
      <w:bookmarkStart w:id="692" w:name="_Toc195006321"/>
      <w:bookmarkStart w:id="693" w:name="_Toc195070073"/>
      <w:bookmarkStart w:id="694" w:name="_Toc33590504"/>
      <w:r>
        <w:rPr>
          <w:rStyle w:val="CharSchText"/>
        </w:rPr>
        <w:t>Method of determining absorptive capacity of a soil</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pPr>
        <w:pStyle w:val="yFootnoteheading"/>
      </w:pPr>
      <w:r>
        <w:tab/>
        <w:t>[Heading inserted in Gazette 15 Dec 1989 p. 4552.]</w:t>
      </w:r>
    </w:p>
    <w:p>
      <w:pPr>
        <w:pStyle w:val="yHeading5"/>
        <w:outlineLvl w:val="9"/>
        <w:rPr>
          <w:snapToGrid w:val="0"/>
        </w:rPr>
      </w:pPr>
      <w:bookmarkStart w:id="695" w:name="_Toc33590505"/>
      <w:r>
        <w:rPr>
          <w:snapToGrid w:val="0"/>
        </w:rPr>
        <w:t>1.</w:t>
      </w:r>
      <w:bookmarkEnd w:id="695"/>
    </w:p>
    <w:p>
      <w:pPr>
        <w:pStyle w:val="ySubsection"/>
        <w:rPr>
          <w:snapToGrid w:val="0"/>
        </w:rPr>
      </w:pPr>
      <w:r>
        <w:rPr>
          <w:snapToGrid w:val="0"/>
        </w:rPr>
        <w:tab/>
      </w:r>
      <w:r>
        <w:rPr>
          <w:snapToGrid w:val="0"/>
        </w:rPr>
        <w:tab/>
        <w:t>Dig a hole with dimensions of 300 mm square and vertical sides to the depth of the proposed absorption trench.</w:t>
      </w:r>
    </w:p>
    <w:p>
      <w:pPr>
        <w:pStyle w:val="yHeading5"/>
        <w:outlineLvl w:val="9"/>
        <w:rPr>
          <w:snapToGrid w:val="0"/>
        </w:rPr>
      </w:pPr>
      <w:bookmarkStart w:id="696" w:name="_Toc33590506"/>
      <w:r>
        <w:rPr>
          <w:snapToGrid w:val="0"/>
        </w:rPr>
        <w:t>2.</w:t>
      </w:r>
      <w:bookmarkEnd w:id="696"/>
    </w:p>
    <w:p>
      <w:pPr>
        <w:pStyle w:val="ySubsection"/>
        <w:rPr>
          <w:snapToGrid w:val="0"/>
        </w:rPr>
      </w:pP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Heading5"/>
        <w:outlineLvl w:val="9"/>
        <w:rPr>
          <w:snapToGrid w:val="0"/>
        </w:rPr>
      </w:pPr>
      <w:bookmarkStart w:id="697" w:name="_Toc33590507"/>
      <w:r>
        <w:rPr>
          <w:snapToGrid w:val="0"/>
        </w:rPr>
        <w:t>3.</w:t>
      </w:r>
      <w:bookmarkEnd w:id="697"/>
    </w:p>
    <w:p>
      <w:pPr>
        <w:pStyle w:val="ySubsection"/>
        <w:rPr>
          <w:snapToGrid w:val="0"/>
        </w:rPr>
      </w:pPr>
      <w:r>
        <w:rPr>
          <w:snapToGrid w:val="0"/>
        </w:rPr>
        <w:tab/>
      </w:r>
      <w:r>
        <w:rPr>
          <w:snapToGrid w:val="0"/>
        </w:rPr>
        <w:tab/>
        <w:t>Fill the hole with water and allow it to soak away. Preferably keep the hole filled overnight, possibly by means of an automatic siphon.</w:t>
      </w:r>
    </w:p>
    <w:p>
      <w:pPr>
        <w:pStyle w:val="yHeading5"/>
        <w:outlineLvl w:val="9"/>
        <w:rPr>
          <w:snapToGrid w:val="0"/>
        </w:rPr>
      </w:pPr>
      <w:bookmarkStart w:id="698" w:name="_Toc33590508"/>
      <w:r>
        <w:rPr>
          <w:snapToGrid w:val="0"/>
        </w:rPr>
        <w:t>4.</w:t>
      </w:r>
      <w:bookmarkEnd w:id="698"/>
    </w:p>
    <w:p>
      <w:pPr>
        <w:pStyle w:val="ySubsection"/>
        <w:rPr>
          <w:snapToGrid w:val="0"/>
        </w:rPr>
      </w:pP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rPr>
          <w:snapToGrid w:val="0"/>
        </w:rPr>
      </w:pPr>
      <w:r>
        <w:rPr>
          <w:snapToGrid w:val="0"/>
        </w:rPr>
        <w:tab/>
      </w:r>
      <w:r>
        <w:rPr>
          <w:snapToGrid w:val="0"/>
        </w:rPr>
        <w:tab/>
        <w:t>The amount of effluent which can be disposed of per square metre of infiltrative area per day is given by the following Table — </w:t>
      </w:r>
    </w:p>
    <w:p>
      <w:pPr>
        <w:pStyle w:val="yMiscellaneousHeading"/>
        <w:spacing w:after="100"/>
        <w:rPr>
          <w:b/>
          <w:bCs/>
          <w:snapToGrid w:val="0"/>
        </w:rPr>
      </w:pPr>
      <w:r>
        <w:rPr>
          <w:b/>
          <w:bCs/>
          <w:snapToGrid w:val="0"/>
        </w:rP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559"/>
        <w:gridCol w:w="1560"/>
        <w:gridCol w:w="1665"/>
      </w:tblGrid>
      <w:tr>
        <w:trPr>
          <w:cantSplit/>
        </w:trPr>
        <w:tc>
          <w:tcPr>
            <w:tcW w:w="1984" w:type="dxa"/>
            <w:vMerge w:val="restart"/>
            <w:tcBorders>
              <w:bottom w:val="single" w:sz="4" w:space="0" w:color="auto"/>
            </w:tcBorders>
          </w:tcPr>
          <w:p>
            <w:pPr>
              <w:pStyle w:val="yTable"/>
              <w:spacing w:before="0"/>
              <w:jc w:val="center"/>
              <w:rPr>
                <w:b/>
                <w:snapToGrid w:val="0"/>
                <w:sz w:val="20"/>
              </w:rPr>
            </w:pPr>
          </w:p>
          <w:p>
            <w:pPr>
              <w:pStyle w:val="yTable"/>
              <w:spacing w:before="0"/>
              <w:jc w:val="center"/>
              <w:rPr>
                <w:b/>
                <w:snapToGrid w:val="0"/>
                <w:sz w:val="20"/>
              </w:rPr>
            </w:pPr>
            <w:r>
              <w:rPr>
                <w:b/>
                <w:snapToGrid w:val="0"/>
                <w:sz w:val="20"/>
              </w:rPr>
              <w:t>Time for water to fall 25 m (minutes)</w:t>
            </w:r>
          </w:p>
        </w:tc>
        <w:tc>
          <w:tcPr>
            <w:tcW w:w="1559" w:type="dxa"/>
            <w:vMerge w:val="restart"/>
            <w:tcBorders>
              <w:bottom w:val="single" w:sz="4" w:space="0" w:color="auto"/>
            </w:tcBorders>
          </w:tcPr>
          <w:p>
            <w:pPr>
              <w:pStyle w:val="yTable"/>
              <w:spacing w:before="0"/>
              <w:jc w:val="center"/>
              <w:rPr>
                <w:b/>
                <w:snapToGrid w:val="0"/>
                <w:sz w:val="20"/>
              </w:rPr>
            </w:pPr>
          </w:p>
          <w:p>
            <w:pPr>
              <w:pStyle w:val="yTable"/>
              <w:spacing w:before="80"/>
              <w:jc w:val="center"/>
              <w:rPr>
                <w:b/>
                <w:snapToGrid w:val="0"/>
                <w:sz w:val="20"/>
              </w:rPr>
            </w:pPr>
            <w:r>
              <w:rPr>
                <w:b/>
                <w:snapToGrid w:val="0"/>
                <w:sz w:val="20"/>
              </w:rPr>
              <w:t>Soil type</w:t>
            </w:r>
          </w:p>
        </w:tc>
        <w:tc>
          <w:tcPr>
            <w:tcW w:w="3225" w:type="dxa"/>
            <w:gridSpan w:val="2"/>
            <w:tcBorders>
              <w:bottom w:val="single" w:sz="4" w:space="0" w:color="auto"/>
            </w:tcBorders>
          </w:tcPr>
          <w:p>
            <w:pPr>
              <w:pStyle w:val="yTable"/>
              <w:spacing w:after="60"/>
              <w:jc w:val="center"/>
              <w:rPr>
                <w:b/>
                <w:snapToGrid w:val="0"/>
                <w:sz w:val="20"/>
              </w:rPr>
            </w:pPr>
            <w:r>
              <w:rPr>
                <w:b/>
                <w:snapToGrid w:val="0"/>
                <w:sz w:val="20"/>
              </w:rPr>
              <w:t>Loading infiltration rate litres per m</w:t>
            </w:r>
            <w:r>
              <w:rPr>
                <w:b/>
                <w:snapToGrid w:val="0"/>
                <w:sz w:val="20"/>
                <w:vertAlign w:val="superscript"/>
              </w:rPr>
              <w:t>2</w:t>
            </w:r>
            <w:r>
              <w:rPr>
                <w:b/>
                <w:snapToGrid w:val="0"/>
                <w:sz w:val="20"/>
              </w:rPr>
              <w:t xml:space="preserve"> per day</w:t>
            </w:r>
          </w:p>
        </w:tc>
      </w:tr>
      <w:tr>
        <w:trPr>
          <w:cantSplit/>
        </w:trPr>
        <w:tc>
          <w:tcPr>
            <w:tcW w:w="1984" w:type="dxa"/>
            <w:vMerge/>
            <w:tcBorders>
              <w:top w:val="single" w:sz="4" w:space="0" w:color="auto"/>
            </w:tcBorders>
          </w:tcPr>
          <w:p>
            <w:pPr>
              <w:pStyle w:val="yTable"/>
              <w:spacing w:before="0"/>
              <w:rPr>
                <w:snapToGrid w:val="0"/>
                <w:sz w:val="20"/>
              </w:rPr>
            </w:pPr>
          </w:p>
        </w:tc>
        <w:tc>
          <w:tcPr>
            <w:tcW w:w="1559" w:type="dxa"/>
            <w:vMerge/>
            <w:tcBorders>
              <w:top w:val="single" w:sz="4" w:space="0" w:color="auto"/>
            </w:tcBorders>
          </w:tcPr>
          <w:p>
            <w:pPr>
              <w:pStyle w:val="yTable"/>
              <w:spacing w:before="0"/>
              <w:rPr>
                <w:snapToGrid w:val="0"/>
                <w:sz w:val="20"/>
              </w:rPr>
            </w:pPr>
          </w:p>
        </w:tc>
        <w:tc>
          <w:tcPr>
            <w:tcW w:w="1560" w:type="dxa"/>
            <w:tcBorders>
              <w:top w:val="single" w:sz="4" w:space="0" w:color="auto"/>
              <w:bottom w:val="single" w:sz="4" w:space="0" w:color="auto"/>
              <w:right w:val="single" w:sz="4" w:space="0" w:color="auto"/>
            </w:tcBorders>
          </w:tcPr>
          <w:p>
            <w:pPr>
              <w:pStyle w:val="yTable"/>
              <w:tabs>
                <w:tab w:val="left" w:pos="1309"/>
              </w:tabs>
              <w:jc w:val="center"/>
              <w:rPr>
                <w:b/>
                <w:snapToGrid w:val="0"/>
                <w:sz w:val="20"/>
              </w:rPr>
            </w:pPr>
            <w:r>
              <w:rPr>
                <w:b/>
                <w:snapToGrid w:val="0"/>
                <w:sz w:val="20"/>
              </w:rPr>
              <w:t>Alternating</w:t>
            </w:r>
          </w:p>
          <w:p>
            <w:pPr>
              <w:pStyle w:val="yTable"/>
              <w:tabs>
                <w:tab w:val="left" w:pos="1309"/>
              </w:tabs>
              <w:spacing w:before="0" w:after="60"/>
              <w:jc w:val="center"/>
              <w:rPr>
                <w:b/>
                <w:snapToGrid w:val="0"/>
                <w:sz w:val="20"/>
              </w:rPr>
            </w:pPr>
            <w:r>
              <w:rPr>
                <w:b/>
                <w:snapToGrid w:val="0"/>
                <w:sz w:val="20"/>
              </w:rPr>
              <w:t>system</w:t>
            </w:r>
          </w:p>
        </w:tc>
        <w:tc>
          <w:tcPr>
            <w:tcW w:w="1665" w:type="dxa"/>
            <w:tcBorders>
              <w:top w:val="single" w:sz="4" w:space="0" w:color="auto"/>
              <w:left w:val="single" w:sz="4" w:space="0" w:color="auto"/>
              <w:bottom w:val="single" w:sz="4" w:space="0" w:color="auto"/>
            </w:tcBorders>
          </w:tcPr>
          <w:p>
            <w:pPr>
              <w:pStyle w:val="yTable"/>
              <w:tabs>
                <w:tab w:val="left" w:pos="1309"/>
              </w:tabs>
              <w:jc w:val="center"/>
              <w:rPr>
                <w:b/>
                <w:snapToGrid w:val="0"/>
                <w:sz w:val="20"/>
              </w:rPr>
            </w:pPr>
            <w:r>
              <w:rPr>
                <w:b/>
                <w:snapToGrid w:val="0"/>
                <w:sz w:val="20"/>
              </w:rPr>
              <w:t>Non</w:t>
            </w:r>
            <w:r>
              <w:rPr>
                <w:b/>
                <w:snapToGrid w:val="0"/>
                <w:sz w:val="20"/>
              </w:rPr>
              <w:noBreakHyphen/>
              <w:t>alternating</w:t>
            </w:r>
          </w:p>
          <w:p>
            <w:pPr>
              <w:pStyle w:val="yTable"/>
              <w:tabs>
                <w:tab w:val="left" w:pos="1309"/>
              </w:tabs>
              <w:spacing w:before="0" w:after="60"/>
              <w:jc w:val="center"/>
              <w:rPr>
                <w:b/>
                <w:snapToGrid w:val="0"/>
                <w:sz w:val="20"/>
              </w:rPr>
            </w:pPr>
            <w:r>
              <w:rPr>
                <w:b/>
                <w:snapToGrid w:val="0"/>
                <w:sz w:val="20"/>
              </w:rPr>
              <w:t>system</w:t>
            </w:r>
          </w:p>
        </w:tc>
      </w:tr>
      <w:tr>
        <w:trPr>
          <w:cantSplit/>
        </w:trPr>
        <w:tc>
          <w:tcPr>
            <w:tcW w:w="1984" w:type="dxa"/>
            <w:vMerge w:val="restart"/>
          </w:tcPr>
          <w:p>
            <w:pPr>
              <w:pStyle w:val="yTable"/>
              <w:spacing w:before="80" w:after="80"/>
              <w:jc w:val="center"/>
              <w:rPr>
                <w:snapToGrid w:val="0"/>
                <w:sz w:val="20"/>
              </w:rPr>
            </w:pPr>
            <w:r>
              <w:rPr>
                <w:snapToGrid w:val="0"/>
                <w:sz w:val="20"/>
              </w:rPr>
              <w:t>1 to 5</w:t>
            </w:r>
          </w:p>
          <w:p>
            <w:pPr>
              <w:pStyle w:val="yTable"/>
              <w:spacing w:before="120"/>
              <w:jc w:val="center"/>
              <w:rPr>
                <w:snapToGrid w:val="0"/>
                <w:sz w:val="20"/>
              </w:rPr>
            </w:pPr>
            <w:r>
              <w:rPr>
                <w:snapToGrid w:val="0"/>
                <w:sz w:val="20"/>
              </w:rPr>
              <w:t>more than 5 to 60</w:t>
            </w:r>
            <w:r>
              <w:rPr>
                <w:snapToGrid w:val="0"/>
                <w:sz w:val="20"/>
              </w:rPr>
              <w:br/>
            </w:r>
          </w:p>
          <w:p>
            <w:pPr>
              <w:pStyle w:val="yTable"/>
              <w:spacing w:before="80"/>
              <w:jc w:val="center"/>
              <w:rPr>
                <w:snapToGrid w:val="0"/>
                <w:sz w:val="20"/>
              </w:rPr>
            </w:pPr>
            <w:r>
              <w:rPr>
                <w:snapToGrid w:val="0"/>
                <w:sz w:val="20"/>
              </w:rPr>
              <w:t>more than 60</w:t>
            </w:r>
          </w:p>
        </w:tc>
        <w:tc>
          <w:tcPr>
            <w:tcW w:w="1559" w:type="dxa"/>
            <w:vMerge w:val="restart"/>
          </w:tcPr>
          <w:p>
            <w:pPr>
              <w:pStyle w:val="yTable"/>
              <w:spacing w:before="80" w:after="80"/>
              <w:jc w:val="center"/>
              <w:rPr>
                <w:snapToGrid w:val="0"/>
                <w:sz w:val="20"/>
              </w:rPr>
            </w:pPr>
            <w:r>
              <w:rPr>
                <w:snapToGrid w:val="0"/>
                <w:sz w:val="20"/>
              </w:rPr>
              <w:t>Sand</w:t>
            </w:r>
          </w:p>
          <w:p>
            <w:pPr>
              <w:pStyle w:val="yTable"/>
              <w:spacing w:before="120"/>
              <w:jc w:val="center"/>
              <w:rPr>
                <w:snapToGrid w:val="0"/>
                <w:sz w:val="20"/>
              </w:rPr>
            </w:pPr>
            <w:r>
              <w:rPr>
                <w:snapToGrid w:val="0"/>
                <w:sz w:val="20"/>
              </w:rPr>
              <w:t xml:space="preserve">Loams or gravels </w:t>
            </w:r>
          </w:p>
          <w:p>
            <w:pPr>
              <w:pStyle w:val="yTable"/>
              <w:spacing w:before="80"/>
              <w:jc w:val="center"/>
              <w:rPr>
                <w:snapToGrid w:val="0"/>
                <w:sz w:val="20"/>
              </w:rPr>
            </w:pPr>
            <w:r>
              <w:rPr>
                <w:snapToGrid w:val="0"/>
                <w:sz w:val="20"/>
              </w:rPr>
              <w:t>Impervious clays, etc</w:t>
            </w:r>
          </w:p>
        </w:tc>
        <w:tc>
          <w:tcPr>
            <w:tcW w:w="1560" w:type="dxa"/>
            <w:tcBorders>
              <w:right w:val="single" w:sz="4" w:space="0" w:color="auto"/>
            </w:tcBorders>
          </w:tcPr>
          <w:p>
            <w:pPr>
              <w:pStyle w:val="yTable"/>
              <w:spacing w:before="80" w:after="120"/>
              <w:jc w:val="center"/>
              <w:rPr>
                <w:snapToGrid w:val="0"/>
                <w:sz w:val="20"/>
              </w:rPr>
            </w:pPr>
            <w:r>
              <w:rPr>
                <w:snapToGrid w:val="0"/>
                <w:sz w:val="20"/>
              </w:rPr>
              <w:t>30</w:t>
            </w:r>
          </w:p>
          <w:p>
            <w:pPr>
              <w:pStyle w:val="yTable"/>
              <w:spacing w:before="80" w:after="80"/>
              <w:jc w:val="center"/>
              <w:rPr>
                <w:snapToGrid w:val="0"/>
                <w:sz w:val="20"/>
              </w:rPr>
            </w:pPr>
            <w:r>
              <w:rPr>
                <w:snapToGrid w:val="0"/>
                <w:sz w:val="20"/>
              </w:rPr>
              <w:t>20</w:t>
            </w:r>
          </w:p>
        </w:tc>
        <w:tc>
          <w:tcPr>
            <w:tcW w:w="1665" w:type="dxa"/>
            <w:tcBorders>
              <w:left w:val="single" w:sz="4" w:space="0" w:color="auto"/>
            </w:tcBorders>
          </w:tcPr>
          <w:p>
            <w:pPr>
              <w:pStyle w:val="yTable"/>
              <w:spacing w:before="80" w:after="120"/>
              <w:jc w:val="center"/>
              <w:rPr>
                <w:snapToGrid w:val="0"/>
                <w:sz w:val="20"/>
              </w:rPr>
            </w:pPr>
            <w:r>
              <w:rPr>
                <w:snapToGrid w:val="0"/>
                <w:sz w:val="20"/>
              </w:rPr>
              <w:t>15</w:t>
            </w:r>
          </w:p>
          <w:p>
            <w:pPr>
              <w:pStyle w:val="yTable"/>
              <w:spacing w:before="80" w:after="80"/>
              <w:jc w:val="center"/>
              <w:rPr>
                <w:snapToGrid w:val="0"/>
                <w:sz w:val="20"/>
              </w:rPr>
            </w:pPr>
            <w:r>
              <w:rPr>
                <w:snapToGrid w:val="0"/>
                <w:sz w:val="20"/>
              </w:rPr>
              <w:t>10</w:t>
            </w:r>
          </w:p>
        </w:tc>
      </w:tr>
      <w:tr>
        <w:trPr>
          <w:cantSplit/>
        </w:trPr>
        <w:tc>
          <w:tcPr>
            <w:tcW w:w="1984" w:type="dxa"/>
            <w:vMerge/>
          </w:tcPr>
          <w:p>
            <w:pPr>
              <w:pStyle w:val="yTable"/>
              <w:spacing w:before="0"/>
              <w:jc w:val="center"/>
              <w:rPr>
                <w:snapToGrid w:val="0"/>
                <w:sz w:val="20"/>
              </w:rPr>
            </w:pPr>
          </w:p>
        </w:tc>
        <w:tc>
          <w:tcPr>
            <w:tcW w:w="1559" w:type="dxa"/>
            <w:vMerge/>
          </w:tcPr>
          <w:p>
            <w:pPr>
              <w:pStyle w:val="yTable"/>
              <w:spacing w:before="0"/>
              <w:jc w:val="center"/>
              <w:rPr>
                <w:snapToGrid w:val="0"/>
                <w:sz w:val="20"/>
              </w:rPr>
            </w:pPr>
          </w:p>
        </w:tc>
        <w:tc>
          <w:tcPr>
            <w:tcW w:w="3225" w:type="dxa"/>
            <w:gridSpan w:val="2"/>
          </w:tcPr>
          <w:p>
            <w:pPr>
              <w:pStyle w:val="yTable"/>
              <w:spacing w:before="80"/>
              <w:ind w:right="423"/>
              <w:jc w:val="center"/>
              <w:rPr>
                <w:snapToGrid w:val="0"/>
                <w:sz w:val="20"/>
                <w:lang w:val="en-US"/>
              </w:rPr>
            </w:pPr>
            <w:r>
              <w:rPr>
                <w:snapToGrid w:val="0"/>
                <w:sz w:val="20"/>
              </w:rPr>
              <w:t>As approved by the Executive Director, Public Health (see clause 5)</w:t>
            </w:r>
          </w:p>
        </w:tc>
      </w:tr>
    </w:tbl>
    <w:p>
      <w:pPr>
        <w:pStyle w:val="yHeading5"/>
        <w:outlineLvl w:val="9"/>
        <w:rPr>
          <w:snapToGrid w:val="0"/>
        </w:rPr>
      </w:pPr>
      <w:bookmarkStart w:id="699" w:name="_Toc33590509"/>
      <w:r>
        <w:rPr>
          <w:snapToGrid w:val="0"/>
        </w:rPr>
        <w:t>5.</w:t>
      </w:r>
      <w:bookmarkEnd w:id="699"/>
    </w:p>
    <w:p>
      <w:pPr>
        <w:pStyle w:val="ySubsection"/>
        <w:rPr>
          <w:snapToGrid w:val="0"/>
        </w:rPr>
      </w:pP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rPr>
          <w:snapToGrid w:val="0"/>
        </w:rPr>
      </w:pPr>
      <w:r>
        <w:rPr>
          <w:snapToGrid w:val="0"/>
        </w:rPr>
        <w:t>Diagram</w:t>
      </w:r>
    </w:p>
    <w:p>
      <w:pPr>
        <w:pStyle w:val="yTable"/>
        <w:jc w:val="center"/>
        <w:rPr>
          <w:snapToGrid w:val="0"/>
        </w:rPr>
      </w:pPr>
      <w:r>
        <w:rPr>
          <w:noProof/>
          <w:lang w:eastAsia="en-AU"/>
        </w:rPr>
        <w:drawing>
          <wp:inline distT="0" distB="0" distL="0" distR="0">
            <wp:extent cx="3571875" cy="5572125"/>
            <wp:effectExtent l="0" t="0" r="9525" b="9525"/>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1875" cy="5572125"/>
                    </a:xfrm>
                    <a:prstGeom prst="rect">
                      <a:avLst/>
                    </a:prstGeom>
                    <a:noFill/>
                    <a:ln>
                      <a:noFill/>
                    </a:ln>
                  </pic:spPr>
                </pic:pic>
              </a:graphicData>
            </a:graphic>
          </wp:inline>
        </w:drawing>
      </w:r>
    </w:p>
    <w:p>
      <w:pPr>
        <w:pStyle w:val="yFootnotesection"/>
      </w:pPr>
      <w:r>
        <w:tab/>
        <w:t>[Schedule 8 amended in Gazette 29 Jun 1984 p. 1781; 15 Dec 1989 p. 4552</w:t>
      </w:r>
      <w:r>
        <w:noBreakHyphen/>
        <w:t xml:space="preserve">3.] </w:t>
      </w:r>
    </w:p>
    <w:p>
      <w:pPr>
        <w:pStyle w:val="yScheduleHeading"/>
      </w:pPr>
      <w:bookmarkStart w:id="700" w:name="_Toc113177981"/>
      <w:bookmarkStart w:id="701" w:name="_Toc113259835"/>
      <w:bookmarkStart w:id="702" w:name="_Toc113262980"/>
      <w:bookmarkStart w:id="703" w:name="_Toc117907444"/>
      <w:bookmarkStart w:id="704" w:name="_Toc134332557"/>
      <w:bookmarkStart w:id="705" w:name="_Toc134337506"/>
      <w:bookmarkStart w:id="706" w:name="_Toc134337796"/>
      <w:bookmarkStart w:id="707" w:name="_Toc139258748"/>
      <w:bookmarkStart w:id="708" w:name="_Toc167179102"/>
      <w:bookmarkStart w:id="709" w:name="_Toc170201252"/>
      <w:bookmarkStart w:id="710" w:name="_Toc170715780"/>
      <w:bookmarkStart w:id="711" w:name="_Toc195006327"/>
      <w:bookmarkStart w:id="712" w:name="_Toc195070079"/>
      <w:bookmarkStart w:id="713" w:name="_Toc33590510"/>
      <w:r>
        <w:rPr>
          <w:rStyle w:val="CharSchNo"/>
        </w:rPr>
        <w:t>Schedule 9</w:t>
      </w:r>
      <w:r>
        <w:t> — </w:t>
      </w:r>
      <w:r>
        <w:rPr>
          <w:rStyle w:val="CharSchText"/>
        </w:rPr>
        <w:t>Wastewater volume for residential premises</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pPr>
        <w:pStyle w:val="yShoulderClause"/>
      </w:pPr>
      <w:r>
        <w:t>[r. 49(3)]</w:t>
      </w:r>
    </w:p>
    <w:p>
      <w:pPr>
        <w:pStyle w:val="yFootnoteheading"/>
      </w:pPr>
      <w:r>
        <w:tab/>
        <w:t>[Heading inserted in Gazette 7 Jan 2005 p. 70.]</w:t>
      </w:r>
    </w:p>
    <w:p>
      <w:pPr>
        <w:pStyle w:val="yHeading5"/>
        <w:outlineLvl w:val="9"/>
        <w:rPr>
          <w:snapToGrid w:val="0"/>
        </w:rPr>
      </w:pPr>
    </w:p>
    <w:p>
      <w:pPr>
        <w:pStyle w:val="ySubsection"/>
        <w:rPr>
          <w:snapToGrid w:val="0"/>
        </w:rPr>
      </w:pPr>
      <w:r>
        <w:rPr>
          <w:snapToGrid w:val="0"/>
        </w:rPr>
        <w:tab/>
      </w:r>
      <w:r>
        <w:rPr>
          <w:snapToGrid w:val="0"/>
        </w:rPr>
        <w:tab/>
        <w:t>For the purposes of the definition of “V” in the formula in regulation 49(3) the volume of wastewater is to be determined from the following Table according to the number of bedrooms on the premises.</w:t>
      </w:r>
    </w:p>
    <w:p>
      <w:pPr>
        <w:pStyle w:val="yMiscellaneousHeading"/>
        <w:spacing w:after="60"/>
        <w:rPr>
          <w:b/>
          <w:bCs/>
        </w:rPr>
      </w:pPr>
      <w:r>
        <w:rPr>
          <w:b/>
          <w:bCs/>
        </w:rP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
            </w:pPr>
            <w:r>
              <w:rPr>
                <w:b/>
                <w:bCs/>
              </w:rPr>
              <w:t>Volume of wastewater</w:t>
            </w:r>
            <w:r>
              <w:t xml:space="preserve"> (litres) </w:t>
            </w:r>
          </w:p>
        </w:tc>
      </w:tr>
      <w:tr>
        <w:trPr>
          <w:cantSplit/>
          <w:jc w:val="center"/>
        </w:trPr>
        <w:tc>
          <w:tcPr>
            <w:tcW w:w="1701" w:type="dxa"/>
            <w:vMerge/>
            <w:tcBorders>
              <w:bottom w:val="single" w:sz="4" w:space="0" w:color="auto"/>
              <w:right w:val="single" w:sz="4" w:space="0" w:color="auto"/>
            </w:tcBorders>
          </w:tcPr>
          <w:p>
            <w:pPr>
              <w:pStyle w:val="zytable"/>
            </w:pPr>
          </w:p>
        </w:tc>
        <w:tc>
          <w:tcPr>
            <w:tcW w:w="2126" w:type="dxa"/>
            <w:tcBorders>
              <w:top w:val="single" w:sz="4" w:space="0" w:color="auto"/>
              <w:left w:val="single" w:sz="4" w:space="0" w:color="auto"/>
              <w:bottom w:val="single" w:sz="4" w:space="0" w:color="auto"/>
              <w:right w:val="single" w:sz="4" w:space="0" w:color="auto"/>
            </w:tcBorders>
          </w:tcPr>
          <w:p>
            <w:pPr>
              <w:pStyle w:val="yTable"/>
            </w:pPr>
            <w:r>
              <w:rPr>
                <w:b/>
                <w:bCs/>
              </w:rPr>
              <w:t>Blackwater system</w:t>
            </w:r>
          </w:p>
        </w:tc>
        <w:tc>
          <w:tcPr>
            <w:tcW w:w="2410" w:type="dxa"/>
            <w:tcBorders>
              <w:top w:val="single" w:sz="4" w:space="0" w:color="auto"/>
              <w:left w:val="single" w:sz="4" w:space="0" w:color="auto"/>
              <w:bottom w:val="single" w:sz="4" w:space="0" w:color="auto"/>
            </w:tcBorders>
          </w:tcPr>
          <w:p>
            <w:pPr>
              <w:pStyle w:val="yTable"/>
            </w:pPr>
            <w:r>
              <w:rPr>
                <w:b/>
                <w:bCs/>
              </w:rPr>
              <w:t>Combined system</w:t>
            </w:r>
            <w:r>
              <w:rPr>
                <w:b/>
                <w:bCs/>
              </w:rP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
            </w:pPr>
            <w:r>
              <w:t>2 or less</w:t>
            </w:r>
          </w:p>
        </w:tc>
        <w:tc>
          <w:tcPr>
            <w:tcW w:w="2126" w:type="dxa"/>
            <w:tcBorders>
              <w:top w:val="single" w:sz="4" w:space="0" w:color="auto"/>
              <w:left w:val="single" w:sz="4" w:space="0" w:color="auto"/>
              <w:right w:val="single" w:sz="4" w:space="0" w:color="auto"/>
            </w:tcBorders>
          </w:tcPr>
          <w:p>
            <w:pPr>
              <w:pStyle w:val="yTable"/>
            </w:pPr>
            <w:r>
              <w:t>188</w:t>
            </w:r>
          </w:p>
        </w:tc>
        <w:tc>
          <w:tcPr>
            <w:tcW w:w="2410" w:type="dxa"/>
            <w:tcBorders>
              <w:top w:val="single" w:sz="4" w:space="0" w:color="auto"/>
              <w:left w:val="single" w:sz="4" w:space="0" w:color="auto"/>
            </w:tcBorders>
          </w:tcPr>
          <w:p>
            <w:pPr>
              <w:pStyle w:val="yTable"/>
            </w:pPr>
            <w:r>
              <w:t>564</w:t>
            </w:r>
          </w:p>
        </w:tc>
      </w:tr>
      <w:tr>
        <w:trPr>
          <w:jc w:val="center"/>
        </w:trPr>
        <w:tc>
          <w:tcPr>
            <w:tcW w:w="1701" w:type="dxa"/>
            <w:tcBorders>
              <w:right w:val="single" w:sz="4" w:space="0" w:color="auto"/>
            </w:tcBorders>
          </w:tcPr>
          <w:p>
            <w:pPr>
              <w:pStyle w:val="yTable"/>
            </w:pPr>
            <w:r>
              <w:t>3</w:t>
            </w:r>
          </w:p>
        </w:tc>
        <w:tc>
          <w:tcPr>
            <w:tcW w:w="2126" w:type="dxa"/>
            <w:tcBorders>
              <w:left w:val="single" w:sz="4" w:space="0" w:color="auto"/>
              <w:right w:val="single" w:sz="4" w:space="0" w:color="auto"/>
            </w:tcBorders>
          </w:tcPr>
          <w:p>
            <w:pPr>
              <w:pStyle w:val="yTable"/>
            </w:pPr>
            <w:r>
              <w:t>254</w:t>
            </w:r>
          </w:p>
        </w:tc>
        <w:tc>
          <w:tcPr>
            <w:tcW w:w="2410" w:type="dxa"/>
            <w:tcBorders>
              <w:left w:val="single" w:sz="4" w:space="0" w:color="auto"/>
            </w:tcBorders>
          </w:tcPr>
          <w:p>
            <w:pPr>
              <w:pStyle w:val="yTable"/>
            </w:pPr>
            <w:r>
              <w:t>761</w:t>
            </w:r>
          </w:p>
        </w:tc>
      </w:tr>
      <w:tr>
        <w:trPr>
          <w:jc w:val="center"/>
        </w:trPr>
        <w:tc>
          <w:tcPr>
            <w:tcW w:w="1701" w:type="dxa"/>
            <w:tcBorders>
              <w:bottom w:val="single" w:sz="4" w:space="0" w:color="auto"/>
              <w:right w:val="single" w:sz="4" w:space="0" w:color="auto"/>
            </w:tcBorders>
          </w:tcPr>
          <w:p>
            <w:pPr>
              <w:pStyle w:val="yTable"/>
            </w:pPr>
            <w:r>
              <w:t>4 or more</w:t>
            </w:r>
          </w:p>
        </w:tc>
        <w:tc>
          <w:tcPr>
            <w:tcW w:w="2126" w:type="dxa"/>
            <w:tcBorders>
              <w:left w:val="single" w:sz="4" w:space="0" w:color="auto"/>
              <w:bottom w:val="single" w:sz="4" w:space="0" w:color="auto"/>
              <w:right w:val="single" w:sz="4" w:space="0" w:color="auto"/>
            </w:tcBorders>
          </w:tcPr>
          <w:p>
            <w:pPr>
              <w:pStyle w:val="yTable"/>
            </w:pPr>
            <w:r>
              <w:t>276</w:t>
            </w:r>
          </w:p>
        </w:tc>
        <w:tc>
          <w:tcPr>
            <w:tcW w:w="2410" w:type="dxa"/>
            <w:tcBorders>
              <w:left w:val="single" w:sz="4" w:space="0" w:color="auto"/>
              <w:bottom w:val="single" w:sz="4" w:space="0" w:color="auto"/>
            </w:tcBorders>
          </w:tcPr>
          <w:p>
            <w:pPr>
              <w:pStyle w:val="yTable"/>
            </w:pPr>
            <w:r>
              <w:t>829</w:t>
            </w:r>
          </w:p>
        </w:tc>
      </w:tr>
    </w:tbl>
    <w:p>
      <w:pPr>
        <w:pStyle w:val="yFootnotesection"/>
      </w:pPr>
      <w:r>
        <w:tab/>
        <w:t>[Schedule 9 inserted in Gazette 7 Jan 2005 p. 70.]</w:t>
      </w:r>
    </w:p>
    <w:p>
      <w:pPr>
        <w:sectPr>
          <w:headerReference w:type="even" r:id="rId42"/>
          <w:headerReference w:type="default" r:id="rId43"/>
          <w:headerReference w:type="first" r:id="rId44"/>
          <w:type w:val="continuous"/>
          <w:pgSz w:w="11906" w:h="16838" w:code="9"/>
          <w:pgMar w:top="2376" w:right="2405" w:bottom="3542" w:left="2405" w:header="706" w:footer="3380" w:gutter="0"/>
          <w:cols w:space="720"/>
          <w:noEndnote/>
          <w:docGrid w:linePitch="326"/>
        </w:sectPr>
      </w:pPr>
    </w:p>
    <w:p>
      <w:pPr>
        <w:pStyle w:val="nHeading2"/>
      </w:pPr>
      <w:bookmarkStart w:id="714" w:name="_Toc92695672"/>
      <w:bookmarkStart w:id="715" w:name="_Toc92968614"/>
      <w:bookmarkStart w:id="716" w:name="_Toc92968706"/>
      <w:bookmarkStart w:id="717" w:name="_Toc94935645"/>
      <w:bookmarkStart w:id="718" w:name="_Toc94935860"/>
      <w:bookmarkStart w:id="719" w:name="_Toc94941422"/>
      <w:bookmarkStart w:id="720" w:name="_Toc105237898"/>
      <w:bookmarkStart w:id="721" w:name="_Toc105470667"/>
      <w:bookmarkStart w:id="722" w:name="_Toc107800514"/>
      <w:bookmarkStart w:id="723" w:name="_Toc110666984"/>
      <w:bookmarkStart w:id="724" w:name="_Toc110842824"/>
      <w:bookmarkStart w:id="725" w:name="_Toc113177982"/>
      <w:bookmarkStart w:id="726" w:name="_Toc113259836"/>
      <w:bookmarkStart w:id="727" w:name="_Toc113262981"/>
      <w:bookmarkStart w:id="728" w:name="_Toc117907445"/>
      <w:bookmarkStart w:id="729" w:name="_Toc134332558"/>
      <w:bookmarkStart w:id="730" w:name="_Toc134337507"/>
      <w:bookmarkStart w:id="731" w:name="_Toc134337797"/>
      <w:bookmarkStart w:id="732" w:name="_Toc139258749"/>
      <w:bookmarkStart w:id="733" w:name="_Toc167179103"/>
      <w:bookmarkStart w:id="734" w:name="_Toc170201253"/>
      <w:bookmarkStart w:id="735" w:name="_Toc170715781"/>
      <w:bookmarkStart w:id="736" w:name="_Toc195006328"/>
      <w:bookmarkStart w:id="737" w:name="_Toc195070080"/>
      <w:bookmarkStart w:id="738" w:name="_Toc33590511"/>
      <w:r>
        <w:t>Notes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739" w:name="_Toc113177983"/>
      <w:bookmarkStart w:id="740" w:name="_Toc33590512"/>
      <w:r>
        <w:t>Compilation table</w:t>
      </w:r>
      <w:bookmarkEnd w:id="739"/>
      <w:bookmarkEnd w:id="740"/>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4</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5</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6</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7</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7</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Borders>
              <w:bottom w:val="single" w:sz="4" w:space="0" w:color="auto"/>
            </w:tcBorders>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Borders>
              <w:bottom w:val="single" w:sz="4" w:space="0" w:color="auto"/>
            </w:tcBorders>
          </w:tcPr>
          <w:p>
            <w:pPr>
              <w:pStyle w:val="nTable"/>
              <w:spacing w:after="40"/>
              <w:rPr>
                <w:sz w:val="19"/>
              </w:rPr>
            </w:pPr>
            <w:r>
              <w:rPr>
                <w:sz w:val="19"/>
              </w:rPr>
              <w:t>4 Apr 2008 p. 1309</w:t>
            </w:r>
          </w:p>
        </w:tc>
        <w:tc>
          <w:tcPr>
            <w:tcW w:w="2693" w:type="dxa"/>
            <w:tcBorders>
              <w:bottom w:val="single" w:sz="4" w:space="0" w:color="auto"/>
            </w:tcBorders>
          </w:tcPr>
          <w:p>
            <w:pPr>
              <w:pStyle w:val="nTable"/>
              <w:spacing w:after="40"/>
              <w:rPr>
                <w:sz w:val="19"/>
              </w:rPr>
            </w:pPr>
            <w:r>
              <w:rPr>
                <w:sz w:val="19"/>
              </w:rPr>
              <w:t>r. 1 and 2: 4 Apr 2008 (see r. 2(a));</w:t>
            </w:r>
            <w:r>
              <w:rPr>
                <w:sz w:val="19"/>
              </w:rPr>
              <w:br/>
              <w:t xml:space="preserve">Regulations other than r. 1 and 2: 1 Jul 2008 (see r. 2(b)) </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741" w:name="_Toc7405065"/>
      <w:bookmarkStart w:id="742" w:name="_Toc181500909"/>
      <w:bookmarkStart w:id="743" w:name="_Toc193100050"/>
      <w:bookmarkStart w:id="744" w:name="_Toc33590513"/>
      <w:r>
        <w:t>Provisions that have not come into operation</w:t>
      </w:r>
      <w:bookmarkEnd w:id="741"/>
      <w:bookmarkEnd w:id="742"/>
      <w:bookmarkEnd w:id="743"/>
      <w:bookmarkEnd w:id="74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4" w:space="0" w:color="auto"/>
            </w:tcBorders>
          </w:tcPr>
          <w:p>
            <w:pPr>
              <w:pStyle w:val="nTable"/>
              <w:spacing w:after="40"/>
              <w:ind w:right="113"/>
              <w:rPr>
                <w:iCs/>
                <w:sz w:val="19"/>
                <w:vertAlign w:val="superscript"/>
              </w:rPr>
            </w:pPr>
            <w:r>
              <w:rPr>
                <w:i/>
                <w:sz w:val="19"/>
              </w:rPr>
              <w:t>Health (Treatment of Sewage and Disposal of Effluent and Liquid Waste) Amendment Regulations 2009</w:t>
            </w:r>
            <w:r>
              <w:rPr>
                <w:iCs/>
                <w:sz w:val="19"/>
              </w:rPr>
              <w:t xml:space="preserve"> r. 3 and 4 </w:t>
            </w:r>
            <w:r>
              <w:rPr>
                <w:iCs/>
                <w:sz w:val="19"/>
                <w:vertAlign w:val="superscript"/>
              </w:rPr>
              <w:t>8</w:t>
            </w:r>
          </w:p>
        </w:tc>
        <w:tc>
          <w:tcPr>
            <w:tcW w:w="1276" w:type="dxa"/>
            <w:tcBorders>
              <w:top w:val="single" w:sz="8" w:space="0" w:color="auto"/>
              <w:bottom w:val="single" w:sz="4" w:space="0" w:color="auto"/>
            </w:tcBorders>
          </w:tcPr>
          <w:p>
            <w:pPr>
              <w:pStyle w:val="nTable"/>
              <w:spacing w:after="40"/>
              <w:rPr>
                <w:sz w:val="19"/>
              </w:rPr>
            </w:pPr>
            <w:r>
              <w:rPr>
                <w:sz w:val="19"/>
              </w:rPr>
              <w:t>15 May 2009 p. 1631</w:t>
            </w:r>
          </w:p>
        </w:tc>
        <w:tc>
          <w:tcPr>
            <w:tcW w:w="2693" w:type="dxa"/>
            <w:tcBorders>
              <w:top w:val="single" w:sz="8" w:space="0" w:color="auto"/>
              <w:bottom w:val="single" w:sz="4" w:space="0" w:color="auto"/>
            </w:tcBorders>
          </w:tcPr>
          <w:p>
            <w:pPr>
              <w:pStyle w:val="nTable"/>
              <w:spacing w:after="40"/>
              <w:rPr>
                <w:sz w:val="19"/>
              </w:rPr>
            </w:pPr>
            <w:r>
              <w:rPr>
                <w:sz w:val="19"/>
              </w:rPr>
              <w:t>1 Jul 2009 (see r. 2(b))</w:t>
            </w:r>
          </w:p>
        </w:tc>
      </w:tr>
    </w:tbl>
    <w:p>
      <w:pPr>
        <w:pStyle w:val="nSubsection"/>
      </w:pPr>
      <w:r>
        <w:rPr>
          <w:vertAlign w:val="superscript"/>
        </w:rPr>
        <w:t>2</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3</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4</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5</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bookmarkStart w:id="745" w:name="UpToHere"/>
      <w:bookmarkEnd w:id="745"/>
    </w:p>
    <w:p>
      <w:pPr>
        <w:pStyle w:val="nSubsection"/>
        <w:rPr>
          <w:snapToGrid w:val="0"/>
        </w:rPr>
      </w:pPr>
      <w:r>
        <w:rPr>
          <w:snapToGrid w:val="0"/>
          <w:vertAlign w:val="superscript"/>
        </w:rPr>
        <w:t>6</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rPr>
          <w:lang w:val="en-US"/>
        </w:rPr>
      </w:pPr>
      <w:r>
        <w:rPr>
          <w:vertAlign w:val="superscript"/>
          <w:lang w:val="en-US"/>
        </w:rPr>
        <w:t>7</w:t>
      </w:r>
      <w:r>
        <w:rPr>
          <w:lang w:val="en-US"/>
        </w:rPr>
        <w:tab/>
        <w:t xml:space="preserve">If, because of an error made in r. 2, the </w:t>
      </w:r>
      <w:r>
        <w:rPr>
          <w:i/>
          <w:iCs/>
          <w:lang w:val="en-US"/>
        </w:rPr>
        <w:t xml:space="preserve">Health (Treatment of Sewage and Disposal of Effluent and Liquid Waste) Amendment Regulations 2004 </w:t>
      </w:r>
      <w:r>
        <w:rPr>
          <w:lang w:val="en-US"/>
        </w:rPr>
        <w:t xml:space="preserve">did not come into operation before 24 Aug 2004, the amendments were made on that day by the </w:t>
      </w:r>
      <w:r>
        <w:rPr>
          <w:i/>
          <w:iCs/>
          <w:lang w:val="en-US"/>
        </w:rPr>
        <w:t>Health (Treatment of Sewage and Disposal of Effluent and Liquid Waste) Amendment Regulations (No. 4) 2004</w:t>
      </w:r>
      <w:r>
        <w:rPr>
          <w:lang w:val="en-US"/>
        </w:rPr>
        <w:t xml:space="preserve">, but otherwise the </w:t>
      </w:r>
      <w:r>
        <w:rPr>
          <w:i/>
          <w:iCs/>
          <w:lang w:val="en-US"/>
        </w:rPr>
        <w:t xml:space="preserve">Health (Treatment of Sewage and Disposal of Effluent and Liquid Waste) Amendment Regulations (No. 4) 2004 </w:t>
      </w:r>
      <w:r>
        <w:rPr>
          <w:lang w:val="en-US"/>
        </w:rPr>
        <w:t>do not come into operation.</w:t>
      </w:r>
    </w:p>
    <w:p>
      <w:pPr>
        <w:pStyle w:val="nSubsection"/>
        <w:rPr>
          <w:snapToGrid w:val="0"/>
        </w:rPr>
      </w:pPr>
      <w:r>
        <w:rPr>
          <w:snapToGrid w:val="0"/>
          <w:vertAlign w:val="superscript"/>
        </w:rPr>
        <w:t>8</w:t>
      </w:r>
      <w:r>
        <w:rPr>
          <w:snapToGrid w:val="0"/>
        </w:rPr>
        <w:tab/>
      </w:r>
      <w:r>
        <w:t xml:space="preserve">On the date as at which this compilation was prepared, </w:t>
      </w:r>
      <w:r>
        <w:rPr>
          <w:snapToGrid w:val="0"/>
        </w:rPr>
        <w:t xml:space="preserve">the </w:t>
      </w:r>
      <w:r>
        <w:rPr>
          <w:i/>
          <w:snapToGrid w:val="0"/>
        </w:rPr>
        <w:t xml:space="preserve">Health (Treatment of Sewage and Disposal of Effluent and Liquid Waste) Amendment Regulations 2009 </w:t>
      </w:r>
      <w:r>
        <w:rPr>
          <w:iCs/>
          <w:snapToGrid w:val="0"/>
        </w:rPr>
        <w:t>r. 3 and 4</w:t>
      </w:r>
      <w:r>
        <w:rPr>
          <w:i/>
          <w:snapToGrid w:val="0"/>
        </w:rPr>
        <w:t xml:space="preserve"> </w:t>
      </w:r>
      <w:r>
        <w:rPr>
          <w:snapToGrid w:val="0"/>
        </w:rPr>
        <w:t>had not come into operation.  They read as follows:</w:t>
      </w:r>
    </w:p>
    <w:p>
      <w:pPr>
        <w:pStyle w:val="BlankOpen"/>
        <w:rPr>
          <w:lang w:val="en-US"/>
        </w:rPr>
      </w:pPr>
    </w:p>
    <w:p>
      <w:pPr>
        <w:pStyle w:val="nzHeading5"/>
        <w:rPr>
          <w:snapToGrid w:val="0"/>
        </w:rPr>
      </w:pPr>
      <w:bookmarkStart w:id="746" w:name="_Toc423332724"/>
      <w:bookmarkStart w:id="747" w:name="_Toc425219443"/>
      <w:bookmarkStart w:id="748" w:name="_Toc426249310"/>
      <w:bookmarkStart w:id="749" w:name="_Toc449924706"/>
      <w:bookmarkStart w:id="750" w:name="_Toc449947724"/>
      <w:bookmarkStart w:id="751" w:name="_Toc454185715"/>
      <w:bookmarkStart w:id="752" w:name="_Toc515958688"/>
      <w:r>
        <w:rPr>
          <w:rStyle w:val="CharSectno"/>
        </w:rPr>
        <w:t>3</w:t>
      </w:r>
      <w:r>
        <w:rPr>
          <w:snapToGrid w:val="0"/>
        </w:rPr>
        <w:t>.</w:t>
      </w:r>
      <w:r>
        <w:rPr>
          <w:snapToGrid w:val="0"/>
        </w:rPr>
        <w:tab/>
        <w:t>Regulations amended</w:t>
      </w:r>
      <w:bookmarkEnd w:id="746"/>
      <w:bookmarkEnd w:id="747"/>
      <w:bookmarkEnd w:id="748"/>
      <w:bookmarkEnd w:id="749"/>
      <w:bookmarkEnd w:id="750"/>
      <w:bookmarkEnd w:id="751"/>
      <w:bookmarkEnd w:id="752"/>
    </w:p>
    <w:p>
      <w:pPr>
        <w:pStyle w:val="nzSubsection"/>
      </w:pPr>
      <w:r>
        <w:tab/>
      </w:r>
      <w:r>
        <w:tab/>
      </w:r>
      <w:r>
        <w:rPr>
          <w:spacing w:val="-2"/>
        </w:rPr>
        <w:t>These</w:t>
      </w:r>
      <w:r>
        <w:t xml:space="preserve"> regulations amend the </w:t>
      </w:r>
      <w:r>
        <w:rPr>
          <w:i/>
        </w:rPr>
        <w:t>Health (Treatment of Sewage and Disposal of Effluent and Liquid Waste) Regulations 1974</w:t>
      </w:r>
      <w:r>
        <w:t>.</w:t>
      </w:r>
    </w:p>
    <w:p>
      <w:pPr>
        <w:pStyle w:val="nzHeading5"/>
      </w:pPr>
      <w:r>
        <w:rPr>
          <w:rStyle w:val="CharSectno"/>
        </w:rPr>
        <w:t>4</w:t>
      </w:r>
      <w:r>
        <w:t>.</w:t>
      </w:r>
      <w:r>
        <w:tab/>
        <w:t>Schedule 1 amended</w:t>
      </w:r>
    </w:p>
    <w:p>
      <w:pPr>
        <w:pStyle w:val="nzSubsection"/>
      </w:pPr>
      <w:r>
        <w:tab/>
      </w:r>
      <w:r>
        <w:tab/>
        <w:t>In Schedule 1 delete “</w:t>
      </w:r>
      <w:r>
        <w:rPr>
          <w:sz w:val="22"/>
        </w:rPr>
        <w:t>104.00</w:t>
      </w:r>
      <w:r>
        <w:t>” (each occurrence) and insert:</w:t>
      </w:r>
    </w:p>
    <w:p>
      <w:pPr>
        <w:pStyle w:val="BlankOpen"/>
      </w:pPr>
    </w:p>
    <w:p>
      <w:pPr>
        <w:pStyle w:val="nzSubsection"/>
      </w:pPr>
      <w:r>
        <w:tab/>
      </w:r>
      <w:r>
        <w:tab/>
      </w:r>
      <w:r>
        <w:rPr>
          <w:sz w:val="22"/>
        </w:rPr>
        <w:t>108.00</w:t>
      </w:r>
    </w:p>
    <w:p>
      <w:pPr>
        <w:pStyle w:val="BlankClose"/>
      </w:pPr>
    </w:p>
    <w:p/>
    <w:p>
      <w:pPr>
        <w:sectPr>
          <w:headerReference w:type="even" r:id="rId45"/>
          <w:headerReference w:type="default" r:id="rId46"/>
          <w:headerReference w:type="first" r:id="rId47"/>
          <w:pgSz w:w="11906" w:h="16838" w:code="9"/>
          <w:pgMar w:top="2376" w:right="2404" w:bottom="3544" w:left="2404" w:header="720" w:footer="3380" w:gutter="0"/>
          <w:cols w:space="720"/>
          <w:noEndnote/>
          <w:docGrid w:linePitch="326"/>
        </w:sectPr>
      </w:pPr>
    </w:p>
    <w:p/>
    <w:sectPr>
      <w:headerReference w:type="even" r:id="rId48"/>
      <w:headerReference w:type="default" r:id="rId49"/>
      <w:headerReference w:type="first" r:id="rId50"/>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04-h0-02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May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May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04-h0-02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May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04-h0-02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04-h0-02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May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May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04-h0-02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May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04-h0-02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04-h0-02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May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May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04-h0-02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May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04-h0-02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fldChar w:fldCharType="end"/>
          </w:r>
        </w:p>
      </w:tc>
    </w:tr>
    <w:tr>
      <w:tc>
        <w:tcPr>
          <w:tcW w:w="5742" w:type="dxa"/>
        </w:tcPr>
        <w:p>
          <w:pPr>
            <w:pStyle w:val="HeaderTextRight"/>
            <w:tabs>
              <w:tab w:val="left" w:pos="2010"/>
            </w:tabs>
            <w:jc w:val="left"/>
          </w:pPr>
          <w:r>
            <w:tab/>
          </w: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fldChar w:fldCharType="end"/>
          </w:r>
        </w:p>
      </w:tc>
      <w:tc>
        <w:tcPr>
          <w:tcW w:w="6007" w:type="dxa"/>
        </w:tcPr>
        <w:p>
          <w:pPr>
            <w:pStyle w:val="HeaderTextLeft"/>
          </w:pPr>
          <w:r>
            <w:fldChar w:fldCharType="begin"/>
          </w:r>
          <w:r>
            <w:instrText xml:space="preserve"> styleref CharPartText </w:instrText>
          </w:r>
          <w: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24C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BC4B0E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E18EF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67496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78C82C1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3C834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D262A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1F255A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962681E"/>
    <w:lvl w:ilvl="0">
      <w:start w:val="1"/>
      <w:numFmt w:val="decimal"/>
      <w:pStyle w:val="ListNumber"/>
      <w:lvlText w:val="%1."/>
      <w:lvlJc w:val="left"/>
      <w:pPr>
        <w:tabs>
          <w:tab w:val="num" w:pos="360"/>
        </w:tabs>
        <w:ind w:left="360" w:hanging="360"/>
      </w:pPr>
    </w:lvl>
  </w:abstractNum>
  <w:abstractNum w:abstractNumId="9">
    <w:nsid w:val="FFFFFF89"/>
    <w:multiLevelType w:val="singleLevel"/>
    <w:tmpl w:val="915AAE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31FE2F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407682FE"/>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1134606"/>
    <w:docVar w:name="WAFER_20151211134606" w:val="RemoveTrackChanges"/>
    <w:docVar w:name="WAFER_20151211134606_GUID" w:val="7b046d41-8417-41d1-8105-ce5a444c5eb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7.wmf"/><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oleObject" Target="embeddings/oleObject2.bin"/><Relationship Id="rId38" Type="http://schemas.openxmlformats.org/officeDocument/2006/relationships/image" Target="media/image10.png"/><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wmf"/><Relationship Id="rId29" Type="http://schemas.openxmlformats.org/officeDocument/2006/relationships/image" Target="media/image3.png"/><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6.wmf"/><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5.png"/><Relationship Id="rId44" Type="http://schemas.openxmlformats.org/officeDocument/2006/relationships/header" Target="header1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4.png"/><Relationship Id="rId35" Type="http://schemas.openxmlformats.org/officeDocument/2006/relationships/oleObject" Target="embeddings/oleObject3.bin"/><Relationship Id="rId43" Type="http://schemas.openxmlformats.org/officeDocument/2006/relationships/header" Target="header11.xml"/><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18779</Words>
  <Characters>90893</Characters>
  <Application>Microsoft Office Word</Application>
  <DocSecurity>0</DocSecurity>
  <Lines>2932</Lines>
  <Paragraphs>1858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107814</CharactersWithSpaces>
  <SharedDoc>false</SharedDoc>
  <HLinks>
    <vt:vector size="60" baseType="variant">
      <vt:variant>
        <vt:i4>6357117</vt:i4>
      </vt:variant>
      <vt:variant>
        <vt:i4>92700</vt:i4>
      </vt:variant>
      <vt:variant>
        <vt:i4>1025</vt:i4>
      </vt:variant>
      <vt:variant>
        <vt:i4>1</vt:i4>
      </vt:variant>
      <vt:variant>
        <vt:lpwstr>health1</vt:lpwstr>
      </vt:variant>
      <vt:variant>
        <vt:lpwstr/>
      </vt:variant>
      <vt:variant>
        <vt:i4>6357117</vt:i4>
      </vt:variant>
      <vt:variant>
        <vt:i4>92702</vt:i4>
      </vt:variant>
      <vt:variant>
        <vt:i4>1026</vt:i4>
      </vt:variant>
      <vt:variant>
        <vt:i4>1</vt:i4>
      </vt:variant>
      <vt:variant>
        <vt:lpwstr>health2</vt:lpwstr>
      </vt:variant>
      <vt:variant>
        <vt:lpwstr/>
      </vt:variant>
      <vt:variant>
        <vt:i4>6357117</vt:i4>
      </vt:variant>
      <vt:variant>
        <vt:i4>94243</vt:i4>
      </vt:variant>
      <vt:variant>
        <vt:i4>1027</vt:i4>
      </vt:variant>
      <vt:variant>
        <vt:i4>1</vt:i4>
      </vt:variant>
      <vt:variant>
        <vt:lpwstr>health3</vt:lpwstr>
      </vt:variant>
      <vt:variant>
        <vt:lpwstr/>
      </vt:variant>
      <vt:variant>
        <vt:i4>2556005</vt:i4>
      </vt:variant>
      <vt:variant>
        <vt:i4>95129</vt:i4>
      </vt:variant>
      <vt:variant>
        <vt:i4>1028</vt:i4>
      </vt:variant>
      <vt:variant>
        <vt:i4>1</vt:i4>
      </vt:variant>
      <vt:variant>
        <vt:lpwstr>treat4</vt:lpwstr>
      </vt:variant>
      <vt:variant>
        <vt:lpwstr/>
      </vt:variant>
      <vt:variant>
        <vt:i4>6357117</vt:i4>
      </vt:variant>
      <vt:variant>
        <vt:i4>98506</vt:i4>
      </vt:variant>
      <vt:variant>
        <vt:i4>1029</vt:i4>
      </vt:variant>
      <vt:variant>
        <vt:i4>1</vt:i4>
      </vt:variant>
      <vt:variant>
        <vt:lpwstr>health7</vt:lpwstr>
      </vt:variant>
      <vt:variant>
        <vt:lpwstr/>
      </vt:variant>
      <vt:variant>
        <vt:i4>327710</vt:i4>
      </vt:variant>
      <vt:variant>
        <vt:i4>100301</vt:i4>
      </vt:variant>
      <vt:variant>
        <vt:i4>1030</vt:i4>
      </vt:variant>
      <vt:variant>
        <vt:i4>1</vt:i4>
      </vt:variant>
      <vt:variant>
        <vt:lpwstr>Healthcd</vt:lpwstr>
      </vt:variant>
      <vt:variant>
        <vt:lpwstr/>
      </vt:variant>
      <vt:variant>
        <vt:i4>6357117</vt:i4>
      </vt:variant>
      <vt:variant>
        <vt:i4>100987</vt:i4>
      </vt:variant>
      <vt:variant>
        <vt:i4>1031</vt:i4>
      </vt:variant>
      <vt:variant>
        <vt:i4>1</vt:i4>
      </vt:variant>
      <vt:variant>
        <vt:lpwstr>health8</vt:lpwstr>
      </vt:variant>
      <vt:variant>
        <vt:lpwstr/>
      </vt:variant>
      <vt:variant>
        <vt:i4>6357117</vt:i4>
      </vt:variant>
      <vt:variant>
        <vt:i4>101021</vt:i4>
      </vt:variant>
      <vt:variant>
        <vt:i4>1032</vt:i4>
      </vt:variant>
      <vt:variant>
        <vt:i4>1</vt:i4>
      </vt:variant>
      <vt:variant>
        <vt:lpwstr>health9</vt:lpwstr>
      </vt:variant>
      <vt:variant>
        <vt:lpwstr/>
      </vt:variant>
      <vt:variant>
        <vt:i4>5308492</vt:i4>
      </vt:variant>
      <vt:variant>
        <vt:i4>101613</vt:i4>
      </vt:variant>
      <vt:variant>
        <vt:i4>1033</vt:i4>
      </vt:variant>
      <vt:variant>
        <vt:i4>1</vt:i4>
      </vt:variant>
      <vt:variant>
        <vt:lpwstr>health10</vt:lpwstr>
      </vt:variant>
      <vt:variant>
        <vt:lpwstr/>
      </vt:variant>
      <vt:variant>
        <vt:i4>5242956</vt:i4>
      </vt:variant>
      <vt:variant>
        <vt:i4>103339</vt:i4>
      </vt:variant>
      <vt:variant>
        <vt:i4>1034</vt:i4>
      </vt:variant>
      <vt:variant>
        <vt:i4>1</vt:i4>
      </vt:variant>
      <vt:variant>
        <vt:lpwstr>health11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1974 - 04-h0-02</dc:title>
  <dc:subject/>
  <dc:creator/>
  <cp:keywords/>
  <dc:description/>
  <cp:lastModifiedBy>svcMRProcess</cp:lastModifiedBy>
  <cp:revision>4</cp:revision>
  <cp:lastPrinted>2005-10-05T03:05:00Z</cp:lastPrinted>
  <dcterms:created xsi:type="dcterms:W3CDTF">2020-02-25T22:20:00Z</dcterms:created>
  <dcterms:modified xsi:type="dcterms:W3CDTF">2020-02-25T22:20:00Z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20090515</vt:lpwstr>
  </property>
  <property fmtid="{D5CDD505-2E9C-101B-9397-08002B2CF9AE}" pid="4" name="DocumentType">
    <vt:lpwstr>Reg</vt:lpwstr>
  </property>
  <property fmtid="{D5CDD505-2E9C-101B-9397-08002B2CF9AE}" pid="5" name="OwlsUID">
    <vt:i4>4496</vt:i4>
  </property>
  <property fmtid="{D5CDD505-2E9C-101B-9397-08002B2CF9AE}" pid="6" name="ReprintNo">
    <vt:lpwstr>4</vt:lpwstr>
  </property>
  <property fmtid="{D5CDD505-2E9C-101B-9397-08002B2CF9AE}" pid="7" name="AsAtDate">
    <vt:lpwstr>15 May 2009</vt:lpwstr>
  </property>
  <property fmtid="{D5CDD505-2E9C-101B-9397-08002B2CF9AE}" pid="8" name="Suffix">
    <vt:lpwstr>04-h0-02</vt:lpwstr>
  </property>
</Properties>
</file>