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Women’s and Children’s Hospitals By-laws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_Toc230747971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_Toc230747972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_Toc230747974 \h </w:instrText>
      </w:r>
      <w:r>
        <w:fldChar w:fldCharType="separate"/>
      </w:r>
      <w:r>
        <w:t>4</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_Toc230747975 \h </w:instrText>
      </w:r>
      <w:r>
        <w:fldChar w:fldCharType="separate"/>
      </w:r>
      <w:r>
        <w:t>4</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_Toc230747976 \h </w:instrText>
      </w:r>
      <w:r>
        <w:fldChar w:fldCharType="separate"/>
      </w:r>
      <w:r>
        <w:t>4</w:t>
      </w:r>
      <w:r>
        <w:fldChar w:fldCharType="end"/>
      </w:r>
    </w:p>
    <w:p>
      <w:pPr>
        <w:pStyle w:val="TOC8"/>
        <w:rPr>
          <w:sz w:val="24"/>
          <w:szCs w:val="24"/>
        </w:rPr>
      </w:pPr>
      <w:r>
        <w:rPr>
          <w:szCs w:val="24"/>
        </w:rPr>
        <w:t>6.</w:t>
      </w:r>
      <w:r>
        <w:rPr>
          <w:szCs w:val="24"/>
        </w:rPr>
        <w:tab/>
        <w:t>S</w:t>
      </w:r>
      <w:r>
        <w:rPr>
          <w:snapToGrid w:val="0"/>
          <w:szCs w:val="24"/>
        </w:rPr>
        <w:t>moking</w:t>
      </w:r>
      <w:r>
        <w:tab/>
      </w:r>
      <w:r>
        <w:fldChar w:fldCharType="begin"/>
      </w:r>
      <w:r>
        <w:instrText xml:space="preserve"> PAGEREF _Toc230747977 \h </w:instrText>
      </w:r>
      <w:r>
        <w:fldChar w:fldCharType="separate"/>
      </w:r>
      <w:r>
        <w:t>4</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_Toc230747978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_Toc230747981 \h </w:instrText>
      </w:r>
      <w:r>
        <w:fldChar w:fldCharType="separate"/>
      </w:r>
      <w:r>
        <w:t>6</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_Toc230747982 \h </w:instrText>
      </w:r>
      <w:r>
        <w:fldChar w:fldCharType="separate"/>
      </w:r>
      <w:r>
        <w:t>6</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_Toc230747983 \h </w:instrText>
      </w:r>
      <w:r>
        <w:fldChar w:fldCharType="separate"/>
      </w:r>
      <w:r>
        <w:t>6</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_Toc230747984 \h </w:instrText>
      </w:r>
      <w:r>
        <w:fldChar w:fldCharType="separate"/>
      </w:r>
      <w:r>
        <w:t>7</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_Toc230747985 \h </w:instrText>
      </w:r>
      <w:r>
        <w:fldChar w:fldCharType="separate"/>
      </w:r>
      <w:r>
        <w:t>7</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_Toc230747987 \h </w:instrText>
      </w:r>
      <w:r>
        <w:fldChar w:fldCharType="separate"/>
      </w:r>
      <w:r>
        <w:t>7</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_Toc230747988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_Toc230747989 \h </w:instrText>
      </w:r>
      <w:r>
        <w:fldChar w:fldCharType="separate"/>
      </w:r>
      <w:r>
        <w:t>8</w:t>
      </w:r>
      <w:r>
        <w:fldChar w:fldCharType="end"/>
      </w:r>
    </w:p>
    <w:p>
      <w:pPr>
        <w:pStyle w:val="TOC8"/>
        <w:rPr>
          <w:sz w:val="24"/>
          <w:szCs w:val="24"/>
        </w:rPr>
      </w:pPr>
      <w:r>
        <w:rPr>
          <w:szCs w:val="24"/>
        </w:rPr>
        <w:t>16.</w:t>
      </w:r>
      <w:r>
        <w:rPr>
          <w:szCs w:val="24"/>
        </w:rPr>
        <w:tab/>
        <w:t>Parking in permit parking areas</w:t>
      </w:r>
      <w:r>
        <w:tab/>
      </w:r>
      <w:r>
        <w:fldChar w:fldCharType="begin"/>
      </w:r>
      <w:r>
        <w:instrText xml:space="preserve"> PAGEREF _Toc230747990 \h </w:instrText>
      </w:r>
      <w:r>
        <w:fldChar w:fldCharType="separate"/>
      </w:r>
      <w:r>
        <w:t>9</w:t>
      </w:r>
      <w:r>
        <w:fldChar w:fldCharType="end"/>
      </w:r>
    </w:p>
    <w:p>
      <w:pPr>
        <w:pStyle w:val="TOC8"/>
        <w:rPr>
          <w:sz w:val="24"/>
          <w:szCs w:val="24"/>
        </w:rPr>
      </w:pPr>
      <w:r>
        <w:rPr>
          <w:szCs w:val="24"/>
        </w:rPr>
        <w:t>17A.</w:t>
      </w:r>
      <w:r>
        <w:rPr>
          <w:szCs w:val="24"/>
        </w:rPr>
        <w:tab/>
        <w:t>Parking permits</w:t>
      </w:r>
      <w:r>
        <w:tab/>
      </w:r>
      <w:r>
        <w:fldChar w:fldCharType="begin"/>
      </w:r>
      <w:r>
        <w:instrText xml:space="preserve"> PAGEREF _Toc230747991 \h </w:instrText>
      </w:r>
      <w:r>
        <w:fldChar w:fldCharType="separate"/>
      </w:r>
      <w:r>
        <w:t>9</w:t>
      </w:r>
      <w:r>
        <w:fldChar w:fldCharType="end"/>
      </w:r>
    </w:p>
    <w:p>
      <w:pPr>
        <w:pStyle w:val="TOC8"/>
        <w:rPr>
          <w:sz w:val="24"/>
          <w:szCs w:val="24"/>
        </w:rPr>
      </w:pPr>
      <w:r>
        <w:rPr>
          <w:szCs w:val="24"/>
        </w:rPr>
        <w:t>17B.</w:t>
      </w:r>
      <w:r>
        <w:rPr>
          <w:szCs w:val="24"/>
        </w:rPr>
        <w:tab/>
        <w:t>Application for parking permit</w:t>
      </w:r>
      <w:r>
        <w:tab/>
      </w:r>
      <w:r>
        <w:fldChar w:fldCharType="begin"/>
      </w:r>
      <w:r>
        <w:instrText xml:space="preserve"> PAGEREF _Toc230747992 \h </w:instrText>
      </w:r>
      <w:r>
        <w:fldChar w:fldCharType="separate"/>
      </w:r>
      <w:r>
        <w:t>10</w:t>
      </w:r>
      <w:r>
        <w:fldChar w:fldCharType="end"/>
      </w:r>
    </w:p>
    <w:p>
      <w:pPr>
        <w:pStyle w:val="TOC8"/>
        <w:rPr>
          <w:sz w:val="24"/>
          <w:szCs w:val="24"/>
        </w:rPr>
      </w:pPr>
      <w:r>
        <w:rPr>
          <w:szCs w:val="24"/>
        </w:rPr>
        <w:t>17C.</w:t>
      </w:r>
      <w:r>
        <w:rPr>
          <w:szCs w:val="24"/>
        </w:rPr>
        <w:tab/>
        <w:t>Fees for parking permits</w:t>
      </w:r>
      <w:r>
        <w:tab/>
      </w:r>
      <w:r>
        <w:fldChar w:fldCharType="begin"/>
      </w:r>
      <w:r>
        <w:instrText xml:space="preserve"> PAGEREF _Toc230747993 \h </w:instrText>
      </w:r>
      <w:r>
        <w:fldChar w:fldCharType="separate"/>
      </w:r>
      <w:r>
        <w:t>10</w:t>
      </w:r>
      <w:r>
        <w:fldChar w:fldCharType="end"/>
      </w:r>
    </w:p>
    <w:p>
      <w:pPr>
        <w:pStyle w:val="TOC8"/>
        <w:rPr>
          <w:sz w:val="24"/>
          <w:szCs w:val="24"/>
        </w:rPr>
      </w:pPr>
      <w:r>
        <w:rPr>
          <w:szCs w:val="24"/>
        </w:rPr>
        <w:t>17D.</w:t>
      </w:r>
      <w:r>
        <w:rPr>
          <w:szCs w:val="24"/>
        </w:rPr>
        <w:tab/>
        <w:t>Cancellation of parking permit</w:t>
      </w:r>
      <w:r>
        <w:tab/>
      </w:r>
      <w:r>
        <w:fldChar w:fldCharType="begin"/>
      </w:r>
      <w:r>
        <w:instrText xml:space="preserve"> PAGEREF _Toc230747994 \h </w:instrText>
      </w:r>
      <w:r>
        <w:fldChar w:fldCharType="separate"/>
      </w:r>
      <w:r>
        <w:t>11</w:t>
      </w:r>
      <w:r>
        <w:fldChar w:fldCharType="end"/>
      </w:r>
    </w:p>
    <w:p>
      <w:pPr>
        <w:pStyle w:val="TOC8"/>
        <w:rPr>
          <w:sz w:val="24"/>
          <w:szCs w:val="24"/>
        </w:rPr>
      </w:pPr>
      <w:r>
        <w:rPr>
          <w:szCs w:val="24"/>
        </w:rPr>
        <w:t>17E.</w:t>
      </w:r>
      <w:r>
        <w:rPr>
          <w:szCs w:val="24"/>
        </w:rPr>
        <w:tab/>
        <w:t>Refund of parking permit fees</w:t>
      </w:r>
      <w:r>
        <w:tab/>
      </w:r>
      <w:r>
        <w:fldChar w:fldCharType="begin"/>
      </w:r>
      <w:r>
        <w:instrText xml:space="preserve"> PAGEREF _Toc230747995 \h </w:instrText>
      </w:r>
      <w:r>
        <w:fldChar w:fldCharType="separate"/>
      </w:r>
      <w:r>
        <w:t>12</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_Toc230747997 \h </w:instrText>
      </w:r>
      <w:r>
        <w:fldChar w:fldCharType="separate"/>
      </w:r>
      <w:r>
        <w:t>14</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_Toc230747998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_Toc230747999 \h </w:instrText>
      </w:r>
      <w:r>
        <w:fldChar w:fldCharType="separate"/>
      </w:r>
      <w:r>
        <w:t>15</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_Toc230748000 \h </w:instrText>
      </w:r>
      <w:r>
        <w:fldChar w:fldCharType="separate"/>
      </w:r>
      <w:r>
        <w:t>15</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_Toc230748001 \h </w:instrText>
      </w:r>
      <w:r>
        <w:fldChar w:fldCharType="separate"/>
      </w:r>
      <w:r>
        <w:t>16</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_Toc230748002 \h </w:instrText>
      </w:r>
      <w:r>
        <w:fldChar w:fldCharType="separate"/>
      </w:r>
      <w:r>
        <w:t>16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_Toc230748004 \h </w:instrText>
      </w:r>
      <w:r>
        <w:fldChar w:fldCharType="separate"/>
      </w:r>
      <w:r>
        <w:t>17</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_Toc230748005 \h </w:instrText>
      </w:r>
      <w:r>
        <w:fldChar w:fldCharType="separate"/>
      </w:r>
      <w:r>
        <w:t>18</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_Toc230748006 \h </w:instrText>
      </w:r>
      <w:r>
        <w:fldChar w:fldCharType="separate"/>
      </w:r>
      <w:r>
        <w:t>18</w:t>
      </w:r>
      <w:r>
        <w:fldChar w:fldCharType="end"/>
      </w:r>
    </w:p>
    <w:p>
      <w:pPr>
        <w:pStyle w:val="TOC2"/>
        <w:tabs>
          <w:tab w:val="right" w:leader="dot" w:pos="7086"/>
        </w:tabs>
        <w:rPr>
          <w:b w:val="0"/>
          <w:sz w:val="24"/>
          <w:szCs w:val="24"/>
        </w:rPr>
      </w:pPr>
      <w:r>
        <w:rPr>
          <w:szCs w:val="28"/>
        </w:rPr>
        <w:t>Schedule 1 — Hospital sites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Form 1: Infringement Notice (by</w:t>
      </w:r>
      <w:r>
        <w:rPr>
          <w:szCs w:val="22"/>
        </w:rPr>
        <w:noBreakHyphen/>
        <w:t>law 18)</w:t>
      </w:r>
      <w:r>
        <w:tab/>
      </w:r>
      <w:r>
        <w:fldChar w:fldCharType="begin"/>
      </w:r>
      <w:r>
        <w:instrText xml:space="preserve"> PAGEREF _Toc230748010 \h </w:instrText>
      </w:r>
      <w:r>
        <w:fldChar w:fldCharType="separate"/>
      </w:r>
      <w:r>
        <w:t>25</w:t>
      </w:r>
      <w:r>
        <w:fldChar w:fldCharType="end"/>
      </w:r>
    </w:p>
    <w:p>
      <w:pPr>
        <w:pStyle w:val="TOC8"/>
        <w:rPr>
          <w:sz w:val="24"/>
          <w:szCs w:val="24"/>
        </w:rPr>
      </w:pPr>
      <w:r>
        <w:rPr>
          <w:szCs w:val="22"/>
        </w:rPr>
        <w:t>2.</w:t>
      </w:r>
      <w:r>
        <w:rPr>
          <w:szCs w:val="22"/>
        </w:rPr>
        <w:tab/>
        <w:t>Form 2: Withdrawal of Infringement Notice (by</w:t>
      </w:r>
      <w:r>
        <w:rPr>
          <w:szCs w:val="22"/>
        </w:rPr>
        <w:noBreakHyphen/>
        <w:t>law 19)</w:t>
      </w:r>
      <w:r>
        <w:tab/>
      </w:r>
      <w:r>
        <w:fldChar w:fldCharType="begin"/>
      </w:r>
      <w:r>
        <w:instrText xml:space="preserve"> PAGEREF _Toc230748011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_Toc230748013 \h </w:instrText>
      </w:r>
      <w:r>
        <w:fldChar w:fldCharType="separate"/>
      </w:r>
      <w:r>
        <w:t>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ind w:left="993" w:right="849"/>
      </w:pPr>
      <w:r>
        <w:t>Women’s and Children’s Hospitals By-laws 2005</w:t>
      </w:r>
    </w:p>
    <w:p>
      <w:pPr>
        <w:pStyle w:val="Heading2"/>
        <w:pageBreakBefore w:val="0"/>
        <w:spacing w:before="240"/>
      </w:pPr>
      <w:bookmarkStart w:id="1" w:name="_Toc94668763"/>
      <w:bookmarkStart w:id="2" w:name="_Toc94669483"/>
      <w:bookmarkStart w:id="3" w:name="_Toc94922996"/>
      <w:bookmarkStart w:id="4" w:name="_Toc95556557"/>
      <w:bookmarkStart w:id="5" w:name="_Toc95556603"/>
      <w:bookmarkStart w:id="6" w:name="_Toc154283245"/>
      <w:bookmarkStart w:id="7" w:name="_Toc205784664"/>
      <w:bookmarkStart w:id="8" w:name="_Toc205784704"/>
      <w:bookmarkStart w:id="9" w:name="_Toc2307479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154283246"/>
      <w:bookmarkStart w:id="18" w:name="_Toc230747971"/>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ind w:right="707"/>
      </w:pPr>
      <w:r>
        <w:tab/>
      </w:r>
      <w:r>
        <w:tab/>
      </w:r>
      <w:bookmarkStart w:id="19" w:name="Start_Cursor"/>
      <w:bookmarkEnd w:id="19"/>
      <w:r>
        <w:rPr>
          <w:spacing w:val="-2"/>
        </w:rPr>
        <w:t>These</w:t>
      </w:r>
      <w:r>
        <w:t xml:space="preserve"> </w:t>
      </w:r>
      <w:r>
        <w:rPr>
          <w:spacing w:val="-2"/>
        </w:rPr>
        <w:t>by-laws</w:t>
      </w:r>
      <w:r>
        <w:t xml:space="preserve"> are the </w:t>
      </w:r>
      <w:r>
        <w:rPr>
          <w:i/>
        </w:rPr>
        <w:t>Women’s and Children’s Hospitals By-laws 2005</w:t>
      </w:r>
      <w:r>
        <w:t>.</w:t>
      </w:r>
    </w:p>
    <w:p>
      <w:pPr>
        <w:pStyle w:val="Heading5"/>
      </w:pPr>
      <w:bookmarkStart w:id="20" w:name="_Toc154283247"/>
      <w:bookmarkStart w:id="21" w:name="_Toc230747972"/>
      <w:r>
        <w:rPr>
          <w:rStyle w:val="CharSectno"/>
        </w:rPr>
        <w:t>2</w:t>
      </w:r>
      <w:r>
        <w:t>.</w:t>
      </w:r>
      <w:r>
        <w:tab/>
        <w:t>Interpretation</w:t>
      </w:r>
      <w:bookmarkEnd w:id="20"/>
      <w:bookmarkEnd w:id="2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19 Dec 2006 p. 5681; 22 May 2009 p. 1695.]</w:t>
      </w:r>
    </w:p>
    <w:p>
      <w:pPr>
        <w:pStyle w:val="Heading2"/>
      </w:pPr>
      <w:bookmarkStart w:id="22" w:name="_Toc94668766"/>
      <w:bookmarkStart w:id="23" w:name="_Toc94669486"/>
      <w:bookmarkStart w:id="24" w:name="_Toc94922999"/>
      <w:bookmarkStart w:id="25" w:name="_Toc95556560"/>
      <w:bookmarkStart w:id="26" w:name="_Toc95556606"/>
      <w:bookmarkStart w:id="27" w:name="_Toc154283248"/>
      <w:bookmarkStart w:id="28" w:name="_Toc205784667"/>
      <w:bookmarkStart w:id="29" w:name="_Toc205784707"/>
      <w:bookmarkStart w:id="30" w:name="_Toc230747973"/>
      <w:bookmarkStart w:id="31" w:name="_Toc437943303"/>
      <w:bookmarkStart w:id="32" w:name="_Toc471091703"/>
      <w:bookmarkStart w:id="33" w:name="_Toc496083449"/>
      <w:bookmarkStart w:id="34" w:name="_Toc496416764"/>
      <w:bookmarkStart w:id="35" w:name="_Toc532783970"/>
      <w:bookmarkStart w:id="36" w:name="_Toc533572144"/>
      <w:r>
        <w:rPr>
          <w:rStyle w:val="CharPartNo"/>
        </w:rPr>
        <w:t>Part 2</w:t>
      </w:r>
      <w:r>
        <w:rPr>
          <w:rStyle w:val="CharDivNo"/>
        </w:rPr>
        <w:t> </w:t>
      </w:r>
      <w:r>
        <w:t>—</w:t>
      </w:r>
      <w:r>
        <w:rPr>
          <w:rStyle w:val="CharDivText"/>
        </w:rPr>
        <w:t> </w:t>
      </w:r>
      <w:r>
        <w:rPr>
          <w:rStyle w:val="CharPartText"/>
        </w:rPr>
        <w:t>Trespass and order</w:t>
      </w:r>
      <w:bookmarkEnd w:id="22"/>
      <w:bookmarkEnd w:id="23"/>
      <w:bookmarkEnd w:id="24"/>
      <w:bookmarkEnd w:id="25"/>
      <w:bookmarkEnd w:id="26"/>
      <w:bookmarkEnd w:id="27"/>
      <w:bookmarkEnd w:id="28"/>
      <w:bookmarkEnd w:id="29"/>
      <w:bookmarkEnd w:id="30"/>
    </w:p>
    <w:p>
      <w:pPr>
        <w:pStyle w:val="Heading5"/>
        <w:rPr>
          <w:snapToGrid w:val="0"/>
        </w:rPr>
      </w:pPr>
      <w:bookmarkStart w:id="37" w:name="_Toc154283249"/>
      <w:bookmarkStart w:id="38" w:name="_Toc230747974"/>
      <w:r>
        <w:rPr>
          <w:rStyle w:val="CharSectno"/>
        </w:rPr>
        <w:t>3</w:t>
      </w:r>
      <w:r>
        <w:t>.</w:t>
      </w:r>
      <w:r>
        <w:tab/>
      </w:r>
      <w:r>
        <w:rPr>
          <w:snapToGrid w:val="0"/>
        </w:rPr>
        <w:t>No entry without cause</w:t>
      </w:r>
      <w:bookmarkEnd w:id="31"/>
      <w:bookmarkEnd w:id="32"/>
      <w:bookmarkEnd w:id="33"/>
      <w:bookmarkEnd w:id="34"/>
      <w:bookmarkEnd w:id="35"/>
      <w:bookmarkEnd w:id="36"/>
      <w:bookmarkEnd w:id="37"/>
      <w:bookmarkEnd w:id="3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39" w:name="_Toc437943304"/>
      <w:bookmarkStart w:id="40" w:name="_Toc471091704"/>
      <w:bookmarkStart w:id="41" w:name="_Toc496083450"/>
      <w:bookmarkStart w:id="42" w:name="_Toc496416765"/>
      <w:bookmarkStart w:id="43" w:name="_Toc532783971"/>
      <w:bookmarkStart w:id="44" w:name="_Toc533572145"/>
      <w:bookmarkStart w:id="45" w:name="_Toc154283250"/>
      <w:bookmarkStart w:id="46" w:name="_Toc230747975"/>
      <w:r>
        <w:rPr>
          <w:rStyle w:val="CharSectno"/>
        </w:rPr>
        <w:t>4</w:t>
      </w:r>
      <w:r>
        <w:t>.</w:t>
      </w:r>
      <w:r>
        <w:tab/>
      </w:r>
      <w:r>
        <w:rPr>
          <w:snapToGrid w:val="0"/>
        </w:rPr>
        <w:t>Directions as to use of certain areas</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47" w:name="_Toc437943305"/>
      <w:bookmarkStart w:id="48" w:name="_Toc471091705"/>
      <w:bookmarkStart w:id="49" w:name="_Toc496083451"/>
      <w:bookmarkStart w:id="50" w:name="_Toc496416766"/>
      <w:bookmarkStart w:id="51" w:name="_Toc532783972"/>
      <w:bookmarkStart w:id="52" w:name="_Toc533572146"/>
      <w:bookmarkStart w:id="53" w:name="_Toc154283251"/>
      <w:bookmarkStart w:id="54" w:name="_Toc230747976"/>
      <w:r>
        <w:rPr>
          <w:rStyle w:val="CharSectno"/>
        </w:rPr>
        <w:t>5</w:t>
      </w:r>
      <w:r>
        <w:t>.</w:t>
      </w:r>
      <w:r>
        <w:rPr>
          <w:rStyle w:val="CharSectno"/>
        </w:rPr>
        <w:tab/>
      </w:r>
      <w:r>
        <w:rPr>
          <w:snapToGrid w:val="0"/>
        </w:rPr>
        <w:t>Liquor</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55" w:name="_Toc437943306"/>
      <w:bookmarkStart w:id="56" w:name="_Toc471091706"/>
      <w:bookmarkStart w:id="57" w:name="_Toc496083452"/>
      <w:bookmarkStart w:id="58" w:name="_Toc496416767"/>
      <w:bookmarkStart w:id="59" w:name="_Toc532783973"/>
      <w:bookmarkStart w:id="60" w:name="_Toc533572147"/>
      <w:bookmarkStart w:id="61" w:name="_Toc154283252"/>
      <w:bookmarkStart w:id="62" w:name="_Toc230747977"/>
      <w:r>
        <w:rPr>
          <w:rStyle w:val="CharSectno"/>
        </w:rPr>
        <w:t>6</w:t>
      </w:r>
      <w:r>
        <w:t>.</w:t>
      </w:r>
      <w:r>
        <w:tab/>
      </w:r>
      <w:r>
        <w:rPr>
          <w:rStyle w:val="CharSectno"/>
        </w:rPr>
        <w:t>S</w:t>
      </w:r>
      <w:r>
        <w:rPr>
          <w:snapToGrid w:val="0"/>
        </w:rPr>
        <w:t>moking</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63" w:name="_Toc437943307"/>
      <w:bookmarkStart w:id="64" w:name="_Toc471091707"/>
      <w:bookmarkStart w:id="65" w:name="_Toc496083453"/>
      <w:bookmarkStart w:id="66" w:name="_Toc496416768"/>
      <w:bookmarkStart w:id="67" w:name="_Toc532783974"/>
      <w:bookmarkStart w:id="68" w:name="_Toc533572148"/>
      <w:bookmarkStart w:id="69" w:name="_Toc154283253"/>
      <w:bookmarkStart w:id="70" w:name="_Toc230747978"/>
      <w:r>
        <w:rPr>
          <w:rStyle w:val="CharSectno"/>
        </w:rPr>
        <w:t>7</w:t>
      </w:r>
      <w:r>
        <w:t>.</w:t>
      </w:r>
      <w:r>
        <w:tab/>
      </w:r>
      <w:r>
        <w:rPr>
          <w:snapToGrid w:val="0"/>
        </w:rPr>
        <w:t>Disorderly persons may be removed from site</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71" w:name="_Toc94668772"/>
      <w:bookmarkStart w:id="72" w:name="_Toc94669492"/>
      <w:bookmarkStart w:id="73" w:name="_Toc94923005"/>
      <w:bookmarkStart w:id="74" w:name="_Toc95556566"/>
      <w:bookmarkStart w:id="75" w:name="_Toc95556612"/>
      <w:bookmarkStart w:id="76" w:name="_Toc154283254"/>
      <w:bookmarkStart w:id="77" w:name="_Toc205784673"/>
      <w:bookmarkStart w:id="78" w:name="_Toc205784713"/>
      <w:bookmarkStart w:id="79" w:name="_Toc230747979"/>
      <w:r>
        <w:rPr>
          <w:rStyle w:val="CharPartNo"/>
        </w:rPr>
        <w:t>Part 3</w:t>
      </w:r>
      <w:r>
        <w:t> — </w:t>
      </w:r>
      <w:r>
        <w:rPr>
          <w:rStyle w:val="CharPartText"/>
        </w:rPr>
        <w:t>Traffic Control</w:t>
      </w:r>
      <w:bookmarkEnd w:id="71"/>
      <w:bookmarkEnd w:id="72"/>
      <w:bookmarkEnd w:id="73"/>
      <w:bookmarkEnd w:id="74"/>
      <w:bookmarkEnd w:id="75"/>
      <w:bookmarkEnd w:id="76"/>
      <w:bookmarkEnd w:id="77"/>
      <w:bookmarkEnd w:id="78"/>
      <w:bookmarkEnd w:id="79"/>
    </w:p>
    <w:p>
      <w:pPr>
        <w:pStyle w:val="Heading3"/>
      </w:pPr>
      <w:bookmarkStart w:id="80" w:name="_Toc94668773"/>
      <w:bookmarkStart w:id="81" w:name="_Toc94669493"/>
      <w:bookmarkStart w:id="82" w:name="_Toc94923006"/>
      <w:bookmarkStart w:id="83" w:name="_Toc95556567"/>
      <w:bookmarkStart w:id="84" w:name="_Toc95556613"/>
      <w:bookmarkStart w:id="85" w:name="_Toc154283255"/>
      <w:bookmarkStart w:id="86" w:name="_Toc205784674"/>
      <w:bookmarkStart w:id="87" w:name="_Toc205784714"/>
      <w:bookmarkStart w:id="88" w:name="_Toc230747980"/>
      <w:bookmarkStart w:id="89" w:name="_Toc437943308"/>
      <w:bookmarkStart w:id="90" w:name="_Toc471091708"/>
      <w:bookmarkStart w:id="91" w:name="_Toc496083454"/>
      <w:bookmarkStart w:id="92" w:name="_Toc496416769"/>
      <w:bookmarkStart w:id="93" w:name="_Toc532783975"/>
      <w:bookmarkStart w:id="94" w:name="_Toc533572149"/>
      <w:r>
        <w:rPr>
          <w:rStyle w:val="CharDivNo"/>
        </w:rPr>
        <w:t>Division 1</w:t>
      </w:r>
      <w:r>
        <w:t> — </w:t>
      </w:r>
      <w:r>
        <w:rPr>
          <w:rStyle w:val="CharDivText"/>
        </w:rPr>
        <w:t>Driving and use of vehicles</w:t>
      </w:r>
      <w:bookmarkEnd w:id="80"/>
      <w:bookmarkEnd w:id="81"/>
      <w:bookmarkEnd w:id="82"/>
      <w:bookmarkEnd w:id="83"/>
      <w:bookmarkEnd w:id="84"/>
      <w:bookmarkEnd w:id="85"/>
      <w:bookmarkEnd w:id="86"/>
      <w:bookmarkEnd w:id="87"/>
      <w:bookmarkEnd w:id="88"/>
    </w:p>
    <w:p>
      <w:pPr>
        <w:pStyle w:val="Heading5"/>
        <w:rPr>
          <w:snapToGrid w:val="0"/>
        </w:rPr>
      </w:pPr>
      <w:bookmarkStart w:id="95" w:name="_Toc154283256"/>
      <w:bookmarkStart w:id="96" w:name="_Toc230747981"/>
      <w:r>
        <w:rPr>
          <w:rStyle w:val="CharSectno"/>
        </w:rPr>
        <w:t>8</w:t>
      </w:r>
      <w:r>
        <w:t>.</w:t>
      </w:r>
      <w:r>
        <w:tab/>
      </w:r>
      <w:r>
        <w:rPr>
          <w:snapToGrid w:val="0"/>
        </w:rPr>
        <w:t>Driving of vehicles</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97" w:name="_Toc437943309"/>
      <w:bookmarkStart w:id="98" w:name="_Toc471091709"/>
      <w:bookmarkStart w:id="99" w:name="_Toc496083455"/>
      <w:bookmarkStart w:id="100" w:name="_Toc496416770"/>
      <w:bookmarkStart w:id="101" w:name="_Toc532783976"/>
      <w:bookmarkStart w:id="102" w:name="_Toc533572150"/>
      <w:bookmarkStart w:id="103" w:name="_Toc154283257"/>
      <w:bookmarkStart w:id="104" w:name="_Toc230747982"/>
      <w:r>
        <w:rPr>
          <w:rStyle w:val="CharSectno"/>
        </w:rPr>
        <w:t>9</w:t>
      </w:r>
      <w:r>
        <w:t>.</w:t>
      </w:r>
      <w:r>
        <w:tab/>
      </w:r>
      <w:r>
        <w:rPr>
          <w:snapToGrid w:val="0"/>
        </w:rPr>
        <w:t>Driver to obey reasonable direction</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05" w:name="_Toc437943310"/>
      <w:bookmarkStart w:id="106" w:name="_Toc471091710"/>
      <w:bookmarkStart w:id="107" w:name="_Toc496083456"/>
      <w:bookmarkStart w:id="108" w:name="_Toc496416771"/>
      <w:bookmarkStart w:id="109" w:name="_Toc532783977"/>
      <w:bookmarkStart w:id="110" w:name="_Toc533572151"/>
      <w:bookmarkStart w:id="111" w:name="_Toc154283258"/>
      <w:bookmarkStart w:id="112" w:name="_Toc230747983"/>
      <w:r>
        <w:rPr>
          <w:rStyle w:val="CharSectno"/>
        </w:rPr>
        <w:t>10</w:t>
      </w:r>
      <w:r>
        <w:t>.</w:t>
      </w:r>
      <w:r>
        <w:tab/>
      </w:r>
      <w:r>
        <w:rPr>
          <w:snapToGrid w:val="0"/>
        </w:rPr>
        <w:t>Speed limits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13" w:name="_Toc437943311"/>
      <w:bookmarkStart w:id="114" w:name="_Toc471091711"/>
      <w:bookmarkStart w:id="115" w:name="_Toc496083457"/>
      <w:bookmarkStart w:id="116" w:name="_Toc496416772"/>
      <w:bookmarkStart w:id="117" w:name="_Toc532783978"/>
      <w:bookmarkStart w:id="118" w:name="_Toc533572152"/>
      <w:bookmarkStart w:id="119" w:name="_Toc154283259"/>
      <w:bookmarkStart w:id="120" w:name="_Toc230747984"/>
      <w:r>
        <w:rPr>
          <w:rStyle w:val="CharSectno"/>
        </w:rPr>
        <w:t>11</w:t>
      </w:r>
      <w:r>
        <w:t>.</w:t>
      </w:r>
      <w:r>
        <w:tab/>
      </w:r>
      <w:r>
        <w:rPr>
          <w:snapToGrid w:val="0"/>
        </w:rPr>
        <w:t>Giving way</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21" w:name="_Toc437943312"/>
      <w:bookmarkStart w:id="122" w:name="_Toc471091712"/>
      <w:bookmarkStart w:id="123" w:name="_Toc496083458"/>
      <w:bookmarkStart w:id="124" w:name="_Toc496416773"/>
      <w:bookmarkStart w:id="125" w:name="_Toc532783979"/>
      <w:bookmarkStart w:id="126" w:name="_Toc533572153"/>
      <w:bookmarkStart w:id="127" w:name="_Toc154283260"/>
      <w:bookmarkStart w:id="128" w:name="_Toc230747985"/>
      <w:r>
        <w:rPr>
          <w:rStyle w:val="CharSectno"/>
        </w:rPr>
        <w:t>12</w:t>
      </w:r>
      <w:r>
        <w:t>.</w:t>
      </w:r>
      <w:r>
        <w:tab/>
      </w:r>
      <w:r>
        <w:rPr>
          <w:snapToGrid w:val="0"/>
        </w:rPr>
        <w:t>No instruction or repairs on site</w:t>
      </w:r>
      <w:bookmarkEnd w:id="121"/>
      <w:bookmarkEnd w:id="122"/>
      <w:bookmarkEnd w:id="123"/>
      <w:bookmarkEnd w:id="124"/>
      <w:bookmarkEnd w:id="125"/>
      <w:bookmarkEnd w:id="126"/>
      <w:bookmarkEnd w:id="127"/>
      <w:bookmarkEnd w:id="12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29" w:name="_Toc94668779"/>
      <w:bookmarkStart w:id="130" w:name="_Toc94669499"/>
      <w:bookmarkStart w:id="131" w:name="_Toc94923012"/>
      <w:bookmarkStart w:id="132" w:name="_Toc95556573"/>
      <w:bookmarkStart w:id="133" w:name="_Toc95556619"/>
      <w:bookmarkStart w:id="134" w:name="_Toc154283261"/>
      <w:bookmarkStart w:id="135" w:name="_Toc205784680"/>
      <w:bookmarkStart w:id="136" w:name="_Toc205784720"/>
      <w:bookmarkStart w:id="137" w:name="_Toc230747986"/>
      <w:bookmarkStart w:id="138" w:name="_Toc437943313"/>
      <w:bookmarkStart w:id="139" w:name="_Toc471091713"/>
      <w:bookmarkStart w:id="140" w:name="_Toc496083459"/>
      <w:bookmarkStart w:id="141" w:name="_Toc496416774"/>
      <w:bookmarkStart w:id="142" w:name="_Toc532783980"/>
      <w:bookmarkStart w:id="143" w:name="_Toc533572154"/>
      <w:r>
        <w:rPr>
          <w:rStyle w:val="CharDivNo"/>
        </w:rPr>
        <w:t>Division 2</w:t>
      </w:r>
      <w:r>
        <w:t> — </w:t>
      </w:r>
      <w:r>
        <w:rPr>
          <w:rStyle w:val="CharDivText"/>
        </w:rPr>
        <w:t>Parking</w:t>
      </w:r>
      <w:bookmarkEnd w:id="129"/>
      <w:bookmarkEnd w:id="130"/>
      <w:bookmarkEnd w:id="131"/>
      <w:bookmarkEnd w:id="132"/>
      <w:bookmarkEnd w:id="133"/>
      <w:bookmarkEnd w:id="134"/>
      <w:bookmarkEnd w:id="135"/>
      <w:bookmarkEnd w:id="136"/>
      <w:bookmarkEnd w:id="137"/>
    </w:p>
    <w:p>
      <w:pPr>
        <w:pStyle w:val="Heading5"/>
        <w:rPr>
          <w:snapToGrid w:val="0"/>
        </w:rPr>
      </w:pPr>
      <w:bookmarkStart w:id="144" w:name="_Toc154283262"/>
      <w:bookmarkStart w:id="145" w:name="_Toc230747987"/>
      <w:r>
        <w:rPr>
          <w:rStyle w:val="CharSectno"/>
        </w:rPr>
        <w:t>13</w:t>
      </w:r>
      <w:r>
        <w:t>.</w:t>
      </w:r>
      <w:r>
        <w:tab/>
      </w:r>
      <w:r>
        <w:rPr>
          <w:snapToGrid w:val="0"/>
        </w:rPr>
        <w:t>Parking to be in parking spaces only</w:t>
      </w:r>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46" w:name="_Toc437943314"/>
      <w:bookmarkStart w:id="147" w:name="_Toc471091714"/>
      <w:bookmarkStart w:id="148" w:name="_Toc496083460"/>
      <w:bookmarkStart w:id="149" w:name="_Toc496416775"/>
      <w:bookmarkStart w:id="150" w:name="_Toc532783981"/>
      <w:bookmarkStart w:id="151" w:name="_Toc533572155"/>
      <w:bookmarkStart w:id="152" w:name="_Toc154283263"/>
      <w:bookmarkStart w:id="153" w:name="_Toc230747988"/>
      <w:r>
        <w:rPr>
          <w:rStyle w:val="CharSectno"/>
        </w:rPr>
        <w:t>14</w:t>
      </w:r>
      <w:r>
        <w:t>.</w:t>
      </w:r>
      <w:r>
        <w:tab/>
      </w:r>
      <w:r>
        <w:rPr>
          <w:snapToGrid w:val="0"/>
        </w:rPr>
        <w:t>Signs to be obeyed</w:t>
      </w:r>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54" w:name="_Toc437943315"/>
      <w:bookmarkStart w:id="155" w:name="_Toc471091715"/>
      <w:bookmarkStart w:id="156" w:name="_Toc496083461"/>
      <w:bookmarkStart w:id="157" w:name="_Toc496416776"/>
      <w:bookmarkStart w:id="158" w:name="_Toc532783982"/>
      <w:bookmarkStart w:id="159" w:name="_Toc533572156"/>
      <w:bookmarkStart w:id="160" w:name="_Toc154283264"/>
      <w:bookmarkStart w:id="161" w:name="_Toc230747989"/>
      <w:r>
        <w:rPr>
          <w:rStyle w:val="CharSectno"/>
        </w:rPr>
        <w:t>15</w:t>
      </w:r>
      <w:r>
        <w:t>.</w:t>
      </w:r>
      <w:r>
        <w:tab/>
      </w:r>
      <w:r>
        <w:rPr>
          <w:snapToGrid w:val="0"/>
        </w:rPr>
        <w:t>Parking in parking spaces</w:t>
      </w:r>
      <w:bookmarkEnd w:id="154"/>
      <w:bookmarkEnd w:id="155"/>
      <w:bookmarkEnd w:id="156"/>
      <w:bookmarkEnd w:id="157"/>
      <w:bookmarkEnd w:id="158"/>
      <w:bookmarkEnd w:id="159"/>
      <w:bookmarkEnd w:id="160"/>
      <w:bookmarkEnd w:id="16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162" w:name="_Hlt496586520"/>
      <w:bookmarkStart w:id="163" w:name="_Toc437943316"/>
      <w:bookmarkStart w:id="164" w:name="_Toc471091716"/>
      <w:bookmarkStart w:id="165" w:name="_Toc496083462"/>
      <w:bookmarkStart w:id="166" w:name="_Toc496416777"/>
      <w:bookmarkStart w:id="167" w:name="_Toc532783983"/>
      <w:bookmarkStart w:id="168" w:name="_Toc533572157"/>
      <w:bookmarkEnd w:id="162"/>
      <w:r>
        <w:tab/>
        <w:t>[By-law 15 amended in Gazette 19 Dec 2006 p. 5682; 22 May 2009 p. 1695-6.]</w:t>
      </w:r>
    </w:p>
    <w:p>
      <w:pPr>
        <w:pStyle w:val="Heading5"/>
      </w:pPr>
      <w:bookmarkStart w:id="169" w:name="_Toc230747990"/>
      <w:bookmarkStart w:id="170" w:name="_Toc94668784"/>
      <w:bookmarkStart w:id="171" w:name="_Toc94669504"/>
      <w:bookmarkStart w:id="172" w:name="_Toc94923017"/>
      <w:bookmarkStart w:id="173" w:name="_Toc95556578"/>
      <w:bookmarkStart w:id="174" w:name="_Toc95556624"/>
      <w:bookmarkStart w:id="175" w:name="_Toc154283267"/>
      <w:bookmarkStart w:id="176" w:name="_Toc205784686"/>
      <w:bookmarkStart w:id="177" w:name="_Toc205784726"/>
      <w:bookmarkStart w:id="178" w:name="_Toc437943318"/>
      <w:bookmarkStart w:id="179" w:name="_Toc471091717"/>
      <w:bookmarkStart w:id="180" w:name="_Toc496083463"/>
      <w:bookmarkStart w:id="181" w:name="_Toc496416778"/>
      <w:bookmarkStart w:id="182" w:name="_Toc532783984"/>
      <w:bookmarkStart w:id="183" w:name="_Toc533572158"/>
      <w:bookmarkEnd w:id="163"/>
      <w:bookmarkEnd w:id="164"/>
      <w:bookmarkEnd w:id="165"/>
      <w:bookmarkEnd w:id="166"/>
      <w:bookmarkEnd w:id="167"/>
      <w:bookmarkEnd w:id="168"/>
      <w:r>
        <w:rPr>
          <w:rStyle w:val="CharSectno"/>
        </w:rPr>
        <w:t>16</w:t>
      </w:r>
      <w:r>
        <w:t>.</w:t>
      </w:r>
      <w:r>
        <w:tab/>
        <w:t>Parking in permit parking areas</w:t>
      </w:r>
      <w:bookmarkEnd w:id="169"/>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[By-law 16 inserted in Gazette 22 May 2009 p. 1696.]</w:t>
      </w:r>
    </w:p>
    <w:p>
      <w:pPr>
        <w:pStyle w:val="Ednotesection"/>
      </w:pPr>
      <w:r>
        <w:t>[</w:t>
      </w:r>
      <w:r>
        <w:rPr>
          <w:b/>
          <w:bCs/>
        </w:rPr>
        <w:t>16A.</w:t>
      </w:r>
      <w:r>
        <w:tab/>
        <w:t>Deleted in Gazette 22 May 2009 p. 1696.]</w:t>
      </w:r>
    </w:p>
    <w:p>
      <w:pPr>
        <w:pStyle w:val="Heading5"/>
      </w:pPr>
      <w:bookmarkStart w:id="184" w:name="_Toc230747991"/>
      <w:r>
        <w:rPr>
          <w:rStyle w:val="CharSectno"/>
        </w:rPr>
        <w:t>17A</w:t>
      </w:r>
      <w:r>
        <w:t>.</w:t>
      </w:r>
      <w:r>
        <w:tab/>
        <w:t>Parking permits</w:t>
      </w:r>
      <w:bookmarkEnd w:id="184"/>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[By-law 17A inserted in Gazette 22 May 2009 p. 1696-7.]</w:t>
      </w:r>
    </w:p>
    <w:p>
      <w:pPr>
        <w:pStyle w:val="Heading5"/>
      </w:pPr>
      <w:bookmarkStart w:id="185" w:name="_Toc230747992"/>
      <w:r>
        <w:rPr>
          <w:rStyle w:val="CharSectno"/>
        </w:rPr>
        <w:t>17B</w:t>
      </w:r>
      <w:r>
        <w:t>.</w:t>
      </w:r>
      <w:r>
        <w:tab/>
        <w:t>Application for parking permit</w:t>
      </w:r>
      <w:bookmarkEnd w:id="185"/>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[By-law 17B inserted in Gazette 22 May 2009 p. 1697.]</w:t>
      </w:r>
    </w:p>
    <w:p>
      <w:pPr>
        <w:pStyle w:val="Heading5"/>
      </w:pPr>
      <w:bookmarkStart w:id="186" w:name="_Toc230747993"/>
      <w:r>
        <w:rPr>
          <w:rStyle w:val="CharSectno"/>
        </w:rPr>
        <w:t>17C</w:t>
      </w:r>
      <w:r>
        <w:t>.</w:t>
      </w:r>
      <w:r>
        <w:tab/>
        <w:t>Fees for parking permits</w:t>
      </w:r>
      <w:bookmarkEnd w:id="186"/>
    </w:p>
    <w:p>
      <w:pPr>
        <w:pStyle w:val="Subsection"/>
      </w:pPr>
      <w:r>
        <w:tab/>
        <w:t>(1)</w:t>
      </w:r>
      <w:r>
        <w:tab/>
        <w:t>The fees for a parking permit are —</w:t>
      </w:r>
    </w:p>
    <w:p>
      <w:pPr>
        <w:pStyle w:val="Indenta"/>
      </w:pPr>
      <w:r>
        <w:tab/>
        <w:t>(a)</w:t>
      </w:r>
      <w:r>
        <w:tab/>
        <w:t>$7.20 per week for a permit holder whose normal working hours exceed 3 days a week; or</w:t>
      </w:r>
    </w:p>
    <w:p>
      <w:pPr>
        <w:pStyle w:val="Indenta"/>
      </w:pPr>
      <w:r>
        <w:tab/>
        <w:t>(b)</w:t>
      </w:r>
      <w:r>
        <w:tab/>
        <w:t>$4.80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[By-law 17C inserted in Gazette 22 May 2009 p. 1697-8.]</w:t>
      </w:r>
    </w:p>
    <w:p>
      <w:pPr>
        <w:pStyle w:val="Heading5"/>
      </w:pPr>
      <w:bookmarkStart w:id="187" w:name="_Toc230747994"/>
      <w:r>
        <w:rPr>
          <w:rStyle w:val="CharSectno"/>
        </w:rPr>
        <w:t>17D</w:t>
      </w:r>
      <w:r>
        <w:t>.</w:t>
      </w:r>
      <w:r>
        <w:tab/>
        <w:t>Cancellation of parking permit</w:t>
      </w:r>
      <w:bookmarkEnd w:id="187"/>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17D inserted in Gazette 22 May 2009 p. 1698.]</w:t>
      </w:r>
    </w:p>
    <w:p>
      <w:pPr>
        <w:pStyle w:val="Heading5"/>
      </w:pPr>
      <w:bookmarkStart w:id="188" w:name="_Toc230747995"/>
      <w:r>
        <w:rPr>
          <w:rStyle w:val="CharSectno"/>
        </w:rPr>
        <w:t>17E</w:t>
      </w:r>
      <w:r>
        <w:t>.</w:t>
      </w:r>
      <w:r>
        <w:tab/>
        <w:t>Refund of parking permit fees</w:t>
      </w:r>
      <w:bookmarkEnd w:id="188"/>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[By-law 17E inserted in Gazette 22 May 2009 p. 1699.]</w:t>
      </w:r>
    </w:p>
    <w:p>
      <w:pPr>
        <w:pStyle w:val="Heading2"/>
      </w:pPr>
      <w:bookmarkStart w:id="189" w:name="_Toc230747996"/>
      <w:r>
        <w:rPr>
          <w:rStyle w:val="CharPartNo"/>
        </w:rPr>
        <w:t>Part 4</w:t>
      </w:r>
      <w:r>
        <w:rPr>
          <w:rStyle w:val="CharDivNo"/>
        </w:rPr>
        <w:t> </w:t>
      </w:r>
      <w:r>
        <w:t>—</w:t>
      </w:r>
      <w:r>
        <w:rPr>
          <w:rStyle w:val="CharDivText"/>
        </w:rPr>
        <w:t> </w:t>
      </w:r>
      <w:r>
        <w:rPr>
          <w:rStyle w:val="CharPartText"/>
        </w:rPr>
        <w:t>Infringement notices</w:t>
      </w:r>
      <w:bookmarkEnd w:id="170"/>
      <w:bookmarkEnd w:id="171"/>
      <w:bookmarkEnd w:id="172"/>
      <w:bookmarkEnd w:id="173"/>
      <w:bookmarkEnd w:id="174"/>
      <w:bookmarkEnd w:id="175"/>
      <w:bookmarkEnd w:id="176"/>
      <w:bookmarkEnd w:id="177"/>
      <w:bookmarkEnd w:id="189"/>
    </w:p>
    <w:p>
      <w:pPr>
        <w:pStyle w:val="Heading5"/>
        <w:rPr>
          <w:snapToGrid w:val="0"/>
        </w:rPr>
      </w:pPr>
      <w:bookmarkStart w:id="190" w:name="_Toc154283268"/>
      <w:bookmarkStart w:id="191" w:name="_Toc230747997"/>
      <w:r>
        <w:rPr>
          <w:rStyle w:val="CharSectno"/>
        </w:rPr>
        <w:t>17</w:t>
      </w:r>
      <w:r>
        <w:t>.</w:t>
      </w:r>
      <w:r>
        <w:tab/>
      </w:r>
      <w:r>
        <w:rPr>
          <w:snapToGrid w:val="0"/>
        </w:rPr>
        <w:t>Interpretation</w:t>
      </w:r>
      <w:bookmarkEnd w:id="178"/>
      <w:bookmarkEnd w:id="179"/>
      <w:bookmarkEnd w:id="180"/>
      <w:bookmarkEnd w:id="181"/>
      <w:bookmarkEnd w:id="182"/>
      <w:bookmarkEnd w:id="183"/>
      <w:bookmarkEnd w:id="190"/>
      <w:bookmarkEnd w:id="191"/>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192" w:name="endcomma"/>
      <w:bookmarkEnd w:id="192"/>
      <w:r>
        <w:t xml:space="preserve"> </w:t>
      </w:r>
      <w:bookmarkStart w:id="193" w:name="comma"/>
      <w:bookmarkEnd w:id="193"/>
      <w:r>
        <w:t>means a penalty prescribed in Schedule 2 for an offence under Part 3 or 4.</w:t>
      </w:r>
    </w:p>
    <w:p>
      <w:pPr>
        <w:pStyle w:val="Heading5"/>
        <w:rPr>
          <w:snapToGrid w:val="0"/>
        </w:rPr>
      </w:pPr>
      <w:bookmarkStart w:id="194" w:name="_Toc437943319"/>
      <w:bookmarkStart w:id="195" w:name="_Toc471091718"/>
      <w:bookmarkStart w:id="196" w:name="_Toc496083464"/>
      <w:bookmarkStart w:id="197" w:name="_Toc496416779"/>
      <w:bookmarkStart w:id="198" w:name="_Toc532783985"/>
      <w:bookmarkStart w:id="199" w:name="_Toc533572159"/>
      <w:bookmarkStart w:id="200" w:name="_Toc154283269"/>
      <w:bookmarkStart w:id="201" w:name="_Toc230747998"/>
      <w:r>
        <w:rPr>
          <w:rStyle w:val="CharSectno"/>
        </w:rPr>
        <w:t>18</w:t>
      </w:r>
      <w:r>
        <w:t>.</w:t>
      </w:r>
      <w:r>
        <w:tab/>
      </w:r>
      <w:r>
        <w:rPr>
          <w:snapToGrid w:val="0"/>
        </w:rPr>
        <w:t>Infringement notices</w:t>
      </w:r>
      <w:bookmarkEnd w:id="194"/>
      <w:bookmarkEnd w:id="195"/>
      <w:bookmarkEnd w:id="196"/>
      <w:bookmarkEnd w:id="197"/>
      <w:bookmarkEnd w:id="198"/>
      <w:bookmarkEnd w:id="199"/>
      <w:bookmarkEnd w:id="200"/>
      <w:bookmarkEnd w:id="201"/>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02" w:name="_Hlt502127995"/>
      <w:bookmarkStart w:id="203" w:name="_Toc437943320"/>
      <w:bookmarkStart w:id="204" w:name="_Toc471091719"/>
      <w:bookmarkStart w:id="205" w:name="_Toc496083465"/>
      <w:bookmarkStart w:id="206" w:name="_Toc496416780"/>
      <w:bookmarkStart w:id="207" w:name="_Toc532783986"/>
      <w:bookmarkStart w:id="208" w:name="_Toc533572160"/>
      <w:bookmarkStart w:id="209" w:name="_Toc154283270"/>
      <w:bookmarkEnd w:id="202"/>
      <w:r>
        <w:tab/>
        <w:t>[By-law 18 amended in Gazette 22 May 2009 p. 1699.]</w:t>
      </w:r>
    </w:p>
    <w:p>
      <w:pPr>
        <w:pStyle w:val="Heading5"/>
        <w:rPr>
          <w:snapToGrid w:val="0"/>
        </w:rPr>
      </w:pPr>
      <w:bookmarkStart w:id="210" w:name="_Toc230747999"/>
      <w:r>
        <w:rPr>
          <w:rStyle w:val="CharSectno"/>
        </w:rPr>
        <w:t>19</w:t>
      </w:r>
      <w:r>
        <w:t>.</w:t>
      </w:r>
      <w:r>
        <w:tab/>
      </w:r>
      <w:r>
        <w:rPr>
          <w:snapToGrid w:val="0"/>
        </w:rPr>
        <w:t>Withdrawal of infringement notice</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11" w:name="_Toc437943321"/>
      <w:bookmarkStart w:id="212" w:name="_Toc471091720"/>
      <w:bookmarkStart w:id="213" w:name="_Toc496083466"/>
      <w:bookmarkStart w:id="214" w:name="_Toc496416781"/>
      <w:bookmarkStart w:id="215" w:name="_Toc532783987"/>
      <w:bookmarkStart w:id="216" w:name="_Toc533572161"/>
      <w:bookmarkStart w:id="217" w:name="_Toc154283271"/>
      <w:bookmarkStart w:id="218" w:name="_Toc230748000"/>
      <w:r>
        <w:rPr>
          <w:rStyle w:val="CharSectno"/>
        </w:rPr>
        <w:t>20</w:t>
      </w:r>
      <w:r>
        <w:t>.</w:t>
      </w:r>
      <w:r>
        <w:tab/>
      </w:r>
      <w:r>
        <w:rPr>
          <w:snapToGrid w:val="0"/>
        </w:rPr>
        <w:t>Authorised person to have certificate</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19" w:name="_Toc437943322"/>
      <w:bookmarkStart w:id="220" w:name="_Toc471091721"/>
      <w:bookmarkStart w:id="221" w:name="_Toc496083467"/>
      <w:bookmarkStart w:id="222" w:name="_Toc496416782"/>
      <w:bookmarkStart w:id="223" w:name="_Toc532783988"/>
      <w:bookmarkStart w:id="224" w:name="_Toc533572162"/>
      <w:bookmarkStart w:id="225" w:name="_Toc154283272"/>
      <w:bookmarkStart w:id="226" w:name="_Toc230748001"/>
      <w:r>
        <w:rPr>
          <w:rStyle w:val="CharSectno"/>
        </w:rPr>
        <w:t>21</w:t>
      </w:r>
      <w:r>
        <w:t>.</w:t>
      </w:r>
      <w:r>
        <w:tab/>
      </w:r>
      <w:r>
        <w:rPr>
          <w:snapToGrid w:val="0"/>
        </w:rPr>
        <w:t>Authorised persons only to endorse and alter infringement notices</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27" w:name="_Toc437943323"/>
      <w:bookmarkStart w:id="228" w:name="_Toc471091722"/>
      <w:bookmarkStart w:id="229" w:name="_Toc496083468"/>
      <w:bookmarkStart w:id="230" w:name="_Toc496416783"/>
      <w:bookmarkStart w:id="231" w:name="_Toc532783989"/>
      <w:bookmarkStart w:id="232" w:name="_Toc533572163"/>
      <w:bookmarkStart w:id="233" w:name="_Toc154283273"/>
      <w:bookmarkStart w:id="234" w:name="_Toc230748002"/>
      <w:r>
        <w:rPr>
          <w:rStyle w:val="CharSectno"/>
        </w:rPr>
        <w:t>22</w:t>
      </w:r>
      <w:r>
        <w:t>.</w:t>
      </w:r>
      <w:r>
        <w:tab/>
      </w:r>
      <w:r>
        <w:rPr>
          <w:snapToGrid w:val="0"/>
        </w:rPr>
        <w:t>Restriction on removal of infringement notices</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235" w:name="_Toc94668791"/>
      <w:bookmarkStart w:id="236" w:name="_Toc94669511"/>
      <w:bookmarkStart w:id="237" w:name="_Toc94923024"/>
      <w:bookmarkStart w:id="238" w:name="_Toc95556585"/>
      <w:bookmarkStart w:id="239" w:name="_Toc95556631"/>
      <w:bookmarkStart w:id="240" w:name="_Toc154283274"/>
      <w:bookmarkStart w:id="241" w:name="_Toc205784693"/>
      <w:bookmarkStart w:id="242" w:name="_Toc205784733"/>
      <w:bookmarkStart w:id="243" w:name="_Toc230748003"/>
      <w:bookmarkStart w:id="244" w:name="_Toc437943324"/>
      <w:bookmarkStart w:id="245" w:name="_Toc471091723"/>
      <w:bookmarkStart w:id="246" w:name="_Toc496083469"/>
      <w:bookmarkStart w:id="247" w:name="_Toc496416784"/>
      <w:bookmarkStart w:id="248" w:name="_Toc532783990"/>
      <w:bookmarkStart w:id="249" w:name="_Toc533572164"/>
      <w:r>
        <w:rPr>
          <w:rStyle w:val="CharPartNo"/>
        </w:rPr>
        <w:t>Part 5</w:t>
      </w:r>
      <w:r>
        <w:rPr>
          <w:rStyle w:val="CharDivNo"/>
        </w:rPr>
        <w:t> </w:t>
      </w:r>
      <w:r>
        <w:t>—</w:t>
      </w:r>
      <w:r>
        <w:rPr>
          <w:rStyle w:val="CharDivText"/>
        </w:rPr>
        <w:t> </w:t>
      </w:r>
      <w:r>
        <w:rPr>
          <w:rStyle w:val="CharPartText"/>
        </w:rPr>
        <w:t>General</w:t>
      </w:r>
      <w:bookmarkEnd w:id="235"/>
      <w:bookmarkEnd w:id="236"/>
      <w:bookmarkEnd w:id="237"/>
      <w:bookmarkEnd w:id="238"/>
      <w:bookmarkEnd w:id="239"/>
      <w:bookmarkEnd w:id="240"/>
      <w:bookmarkEnd w:id="241"/>
      <w:bookmarkEnd w:id="242"/>
      <w:bookmarkEnd w:id="243"/>
    </w:p>
    <w:p>
      <w:pPr>
        <w:pStyle w:val="Heading5"/>
        <w:rPr>
          <w:snapToGrid w:val="0"/>
        </w:rPr>
      </w:pPr>
      <w:bookmarkStart w:id="250" w:name="_Toc154283275"/>
      <w:bookmarkStart w:id="251" w:name="_Toc230748004"/>
      <w:r>
        <w:rPr>
          <w:rStyle w:val="CharSectno"/>
        </w:rPr>
        <w:t>23</w:t>
      </w:r>
      <w:r>
        <w:t>.</w:t>
      </w:r>
      <w:r>
        <w:tab/>
      </w:r>
      <w:r>
        <w:rPr>
          <w:snapToGrid w:val="0"/>
        </w:rPr>
        <w:t>Removal of vehicles</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252" w:name="_Toc437943325"/>
      <w:bookmarkStart w:id="253" w:name="_Toc471091724"/>
      <w:bookmarkStart w:id="254" w:name="_Toc496083470"/>
      <w:bookmarkStart w:id="255" w:name="_Toc496416785"/>
      <w:bookmarkStart w:id="256" w:name="_Toc532783991"/>
      <w:bookmarkStart w:id="257" w:name="_Toc533572165"/>
      <w:bookmarkStart w:id="258" w:name="_Toc154283276"/>
      <w:bookmarkStart w:id="259" w:name="_Toc230748005"/>
      <w:r>
        <w:rPr>
          <w:rStyle w:val="CharSectno"/>
        </w:rPr>
        <w:t>24</w:t>
      </w:r>
      <w:r>
        <w:t>.</w:t>
      </w:r>
      <w:r>
        <w:tab/>
      </w:r>
      <w:r>
        <w:rPr>
          <w:snapToGrid w:val="0"/>
        </w:rPr>
        <w:t>Registered owner may be treated as being driver or person in charge of vehicle at time of offence</w:t>
      </w:r>
      <w:bookmarkEnd w:id="252"/>
      <w:bookmarkEnd w:id="253"/>
      <w:bookmarkEnd w:id="254"/>
      <w:bookmarkEnd w:id="255"/>
      <w:bookmarkEnd w:id="256"/>
      <w:bookmarkEnd w:id="257"/>
      <w:bookmarkEnd w:id="258"/>
      <w:bookmarkEnd w:id="25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60" w:name="_Toc437943326"/>
      <w:bookmarkStart w:id="261" w:name="_Toc471091725"/>
      <w:bookmarkStart w:id="262" w:name="_Toc496083471"/>
      <w:bookmarkStart w:id="263" w:name="_Toc496416786"/>
      <w:bookmarkStart w:id="264" w:name="_Toc532783992"/>
      <w:bookmarkStart w:id="265" w:name="_Toc533572166"/>
      <w:bookmarkStart w:id="266" w:name="_Toc154283277"/>
      <w:bookmarkStart w:id="267" w:name="_Toc230748006"/>
      <w:r>
        <w:rPr>
          <w:rStyle w:val="CharSectno"/>
        </w:rPr>
        <w:t>25</w:t>
      </w:r>
      <w:r>
        <w:t>.</w:t>
      </w:r>
      <w:r>
        <w:tab/>
      </w:r>
      <w:r>
        <w:rPr>
          <w:snapToGrid w:val="0"/>
        </w:rPr>
        <w:t>Other offences</w:t>
      </w:r>
      <w:bookmarkEnd w:id="260"/>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8" w:name="_Toc154283278"/>
      <w:bookmarkStart w:id="269" w:name="_Toc205784697"/>
      <w:bookmarkStart w:id="270" w:name="_Toc205784737"/>
      <w:bookmarkStart w:id="271" w:name="_Toc230748007"/>
      <w:r>
        <w:rPr>
          <w:rStyle w:val="CharSchNo"/>
        </w:rPr>
        <w:t>Schedule 1</w:t>
      </w:r>
      <w:r>
        <w:t xml:space="preserve"> —</w:t>
      </w:r>
      <w:bookmarkStart w:id="272" w:name="AutoSch"/>
      <w:bookmarkEnd w:id="272"/>
      <w:r>
        <w:t xml:space="preserve"> </w:t>
      </w:r>
      <w:r>
        <w:rPr>
          <w:rStyle w:val="CharSchText"/>
        </w:rPr>
        <w:t>Hospital sites</w:t>
      </w:r>
      <w:bookmarkEnd w:id="268"/>
      <w:bookmarkEnd w:id="269"/>
      <w:bookmarkEnd w:id="270"/>
      <w:bookmarkEnd w:id="271"/>
    </w:p>
    <w:p>
      <w:pPr>
        <w:pStyle w:val="yShoulderClause"/>
      </w:pPr>
      <w:r>
        <w:t>[bl. 2]</w:t>
      </w:r>
    </w:p>
    <w:tbl>
      <w:tblPr>
        <w:tblW w:w="0" w:type="auto"/>
        <w:tblInd w:w="250" w:type="dxa"/>
        <w:tblLook w:val="0000" w:firstRow="0" w:lastRow="0" w:firstColumn="0" w:lastColumn="0" w:noHBand="0" w:noVBand="0"/>
      </w:tblPr>
      <w:tblGrid>
        <w:gridCol w:w="851"/>
        <w:gridCol w:w="283"/>
        <w:gridCol w:w="5918"/>
      </w:tblGrid>
      <w:tr>
        <w:trPr>
          <w:cantSplit/>
        </w:trPr>
        <w:tc>
          <w:tcPr>
            <w:tcW w:w="7052" w:type="dxa"/>
            <w:gridSpan w:val="3"/>
          </w:tcPr>
          <w:p>
            <w:pPr>
              <w:pStyle w:val="yTable"/>
              <w:spacing w:before="120" w:after="120"/>
              <w:rPr>
                <w:b/>
                <w:bCs/>
                <w:sz w:val="24"/>
                <w:u w:val="single"/>
              </w:rPr>
            </w:pPr>
            <w:r>
              <w:rPr>
                <w:b/>
                <w:bCs/>
                <w:sz w:val="24"/>
                <w:u w:val="single"/>
              </w:rPr>
              <w:t>King Edward Memorial Hospital for Women</w:t>
            </w:r>
          </w:p>
        </w:tc>
      </w:tr>
      <w:tr>
        <w:tc>
          <w:tcPr>
            <w:tcW w:w="851" w:type="dxa"/>
          </w:tcPr>
          <w:p>
            <w:pPr>
              <w:pStyle w:val="yTable"/>
            </w:pPr>
            <w:r>
              <w:t>1</w:t>
            </w:r>
          </w:p>
        </w:tc>
        <w:tc>
          <w:tcPr>
            <w:tcW w:w="6201" w:type="dxa"/>
            <w:gridSpan w:val="2"/>
          </w:tcPr>
          <w:p>
            <w:pPr>
              <w:pStyle w:val="yTable"/>
              <w:ind w:left="601" w:hanging="601"/>
            </w:pPr>
            <w:r>
              <w:t>Perth Suburban Lots 229 and 230, folio 535</w:t>
            </w:r>
          </w:p>
        </w:tc>
      </w:tr>
      <w:tr>
        <w:tc>
          <w:tcPr>
            <w:tcW w:w="851" w:type="dxa"/>
          </w:tcPr>
          <w:p>
            <w:pPr>
              <w:pStyle w:val="yTable"/>
            </w:pPr>
            <w:r>
              <w:t>2</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3</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4</w:t>
            </w:r>
          </w:p>
        </w:tc>
        <w:tc>
          <w:tcPr>
            <w:tcW w:w="6201" w:type="dxa"/>
            <w:gridSpan w:val="2"/>
          </w:tcPr>
          <w:p>
            <w:pPr>
              <w:pStyle w:val="yTable"/>
              <w:ind w:left="601" w:hanging="601"/>
            </w:pPr>
            <w:r>
              <w:t>Portion of Perth Suburban Lot 228, being part of Lot 18 on Plan 1178</w:t>
            </w:r>
          </w:p>
        </w:tc>
      </w:tr>
      <w:tr>
        <w:tc>
          <w:tcPr>
            <w:tcW w:w="851" w:type="dxa"/>
          </w:tcPr>
          <w:p>
            <w:pPr>
              <w:pStyle w:val="yTable"/>
            </w:pPr>
            <w:r>
              <w:t>5</w:t>
            </w:r>
          </w:p>
        </w:tc>
        <w:tc>
          <w:tcPr>
            <w:tcW w:w="6201" w:type="dxa"/>
            <w:gridSpan w:val="2"/>
          </w:tcPr>
          <w:p>
            <w:pPr>
              <w:pStyle w:val="yTable"/>
              <w:ind w:left="601" w:hanging="601"/>
            </w:pPr>
            <w:r>
              <w:t>Portion of Perth Suburban Lot 228, being part of Lots 18 and 19 on Plan 1178</w:t>
            </w:r>
          </w:p>
        </w:tc>
      </w:tr>
      <w:tr>
        <w:tc>
          <w:tcPr>
            <w:tcW w:w="851" w:type="dxa"/>
          </w:tcPr>
          <w:p>
            <w:pPr>
              <w:pStyle w:val="yTable"/>
            </w:pPr>
            <w:r>
              <w:t>6</w:t>
            </w:r>
          </w:p>
        </w:tc>
        <w:tc>
          <w:tcPr>
            <w:tcW w:w="6201" w:type="dxa"/>
            <w:gridSpan w:val="2"/>
          </w:tcPr>
          <w:p>
            <w:pPr>
              <w:pStyle w:val="yTable"/>
              <w:ind w:left="601" w:hanging="601"/>
            </w:pPr>
            <w:r>
              <w:t>Portion of Suburban Lot 228, being part of Lot 19 on Plan 1178</w:t>
            </w:r>
          </w:p>
        </w:tc>
      </w:tr>
      <w:tr>
        <w:tc>
          <w:tcPr>
            <w:tcW w:w="851" w:type="dxa"/>
          </w:tcPr>
          <w:p>
            <w:pPr>
              <w:pStyle w:val="yTable"/>
            </w:pPr>
            <w:r>
              <w:t>7</w:t>
            </w:r>
          </w:p>
        </w:tc>
        <w:tc>
          <w:tcPr>
            <w:tcW w:w="6201" w:type="dxa"/>
            <w:gridSpan w:val="2"/>
          </w:tcPr>
          <w:p>
            <w:pPr>
              <w:pStyle w:val="yTable"/>
              <w:ind w:left="601" w:hanging="601"/>
            </w:pPr>
            <w:r>
              <w:t>Portion of Perth Suburban Lot 228, being Lot 20 on plan 1178</w:t>
            </w:r>
          </w:p>
        </w:tc>
      </w:tr>
      <w:tr>
        <w:tc>
          <w:tcPr>
            <w:tcW w:w="851" w:type="dxa"/>
          </w:tcPr>
          <w:p>
            <w:pPr>
              <w:pStyle w:val="yTable"/>
            </w:pPr>
            <w:r>
              <w:t>8</w:t>
            </w:r>
          </w:p>
        </w:tc>
        <w:tc>
          <w:tcPr>
            <w:tcW w:w="6201" w:type="dxa"/>
            <w:gridSpan w:val="2"/>
          </w:tcPr>
          <w:p>
            <w:pPr>
              <w:pStyle w:val="yTable"/>
              <w:ind w:left="601" w:hanging="601"/>
            </w:pPr>
            <w:r>
              <w:t>Portion of Perth Suburban Lot 228, being Lots 108 to 117 (inclusive) on Plan 1178 and Lots 1, 2, 3 and 4 on Diagram 22405</w:t>
            </w:r>
          </w:p>
        </w:tc>
      </w:tr>
      <w:tr>
        <w:tc>
          <w:tcPr>
            <w:tcW w:w="851" w:type="dxa"/>
          </w:tcPr>
          <w:p>
            <w:pPr>
              <w:pStyle w:val="yTable"/>
            </w:pPr>
            <w:r>
              <w:t>9</w:t>
            </w:r>
          </w:p>
        </w:tc>
        <w:tc>
          <w:tcPr>
            <w:tcW w:w="6201" w:type="dxa"/>
            <w:gridSpan w:val="2"/>
          </w:tcPr>
          <w:p>
            <w:pPr>
              <w:pStyle w:val="yTable"/>
              <w:ind w:left="601" w:hanging="601"/>
            </w:pPr>
            <w:r>
              <w:t>Portion of Perth Suburban Lot 228, being Lot 24 on Plan 1178</w:t>
            </w:r>
          </w:p>
        </w:tc>
      </w:tr>
      <w:tr>
        <w:tc>
          <w:tcPr>
            <w:tcW w:w="851" w:type="dxa"/>
          </w:tcPr>
          <w:p>
            <w:pPr>
              <w:pStyle w:val="yTable"/>
            </w:pPr>
            <w:r>
              <w:t>10</w:t>
            </w:r>
          </w:p>
        </w:tc>
        <w:tc>
          <w:tcPr>
            <w:tcW w:w="6201" w:type="dxa"/>
            <w:gridSpan w:val="2"/>
          </w:tcPr>
          <w:p>
            <w:pPr>
              <w:pStyle w:val="yTable"/>
              <w:ind w:left="601" w:hanging="601"/>
            </w:pPr>
            <w:r>
              <w:t>Portion of Perth Suburban Lot 228, being Lot 23 of Plan 1178</w:t>
            </w:r>
          </w:p>
        </w:tc>
      </w:tr>
      <w:tr>
        <w:tc>
          <w:tcPr>
            <w:tcW w:w="851" w:type="dxa"/>
          </w:tcPr>
          <w:p>
            <w:pPr>
              <w:pStyle w:val="yTable"/>
            </w:pPr>
            <w:r>
              <w:t>11</w:t>
            </w:r>
          </w:p>
        </w:tc>
        <w:tc>
          <w:tcPr>
            <w:tcW w:w="6201" w:type="dxa"/>
            <w:gridSpan w:val="2"/>
          </w:tcPr>
          <w:p>
            <w:pPr>
              <w:pStyle w:val="yTable"/>
              <w:ind w:left="601" w:hanging="601"/>
            </w:pPr>
            <w:r>
              <w:t>Portion of Perth Suburban lot 228, being part of Lot 22 on Plan 1178</w:t>
            </w:r>
          </w:p>
        </w:tc>
      </w:tr>
      <w:tr>
        <w:tc>
          <w:tcPr>
            <w:tcW w:w="851" w:type="dxa"/>
          </w:tcPr>
          <w:p>
            <w:pPr>
              <w:pStyle w:val="yTable"/>
            </w:pPr>
            <w:r>
              <w:t>12</w:t>
            </w:r>
          </w:p>
        </w:tc>
        <w:tc>
          <w:tcPr>
            <w:tcW w:w="6201" w:type="dxa"/>
            <w:gridSpan w:val="2"/>
          </w:tcPr>
          <w:p>
            <w:pPr>
              <w:pStyle w:val="yTable"/>
              <w:ind w:left="601" w:hanging="601"/>
            </w:pPr>
            <w:r>
              <w:t>Portion of Perth Suburban Lot 228,</w:t>
            </w:r>
            <w:r>
              <w:br/>
              <w:t>being Lot 21 and part of Lot 22 on Plan 1178</w:t>
            </w:r>
          </w:p>
        </w:tc>
      </w:tr>
      <w:tr>
        <w:tc>
          <w:tcPr>
            <w:tcW w:w="851" w:type="dxa"/>
          </w:tcPr>
          <w:p>
            <w:pPr>
              <w:pStyle w:val="yTable"/>
            </w:pPr>
            <w:r>
              <w:t>13</w:t>
            </w:r>
          </w:p>
        </w:tc>
        <w:tc>
          <w:tcPr>
            <w:tcW w:w="6201" w:type="dxa"/>
            <w:gridSpan w:val="2"/>
          </w:tcPr>
          <w:p>
            <w:pPr>
              <w:pStyle w:val="yTable"/>
              <w:ind w:left="601" w:hanging="601"/>
            </w:pPr>
            <w:r>
              <w:t>Crown Reserve 40541, Swan Location, Lot 11162</w:t>
            </w:r>
          </w:p>
        </w:tc>
      </w:tr>
      <w:tr>
        <w:tc>
          <w:tcPr>
            <w:tcW w:w="851" w:type="dxa"/>
          </w:tcPr>
          <w:p>
            <w:pPr>
              <w:pStyle w:val="yTable"/>
            </w:pPr>
            <w:r>
              <w:t>14</w:t>
            </w:r>
          </w:p>
        </w:tc>
        <w:tc>
          <w:tcPr>
            <w:tcW w:w="6201" w:type="dxa"/>
            <w:gridSpan w:val="2"/>
          </w:tcPr>
          <w:p>
            <w:pPr>
              <w:pStyle w:val="yTable"/>
              <w:ind w:left="601" w:hanging="601"/>
            </w:pPr>
            <w:r>
              <w:t>Unnumbered Rail Reserve shown on Public Transport Authority Plan 2106 (Railway Road Reserve, Daglish)</w:t>
            </w:r>
          </w:p>
          <w:p>
            <w:pPr>
              <w:pStyle w:val="yTable"/>
              <w:ind w:left="601" w:hanging="601"/>
            </w:pPr>
            <w:r>
              <w:t>So much of the Reserve as is leased from the Public Transport Authority for the purposes of the Hospital while it is leased for that purpose.</w:t>
            </w:r>
          </w:p>
        </w:tc>
      </w:tr>
      <w:tr>
        <w:trPr>
          <w:cantSplit/>
        </w:trPr>
        <w:tc>
          <w:tcPr>
            <w:tcW w:w="7052" w:type="dxa"/>
            <w:gridSpan w:val="3"/>
          </w:tcPr>
          <w:p>
            <w:pPr>
              <w:pStyle w:val="yTable"/>
              <w:pageBreakBefore/>
              <w:spacing w:before="120" w:after="120"/>
              <w:rPr>
                <w:b/>
                <w:bCs/>
                <w:sz w:val="24"/>
                <w:u w:val="single"/>
              </w:rPr>
            </w:pPr>
            <w:r>
              <w:rPr>
                <w:b/>
                <w:bCs/>
                <w:sz w:val="24"/>
                <w:u w:val="single"/>
              </w:rPr>
              <w:br w:type="page"/>
              <w:t>Princess Margaret Hospital for Children</w:t>
            </w:r>
          </w:p>
        </w:tc>
      </w:tr>
      <w:tr>
        <w:tc>
          <w:tcPr>
            <w:tcW w:w="851" w:type="dxa"/>
          </w:tcPr>
          <w:p>
            <w:pPr>
              <w:pStyle w:val="yTable"/>
            </w:pPr>
          </w:p>
        </w:tc>
        <w:tc>
          <w:tcPr>
            <w:tcW w:w="6201" w:type="dxa"/>
            <w:gridSpan w:val="2"/>
          </w:tcPr>
          <w:p>
            <w:pPr>
              <w:pStyle w:val="yTable"/>
              <w:ind w:left="601" w:hanging="601"/>
              <w:rPr>
                <w:b/>
                <w:bCs/>
              </w:rPr>
            </w:pPr>
            <w:r>
              <w:rPr>
                <w:b/>
                <w:bCs/>
              </w:rPr>
              <w:t>Main site and surrounding car parks</w:t>
            </w:r>
          </w:p>
        </w:tc>
      </w:tr>
      <w:tr>
        <w:tc>
          <w:tcPr>
            <w:tcW w:w="851" w:type="dxa"/>
          </w:tcPr>
          <w:p>
            <w:pPr>
              <w:pStyle w:val="yTable"/>
            </w:pPr>
            <w:r>
              <w:t>1</w:t>
            </w:r>
          </w:p>
        </w:tc>
        <w:tc>
          <w:tcPr>
            <w:tcW w:w="6201" w:type="dxa"/>
            <w:gridSpan w:val="2"/>
          </w:tcPr>
          <w:p>
            <w:pPr>
              <w:pStyle w:val="yTable"/>
              <w:ind w:left="601" w:hanging="601"/>
            </w:pPr>
            <w:r>
              <w:t>Perth Lot 903 on Diagram 82676</w:t>
            </w:r>
          </w:p>
        </w:tc>
      </w:tr>
      <w:tr>
        <w:tc>
          <w:tcPr>
            <w:tcW w:w="851" w:type="dxa"/>
          </w:tcPr>
          <w:p>
            <w:pPr>
              <w:pStyle w:val="yTable"/>
            </w:pPr>
            <w:r>
              <w:t>2</w:t>
            </w:r>
          </w:p>
        </w:tc>
        <w:tc>
          <w:tcPr>
            <w:tcW w:w="6201" w:type="dxa"/>
            <w:gridSpan w:val="2"/>
          </w:tcPr>
          <w:p>
            <w:pPr>
              <w:pStyle w:val="yTable"/>
              <w:ind w:left="601" w:hanging="601"/>
            </w:pPr>
            <w:r>
              <w:t>Perth Lot 930 on Diagram 83862</w:t>
            </w:r>
          </w:p>
        </w:tc>
      </w:tr>
      <w:tr>
        <w:tc>
          <w:tcPr>
            <w:tcW w:w="851" w:type="dxa"/>
          </w:tcPr>
          <w:p>
            <w:pPr>
              <w:pStyle w:val="yTable"/>
            </w:pPr>
            <w:r>
              <w:t>3</w:t>
            </w:r>
          </w:p>
        </w:tc>
        <w:tc>
          <w:tcPr>
            <w:tcW w:w="6201" w:type="dxa"/>
            <w:gridSpan w:val="2"/>
          </w:tcPr>
          <w:p>
            <w:pPr>
              <w:pStyle w:val="yTable"/>
              <w:ind w:left="601" w:hanging="601"/>
            </w:pPr>
            <w:r>
              <w:t>Perth Lot 17 on Plan 1418</w:t>
            </w:r>
          </w:p>
        </w:tc>
      </w:tr>
      <w:tr>
        <w:tc>
          <w:tcPr>
            <w:tcW w:w="851" w:type="dxa"/>
          </w:tcPr>
          <w:p>
            <w:pPr>
              <w:pStyle w:val="yTable"/>
            </w:pPr>
            <w:r>
              <w:t>4</w:t>
            </w:r>
          </w:p>
        </w:tc>
        <w:tc>
          <w:tcPr>
            <w:tcW w:w="6201" w:type="dxa"/>
            <w:gridSpan w:val="2"/>
          </w:tcPr>
          <w:p>
            <w:pPr>
              <w:pStyle w:val="yTable"/>
              <w:ind w:left="601" w:hanging="601"/>
            </w:pPr>
            <w:r>
              <w:t>Portion of Perth Town Lots H117 and H120, being Lot 5 on Diagram 66626</w:t>
            </w:r>
          </w:p>
        </w:tc>
      </w:tr>
      <w:tr>
        <w:tc>
          <w:tcPr>
            <w:tcW w:w="851" w:type="dxa"/>
          </w:tcPr>
          <w:p>
            <w:pPr>
              <w:pStyle w:val="yTable"/>
            </w:pPr>
            <w:r>
              <w:t>5</w:t>
            </w:r>
          </w:p>
        </w:tc>
        <w:tc>
          <w:tcPr>
            <w:tcW w:w="6201" w:type="dxa"/>
            <w:gridSpan w:val="2"/>
          </w:tcPr>
          <w:p>
            <w:pPr>
              <w:pStyle w:val="yTable"/>
              <w:ind w:left="601" w:hanging="601"/>
            </w:pPr>
            <w:r>
              <w:t>Portion of Perth Town Lots H117 and H20, being Lot 47 on Plan 123</w:t>
            </w:r>
          </w:p>
        </w:tc>
      </w:tr>
      <w:tr>
        <w:tc>
          <w:tcPr>
            <w:tcW w:w="851" w:type="dxa"/>
          </w:tcPr>
          <w:p>
            <w:pPr>
              <w:pStyle w:val="yTable"/>
            </w:pPr>
            <w:r>
              <w:t>6</w:t>
            </w:r>
          </w:p>
        </w:tc>
        <w:tc>
          <w:tcPr>
            <w:tcW w:w="6201" w:type="dxa"/>
            <w:gridSpan w:val="2"/>
          </w:tcPr>
          <w:p>
            <w:pPr>
              <w:pStyle w:val="yTable"/>
              <w:ind w:left="601" w:hanging="601"/>
            </w:pPr>
            <w:r>
              <w:t>Portion of Perth Town Lots H117, H119, and H120, being Lot 46 on Plan 123</w:t>
            </w:r>
          </w:p>
        </w:tc>
      </w:tr>
      <w:tr>
        <w:tc>
          <w:tcPr>
            <w:tcW w:w="851" w:type="dxa"/>
          </w:tcPr>
          <w:p>
            <w:pPr>
              <w:pStyle w:val="yTable"/>
            </w:pPr>
            <w:r>
              <w:t>7</w:t>
            </w:r>
          </w:p>
        </w:tc>
        <w:tc>
          <w:tcPr>
            <w:tcW w:w="6201" w:type="dxa"/>
            <w:gridSpan w:val="2"/>
          </w:tcPr>
          <w:p>
            <w:pPr>
              <w:pStyle w:val="yTable"/>
              <w:ind w:left="601" w:hanging="601"/>
            </w:pPr>
            <w:r>
              <w:t>Portion of Perth Town Lots H117 and H119, being Lot 45 on Plan 123</w:t>
            </w:r>
          </w:p>
        </w:tc>
      </w:tr>
      <w:tr>
        <w:tc>
          <w:tcPr>
            <w:tcW w:w="851" w:type="dxa"/>
          </w:tcPr>
          <w:p>
            <w:pPr>
              <w:pStyle w:val="yTable"/>
            </w:pPr>
            <w:r>
              <w:t>8</w:t>
            </w:r>
          </w:p>
        </w:tc>
        <w:tc>
          <w:tcPr>
            <w:tcW w:w="6201" w:type="dxa"/>
            <w:gridSpan w:val="2"/>
          </w:tcPr>
          <w:p>
            <w:pPr>
              <w:pStyle w:val="yTable"/>
              <w:ind w:left="601" w:hanging="601"/>
            </w:pPr>
            <w:r>
              <w:t>Portion of Perth Town Lots H117 and H119, being Lot 44 and part of Part Lot 43 on Plan 123</w:t>
            </w:r>
          </w:p>
        </w:tc>
      </w:tr>
      <w:tr>
        <w:tc>
          <w:tcPr>
            <w:tcW w:w="851" w:type="dxa"/>
          </w:tcPr>
          <w:p>
            <w:pPr>
              <w:pStyle w:val="yTable"/>
            </w:pPr>
            <w:r>
              <w:t>9</w:t>
            </w:r>
          </w:p>
        </w:tc>
        <w:tc>
          <w:tcPr>
            <w:tcW w:w="6201" w:type="dxa"/>
            <w:gridSpan w:val="2"/>
          </w:tcPr>
          <w:p>
            <w:pPr>
              <w:pStyle w:val="yTable"/>
              <w:ind w:left="601" w:hanging="601"/>
            </w:pPr>
            <w:r>
              <w:t>Part Lot 43 on Plan 123</w:t>
            </w:r>
          </w:p>
        </w:tc>
      </w:tr>
      <w:tr>
        <w:tc>
          <w:tcPr>
            <w:tcW w:w="851" w:type="dxa"/>
          </w:tcPr>
          <w:p>
            <w:pPr>
              <w:pStyle w:val="yTable"/>
            </w:pPr>
            <w:r>
              <w:t>10</w:t>
            </w:r>
          </w:p>
        </w:tc>
        <w:tc>
          <w:tcPr>
            <w:tcW w:w="6201" w:type="dxa"/>
            <w:gridSpan w:val="2"/>
          </w:tcPr>
          <w:p>
            <w:pPr>
              <w:pStyle w:val="yTable"/>
              <w:ind w:left="601" w:hanging="601"/>
            </w:pPr>
            <w:r>
              <w:t>Lot 42 on Plan 123</w:t>
            </w:r>
          </w:p>
        </w:tc>
      </w:tr>
      <w:tr>
        <w:tc>
          <w:tcPr>
            <w:tcW w:w="851" w:type="dxa"/>
          </w:tcPr>
          <w:p>
            <w:pPr>
              <w:pStyle w:val="yTable"/>
            </w:pPr>
            <w:r>
              <w:t>11</w:t>
            </w:r>
          </w:p>
        </w:tc>
        <w:tc>
          <w:tcPr>
            <w:tcW w:w="6201" w:type="dxa"/>
            <w:gridSpan w:val="2"/>
          </w:tcPr>
          <w:p>
            <w:pPr>
              <w:pStyle w:val="yTable"/>
              <w:ind w:left="601" w:hanging="601"/>
            </w:pPr>
            <w:r>
              <w:t>Portion of Perth Town Lot H119, being Lot 28 on Plan 123</w:t>
            </w:r>
          </w:p>
        </w:tc>
      </w:tr>
      <w:tr>
        <w:tc>
          <w:tcPr>
            <w:tcW w:w="851" w:type="dxa"/>
          </w:tcPr>
          <w:p>
            <w:pPr>
              <w:pStyle w:val="yTable"/>
            </w:pPr>
            <w:r>
              <w:t>12</w:t>
            </w:r>
          </w:p>
        </w:tc>
        <w:tc>
          <w:tcPr>
            <w:tcW w:w="6201" w:type="dxa"/>
            <w:gridSpan w:val="2"/>
          </w:tcPr>
          <w:p>
            <w:pPr>
              <w:pStyle w:val="yTable"/>
              <w:ind w:left="601" w:hanging="601"/>
            </w:pPr>
            <w:r>
              <w:t>Portion of Perth Town Lot H119, being Lot 29 on Plan 123</w:t>
            </w:r>
          </w:p>
        </w:tc>
      </w:tr>
      <w:tr>
        <w:tc>
          <w:tcPr>
            <w:tcW w:w="851" w:type="dxa"/>
          </w:tcPr>
          <w:p>
            <w:pPr>
              <w:pStyle w:val="yTable"/>
            </w:pPr>
            <w:r>
              <w:t>13</w:t>
            </w:r>
          </w:p>
        </w:tc>
        <w:tc>
          <w:tcPr>
            <w:tcW w:w="6201" w:type="dxa"/>
            <w:gridSpan w:val="2"/>
          </w:tcPr>
          <w:p>
            <w:pPr>
              <w:pStyle w:val="yTable"/>
              <w:ind w:left="601" w:hanging="601"/>
            </w:pPr>
            <w:r>
              <w:t>Portion of Perth Town Lot H119, being Lot 1 on Diagram 20062</w:t>
            </w:r>
          </w:p>
        </w:tc>
      </w:tr>
      <w:tr>
        <w:tc>
          <w:tcPr>
            <w:tcW w:w="851" w:type="dxa"/>
          </w:tcPr>
          <w:p>
            <w:pPr>
              <w:pStyle w:val="yTable"/>
            </w:pPr>
            <w:r>
              <w:t>14</w:t>
            </w:r>
          </w:p>
        </w:tc>
        <w:tc>
          <w:tcPr>
            <w:tcW w:w="6201" w:type="dxa"/>
            <w:gridSpan w:val="2"/>
          </w:tcPr>
          <w:p>
            <w:pPr>
              <w:pStyle w:val="yTable"/>
              <w:ind w:left="601" w:hanging="601"/>
            </w:pPr>
            <w:r>
              <w:t>Portion of Perth Town Lot H119, being Lot 2 on Diagram 20062</w:t>
            </w:r>
          </w:p>
        </w:tc>
      </w:tr>
      <w:tr>
        <w:tc>
          <w:tcPr>
            <w:tcW w:w="851" w:type="dxa"/>
          </w:tcPr>
          <w:p>
            <w:pPr>
              <w:pStyle w:val="yTable"/>
            </w:pPr>
          </w:p>
        </w:tc>
        <w:tc>
          <w:tcPr>
            <w:tcW w:w="6201" w:type="dxa"/>
            <w:gridSpan w:val="2"/>
          </w:tcPr>
          <w:p>
            <w:pPr>
              <w:pStyle w:val="yTable"/>
              <w:ind w:left="601" w:hanging="601"/>
              <w:rPr>
                <w:b/>
                <w:bCs/>
              </w:rPr>
            </w:pPr>
            <w:r>
              <w:rPr>
                <w:b/>
                <w:bCs/>
              </w:rPr>
              <w:t xml:space="preserve">Other sites </w:t>
            </w:r>
          </w:p>
        </w:tc>
      </w:tr>
      <w:tr>
        <w:tc>
          <w:tcPr>
            <w:tcW w:w="851" w:type="dxa"/>
          </w:tcPr>
          <w:p>
            <w:pPr>
              <w:pStyle w:val="yTable"/>
              <w:rPr>
                <w:i/>
                <w:iCs/>
              </w:rPr>
            </w:pPr>
            <w:r>
              <w:rPr>
                <w:i/>
                <w:iCs/>
              </w:rPr>
              <w:t>[15</w:t>
            </w:r>
          </w:p>
        </w:tc>
        <w:tc>
          <w:tcPr>
            <w:tcW w:w="6201" w:type="dxa"/>
            <w:gridSpan w:val="2"/>
          </w:tcPr>
          <w:p>
            <w:pPr>
              <w:pStyle w:val="yTable"/>
              <w:ind w:left="601" w:hanging="601"/>
              <w:rPr>
                <w:i/>
                <w:iCs/>
              </w:rPr>
            </w:pPr>
            <w:r>
              <w:rPr>
                <w:i/>
                <w:iCs/>
              </w:rPr>
              <w:t>deleted]</w:t>
            </w:r>
          </w:p>
        </w:tc>
      </w:tr>
      <w:tr>
        <w:tc>
          <w:tcPr>
            <w:tcW w:w="851" w:type="dxa"/>
          </w:tcPr>
          <w:p>
            <w:pPr>
              <w:pStyle w:val="yTable"/>
              <w:pageBreakBefore/>
            </w:pPr>
            <w:r>
              <w:t>16</w:t>
            </w:r>
          </w:p>
        </w:tc>
        <w:tc>
          <w:tcPr>
            <w:tcW w:w="6201" w:type="dxa"/>
            <w:gridSpan w:val="2"/>
          </w:tcPr>
          <w:p>
            <w:pPr>
              <w:pStyle w:val="yTable"/>
              <w:pageBreakBefore/>
              <w:ind w:left="601" w:hanging="601"/>
            </w:pPr>
            <w:r>
              <w:t>Certificate of Title Volume 483 Folio 133 being portion of Perth Town Lot H117 and being Lot 53 and part of Lot 56 on Plan 123 (36</w:t>
            </w:r>
            <w:r>
              <w:noBreakHyphen/>
              <w:t>38 Hay Street, Subiaco)</w:t>
            </w:r>
          </w:p>
          <w:p>
            <w:pPr>
              <w:pStyle w:val="yTable"/>
              <w:rPr>
                <w:highlight w:val="yellow"/>
              </w:rPr>
            </w:pPr>
            <w:r>
              <w:t xml:space="preserve">while it is leased for the purposes of the Hospital </w:t>
            </w:r>
          </w:p>
        </w:tc>
      </w:tr>
      <w:tr>
        <w:tc>
          <w:tcPr>
            <w:tcW w:w="851" w:type="dxa"/>
          </w:tcPr>
          <w:p>
            <w:pPr>
              <w:pStyle w:val="yTable"/>
            </w:pPr>
            <w:r>
              <w:t>17</w:t>
            </w:r>
          </w:p>
        </w:tc>
        <w:tc>
          <w:tcPr>
            <w:tcW w:w="6201" w:type="dxa"/>
            <w:gridSpan w:val="2"/>
          </w:tcPr>
          <w:p>
            <w:pPr>
              <w:pStyle w:val="yTable"/>
              <w:ind w:left="601" w:hanging="601"/>
            </w:pPr>
            <w:r>
              <w:t>Certificate of Title Volume 1401 Folio 380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18</w:t>
            </w:r>
          </w:p>
        </w:tc>
        <w:tc>
          <w:tcPr>
            <w:tcW w:w="6201" w:type="dxa"/>
            <w:gridSpan w:val="2"/>
          </w:tcPr>
          <w:p>
            <w:pPr>
              <w:pStyle w:val="yTable"/>
              <w:ind w:left="601" w:hanging="601"/>
            </w:pPr>
            <w:r>
              <w:t>Certificate of Title Volume 1409 Folio 836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19</w:t>
            </w:r>
          </w:p>
        </w:tc>
        <w:tc>
          <w:tcPr>
            <w:tcW w:w="6201" w:type="dxa"/>
            <w:gridSpan w:val="2"/>
          </w:tcPr>
          <w:p>
            <w:pPr>
              <w:pStyle w:val="yTable"/>
              <w:ind w:left="601" w:hanging="601"/>
            </w:pPr>
            <w:r>
              <w:t>Certificate of Title Volume 1409 Folio 835 being portion of Perth Town Lot H116 and being part of the land on Diagram 3964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20</w:t>
            </w:r>
          </w:p>
        </w:tc>
        <w:tc>
          <w:tcPr>
            <w:tcW w:w="6201" w:type="dxa"/>
            <w:gridSpan w:val="2"/>
          </w:tcPr>
          <w:p>
            <w:pPr>
              <w:pStyle w:val="yTable"/>
              <w:ind w:left="601" w:hanging="601"/>
            </w:pPr>
            <w:r>
              <w:t>Certificate of Title Volume 2134 Folio 980 being Lot 200 on Deposited Plan 31327 (80 Hay Street, Subiaco)</w:t>
            </w:r>
          </w:p>
          <w:p>
            <w:pPr>
              <w:pStyle w:val="yTable"/>
              <w:spacing w:before="0"/>
            </w:pPr>
            <w:r>
              <w:t>while it is leased for the purposes of the Hospital</w:t>
            </w:r>
          </w:p>
        </w:tc>
      </w:tr>
      <w:tr>
        <w:tc>
          <w:tcPr>
            <w:tcW w:w="851" w:type="dxa"/>
          </w:tcPr>
          <w:p>
            <w:pPr>
              <w:pStyle w:val="yTable"/>
            </w:pPr>
            <w:r>
              <w:t>21</w:t>
            </w:r>
          </w:p>
        </w:tc>
        <w:tc>
          <w:tcPr>
            <w:tcW w:w="6201" w:type="dxa"/>
            <w:gridSpan w:val="2"/>
          </w:tcPr>
          <w:p>
            <w:pPr>
              <w:pStyle w:val="yTable"/>
              <w:ind w:left="601" w:hanging="601"/>
            </w:pPr>
            <w:r>
              <w:t>Certificate of Title Volume 2134 Folio 981 being Lot 201 on Deposited Plan 31327 (82 Hay Street, Subiaco)</w:t>
            </w:r>
          </w:p>
          <w:p>
            <w:pPr>
              <w:pStyle w:val="yTable"/>
              <w:spacing w:before="0"/>
            </w:pPr>
            <w:r>
              <w:t>while it is leased for the purposes of the Hospital</w:t>
            </w:r>
          </w:p>
        </w:tc>
      </w:tr>
      <w:tr>
        <w:tc>
          <w:tcPr>
            <w:tcW w:w="851" w:type="dxa"/>
          </w:tcPr>
          <w:p>
            <w:pPr>
              <w:pStyle w:val="yTable"/>
            </w:pPr>
            <w:r>
              <w:t>22</w:t>
            </w:r>
          </w:p>
        </w:tc>
        <w:tc>
          <w:tcPr>
            <w:tcW w:w="6201" w:type="dxa"/>
            <w:gridSpan w:val="2"/>
          </w:tcPr>
          <w:p>
            <w:pPr>
              <w:pStyle w:val="yTable"/>
              <w:ind w:left="601" w:hanging="601"/>
            </w:pPr>
            <w:r>
              <w:t>Certificate of Title Volume 2543 Folio 897 being Lot 3 on Strata Plan 44045 (Level 1, 110 Hay St, Subiaco)</w:t>
            </w:r>
          </w:p>
          <w:p>
            <w:pPr>
              <w:pStyle w:val="yTable"/>
              <w:spacing w:before="0"/>
              <w:rPr>
                <w:highlight w:val="yellow"/>
              </w:rPr>
            </w:pPr>
            <w:r>
              <w:t>So much of the premises as is leased for the purposes of the Hospital, while it is leased for that purpose</w:t>
            </w:r>
          </w:p>
        </w:tc>
      </w:tr>
      <w:tr>
        <w:trPr>
          <w:cantSplit/>
        </w:trPr>
        <w:tc>
          <w:tcPr>
            <w:tcW w:w="7052" w:type="dxa"/>
            <w:gridSpan w:val="3"/>
          </w:tcPr>
          <w:p>
            <w:pPr>
              <w:pStyle w:val="yTable"/>
              <w:pageBreakBefore/>
              <w:spacing w:before="120" w:after="120"/>
              <w:rPr>
                <w:b/>
                <w:bCs/>
                <w:sz w:val="24"/>
                <w:u w:val="single"/>
              </w:rPr>
            </w:pPr>
            <w:r>
              <w:rPr>
                <w:b/>
                <w:bCs/>
                <w:sz w:val="24"/>
                <w:u w:val="single"/>
              </w:rPr>
              <w:t>State Child Development Centre</w:t>
            </w:r>
          </w:p>
        </w:tc>
      </w:tr>
      <w:tr>
        <w:tc>
          <w:tcPr>
            <w:tcW w:w="1134" w:type="dxa"/>
            <w:gridSpan w:val="2"/>
          </w:tcPr>
          <w:p>
            <w:pPr>
              <w:pStyle w:val="yTable"/>
            </w:pPr>
          </w:p>
        </w:tc>
        <w:tc>
          <w:tcPr>
            <w:tcW w:w="5918" w:type="dxa"/>
          </w:tcPr>
          <w:p>
            <w:pPr>
              <w:pStyle w:val="yTable"/>
            </w:pPr>
            <w:r>
              <w:t>Crown Reserve 33853. Lot 890</w:t>
            </w:r>
          </w:p>
        </w:tc>
      </w:tr>
      <w:tr>
        <w:trPr>
          <w:cantSplit/>
        </w:trPr>
        <w:tc>
          <w:tcPr>
            <w:tcW w:w="7052" w:type="dxa"/>
            <w:gridSpan w:val="3"/>
          </w:tcPr>
          <w:p>
            <w:pPr>
              <w:pStyle w:val="yTable"/>
              <w:spacing w:before="120" w:after="120"/>
              <w:rPr>
                <w:b/>
                <w:bCs/>
                <w:sz w:val="24"/>
                <w:u w:val="single"/>
              </w:rPr>
            </w:pPr>
          </w:p>
        </w:tc>
      </w:tr>
      <w:tr>
        <w:trPr>
          <w:cantSplit/>
        </w:trPr>
        <w:tc>
          <w:tcPr>
            <w:tcW w:w="7052" w:type="dxa"/>
            <w:gridSpan w:val="3"/>
          </w:tcPr>
          <w:p>
            <w:pPr>
              <w:pStyle w:val="yTable"/>
              <w:spacing w:before="120" w:after="120"/>
              <w:rPr>
                <w:b/>
                <w:bCs/>
                <w:sz w:val="24"/>
                <w:u w:val="single"/>
              </w:rPr>
            </w:pPr>
            <w:r>
              <w:rPr>
                <w:b/>
                <w:bCs/>
                <w:sz w:val="24"/>
                <w:u w:val="single"/>
              </w:rPr>
              <w:t>Stubbs Terrace Hospital</w:t>
            </w:r>
          </w:p>
        </w:tc>
      </w:tr>
      <w:tr>
        <w:tc>
          <w:tcPr>
            <w:tcW w:w="1134" w:type="dxa"/>
            <w:gridSpan w:val="2"/>
          </w:tcPr>
          <w:p>
            <w:pPr>
              <w:pStyle w:val="yTable"/>
            </w:pPr>
          </w:p>
        </w:tc>
        <w:tc>
          <w:tcPr>
            <w:tcW w:w="5918" w:type="dxa"/>
          </w:tcPr>
          <w:p>
            <w:pPr>
              <w:pStyle w:val="yTable"/>
              <w:ind w:left="601" w:hanging="601"/>
              <w:rPr>
                <w:b/>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w:t>
      </w:r>
    </w:p>
    <w:p>
      <w:pPr>
        <w:pStyle w:val="yScheduleHeading"/>
      </w:pPr>
      <w:bookmarkStart w:id="273" w:name="_Toc154283279"/>
      <w:bookmarkStart w:id="274" w:name="_Toc205784698"/>
      <w:bookmarkStart w:id="275" w:name="_Toc205784738"/>
      <w:bookmarkStart w:id="276" w:name="_Toc230748008"/>
      <w:bookmarkStart w:id="277" w:name="_Toc533572168"/>
      <w:r>
        <w:rPr>
          <w:rStyle w:val="CharSchNo"/>
        </w:rPr>
        <w:t>Schedule 2</w:t>
      </w:r>
      <w:r>
        <w:t> — </w:t>
      </w:r>
      <w:r>
        <w:rPr>
          <w:rStyle w:val="CharSchText"/>
        </w:rPr>
        <w:t>Infringement notices and modified penalties</w:t>
      </w:r>
      <w:bookmarkEnd w:id="273"/>
      <w:bookmarkEnd w:id="274"/>
      <w:bookmarkEnd w:id="275"/>
      <w:bookmarkEnd w:id="276"/>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rPr>
                <w:b/>
              </w:rPr>
            </w:pPr>
            <w:r>
              <w:rPr>
                <w:b/>
              </w:rPr>
              <w:t xml:space="preserve">        ($)</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Disobeying an authorised person’s reasonable direction</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8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10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15(1)(b)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15(1)(e) and (3)</w:t>
            </w:r>
          </w:p>
        </w:tc>
        <w:tc>
          <w:tcPr>
            <w:tcW w:w="5103" w:type="dxa"/>
          </w:tcPr>
          <w:p>
            <w:pPr>
              <w:pStyle w:val="yTable"/>
              <w:ind w:right="-142"/>
            </w:pPr>
            <w:r>
              <w:t>Displaying a visitor’s ticket in a manner other than that specified in a sign ........................................................</w:t>
            </w:r>
          </w:p>
        </w:tc>
        <w:tc>
          <w:tcPr>
            <w:tcW w:w="1134" w:type="dxa"/>
          </w:tcPr>
          <w:p>
            <w:pPr>
              <w:pStyle w:val="yTable"/>
              <w:jc w:val="center"/>
            </w:pPr>
            <w:r>
              <w:br/>
              <w:t>10</w:t>
            </w:r>
          </w:p>
        </w:tc>
      </w:tr>
      <w:tr>
        <w:trPr>
          <w:cantSplit/>
        </w:trPr>
        <w:tc>
          <w:tcPr>
            <w:tcW w:w="851" w:type="dxa"/>
          </w:tcPr>
          <w:p>
            <w:pPr>
              <w:pStyle w:val="yTable"/>
              <w:ind w:left="-142" w:right="-142"/>
            </w:pPr>
            <w:r>
              <w:t>15(1)(e) and (3)</w:t>
            </w:r>
          </w:p>
        </w:tc>
        <w:tc>
          <w:tcPr>
            <w:tcW w:w="5103" w:type="dxa"/>
          </w:tcPr>
          <w:p>
            <w:pPr>
              <w:pStyle w:val="yTable"/>
              <w:ind w:right="-142"/>
            </w:pPr>
            <w:r>
              <w:t>Failing to display a visitor’s ticket,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34" w:type="dxa"/>
          </w:tcPr>
          <w:p>
            <w:pPr>
              <w:pStyle w:val="yTable"/>
              <w:jc w:val="center"/>
            </w:pPr>
            <w:r>
              <w:br/>
            </w:r>
            <w:r>
              <w:br/>
            </w:r>
            <w:r>
              <w:br/>
              <w:t>40</w:t>
            </w:r>
          </w:p>
        </w:tc>
      </w:tr>
      <w:tr>
        <w:trPr>
          <w:cantSplit/>
        </w:trPr>
        <w:tc>
          <w:tcPr>
            <w:tcW w:w="851" w:type="dxa"/>
          </w:tcPr>
          <w:p>
            <w:pPr>
              <w:pStyle w:val="yTable"/>
              <w:ind w:left="-142" w:right="-142"/>
            </w:pPr>
            <w:r>
              <w:t>16</w:t>
            </w:r>
          </w:p>
        </w:tc>
        <w:tc>
          <w:tcPr>
            <w:tcW w:w="5103" w:type="dxa"/>
          </w:tcPr>
          <w:p>
            <w:pPr>
              <w:pStyle w:val="yTable"/>
              <w:ind w:right="-142"/>
            </w:pPr>
            <w:r>
              <w:t>Unlawfully parking in a permit parking area ...............</w:t>
            </w:r>
          </w:p>
        </w:tc>
        <w:tc>
          <w:tcPr>
            <w:tcW w:w="1134" w:type="dxa"/>
          </w:tcPr>
          <w:p>
            <w:pPr>
              <w:pStyle w:val="yTable"/>
              <w:jc w:val="center"/>
            </w:pPr>
            <w: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rPr>
                <w:lang w:val="en-US"/>
              </w:rPr>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pStyle w:val="yFootnotesection"/>
      </w:pPr>
      <w:r>
        <w:tab/>
        <w:t>[Schedule 2 amended in Gazette 22 May 2009 p. 1699-700.]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78" w:name="_Toc154283280"/>
      <w:bookmarkEnd w:id="277"/>
    </w:p>
    <w:p>
      <w:pPr>
        <w:pStyle w:val="yScheduleHeading"/>
      </w:pPr>
      <w:bookmarkStart w:id="279" w:name="_Toc205784699"/>
      <w:bookmarkStart w:id="280" w:name="_Toc205784739"/>
      <w:bookmarkStart w:id="281" w:name="_Toc230748009"/>
      <w:r>
        <w:rPr>
          <w:rStyle w:val="CharSchNo"/>
        </w:rPr>
        <w:t>Schedule 3</w:t>
      </w:r>
      <w:r>
        <w:t> — </w:t>
      </w:r>
      <w:r>
        <w:rPr>
          <w:rStyle w:val="CharSchText"/>
        </w:rPr>
        <w:t>Forms</w:t>
      </w:r>
      <w:bookmarkEnd w:id="278"/>
      <w:bookmarkEnd w:id="279"/>
      <w:bookmarkEnd w:id="280"/>
      <w:bookmarkEnd w:id="281"/>
    </w:p>
    <w:p>
      <w:pPr>
        <w:pStyle w:val="yShoulderClause"/>
      </w:pPr>
      <w:r>
        <w:t>[bl. 18 and 19]</w:t>
      </w:r>
    </w:p>
    <w:p>
      <w:pPr>
        <w:pStyle w:val="yHeading5"/>
        <w:spacing w:before="120" w:after="120"/>
        <w:outlineLvl w:val="9"/>
      </w:pPr>
      <w:bookmarkStart w:id="282" w:name="_Toc154283281"/>
      <w:bookmarkStart w:id="283" w:name="_Toc230748010"/>
      <w:r>
        <w:rPr>
          <w:rStyle w:val="CharSClsNo"/>
        </w:rPr>
        <w:t>1</w:t>
      </w:r>
      <w:r>
        <w:t>.</w:t>
      </w:r>
      <w:r>
        <w:tab/>
        <w:t>Form 1: Infringement Notice (by</w:t>
      </w:r>
      <w:r>
        <w:noBreakHyphen/>
        <w:t>law 18)</w:t>
      </w:r>
      <w:bookmarkEnd w:id="282"/>
      <w:bookmarkEnd w:id="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w:t>
            </w:r>
          </w:p>
        </w:tc>
        <w:tc>
          <w:tcPr>
            <w:tcW w:w="5812" w:type="dxa"/>
            <w:gridSpan w:val="3"/>
          </w:tcPr>
          <w:p>
            <w:pPr>
              <w:pStyle w:val="yTable"/>
              <w:tabs>
                <w:tab w:val="left" w:pos="459"/>
              </w:tabs>
              <w:spacing w:before="0"/>
              <w:rPr>
                <w:sz w:val="20"/>
              </w:rPr>
            </w:pPr>
            <w:r>
              <w:rPr>
                <w:rFonts w:ascii="MS Mincho" w:eastAsia="MS Mincho" w:hAnsi="MS Mincho" w:hint="eastAsia"/>
                <w:sz w:val="20"/>
              </w:rPr>
              <w:t>❑</w:t>
            </w:r>
            <w:r>
              <w:rPr>
                <w:sz w:val="20"/>
              </w:rPr>
              <w:tab/>
              <w:t>King Edward Memorial Hospital for Women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Women’s and Children’s Health Service </w:t>
            </w:r>
          </w:p>
          <w:p>
            <w:pPr>
              <w:pStyle w:val="yTable"/>
              <w:tabs>
                <w:tab w:val="left" w:pos="459"/>
              </w:tabs>
              <w:spacing w:before="0"/>
              <w:ind w:left="1310"/>
              <w:rPr>
                <w:sz w:val="20"/>
              </w:rPr>
            </w:pPr>
            <w:r>
              <w:rPr>
                <w:sz w:val="20"/>
              </w:rPr>
              <w:t>PO Box 134, Subiaco, WA 6904</w:t>
            </w:r>
          </w:p>
          <w:p>
            <w:pPr>
              <w:pStyle w:val="yTable"/>
              <w:spacing w:before="0"/>
              <w:ind w:left="1026" w:hanging="1026"/>
              <w:rPr>
                <w:sz w:val="20"/>
              </w:rPr>
            </w:pPr>
            <w:r>
              <w:rPr>
                <w:sz w:val="20"/>
              </w:rPr>
              <w:t>In person:</w:t>
            </w:r>
            <w:r>
              <w:rPr>
                <w:sz w:val="20"/>
              </w:rPr>
              <w:tab/>
              <w:t xml:space="preserve">Pay the cashier at King Edward Memorial Hospital for Women or Princess Margaret Hospital for Children.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 xml:space="preserve">then send it to the Chief Executive Officer of the Women’s and Children’s Health Service, PO Box 134 Subiaco, WA 6904. </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spacing w:before="120" w:after="120"/>
        <w:outlineLvl w:val="9"/>
      </w:pPr>
      <w:bookmarkStart w:id="284" w:name="_Toc154283282"/>
      <w:bookmarkStart w:id="285" w:name="_Toc230748011"/>
      <w:r>
        <w:rPr>
          <w:rStyle w:val="CharSClsNo"/>
        </w:rPr>
        <w:t>2</w:t>
      </w:r>
      <w:r>
        <w:t>.</w:t>
      </w:r>
      <w:r>
        <w:tab/>
        <w:t>Form 2: Withdrawal of Infringement Notice (by</w:t>
      </w:r>
      <w:r>
        <w:noBreakHyphen/>
        <w:t>law 19)</w:t>
      </w:r>
      <w:bookmarkEnd w:id="284"/>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bCs/>
                <w:sz w:val="20"/>
              </w:rPr>
            </w:pPr>
            <w:r>
              <w:rPr>
                <w:b/>
                <w:bCs/>
                <w:sz w:val="20"/>
              </w:rPr>
              <w:t>To</w:t>
            </w:r>
          </w:p>
          <w:p>
            <w:pPr>
              <w:pStyle w:val="yTable"/>
              <w:spacing w:before="0"/>
              <w:rPr>
                <w:i/>
                <w:iCs/>
                <w:sz w:val="14"/>
              </w:rPr>
            </w:pPr>
            <w:r>
              <w:rPr>
                <w:i/>
                <w:iCs/>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tcPr>
          <w:p>
            <w:pPr>
              <w:pStyle w:val="yTable"/>
              <w:tabs>
                <w:tab w:val="left" w:pos="743"/>
              </w:tabs>
              <w:spacing w:before="0"/>
              <w:rPr>
                <w:sz w:val="20"/>
              </w:rPr>
            </w:pPr>
            <w:r>
              <w:rPr>
                <w:sz w:val="20"/>
              </w:rPr>
              <w:t xml:space="preserve">Address </w:t>
            </w:r>
            <w:r>
              <w:rPr>
                <w:sz w:val="20"/>
              </w:rPr>
              <w:tab/>
              <w:t>.………………………………………………………………</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Issued at — </w:t>
            </w:r>
            <w:r>
              <w:rPr>
                <w:rFonts w:ascii="MS Mincho" w:eastAsia="MS Mincho" w:hAnsi="MS Mincho" w:hint="eastAsia"/>
                <w:sz w:val="20"/>
              </w:rPr>
              <w:t>❑</w:t>
            </w:r>
            <w:r>
              <w:rPr>
                <w:sz w:val="20"/>
              </w:rPr>
              <w:tab/>
              <w:t>King Edward Memorial Hospital for Women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bCs/>
                <w:sz w:val="20"/>
              </w:rPr>
            </w:pPr>
            <w:r>
              <w:rPr>
                <w:b/>
                <w:sz w:val="20"/>
              </w:rPr>
              <w:t>The Infringement Notice has been withdrawn.</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cashier at King Edward Memorial Hospital for Women or Princess Margaret Hospital for Children</w:t>
            </w:r>
            <w:r>
              <w:rPr>
                <w:snapToGrid w:val="0"/>
                <w:sz w:val="20"/>
              </w:rPr>
              <w:t xml:space="preserve"> 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86" w:name="_Toc94669520"/>
      <w:bookmarkStart w:id="287" w:name="_Toc94923033"/>
      <w:bookmarkStart w:id="288" w:name="_Toc95556594"/>
      <w:bookmarkStart w:id="289" w:name="_Toc95556640"/>
      <w:bookmarkStart w:id="290" w:name="_Toc154283283"/>
      <w:bookmarkStart w:id="291" w:name="_Toc205784702"/>
      <w:bookmarkStart w:id="292" w:name="_Toc205784742"/>
      <w:bookmarkStart w:id="293" w:name="_Toc230748012"/>
      <w:r>
        <w:t>Notes</w:t>
      </w:r>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w:t>
      </w:r>
    </w:p>
    <w:p>
      <w:pPr>
        <w:pStyle w:val="nHeading3"/>
      </w:pPr>
      <w:bookmarkStart w:id="294" w:name="_Toc70311430"/>
      <w:bookmarkStart w:id="295" w:name="_Toc154283284"/>
      <w:bookmarkStart w:id="296" w:name="_Toc230748013"/>
      <w:r>
        <w:t>Compilation table</w:t>
      </w:r>
      <w:bookmarkEnd w:id="294"/>
      <w:bookmarkEnd w:id="295"/>
      <w:bookmarkEnd w:id="2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rPr>
                <w:sz w:val="19"/>
              </w:rPr>
            </w:pPr>
            <w:r>
              <w:rPr>
                <w:sz w:val="19"/>
              </w:rPr>
              <w:t>28 Jan 2005 p. 481</w:t>
            </w:r>
            <w:r>
              <w:rPr>
                <w:sz w:val="19"/>
              </w:rPr>
              <w:noBreakHyphen/>
              <w:t>504</w:t>
            </w:r>
          </w:p>
        </w:tc>
        <w:tc>
          <w:tcPr>
            <w:tcW w:w="2693" w:type="dxa"/>
            <w:tcBorders>
              <w:top w:val="single" w:sz="8" w:space="0" w:color="auto"/>
            </w:tcBorders>
          </w:tcPr>
          <w:p>
            <w:pPr>
              <w:pStyle w:val="nTable"/>
              <w:rPr>
                <w:sz w:val="19"/>
              </w:rPr>
            </w:pPr>
            <w:r>
              <w:rPr>
                <w:sz w:val="19"/>
              </w:rPr>
              <w:t>28 Jan 2005</w:t>
            </w:r>
          </w:p>
        </w:tc>
      </w:tr>
      <w:tr>
        <w:tc>
          <w:tcPr>
            <w:tcW w:w="3118" w:type="dxa"/>
          </w:tcPr>
          <w:p>
            <w:pPr>
              <w:pStyle w:val="nTable"/>
              <w:rPr>
                <w:i/>
                <w:noProof/>
                <w:snapToGrid w:val="0"/>
                <w:sz w:val="19"/>
              </w:rPr>
            </w:pPr>
            <w:r>
              <w:rPr>
                <w:i/>
                <w:noProof/>
                <w:snapToGrid w:val="0"/>
                <w:sz w:val="19"/>
              </w:rPr>
              <w:t>Women’s and Children’s Hospitals Amendment By-laws 2006</w:t>
            </w:r>
          </w:p>
        </w:tc>
        <w:tc>
          <w:tcPr>
            <w:tcW w:w="1276" w:type="dxa"/>
          </w:tcPr>
          <w:p>
            <w:pPr>
              <w:pStyle w:val="nTable"/>
              <w:rPr>
                <w:sz w:val="19"/>
              </w:rPr>
            </w:pPr>
            <w:r>
              <w:rPr>
                <w:sz w:val="19"/>
              </w:rPr>
              <w:t>19 Dec 2006 p. 5681-3</w:t>
            </w:r>
          </w:p>
        </w:tc>
        <w:tc>
          <w:tcPr>
            <w:tcW w:w="2693" w:type="dxa"/>
          </w:tcPr>
          <w:p>
            <w:pPr>
              <w:pStyle w:val="nTable"/>
              <w:rPr>
                <w:sz w:val="19"/>
              </w:rPr>
            </w:pPr>
            <w:r>
              <w:rPr>
                <w:sz w:val="19"/>
              </w:rPr>
              <w:t>19 Dec 2006</w:t>
            </w:r>
          </w:p>
        </w:tc>
      </w:tr>
      <w:tr>
        <w:tc>
          <w:tcPr>
            <w:tcW w:w="3118" w:type="dxa"/>
            <w:tcBorders>
              <w:bottom w:val="single" w:sz="4" w:space="0" w:color="auto"/>
            </w:tcBorders>
          </w:tcPr>
          <w:p>
            <w:pPr>
              <w:pStyle w:val="nTable"/>
              <w:rPr>
                <w:i/>
                <w:noProof/>
                <w:snapToGrid w:val="0"/>
                <w:sz w:val="19"/>
              </w:rPr>
            </w:pPr>
            <w:r>
              <w:rPr>
                <w:i/>
                <w:noProof/>
                <w:snapToGrid w:val="0"/>
                <w:sz w:val="19"/>
              </w:rPr>
              <w:t>Women’s and Children’s Hospitals Amendment By-laws 2009</w:t>
            </w:r>
          </w:p>
        </w:tc>
        <w:tc>
          <w:tcPr>
            <w:tcW w:w="1276" w:type="dxa"/>
            <w:tcBorders>
              <w:bottom w:val="single" w:sz="4" w:space="0" w:color="auto"/>
            </w:tcBorders>
          </w:tcPr>
          <w:p>
            <w:pPr>
              <w:pStyle w:val="nTable"/>
              <w:rPr>
                <w:sz w:val="19"/>
              </w:rPr>
            </w:pPr>
            <w:r>
              <w:rPr>
                <w:sz w:val="19"/>
              </w:rPr>
              <w:t>22 May 2009 p. 1695-700</w:t>
            </w:r>
          </w:p>
        </w:tc>
        <w:tc>
          <w:tcPr>
            <w:tcW w:w="2693" w:type="dxa"/>
            <w:tcBorders>
              <w:bottom w:val="single" w:sz="4" w:space="0" w:color="auto"/>
            </w:tcBorders>
          </w:tcPr>
          <w:p>
            <w:pPr>
              <w:pStyle w:val="nTable"/>
              <w:rPr>
                <w:sz w:val="19"/>
              </w:rPr>
            </w:pPr>
            <w:r>
              <w:rPr>
                <w:sz w:val="19"/>
              </w:rPr>
              <w:t>bl. 1 and 2: 22 May 2009 (see </w:t>
            </w:r>
            <w:bookmarkStart w:id="297" w:name="UpToHere"/>
            <w:bookmarkEnd w:id="297"/>
            <w:r>
              <w:rPr>
                <w:sz w:val="19"/>
              </w:rPr>
              <w:t>bl. 2(a));</w:t>
            </w:r>
            <w:r>
              <w:rPr>
                <w:sz w:val="19"/>
              </w:rPr>
              <w:br/>
              <w:t>By-laws other than bl. 1 and 2: 23 May 2009 (see bl. 2(b))</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Women’s and Children’s Hospitals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4D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4AB0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EC3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1E69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941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F90E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B676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B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501C48"/>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E7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3D6A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1E4527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06"/>
    <w:docVar w:name="WAFER_20151216150206" w:val="RemoveTrackChanges"/>
    <w:docVar w:name="WAFER_20151216150206_GUID" w:val="f3025beb-c4de-468e-ab53-52638344c8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5553</Words>
  <Characters>26322</Characters>
  <Application>Microsoft Office Word</Application>
  <DocSecurity>0</DocSecurity>
  <Lines>907</Lines>
  <Paragraphs>650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vector>
  </TitlesOfParts>
  <Manager/>
  <Company/>
  <LinksUpToDate>false</LinksUpToDate>
  <CharactersWithSpaces>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2005 - 00-c0-03</dc:title>
  <dc:subject/>
  <dc:creator/>
  <cp:keywords/>
  <dc:description/>
  <cp:lastModifiedBy>svcMRProcess</cp:lastModifiedBy>
  <cp:revision>4</cp:revision>
  <cp:lastPrinted>2005-01-21T03:54:00Z</cp:lastPrinted>
  <dcterms:created xsi:type="dcterms:W3CDTF">2018-09-17T01:04:00Z</dcterms:created>
  <dcterms:modified xsi:type="dcterms:W3CDTF">2018-09-17T01:04:00Z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20090523</vt:lpwstr>
  </property>
  <property fmtid="{D5CDD505-2E9C-101B-9397-08002B2CF9AE}" pid="4" name="DocumentType">
    <vt:lpwstr>Reg</vt:lpwstr>
  </property>
  <property fmtid="{D5CDD505-2E9C-101B-9397-08002B2CF9AE}" pid="5" name="OwlsUID">
    <vt:i4>37127</vt:i4>
  </property>
  <property fmtid="{D5CDD505-2E9C-101B-9397-08002B2CF9AE}" pid="6" name="AsAtDate">
    <vt:lpwstr>23 May 2009</vt:lpwstr>
  </property>
  <property fmtid="{D5CDD505-2E9C-101B-9397-08002B2CF9AE}" pid="7" name="Suffix">
    <vt:lpwstr>00-c0-03</vt:lpwstr>
  </property>
</Properties>
</file>