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Charitable Collections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Regulations</w:t>
      </w:r>
      <w:r>
        <w:tab/>
      </w:r>
      <w:r>
        <w:fldChar w:fldCharType="begin"/>
      </w:r>
      <w:r>
        <w:instrText xml:space="preserve"> PAGEREF _Toc437386088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_Toc437386089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Form of application for licence</w:t>
      </w:r>
      <w:r>
        <w:tab/>
      </w:r>
      <w:r>
        <w:fldChar w:fldCharType="begin"/>
      </w:r>
      <w:r>
        <w:instrText xml:space="preserve"> PAGEREF _Toc437386090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Width of application of licence</w:t>
      </w:r>
      <w:r>
        <w:tab/>
      </w:r>
      <w:r>
        <w:fldChar w:fldCharType="begin"/>
      </w:r>
      <w:r>
        <w:instrText xml:space="preserve"> PAGEREF _Toc437386091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Information to be disclosed</w:t>
      </w:r>
      <w:r>
        <w:tab/>
      </w:r>
      <w:r>
        <w:fldChar w:fldCharType="begin"/>
      </w:r>
      <w:r>
        <w:instrText xml:space="preserve"> PAGEREF _Toc437386092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Unlicensed charitable collections</w:t>
      </w:r>
      <w:r>
        <w:tab/>
      </w:r>
      <w:r>
        <w:fldChar w:fldCharType="begin"/>
      </w:r>
      <w:r>
        <w:instrText xml:space="preserve"> PAGEREF _Toc437386093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Bank Account</w:t>
      </w:r>
      <w:r>
        <w:tab/>
      </w:r>
      <w:r>
        <w:fldChar w:fldCharType="begin"/>
      </w:r>
      <w:r>
        <w:instrText xml:space="preserve"> PAGEREF _Toc437386094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Permitted collection times</w:t>
      </w:r>
      <w:r>
        <w:tab/>
      </w:r>
      <w:r>
        <w:fldChar w:fldCharType="begin"/>
      </w:r>
      <w:r>
        <w:instrText xml:space="preserve"> PAGEREF _Toc437386095 \h </w:instrText>
      </w:r>
      <w:r>
        <w:fldChar w:fldCharType="separate"/>
      </w:r>
      <w:r>
        <w:t>5</w:t>
      </w:r>
      <w:r>
        <w:fldChar w:fldCharType="end"/>
      </w:r>
    </w:p>
    <w:p>
      <w:pPr>
        <w:pStyle w:val="TOC8"/>
        <w:rPr>
          <w:rFonts w:asciiTheme="minorHAnsi" w:eastAsiaTheme="minorEastAsia" w:hAnsiTheme="minorHAnsi" w:cstheme="minorBidi"/>
          <w:szCs w:val="22"/>
          <w:lang w:eastAsia="en-AU"/>
        </w:rPr>
      </w:pPr>
      <w:r>
        <w:t>16.</w:t>
      </w:r>
      <w:r>
        <w:tab/>
        <w:t>Investments</w:t>
      </w:r>
      <w:r>
        <w:tab/>
      </w:r>
      <w:r>
        <w:fldChar w:fldCharType="begin"/>
      </w:r>
      <w:r>
        <w:instrText xml:space="preserve"> PAGEREF _Toc437386096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Penalties</w:t>
      </w:r>
      <w:r>
        <w:tab/>
      </w:r>
      <w:r>
        <w:fldChar w:fldCharType="begin"/>
      </w:r>
      <w:r>
        <w:instrText xml:space="preserve"> PAGEREF _Toc437386097 \h </w:instrText>
      </w:r>
      <w:r>
        <w:fldChar w:fldCharType="separate"/>
      </w:r>
      <w:r>
        <w:t>6</w:t>
      </w:r>
      <w:r>
        <w:fldChar w:fldCharType="end"/>
      </w:r>
    </w:p>
    <w:p>
      <w:pPr>
        <w:pStyle w:val="TOC8"/>
        <w:rPr>
          <w:rFonts w:asciiTheme="minorHAnsi" w:eastAsiaTheme="minorEastAsia" w:hAnsiTheme="minorHAnsi" w:cstheme="minorBidi"/>
          <w:szCs w:val="22"/>
          <w:lang w:eastAsia="en-AU"/>
        </w:rPr>
      </w:pPr>
      <w:r>
        <w:t>18.</w:t>
      </w:r>
      <w:r>
        <w:tab/>
        <w:t>Infringement notices</w:t>
      </w:r>
      <w:r>
        <w:tab/>
      </w:r>
      <w:r>
        <w:fldChar w:fldCharType="begin"/>
      </w:r>
      <w:r>
        <w:instrText xml:space="preserve"> PAGEREF _Toc437386098 \h </w:instrText>
      </w:r>
      <w:r>
        <w:fldChar w:fldCharType="separate"/>
      </w:r>
      <w:r>
        <w:t>6</w:t>
      </w:r>
      <w:r>
        <w:fldChar w:fldCharType="end"/>
      </w:r>
    </w:p>
    <w:p>
      <w:pPr>
        <w:pStyle w:val="TOC8"/>
        <w:rPr>
          <w:rFonts w:asciiTheme="minorHAnsi" w:eastAsiaTheme="minorEastAsia" w:hAnsiTheme="minorHAnsi" w:cstheme="minorBidi"/>
          <w:szCs w:val="22"/>
          <w:lang w:eastAsia="en-AU"/>
        </w:rPr>
      </w:pPr>
      <w:r>
        <w:t>19.</w:t>
      </w:r>
      <w:r>
        <w:tab/>
        <w:t>Forms</w:t>
      </w:r>
      <w:r>
        <w:tab/>
      </w:r>
      <w:r>
        <w:fldChar w:fldCharType="begin"/>
      </w:r>
      <w:r>
        <w:instrText xml:space="preserve"> PAGEREF _Toc437386099 \h </w:instrText>
      </w:r>
      <w:r>
        <w:fldChar w:fldCharType="separate"/>
      </w:r>
      <w:r>
        <w:t>7</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 — Prescribed offences and modified penalties</w:t>
      </w:r>
    </w:p>
    <w:p>
      <w:pPr>
        <w:pStyle w:val="TOC2"/>
        <w:tabs>
          <w:tab w:val="right" w:pos="7086"/>
        </w:tabs>
        <w:rPr>
          <w:rFonts w:asciiTheme="minorHAnsi" w:eastAsiaTheme="minorEastAsia" w:hAnsiTheme="minorHAnsi" w:cstheme="minorBidi"/>
          <w:b w:val="0"/>
          <w:sz w:val="22"/>
          <w:szCs w:val="22"/>
          <w:lang w:eastAsia="en-AU"/>
        </w:rPr>
      </w:pPr>
      <w:r>
        <w:t>Schedule 2 — Forms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_Toc437386103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 w:name="_Toc491505457"/>
      <w:bookmarkStart w:id="2" w:name="_Toc493990235"/>
      <w:bookmarkStart w:id="3" w:name="_Toc437386088"/>
      <w:r>
        <w:rPr>
          <w:rStyle w:val="CharSectno"/>
        </w:rPr>
        <w:t>1</w:t>
      </w:r>
      <w:r>
        <w:rPr>
          <w:snapToGrid w:val="0"/>
        </w:rPr>
        <w:t>.</w:t>
      </w:r>
      <w:r>
        <w:rPr>
          <w:snapToGrid w:val="0"/>
        </w:rPr>
        <w:tab/>
        <w:t>Regulations</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4" w:name="_Toc491505458"/>
      <w:bookmarkStart w:id="5" w:name="_Toc493990236"/>
      <w:bookmarkStart w:id="6" w:name="_Toc437386089"/>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The 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 </w:t>
      </w:r>
      <w:r>
        <w:rPr>
          <w:i/>
        </w:rPr>
        <w:t>Consumer Affairs Act 1971</w:t>
      </w:r>
      <w:r>
        <w:t>;</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Executive Officers</w:t>
      </w:r>
      <w:bookmarkStart w:id="7" w:name="endcomma"/>
      <w:bookmarkEnd w:id="7"/>
      <w:r>
        <w:t xml:space="preserve"> </w:t>
      </w:r>
      <w:bookmarkStart w:id="8" w:name="comma"/>
      <w:bookmarkEnd w:id="8"/>
      <w:r>
        <w:t>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in Gazette 22 Sep 2006 p. 4079.]</w:t>
      </w:r>
    </w:p>
    <w:p>
      <w:pPr>
        <w:pStyle w:val="Heading5"/>
      </w:pPr>
      <w:bookmarkStart w:id="9" w:name="_Toc491505459"/>
      <w:bookmarkStart w:id="10" w:name="_Toc493990237"/>
      <w:bookmarkStart w:id="11" w:name="_Toc437386090"/>
      <w:r>
        <w:rPr>
          <w:rStyle w:val="CharSectno"/>
        </w:rPr>
        <w:t>3</w:t>
      </w:r>
      <w:r>
        <w:t>.</w:t>
      </w:r>
      <w:r>
        <w:tab/>
        <w:t>Form of application for licence</w:t>
      </w:r>
      <w:bookmarkEnd w:id="9"/>
      <w:bookmarkEnd w:id="10"/>
      <w:bookmarkEnd w:id="11"/>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August 2000 p.4846.]</w:t>
      </w:r>
    </w:p>
    <w:p>
      <w:pPr>
        <w:pStyle w:val="Heading5"/>
        <w:rPr>
          <w:snapToGrid w:val="0"/>
        </w:rPr>
      </w:pPr>
      <w:bookmarkStart w:id="12" w:name="_Toc491505460"/>
      <w:bookmarkStart w:id="13" w:name="_Toc493990238"/>
      <w:bookmarkStart w:id="14" w:name="_Toc437386091"/>
      <w:r>
        <w:rPr>
          <w:rStyle w:val="CharSectno"/>
        </w:rPr>
        <w:t>4</w:t>
      </w:r>
      <w:r>
        <w:rPr>
          <w:snapToGrid w:val="0"/>
        </w:rPr>
        <w:t>.</w:t>
      </w:r>
      <w:r>
        <w:rPr>
          <w:snapToGrid w:val="0"/>
        </w:rPr>
        <w:tab/>
        <w:t>Width of application of licence</w:t>
      </w:r>
      <w:bookmarkEnd w:id="12"/>
      <w:bookmarkEnd w:id="13"/>
      <w:bookmarkEnd w:id="14"/>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5, 6, 7.</w:t>
      </w:r>
      <w:r>
        <w:tab/>
        <w:t>Deleted in Gazette 22 August 2000 p.4847.]</w:t>
      </w:r>
    </w:p>
    <w:p>
      <w:pPr>
        <w:pStyle w:val="Heading5"/>
        <w:rPr>
          <w:snapToGrid w:val="0"/>
        </w:rPr>
      </w:pPr>
      <w:bookmarkStart w:id="15" w:name="_Toc491505461"/>
      <w:bookmarkStart w:id="16" w:name="_Toc493990239"/>
      <w:bookmarkStart w:id="17" w:name="_Toc437386092"/>
      <w:r>
        <w:rPr>
          <w:rStyle w:val="CharSectno"/>
        </w:rPr>
        <w:t>8</w:t>
      </w:r>
      <w:r>
        <w:rPr>
          <w:snapToGrid w:val="0"/>
        </w:rPr>
        <w:t>.</w:t>
      </w:r>
      <w:r>
        <w:rPr>
          <w:snapToGrid w:val="0"/>
        </w:rPr>
        <w:tab/>
        <w:t>Information to be disclosed</w:t>
      </w:r>
      <w:bookmarkEnd w:id="15"/>
      <w:bookmarkEnd w:id="16"/>
      <w:bookmarkEnd w:id="17"/>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fldChar w:fldCharType="begin"/>
      </w:r>
      <w:r>
        <w:instrText xml:space="preserve"> LISTNUM PenaltyNumbers \l1 </w:instrText>
      </w:r>
      <w:r>
        <w:fldChar w:fldCharType="end"/>
      </w: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August 2000 p.4847.]</w:t>
      </w:r>
    </w:p>
    <w:p>
      <w:pPr>
        <w:pStyle w:val="Ednotesection"/>
      </w:pPr>
      <w:r>
        <w:t>[</w:t>
      </w:r>
      <w:r>
        <w:rPr>
          <w:b/>
        </w:rPr>
        <w:t>9.</w:t>
      </w:r>
      <w:r>
        <w:tab/>
      </w:r>
      <w:r>
        <w:tab/>
        <w:t>Deleted in Gazette 22 August 2000 p.4847.]</w:t>
      </w:r>
    </w:p>
    <w:p>
      <w:pPr>
        <w:pStyle w:val="Heading5"/>
        <w:rPr>
          <w:snapToGrid w:val="0"/>
        </w:rPr>
      </w:pPr>
      <w:bookmarkStart w:id="18" w:name="_Toc491505462"/>
      <w:bookmarkStart w:id="19" w:name="_Toc493990240"/>
      <w:bookmarkStart w:id="20" w:name="_Toc437386093"/>
      <w:r>
        <w:rPr>
          <w:rStyle w:val="CharSectno"/>
        </w:rPr>
        <w:t>10</w:t>
      </w:r>
      <w:r>
        <w:rPr>
          <w:snapToGrid w:val="0"/>
        </w:rPr>
        <w:t>.</w:t>
      </w:r>
      <w:r>
        <w:rPr>
          <w:snapToGrid w:val="0"/>
        </w:rPr>
        <w:tab/>
        <w:t>Unlicensed charitable collections</w:t>
      </w:r>
      <w:bookmarkEnd w:id="18"/>
      <w:bookmarkEnd w:id="19"/>
      <w:bookmarkEnd w:id="20"/>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Any direction issued by the Minister under this regulation shall have the force of law, and payments and transfers shall be made to carry out the directions of the Minister. 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Heading5"/>
        <w:rPr>
          <w:snapToGrid w:val="0"/>
        </w:rPr>
      </w:pPr>
      <w:bookmarkStart w:id="21" w:name="_Toc491505463"/>
      <w:bookmarkStart w:id="22" w:name="_Toc493990241"/>
      <w:bookmarkStart w:id="23" w:name="_Toc437386094"/>
      <w:r>
        <w:rPr>
          <w:rStyle w:val="CharSectno"/>
        </w:rPr>
        <w:t>11</w:t>
      </w:r>
      <w:r>
        <w:rPr>
          <w:snapToGrid w:val="0"/>
        </w:rPr>
        <w:t>.</w:t>
      </w:r>
      <w:r>
        <w:rPr>
          <w:snapToGrid w:val="0"/>
        </w:rPr>
        <w:tab/>
        <w:t>Bank Account</w:t>
      </w:r>
      <w:bookmarkEnd w:id="21"/>
      <w:bookmarkEnd w:id="22"/>
      <w:bookmarkEnd w:id="23"/>
    </w:p>
    <w:p>
      <w:pPr>
        <w:pStyle w:val="Subsection"/>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pPr>
      <w:r>
        <w:tab/>
        <w:t>(4)</w:t>
      </w:r>
      <w:r>
        <w:tab/>
        <w:t>Every bank account of a charitable organisation is to be operated by authority signed by 2 officers of the organisation appointed in writing for the purpose by the governing body of the organisation.</w:t>
      </w:r>
    </w:p>
    <w:p>
      <w:pPr>
        <w:pStyle w:val="Footnotesection"/>
      </w:pPr>
      <w:r>
        <w:tab/>
        <w:t xml:space="preserve">[Regulation 11 amended in Gazette 22 October 1970 p.3235; 8 September 1972 p.3506; 22 August 2000 p.4847.] </w:t>
      </w:r>
    </w:p>
    <w:p>
      <w:pPr>
        <w:pStyle w:val="Ednotesection"/>
      </w:pPr>
      <w:r>
        <w:t>[</w:t>
      </w:r>
      <w:r>
        <w:rPr>
          <w:b/>
        </w:rPr>
        <w:t>12,</w:t>
      </w:r>
      <w:r>
        <w:t xml:space="preserve"> </w:t>
      </w:r>
      <w:r>
        <w:rPr>
          <w:b/>
        </w:rPr>
        <w:t>13.</w:t>
      </w:r>
      <w:r>
        <w:tab/>
        <w:t>Deleted in Gazette 22 August 2000 p.4847.]</w:t>
      </w:r>
    </w:p>
    <w:p>
      <w:pPr>
        <w:pStyle w:val="Heading5"/>
      </w:pPr>
      <w:bookmarkStart w:id="24" w:name="_Toc491505464"/>
      <w:bookmarkStart w:id="25" w:name="_Toc493990242"/>
      <w:bookmarkStart w:id="26" w:name="_Toc437386095"/>
      <w:r>
        <w:rPr>
          <w:rStyle w:val="CharSectno"/>
        </w:rPr>
        <w:t>14</w:t>
      </w:r>
      <w:r>
        <w:t>.</w:t>
      </w:r>
      <w:r>
        <w:tab/>
        <w:t>Permitted collection times</w:t>
      </w:r>
      <w:bookmarkEnd w:id="24"/>
      <w:bookmarkEnd w:id="25"/>
      <w:bookmarkEnd w:id="26"/>
    </w:p>
    <w:p>
      <w:pPr>
        <w:pStyle w:val="Subsection"/>
      </w:pPr>
      <w:r>
        <w:tab/>
        <w:t>(1)</w:t>
      </w:r>
      <w:r>
        <w:tab/>
        <w:t xml:space="preserve">A collector must not visit a house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6 p.m.,</w:t>
      </w:r>
    </w:p>
    <w:p>
      <w:pPr>
        <w:pStyle w:val="Subsection"/>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8 p.m.,</w:t>
      </w:r>
    </w:p>
    <w:p>
      <w:pPr>
        <w:pStyle w:val="Subsection"/>
      </w:pPr>
      <w:r>
        <w:tab/>
      </w:r>
      <w:r>
        <w:tab/>
        <w:t>unless authorised by the Minister in writing to do so.</w:t>
      </w:r>
    </w:p>
    <w:p>
      <w:pPr>
        <w:pStyle w:val="Footnotesection"/>
      </w:pPr>
      <w:r>
        <w:tab/>
        <w:t>[Regulation 14 inserted in Gazette 22 August 2000 p.4848.]</w:t>
      </w:r>
    </w:p>
    <w:p>
      <w:pPr>
        <w:pStyle w:val="Ednotesection"/>
      </w:pPr>
      <w:r>
        <w:t>[</w:t>
      </w:r>
      <w:r>
        <w:rPr>
          <w:b/>
        </w:rPr>
        <w:t>15.</w:t>
      </w:r>
      <w:r>
        <w:rPr>
          <w:b/>
        </w:rPr>
        <w:tab/>
      </w:r>
      <w:r>
        <w:t>Deleted in Gazette 22 August 2000 p.4848.]</w:t>
      </w:r>
    </w:p>
    <w:p>
      <w:pPr>
        <w:pStyle w:val="Heading5"/>
      </w:pPr>
      <w:bookmarkStart w:id="27" w:name="_Toc491505465"/>
      <w:bookmarkStart w:id="28" w:name="_Toc493990243"/>
      <w:bookmarkStart w:id="29" w:name="_Toc437386096"/>
      <w:r>
        <w:rPr>
          <w:rStyle w:val="CharSectno"/>
        </w:rPr>
        <w:t>16</w:t>
      </w:r>
      <w:r>
        <w:t>.</w:t>
      </w:r>
      <w:r>
        <w:rPr>
          <w:rStyle w:val="CharSectno"/>
        </w:rPr>
        <w:tab/>
      </w:r>
      <w:r>
        <w:t>Investments</w:t>
      </w:r>
      <w:bookmarkEnd w:id="27"/>
      <w:bookmarkEnd w:id="28"/>
      <w:bookmarkEnd w:id="29"/>
    </w:p>
    <w:p>
      <w:pPr>
        <w:pStyle w:val="Subsection"/>
      </w:pPr>
      <w:r>
        <w:tab/>
      </w:r>
      <w:r>
        <w:tab/>
        <w:t xml:space="preserve">Except with the approval of the Minister, a charitable organisation shall not invest monies belonging to the organisation other than — </w:t>
      </w:r>
    </w:p>
    <w:p>
      <w:pPr>
        <w:pStyle w:val="Indenta"/>
      </w:pPr>
      <w:r>
        <w:tab/>
        <w:t>(a)</w:t>
      </w:r>
      <w:r>
        <w:tab/>
        <w:t>in a fixed deposit in any company registered to carry on the business of banking in Western Australia; or</w:t>
      </w:r>
    </w:p>
    <w:p>
      <w:pPr>
        <w:pStyle w:val="Indenta"/>
      </w:pPr>
      <w:r>
        <w:tab/>
        <w:t>(b)</w:t>
      </w:r>
      <w:r>
        <w:tab/>
        <w:t xml:space="preserve">as trust funds may be invested under Part III of the </w:t>
      </w:r>
      <w:r>
        <w:rPr>
          <w:i/>
        </w:rPr>
        <w:t>Trustees Act 1962.</w:t>
      </w:r>
    </w:p>
    <w:p>
      <w:pPr>
        <w:pStyle w:val="Footnotesection"/>
      </w:pPr>
      <w:r>
        <w:tab/>
        <w:t>[Regulation 16 inserted in Gazette 18 August 1998 p.4451; amended in Gazette 27 November 1998 p.6341.]</w:t>
      </w:r>
    </w:p>
    <w:p>
      <w:pPr>
        <w:pStyle w:val="Heading5"/>
        <w:rPr>
          <w:snapToGrid w:val="0"/>
        </w:rPr>
      </w:pPr>
      <w:bookmarkStart w:id="30" w:name="_Toc491505466"/>
      <w:bookmarkStart w:id="31" w:name="_Toc493990244"/>
      <w:bookmarkStart w:id="32" w:name="_Toc437386097"/>
      <w:r>
        <w:rPr>
          <w:rStyle w:val="CharSectno"/>
        </w:rPr>
        <w:t>17</w:t>
      </w:r>
      <w:r>
        <w:rPr>
          <w:snapToGrid w:val="0"/>
        </w:rPr>
        <w:t>.</w:t>
      </w:r>
      <w:r>
        <w:rPr>
          <w:snapToGrid w:val="0"/>
        </w:rPr>
        <w:tab/>
        <w:t>Penalties</w:t>
      </w:r>
      <w:bookmarkEnd w:id="30"/>
      <w:bookmarkEnd w:id="31"/>
      <w:bookmarkEnd w:id="32"/>
    </w:p>
    <w:p>
      <w:pPr>
        <w:pStyle w:val="Subsection"/>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Heading5"/>
      </w:pPr>
      <w:bookmarkStart w:id="33" w:name="_Toc437386098"/>
      <w:r>
        <w:rPr>
          <w:rStyle w:val="CharSectno"/>
        </w:rPr>
        <w:t>18</w:t>
      </w:r>
      <w:r>
        <w:t>.</w:t>
      </w:r>
      <w:r>
        <w:tab/>
        <w:t>Infringement notices</w:t>
      </w:r>
      <w:bookmarkEnd w:id="3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4079; amended in Gazette 12 Jun 2009 p. 2107.]</w:t>
      </w:r>
    </w:p>
    <w:p>
      <w:pPr>
        <w:pStyle w:val="Heading5"/>
      </w:pPr>
      <w:bookmarkStart w:id="34" w:name="_Toc437386099"/>
      <w:r>
        <w:rPr>
          <w:rStyle w:val="CharSectno"/>
        </w:rPr>
        <w:t>19</w:t>
      </w:r>
      <w:r>
        <w:t>.</w:t>
      </w:r>
      <w:r>
        <w:tab/>
        <w:t>Forms</w:t>
      </w:r>
      <w:bookmarkEnd w:id="34"/>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pPr>
      <w:r>
        <w:tab/>
        <w:t>[Appendix deleted in Gazette 22 August 2000 p.4848.]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146612031"/>
      <w:bookmarkStart w:id="36" w:name="_Toc146614066"/>
      <w:bookmarkStart w:id="37" w:name="_Toc146689105"/>
      <w:bookmarkStart w:id="38" w:name="_Toc437386100"/>
      <w:r>
        <w:rPr>
          <w:rStyle w:val="CharSchNo"/>
        </w:rPr>
        <w:t>Schedule 1</w:t>
      </w:r>
      <w:r>
        <w:t> — </w:t>
      </w:r>
      <w:r>
        <w:rPr>
          <w:rStyle w:val="CharSchText"/>
        </w:rPr>
        <w:t>Prescribed offences and modified penalties</w:t>
      </w:r>
      <w:bookmarkEnd w:id="35"/>
      <w:bookmarkEnd w:id="36"/>
      <w:bookmarkEnd w:id="37"/>
      <w:bookmarkEnd w:id="38"/>
    </w:p>
    <w:p>
      <w:pPr>
        <w:pStyle w:val="yShoulderClause"/>
      </w:pPr>
      <w:r>
        <w:t>[r. 18]</w:t>
      </w:r>
    </w:p>
    <w:p>
      <w:pPr>
        <w:pStyle w:val="yFootnoteheading"/>
      </w:pPr>
      <w:r>
        <w:tab/>
        <w:t>[Heading inserted in Gazette 22 Sep 2006 p. 4079.]</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w:t>
            </w:r>
          </w:p>
        </w:tc>
        <w:tc>
          <w:tcPr>
            <w:tcW w:w="4629" w:type="dxa"/>
          </w:tcPr>
          <w:p>
            <w:pPr>
              <w:pStyle w:val="yTable"/>
            </w:pPr>
            <w:r>
              <w:t>Unlicensed person collecting for charity ................</w:t>
            </w:r>
          </w:p>
        </w:tc>
        <w:tc>
          <w:tcPr>
            <w:tcW w:w="992" w:type="dxa"/>
          </w:tcPr>
          <w:p>
            <w:pPr>
              <w:pStyle w:val="yTable"/>
            </w:pPr>
            <w:r>
              <w:t>$20</w:t>
            </w:r>
          </w:p>
        </w:tc>
      </w:tr>
      <w:tr>
        <w:trPr>
          <w:cantSplit/>
          <w:trHeight w:val="21"/>
        </w:trPr>
        <w:tc>
          <w:tcPr>
            <w:tcW w:w="1134" w:type="dxa"/>
          </w:tcPr>
          <w:p>
            <w:pPr>
              <w:pStyle w:val="yTable"/>
            </w:pPr>
            <w:r>
              <w:t>s. 9</w:t>
            </w:r>
          </w:p>
        </w:tc>
        <w:tc>
          <w:tcPr>
            <w:tcW w:w="4629" w:type="dxa"/>
          </w:tcPr>
          <w:p>
            <w:pPr>
              <w:pStyle w:val="yTable"/>
            </w:pPr>
            <w:r>
              <w:t>Failing to deliver moneys, books etc. when authority revoked ....................................................</w:t>
            </w:r>
          </w:p>
        </w:tc>
        <w:tc>
          <w:tcPr>
            <w:tcW w:w="992" w:type="dxa"/>
          </w:tcPr>
          <w:p>
            <w:pPr>
              <w:pStyle w:val="yTable"/>
            </w:pPr>
            <w:r>
              <w:br/>
              <w:t>$20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8(1)</w:t>
            </w:r>
          </w:p>
        </w:tc>
        <w:tc>
          <w:tcPr>
            <w:tcW w:w="4629" w:type="dxa"/>
          </w:tcPr>
          <w:p>
            <w:pPr>
              <w:pStyle w:val="yTable"/>
            </w:pPr>
            <w:r>
              <w:t>Failing to provide information required by Minister ...................................................................</w:t>
            </w:r>
          </w:p>
        </w:tc>
        <w:tc>
          <w:tcPr>
            <w:tcW w:w="992" w:type="dxa"/>
          </w:tcPr>
          <w:p>
            <w:pPr>
              <w:pStyle w:val="yTable"/>
            </w:pPr>
            <w:r>
              <w:br/>
              <w:t>$8</w:t>
            </w:r>
          </w:p>
        </w:tc>
      </w:tr>
      <w:tr>
        <w:trPr>
          <w:cantSplit/>
          <w:trHeight w:val="21"/>
        </w:trPr>
        <w:tc>
          <w:tcPr>
            <w:tcW w:w="1134" w:type="dxa"/>
          </w:tcPr>
          <w:p>
            <w:pPr>
              <w:pStyle w:val="yTable"/>
            </w:pPr>
            <w:r>
              <w:t>r. 8(2)</w:t>
            </w:r>
          </w:p>
        </w:tc>
        <w:tc>
          <w:tcPr>
            <w:tcW w:w="4629" w:type="dxa"/>
          </w:tcPr>
          <w:p>
            <w:pPr>
              <w:pStyle w:val="yTable"/>
            </w:pPr>
            <w:r>
              <w:t>Failing to notify change of executive officers ........</w:t>
            </w:r>
          </w:p>
        </w:tc>
        <w:tc>
          <w:tcPr>
            <w:tcW w:w="992" w:type="dxa"/>
          </w:tcPr>
          <w:p>
            <w:pPr>
              <w:pStyle w:val="yTable"/>
            </w:pPr>
            <w:r>
              <w:t>$8</w:t>
            </w:r>
          </w:p>
        </w:tc>
      </w:tr>
      <w:tr>
        <w:trPr>
          <w:cantSplit/>
          <w:trHeight w:val="21"/>
        </w:trPr>
        <w:tc>
          <w:tcPr>
            <w:tcW w:w="1134" w:type="dxa"/>
          </w:tcPr>
          <w:p>
            <w:pPr>
              <w:pStyle w:val="yTable"/>
            </w:pPr>
            <w:r>
              <w:t>r. 14(1)</w:t>
            </w:r>
          </w:p>
        </w:tc>
        <w:tc>
          <w:tcPr>
            <w:tcW w:w="4629" w:type="dxa"/>
          </w:tcPr>
          <w:p>
            <w:pPr>
              <w:pStyle w:val="yTable"/>
            </w:pPr>
            <w:r>
              <w:t>Visiting a house for purposes of collecting outside permitted hours .......................................................</w:t>
            </w:r>
          </w:p>
        </w:tc>
        <w:tc>
          <w:tcPr>
            <w:tcW w:w="992" w:type="dxa"/>
          </w:tcPr>
          <w:p>
            <w:pPr>
              <w:pStyle w:val="yTable"/>
            </w:pPr>
            <w:r>
              <w:br/>
              <w:t>$8</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Making telephone call for purposes of collecting outside permitted hours ...........................................</w:t>
            </w:r>
          </w:p>
        </w:tc>
        <w:tc>
          <w:tcPr>
            <w:tcW w:w="992" w:type="dxa"/>
            <w:tcBorders>
              <w:bottom w:val="single" w:sz="4" w:space="0" w:color="auto"/>
            </w:tcBorders>
          </w:tcPr>
          <w:p>
            <w:pPr>
              <w:pStyle w:val="yTable"/>
            </w:pPr>
            <w:r>
              <w:br/>
              <w:t>$8</w:t>
            </w:r>
          </w:p>
        </w:tc>
      </w:tr>
    </w:tbl>
    <w:p>
      <w:pPr>
        <w:pStyle w:val="yFootnotesection"/>
        <w:rPr>
          <w:rStyle w:val="CharSchNo"/>
        </w:rPr>
      </w:pPr>
      <w:r>
        <w:rPr>
          <w:rStyle w:val="CharSchNo"/>
        </w:rPr>
        <w:tab/>
        <w:t xml:space="preserve">[Schedule 1 inserted </w:t>
      </w:r>
      <w:r>
        <w:t>in Gazette 22 Sep 2006 p. 4079-80.]</w:t>
      </w:r>
    </w:p>
    <w:p>
      <w:pPr>
        <w:pStyle w:val="yScheduleHeading"/>
      </w:pPr>
      <w:bookmarkStart w:id="39" w:name="_Toc146612032"/>
      <w:bookmarkStart w:id="40" w:name="_Toc146614067"/>
      <w:bookmarkStart w:id="41" w:name="_Toc146689106"/>
      <w:bookmarkStart w:id="42" w:name="_Toc437386101"/>
      <w:r>
        <w:rPr>
          <w:rStyle w:val="CharSchNo"/>
        </w:rPr>
        <w:t>Schedule 2</w:t>
      </w:r>
      <w:r>
        <w:t> — </w:t>
      </w:r>
      <w:r>
        <w:rPr>
          <w:rStyle w:val="CharSchText"/>
        </w:rPr>
        <w:t>Forms</w:t>
      </w:r>
      <w:bookmarkEnd w:id="39"/>
      <w:bookmarkEnd w:id="40"/>
      <w:bookmarkEnd w:id="41"/>
      <w:bookmarkEnd w:id="42"/>
    </w:p>
    <w:p>
      <w:pPr>
        <w:pStyle w:val="yShoulderClause"/>
      </w:pPr>
      <w:r>
        <w:t>[r. 19]</w:t>
      </w:r>
    </w:p>
    <w:p>
      <w:pPr>
        <w:pStyle w:val="yFootnoteheading"/>
      </w:pPr>
      <w:r>
        <w:tab/>
        <w:t>[Heading inserted in Gazette 22 Sep 2006 p. 4080.]</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4080.]</w:t>
      </w:r>
    </w:p>
    <w:p>
      <w:pPr>
        <w:pStyle w:val="yMiscellaneousBody"/>
        <w:pageBreakBefore/>
        <w:spacing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yFootnotesection"/>
        <w:rPr>
          <w:rStyle w:val="CharSchNo"/>
        </w:rPr>
      </w:pPr>
      <w:r>
        <w:rPr>
          <w:rStyle w:val="CharSchNo"/>
        </w:rPr>
        <w:tab/>
        <w:t xml:space="preserve">[Schedule 2 inserted </w:t>
      </w:r>
      <w:r>
        <w:t>in Gazette 22 Sep 2006 p. 4080-1.]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3" w:name="_Toc113695922"/>
      <w:bookmarkStart w:id="44" w:name="_Toc146612033"/>
      <w:bookmarkStart w:id="45" w:name="_Toc146614068"/>
      <w:bookmarkStart w:id="46" w:name="_Toc146689107"/>
      <w:bookmarkStart w:id="47" w:name="_Toc437386102"/>
      <w:r>
        <w:t>Notes</w:t>
      </w:r>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Charitable Collections Regulations 1947</w:t>
      </w:r>
      <w:r>
        <w:rPr>
          <w:snapToGrid w:val="0"/>
        </w:rPr>
        <w:t xml:space="preserve"> and includes the amendments made by the other written laws referred to in the following table.</w:t>
      </w:r>
    </w:p>
    <w:p>
      <w:pPr>
        <w:pStyle w:val="nHeading3"/>
        <w:rPr>
          <w:snapToGrid w:val="0"/>
        </w:rPr>
      </w:pPr>
      <w:bookmarkStart w:id="48" w:name="_Toc437386103"/>
      <w:r>
        <w:rPr>
          <w:snapToGrid w:val="0"/>
        </w:rPr>
        <w:t>Compilation table</w:t>
      </w:r>
      <w:bookmarkEnd w:id="4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Charitable Collections Regulations 1947</w:t>
            </w:r>
          </w:p>
        </w:tc>
        <w:tc>
          <w:tcPr>
            <w:tcW w:w="1276" w:type="dxa"/>
            <w:tcBorders>
              <w:top w:val="single" w:sz="8" w:space="0" w:color="auto"/>
            </w:tcBorders>
          </w:tcPr>
          <w:p>
            <w:pPr>
              <w:pStyle w:val="nTable"/>
              <w:spacing w:after="40"/>
              <w:rPr>
                <w:sz w:val="19"/>
              </w:rPr>
            </w:pPr>
            <w:r>
              <w:rPr>
                <w:sz w:val="19"/>
              </w:rPr>
              <w:t>3 April 1947 pp.566</w:t>
            </w:r>
            <w:r>
              <w:rPr>
                <w:sz w:val="19"/>
              </w:rPr>
              <w:noBreakHyphen/>
              <w:t>73</w:t>
            </w:r>
          </w:p>
        </w:tc>
        <w:tc>
          <w:tcPr>
            <w:tcW w:w="2693" w:type="dxa"/>
            <w:tcBorders>
              <w:top w:val="single" w:sz="8" w:space="0" w:color="auto"/>
            </w:tcBorders>
          </w:tcPr>
          <w:p>
            <w:pPr>
              <w:pStyle w:val="nTable"/>
              <w:spacing w:after="40"/>
              <w:rPr>
                <w:sz w:val="19"/>
              </w:rPr>
            </w:pPr>
            <w:r>
              <w:rPr>
                <w:sz w:val="19"/>
              </w:rPr>
              <w:t>3 April 1947</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 October 1953</w:t>
            </w:r>
            <w:r>
              <w:rPr>
                <w:sz w:val="19"/>
              </w:rPr>
              <w:br/>
              <w:t>p.2025</w:t>
            </w:r>
          </w:p>
        </w:tc>
        <w:tc>
          <w:tcPr>
            <w:tcW w:w="2693" w:type="dxa"/>
          </w:tcPr>
          <w:p>
            <w:pPr>
              <w:pStyle w:val="nTable"/>
              <w:spacing w:after="40"/>
              <w:rPr>
                <w:sz w:val="19"/>
              </w:rPr>
            </w:pPr>
            <w:r>
              <w:rPr>
                <w:sz w:val="19"/>
              </w:rPr>
              <w:t>2 October 1953</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October 1970 p.3235</w:t>
            </w:r>
          </w:p>
        </w:tc>
        <w:tc>
          <w:tcPr>
            <w:tcW w:w="2693" w:type="dxa"/>
          </w:tcPr>
          <w:p>
            <w:pPr>
              <w:pStyle w:val="nTable"/>
              <w:spacing w:after="40"/>
              <w:rPr>
                <w:sz w:val="19"/>
              </w:rPr>
            </w:pPr>
            <w:r>
              <w:rPr>
                <w:sz w:val="19"/>
              </w:rPr>
              <w:t>22 October 1970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8 September 1972 p.3506</w:t>
            </w:r>
          </w:p>
        </w:tc>
        <w:tc>
          <w:tcPr>
            <w:tcW w:w="2693" w:type="dxa"/>
          </w:tcPr>
          <w:p>
            <w:pPr>
              <w:pStyle w:val="nTable"/>
              <w:spacing w:after="40"/>
              <w:rPr>
                <w:sz w:val="19"/>
              </w:rPr>
            </w:pPr>
            <w:r>
              <w:rPr>
                <w:sz w:val="19"/>
              </w:rPr>
              <w:t>8 September 1972</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21 January 1977 p.132</w:t>
            </w:r>
          </w:p>
        </w:tc>
        <w:tc>
          <w:tcPr>
            <w:tcW w:w="2693" w:type="dxa"/>
          </w:tcPr>
          <w:p>
            <w:pPr>
              <w:pStyle w:val="nTable"/>
              <w:spacing w:after="40"/>
              <w:rPr>
                <w:sz w:val="19"/>
              </w:rPr>
            </w:pPr>
            <w:r>
              <w:rPr>
                <w:sz w:val="19"/>
              </w:rPr>
              <w:t>21 January 1977</w:t>
            </w:r>
          </w:p>
        </w:tc>
      </w:tr>
      <w:tr>
        <w:trPr>
          <w:cantSplit/>
        </w:trPr>
        <w:tc>
          <w:tcPr>
            <w:tcW w:w="3118" w:type="dxa"/>
          </w:tcPr>
          <w:p>
            <w:pPr>
              <w:pStyle w:val="nTable"/>
              <w:spacing w:after="40"/>
              <w:ind w:right="113"/>
              <w:rPr>
                <w:sz w:val="19"/>
              </w:rPr>
            </w:pPr>
            <w:r>
              <w:rPr>
                <w:i/>
                <w:sz w:val="19"/>
              </w:rPr>
              <w:t xml:space="preserve">Charitable Collections Amendment </w:t>
            </w:r>
            <w:r>
              <w:rPr>
                <w:i/>
                <w:sz w:val="19"/>
              </w:rPr>
              <w:br/>
              <w:t>Regulations 1994</w:t>
            </w:r>
          </w:p>
        </w:tc>
        <w:tc>
          <w:tcPr>
            <w:tcW w:w="1276" w:type="dxa"/>
          </w:tcPr>
          <w:p>
            <w:pPr>
              <w:pStyle w:val="nTable"/>
              <w:spacing w:after="40"/>
              <w:rPr>
                <w:sz w:val="19"/>
              </w:rPr>
            </w:pPr>
            <w:r>
              <w:rPr>
                <w:sz w:val="19"/>
              </w:rPr>
              <w:t>6 May 1994 pp.1874</w:t>
            </w:r>
            <w:r>
              <w:rPr>
                <w:sz w:val="19"/>
              </w:rPr>
              <w:noBreakHyphen/>
              <w:t>5</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i/>
                <w:sz w:val="19"/>
              </w:rPr>
            </w:pPr>
            <w:r>
              <w:rPr>
                <w:i/>
                <w:sz w:val="19"/>
              </w:rPr>
              <w:t>Charitable Collections Amendment Regulations 1998</w:t>
            </w:r>
          </w:p>
        </w:tc>
        <w:tc>
          <w:tcPr>
            <w:tcW w:w="1276" w:type="dxa"/>
          </w:tcPr>
          <w:p>
            <w:pPr>
              <w:pStyle w:val="nTable"/>
              <w:spacing w:after="40"/>
              <w:rPr>
                <w:sz w:val="19"/>
              </w:rPr>
            </w:pPr>
            <w:r>
              <w:rPr>
                <w:sz w:val="19"/>
              </w:rPr>
              <w:t>18 August 1998 p.4451</w:t>
            </w:r>
          </w:p>
        </w:tc>
        <w:tc>
          <w:tcPr>
            <w:tcW w:w="2693" w:type="dxa"/>
          </w:tcPr>
          <w:p>
            <w:pPr>
              <w:pStyle w:val="nTable"/>
              <w:spacing w:after="40"/>
              <w:rPr>
                <w:sz w:val="19"/>
              </w:rPr>
            </w:pPr>
            <w:r>
              <w:rPr>
                <w:sz w:val="19"/>
              </w:rPr>
              <w:t>18 August 1998</w:t>
            </w:r>
          </w:p>
        </w:tc>
      </w:tr>
      <w:tr>
        <w:trPr>
          <w:cantSplit/>
        </w:trPr>
        <w:tc>
          <w:tcPr>
            <w:tcW w:w="3118" w:type="dxa"/>
          </w:tcPr>
          <w:p>
            <w:pPr>
              <w:pStyle w:val="nTable"/>
              <w:spacing w:after="40"/>
              <w:ind w:right="113"/>
              <w:rPr>
                <w:i/>
                <w:sz w:val="19"/>
              </w:rPr>
            </w:pPr>
            <w:r>
              <w:rPr>
                <w:i/>
                <w:sz w:val="19"/>
              </w:rPr>
              <w:t>Charitable Collections Amendment Regulations (No. 2) 1998</w:t>
            </w:r>
          </w:p>
        </w:tc>
        <w:tc>
          <w:tcPr>
            <w:tcW w:w="1276" w:type="dxa"/>
          </w:tcPr>
          <w:p>
            <w:pPr>
              <w:pStyle w:val="nTable"/>
              <w:spacing w:after="40"/>
              <w:rPr>
                <w:sz w:val="19"/>
              </w:rPr>
            </w:pPr>
            <w:r>
              <w:rPr>
                <w:sz w:val="19"/>
              </w:rPr>
              <w:t>27 November 1998 p.6341</w:t>
            </w:r>
          </w:p>
        </w:tc>
        <w:tc>
          <w:tcPr>
            <w:tcW w:w="2693" w:type="dxa"/>
          </w:tcPr>
          <w:p>
            <w:pPr>
              <w:pStyle w:val="nTable"/>
              <w:spacing w:after="40"/>
              <w:rPr>
                <w:sz w:val="19"/>
              </w:rPr>
            </w:pPr>
            <w:r>
              <w:rPr>
                <w:sz w:val="19"/>
              </w:rPr>
              <w:t>27 November 1998</w:t>
            </w:r>
          </w:p>
        </w:tc>
      </w:tr>
      <w:tr>
        <w:trPr>
          <w:cantSplit/>
        </w:trPr>
        <w:tc>
          <w:tcPr>
            <w:tcW w:w="3118" w:type="dxa"/>
          </w:tcPr>
          <w:p>
            <w:pPr>
              <w:pStyle w:val="nTable"/>
              <w:spacing w:after="40"/>
              <w:ind w:right="113"/>
              <w:rPr>
                <w:i/>
                <w:sz w:val="19"/>
                <w:vertAlign w:val="superscript"/>
              </w:rPr>
            </w:pPr>
            <w:r>
              <w:rPr>
                <w:i/>
                <w:sz w:val="19"/>
              </w:rPr>
              <w:t>Charitable Collections Amendment Regulations 2000 </w:t>
            </w:r>
            <w:r>
              <w:rPr>
                <w:i/>
                <w:sz w:val="19"/>
                <w:vertAlign w:val="superscript"/>
              </w:rPr>
              <w:t>2</w:t>
            </w:r>
          </w:p>
        </w:tc>
        <w:tc>
          <w:tcPr>
            <w:tcW w:w="1276" w:type="dxa"/>
          </w:tcPr>
          <w:p>
            <w:pPr>
              <w:pStyle w:val="nTable"/>
              <w:spacing w:after="40"/>
              <w:rPr>
                <w:sz w:val="19"/>
              </w:rPr>
            </w:pPr>
            <w:r>
              <w:rPr>
                <w:sz w:val="19"/>
              </w:rPr>
              <w:t>22 August 2000 pp.4845-8</w:t>
            </w:r>
          </w:p>
        </w:tc>
        <w:tc>
          <w:tcPr>
            <w:tcW w:w="2693" w:type="dxa"/>
          </w:tcPr>
          <w:p>
            <w:pPr>
              <w:pStyle w:val="nTable"/>
              <w:spacing w:after="40"/>
              <w:rPr>
                <w:sz w:val="19"/>
              </w:rPr>
            </w:pPr>
            <w:r>
              <w:rPr>
                <w:sz w:val="19"/>
              </w:rPr>
              <w:t>22 August 2000</w:t>
            </w:r>
          </w:p>
        </w:tc>
      </w:tr>
      <w:tr>
        <w:trPr>
          <w:cantSplit/>
        </w:trPr>
        <w:tc>
          <w:tcPr>
            <w:tcW w:w="3118" w:type="dxa"/>
          </w:tcPr>
          <w:p>
            <w:pPr>
              <w:pStyle w:val="nTable"/>
              <w:spacing w:after="40"/>
              <w:ind w:right="113"/>
              <w:rPr>
                <w:i/>
                <w:sz w:val="19"/>
              </w:rPr>
            </w:pPr>
            <w:bookmarkStart w:id="49" w:name="UpToHere"/>
            <w:r>
              <w:rPr>
                <w:i/>
                <w:sz w:val="19"/>
              </w:rPr>
              <w:t>Charitable Collections Amendment Regulations 2006</w:t>
            </w:r>
          </w:p>
        </w:tc>
        <w:tc>
          <w:tcPr>
            <w:tcW w:w="1276" w:type="dxa"/>
          </w:tcPr>
          <w:p>
            <w:pPr>
              <w:pStyle w:val="nTable"/>
              <w:spacing w:after="40"/>
              <w:rPr>
                <w:sz w:val="19"/>
              </w:rPr>
            </w:pPr>
            <w:r>
              <w:rPr>
                <w:sz w:val="19"/>
              </w:rPr>
              <w:t>22 Sep 2006 p. 4078</w:t>
            </w:r>
            <w:r>
              <w:rPr>
                <w:sz w:val="19"/>
              </w:rPr>
              <w:noBreakHyphen/>
              <w:t>81</w:t>
            </w:r>
          </w:p>
        </w:tc>
        <w:tc>
          <w:tcPr>
            <w:tcW w:w="2693" w:type="dxa"/>
          </w:tcPr>
          <w:p>
            <w:pPr>
              <w:pStyle w:val="nTable"/>
              <w:spacing w:after="40"/>
              <w:rPr>
                <w:sz w:val="19"/>
              </w:rPr>
            </w:pPr>
            <w:r>
              <w:rPr>
                <w:sz w:val="19"/>
              </w:rPr>
              <w:t>22 Sep 2006 (see r. 2(a))</w:t>
            </w:r>
          </w:p>
        </w:tc>
      </w:tr>
      <w:tr>
        <w:trPr>
          <w:cantSplit/>
        </w:trPr>
        <w:tc>
          <w:tcPr>
            <w:tcW w:w="3118" w:type="dxa"/>
            <w:tcBorders>
              <w:bottom w:val="single" w:sz="8" w:space="0" w:color="auto"/>
            </w:tcBorders>
          </w:tcPr>
          <w:p>
            <w:pPr>
              <w:pStyle w:val="nTable"/>
              <w:spacing w:after="40"/>
              <w:ind w:right="113"/>
              <w:rPr>
                <w:i/>
                <w:sz w:val="19"/>
              </w:rPr>
            </w:pPr>
            <w:r>
              <w:rPr>
                <w:i/>
                <w:sz w:val="19"/>
              </w:rPr>
              <w:t>Charitable Collections Amendment Regulations 2009</w:t>
            </w:r>
          </w:p>
        </w:tc>
        <w:tc>
          <w:tcPr>
            <w:tcW w:w="1276" w:type="dxa"/>
            <w:tcBorders>
              <w:bottom w:val="single" w:sz="8" w:space="0" w:color="auto"/>
            </w:tcBorders>
          </w:tcPr>
          <w:p>
            <w:pPr>
              <w:pStyle w:val="nTable"/>
              <w:spacing w:after="40"/>
              <w:rPr>
                <w:sz w:val="19"/>
              </w:rPr>
            </w:pPr>
            <w:r>
              <w:rPr>
                <w:sz w:val="19"/>
              </w:rPr>
              <w:t>12 Jun 2009 p. 2106</w:t>
            </w:r>
            <w:r>
              <w:rPr>
                <w:sz w:val="19"/>
              </w:rPr>
              <w:noBreakHyphen/>
              <w:t>7</w:t>
            </w:r>
          </w:p>
        </w:tc>
        <w:tc>
          <w:tcPr>
            <w:tcW w:w="2693" w:type="dxa"/>
            <w:tcBorders>
              <w:bottom w:val="single" w:sz="8" w:space="0" w:color="auto"/>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bl>
    <w:bookmarkEnd w:id="49"/>
    <w:p>
      <w:pPr>
        <w:pStyle w:val="nSubsection"/>
      </w:pPr>
      <w:r>
        <w:rPr>
          <w:vertAlign w:val="superscript"/>
        </w:rPr>
        <w:t>2</w:t>
      </w:r>
      <w:r>
        <w:tab/>
        <w:t xml:space="preserve">The </w:t>
      </w:r>
      <w:r>
        <w:rPr>
          <w:i/>
        </w:rPr>
        <w:t>Charitable Collections Amendment Regulations 2000</w:t>
      </w:r>
      <w:r>
        <w:t xml:space="preserve"> r. 12 reads as follows —</w:t>
      </w:r>
    </w:p>
    <w:p>
      <w:pPr>
        <w:pStyle w:val="MiscOpen"/>
        <w:ind w:right="294"/>
      </w:pPr>
      <w:r>
        <w:t>“</w:t>
      </w: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21A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85C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52D9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F425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16C2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EFE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226A6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E004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36C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0CBB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9A86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AEC4CC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48"/>
    <w:docVar w:name="WAFER_20151207154948" w:val="RemoveTrackChanges"/>
    <w:docVar w:name="WAFER_20151207154948_GUID" w:val="50881b76-710a-407a-ba08-2bf19a44c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2666</Words>
  <Characters>14134</Characters>
  <Application>Microsoft Office Word</Application>
  <DocSecurity>0</DocSecurity>
  <Lines>504</Lines>
  <Paragraphs>323</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1947 - 02-c0-03</dc:title>
  <dc:subject/>
  <dc:creator/>
  <cp:keywords/>
  <dc:description/>
  <cp:lastModifiedBy>svcMRProcess</cp:lastModifiedBy>
  <cp:revision>4</cp:revision>
  <cp:lastPrinted>2000-10-25T08:02:00Z</cp:lastPrinted>
  <dcterms:created xsi:type="dcterms:W3CDTF">2015-12-08T16:59:00Z</dcterms:created>
  <dcterms:modified xsi:type="dcterms:W3CDTF">2015-12-08T16:59:00Z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20090613</vt:lpwstr>
  </property>
  <property fmtid="{D5CDD505-2E9C-101B-9397-08002B2CF9AE}" pid="4" name="DocumentType">
    <vt:lpwstr>Reg</vt:lpwstr>
  </property>
  <property fmtid="{D5CDD505-2E9C-101B-9397-08002B2CF9AE}" pid="5" name="OwlsUID">
    <vt:i4>4344</vt:i4>
  </property>
  <property fmtid="{D5CDD505-2E9C-101B-9397-08002B2CF9AE}" pid="6" name="AsAtDate">
    <vt:lpwstr>13 Jun 2009</vt:lpwstr>
  </property>
  <property fmtid="{D5CDD505-2E9C-101B-9397-08002B2CF9AE}" pid="7" name="Suffix">
    <vt:lpwstr>02-c0-03</vt:lpwstr>
  </property>
</Properties>
</file>