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_Toc389741186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_Toc389741187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_Toc389741188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_Toc389741189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wages</w:t>
      </w:r>
      <w:r>
        <w:tab/>
      </w:r>
      <w:r>
        <w:fldChar w:fldCharType="begin"/>
      </w:r>
      <w:r>
        <w:instrText xml:space="preserve"> PAGEREF _Toc389741192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_Toc389741193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_Toc389741194 \h </w:instrText>
      </w:r>
      <w:r>
        <w:fldChar w:fldCharType="separate"/>
      </w:r>
      <w:r>
        <w:t>3</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_Toc389741195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_Toc389741197 \h </w:instrText>
      </w:r>
      <w:r>
        <w:fldChar w:fldCharType="separate"/>
      </w:r>
      <w:r>
        <w:t>4</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_Toc389741198 \h </w:instrText>
      </w:r>
      <w:r>
        <w:fldChar w:fldCharType="separate"/>
      </w:r>
      <w:r>
        <w:t>5</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_Toc389741199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_Toc389741200 \h </w:instrText>
      </w:r>
      <w:r>
        <w:fldChar w:fldCharType="separate"/>
      </w:r>
      <w:r>
        <w:t>6</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_Toc389741201 \h </w:instrText>
      </w:r>
      <w:r>
        <w:fldChar w:fldCharType="separate"/>
      </w:r>
      <w:r>
        <w:t>7</w:t>
      </w:r>
      <w:r>
        <w:fldChar w:fldCharType="end"/>
      </w:r>
    </w:p>
    <w:p>
      <w:pPr>
        <w:pStyle w:val="TOC8"/>
        <w:rPr>
          <w:rFonts w:asciiTheme="minorHAnsi" w:eastAsiaTheme="minorEastAsia" w:hAnsiTheme="minorHAnsi" w:cstheme="minorBidi"/>
          <w:szCs w:val="22"/>
        </w:rPr>
      </w:pPr>
      <w:r>
        <w:t>15.</w:t>
      </w:r>
      <w:r>
        <w:tab/>
        <w:t>Tax payable with progressive returns — interstate non</w:t>
      </w:r>
      <w:r>
        <w:noBreakHyphen/>
        <w:t>group employers</w:t>
      </w:r>
      <w:r>
        <w:tab/>
      </w:r>
      <w:r>
        <w:fldChar w:fldCharType="begin"/>
      </w:r>
      <w:r>
        <w:instrText xml:space="preserve"> PAGEREF _Toc389741202 \h </w:instrText>
      </w:r>
      <w:r>
        <w:fldChar w:fldCharType="separate"/>
      </w:r>
      <w:r>
        <w:t>7</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_Toc389741203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_Toc389741205 \h </w:instrText>
      </w:r>
      <w:r>
        <w:fldChar w:fldCharType="separate"/>
      </w:r>
      <w:r>
        <w:t>9</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_Toc389741206 \h </w:instrText>
      </w:r>
      <w:r>
        <w:fldChar w:fldCharType="separate"/>
      </w:r>
      <w:r>
        <w:t>10</w:t>
      </w:r>
      <w:r>
        <w:fldChar w:fldCharType="end"/>
      </w:r>
    </w:p>
    <w:p>
      <w:pPr>
        <w:pStyle w:val="TOC8"/>
        <w:rPr>
          <w:rFonts w:asciiTheme="minorHAnsi" w:eastAsiaTheme="minorEastAsia" w:hAnsiTheme="minorHAnsi" w:cstheme="minorBidi"/>
          <w:szCs w:val="22"/>
        </w:rPr>
      </w:pPr>
      <w:r>
        <w:t>19.</w:t>
      </w:r>
      <w:r>
        <w:tab/>
        <w:t>Tax payable with progressive returns — groups</w:t>
      </w:r>
      <w:r>
        <w:tab/>
      </w:r>
      <w:r>
        <w:fldChar w:fldCharType="begin"/>
      </w:r>
      <w:r>
        <w:instrText xml:space="preserve"> PAGEREF _Toc389741207 \h </w:instrText>
      </w:r>
      <w:r>
        <w:fldChar w:fldCharType="separate"/>
      </w:r>
      <w:r>
        <w:t>11</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_Toc389741208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_Toc389741210 \h </w:instrText>
      </w:r>
      <w:r>
        <w:fldChar w:fldCharType="separate"/>
      </w:r>
      <w:r>
        <w:t>13</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_Toc389741211 \h </w:instrText>
      </w:r>
      <w:r>
        <w:fldChar w:fldCharType="separate"/>
      </w:r>
      <w:r>
        <w:t>14</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_Toc389741212 \h </w:instrText>
      </w:r>
      <w:r>
        <w:fldChar w:fldCharType="separate"/>
      </w:r>
      <w:r>
        <w:t>14</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_Toc389741213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_Toc389741215 \h </w:instrText>
      </w:r>
      <w:r>
        <w:fldChar w:fldCharType="separate"/>
      </w:r>
      <w:r>
        <w:t>18</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_Toc389741216 \h </w:instrText>
      </w:r>
      <w:r>
        <w:fldChar w:fldCharType="separate"/>
      </w:r>
      <w:r>
        <w:t>18</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_Toc389741217 \h </w:instrText>
      </w:r>
      <w:r>
        <w:fldChar w:fldCharType="separate"/>
      </w:r>
      <w:r>
        <w:t>19</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_Toc389741218 \h </w:instrText>
      </w:r>
      <w:r>
        <w:fldChar w:fldCharType="separate"/>
      </w:r>
      <w:r>
        <w:t>19</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_Toc389741219 \h </w:instrText>
      </w:r>
      <w:r>
        <w:fldChar w:fldCharType="separate"/>
      </w:r>
      <w:r>
        <w:t>20</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_Toc389741220 \h </w:instrText>
      </w:r>
      <w:r>
        <w:fldChar w:fldCharType="separate"/>
      </w:r>
      <w:r>
        <w:t>20</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_Toc389741221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_Toc389741223 \h </w:instrText>
      </w:r>
      <w:r>
        <w:fldChar w:fldCharType="separate"/>
      </w:r>
      <w:r>
        <w:t>25</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_Toc389741224 \h </w:instrText>
      </w:r>
      <w:r>
        <w:fldChar w:fldCharType="separate"/>
      </w:r>
      <w:r>
        <w:t>25</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_Toc389741225 \h </w:instrText>
      </w:r>
      <w:r>
        <w:fldChar w:fldCharType="separate"/>
      </w:r>
      <w:r>
        <w:t>26</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_Toc389741226 \h </w:instrText>
      </w:r>
      <w:r>
        <w:fldChar w:fldCharType="separate"/>
      </w:r>
      <w:r>
        <w:t>27</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_Toc389741227 \h </w:instrText>
      </w:r>
      <w:r>
        <w:fldChar w:fldCharType="separate"/>
      </w:r>
      <w:r>
        <w:t>28</w:t>
      </w:r>
      <w:r>
        <w:fldChar w:fldCharType="end"/>
      </w:r>
    </w:p>
    <w:p>
      <w:pPr>
        <w:pStyle w:val="TOC8"/>
        <w:rPr>
          <w:rFonts w:asciiTheme="minorHAnsi" w:eastAsiaTheme="minorEastAsia" w:hAnsiTheme="minorHAnsi" w:cstheme="minorBidi"/>
          <w:szCs w:val="22"/>
        </w:rPr>
      </w:pPr>
      <w:r>
        <w:t>35.</w:t>
      </w:r>
      <w:r>
        <w:tab/>
        <w:t>Grouping head and branch businesses</w:t>
      </w:r>
      <w:r>
        <w:tab/>
      </w:r>
      <w:r>
        <w:fldChar w:fldCharType="begin"/>
      </w:r>
      <w:r>
        <w:instrText xml:space="preserve"> PAGEREF _Toc389741228 \h </w:instrText>
      </w:r>
      <w:r>
        <w:fldChar w:fldCharType="separate"/>
      </w:r>
      <w:r>
        <w:t>29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_Toc389741229 \h </w:instrText>
      </w:r>
      <w:r>
        <w:fldChar w:fldCharType="separate"/>
      </w:r>
      <w:r>
        <w:t>29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_Toc389741230 \h </w:instrText>
      </w:r>
      <w:r>
        <w:fldChar w:fldCharType="separate"/>
      </w:r>
      <w:r>
        <w:t>30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_Toc389741231 \h </w:instrText>
      </w:r>
      <w:r>
        <w:fldChar w:fldCharType="separate"/>
      </w:r>
      <w:r>
        <w:t>30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_Toc389741232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_Toc389741234 \h </w:instrText>
      </w:r>
      <w:r>
        <w:fldChar w:fldCharType="separate"/>
      </w:r>
      <w:r>
        <w:t>32</w:t>
      </w:r>
      <w:r>
        <w:fldChar w:fldCharType="end"/>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_Toc389741235 \h </w:instrText>
      </w:r>
      <w:r>
        <w:fldChar w:fldCharType="separate"/>
      </w:r>
      <w:r>
        <w:t>35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_Toc389741236 \h </w:instrText>
      </w:r>
      <w:r>
        <w:fldChar w:fldCharType="separate"/>
      </w:r>
      <w:r>
        <w:t>35</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_Toc389741237 \h </w:instrText>
      </w:r>
      <w:r>
        <w:fldChar w:fldCharType="separate"/>
      </w:r>
      <w:r>
        <w:t>36</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_Toc389741238 \h </w:instrText>
      </w:r>
      <w:r>
        <w:fldChar w:fldCharType="separate"/>
      </w:r>
      <w:r>
        <w:t>37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_Toc389741239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_Toc389741241 \h </w:instrText>
      </w:r>
      <w:r>
        <w:fldChar w:fldCharType="separate"/>
      </w:r>
      <w:r>
        <w:t>40</w:t>
      </w:r>
      <w:r>
        <w:fldChar w:fldCharType="end"/>
      </w:r>
    </w:p>
    <w:p>
      <w:pPr>
        <w:pStyle w:val="TOC8"/>
        <w:rPr>
          <w:rFonts w:asciiTheme="minorHAnsi" w:eastAsiaTheme="minorEastAsia" w:hAnsiTheme="minorHAnsi" w:cstheme="minorBidi"/>
          <w:szCs w:val="22"/>
        </w:rPr>
      </w:pPr>
      <w:r>
        <w:t>2.</w:t>
      </w:r>
      <w:r>
        <w:tab/>
        <w:t>Wages — meaning</w:t>
      </w:r>
      <w:r>
        <w:tab/>
      </w:r>
      <w:r>
        <w:fldChar w:fldCharType="begin"/>
      </w:r>
      <w:r>
        <w:instrText xml:space="preserve"> PAGEREF _Toc389741242 \h </w:instrText>
      </w:r>
      <w:r>
        <w:fldChar w:fldCharType="separate"/>
      </w:r>
      <w:r>
        <w:t>47</w:t>
      </w:r>
      <w:r>
        <w:fldChar w:fldCharType="end"/>
      </w:r>
    </w:p>
    <w:p>
      <w:pPr>
        <w:pStyle w:val="TOC8"/>
        <w:rPr>
          <w:rFonts w:asciiTheme="minorHAnsi" w:eastAsiaTheme="minorEastAsia" w:hAnsiTheme="minorHAnsi" w:cstheme="minorBidi"/>
          <w:szCs w:val="22"/>
        </w:rPr>
      </w:pPr>
      <w:r>
        <w:t>3.</w:t>
      </w:r>
      <w:r>
        <w:tab/>
        <w:t>GST excluded from wages</w:t>
      </w:r>
      <w:r>
        <w:tab/>
      </w:r>
      <w:r>
        <w:fldChar w:fldCharType="begin"/>
      </w:r>
      <w:r>
        <w:instrText xml:space="preserve"> PAGEREF _Toc389741243 \h </w:instrText>
      </w:r>
      <w:r>
        <w:fldChar w:fldCharType="separate"/>
      </w:r>
      <w:r>
        <w:t>48</w:t>
      </w:r>
      <w:r>
        <w:fldChar w:fldCharType="end"/>
      </w:r>
    </w:p>
    <w:p>
      <w:pPr>
        <w:pStyle w:val="TOC8"/>
        <w:rPr>
          <w:rFonts w:asciiTheme="minorHAnsi" w:eastAsiaTheme="minorEastAsia" w:hAnsiTheme="minorHAnsi" w:cstheme="minorBidi"/>
          <w:szCs w:val="22"/>
        </w:rPr>
      </w:pPr>
      <w:r>
        <w:t>4.</w:t>
      </w:r>
      <w:r>
        <w:tab/>
        <w:t>Place of payment of wages</w:t>
      </w:r>
      <w:r>
        <w:tab/>
      </w:r>
      <w:r>
        <w:fldChar w:fldCharType="begin"/>
      </w:r>
      <w:r>
        <w:instrText xml:space="preserve"> PAGEREF _Toc389741244 \h </w:instrText>
      </w:r>
      <w:r>
        <w:fldChar w:fldCharType="separate"/>
      </w:r>
      <w:r>
        <w:t>49</w:t>
      </w:r>
      <w:r>
        <w:fldChar w:fldCharType="end"/>
      </w:r>
    </w:p>
    <w:p>
      <w:pPr>
        <w:pStyle w:val="TOC8"/>
        <w:rPr>
          <w:rFonts w:asciiTheme="minorHAnsi" w:eastAsiaTheme="minorEastAsia" w:hAnsiTheme="minorHAnsi" w:cstheme="minorBidi"/>
          <w:szCs w:val="22"/>
        </w:rPr>
      </w:pPr>
      <w:r>
        <w:t>5.</w:t>
      </w:r>
      <w:r>
        <w:tab/>
        <w:t>Provider of fringe benefits or specified taxable benefits</w:t>
      </w:r>
      <w:r>
        <w:tab/>
      </w:r>
      <w:r>
        <w:fldChar w:fldCharType="begin"/>
      </w:r>
      <w:r>
        <w:instrText xml:space="preserve"> PAGEREF _Toc389741245 \h </w:instrText>
      </w:r>
      <w:r>
        <w:fldChar w:fldCharType="separate"/>
      </w:r>
      <w:r>
        <w:t>49</w:t>
      </w:r>
      <w:r>
        <w:fldChar w:fldCharType="end"/>
      </w:r>
    </w:p>
    <w:p>
      <w:pPr>
        <w:pStyle w:val="TOC8"/>
        <w:rPr>
          <w:rFonts w:asciiTheme="minorHAnsi" w:eastAsiaTheme="minorEastAsia" w:hAnsiTheme="minorHAnsi" w:cstheme="minorBidi"/>
          <w:szCs w:val="22"/>
        </w:rPr>
      </w:pPr>
      <w:r>
        <w:t>6.</w:t>
      </w:r>
      <w:r>
        <w:tab/>
        <w:t>Value of wages paid in kind and other benefits</w:t>
      </w:r>
      <w:r>
        <w:tab/>
      </w:r>
      <w:r>
        <w:fldChar w:fldCharType="begin"/>
      </w:r>
      <w:r>
        <w:instrText xml:space="preserve"> PAGEREF _Toc389741246 \h </w:instrText>
      </w:r>
      <w:r>
        <w:fldChar w:fldCharType="separate"/>
      </w:r>
      <w:r>
        <w:t>50</w:t>
      </w:r>
      <w:r>
        <w:fldChar w:fldCharType="end"/>
      </w:r>
    </w:p>
    <w:p>
      <w:pPr>
        <w:pStyle w:val="TOC8"/>
        <w:rPr>
          <w:rFonts w:asciiTheme="minorHAnsi" w:eastAsiaTheme="minorEastAsia" w:hAnsiTheme="minorHAnsi" w:cstheme="minorBidi"/>
          <w:szCs w:val="22"/>
        </w:rPr>
      </w:pPr>
      <w:r>
        <w:t>7.</w:t>
      </w:r>
      <w:r>
        <w:tab/>
        <w:t>The value of fringe benefits</w:t>
      </w:r>
      <w:r>
        <w:tab/>
      </w:r>
      <w:r>
        <w:fldChar w:fldCharType="begin"/>
      </w:r>
      <w:r>
        <w:instrText xml:space="preserve"> PAGEREF _Toc389741247 \h </w:instrText>
      </w:r>
      <w:r>
        <w:fldChar w:fldCharType="separate"/>
      </w:r>
      <w:r>
        <w:t>50</w:t>
      </w:r>
      <w:r>
        <w:fldChar w:fldCharType="end"/>
      </w:r>
    </w:p>
    <w:p>
      <w:pPr>
        <w:pStyle w:val="TOC8"/>
        <w:rPr>
          <w:rFonts w:asciiTheme="minorHAnsi" w:eastAsiaTheme="minorEastAsia" w:hAnsiTheme="minorHAnsi" w:cstheme="minorBidi"/>
          <w:szCs w:val="22"/>
        </w:rPr>
      </w:pPr>
      <w:r>
        <w:t>8.</w:t>
      </w:r>
      <w:r>
        <w:tab/>
        <w:t>Superannuation benefits</w:t>
      </w:r>
      <w:r>
        <w:tab/>
      </w:r>
      <w:r>
        <w:fldChar w:fldCharType="begin"/>
      </w:r>
      <w:r>
        <w:instrText xml:space="preserve"> PAGEREF _Toc389741248 \h </w:instrText>
      </w:r>
      <w:r>
        <w:fldChar w:fldCharType="separate"/>
      </w:r>
      <w:r>
        <w:t>51</w:t>
      </w:r>
      <w:r>
        <w:fldChar w:fldCharType="end"/>
      </w:r>
    </w:p>
    <w:p>
      <w:pPr>
        <w:pStyle w:val="TOC8"/>
        <w:rPr>
          <w:rFonts w:asciiTheme="minorHAnsi" w:eastAsiaTheme="minorEastAsia" w:hAnsiTheme="minorHAnsi" w:cstheme="minorBidi"/>
          <w:szCs w:val="22"/>
        </w:rPr>
      </w:pPr>
      <w:r>
        <w:t>9.</w:t>
      </w:r>
      <w:r>
        <w:tab/>
        <w:t>Superannuation fund contributions</w:t>
      </w:r>
      <w:r>
        <w:tab/>
      </w:r>
      <w:r>
        <w:fldChar w:fldCharType="begin"/>
      </w:r>
      <w:r>
        <w:instrText xml:space="preserve"> PAGEREF _Toc389741249 \h </w:instrText>
      </w:r>
      <w:r>
        <w:fldChar w:fldCharType="separate"/>
      </w:r>
      <w:r>
        <w:t>51</w:t>
      </w:r>
      <w:r>
        <w:fldChar w:fldCharType="end"/>
      </w:r>
    </w:p>
    <w:p>
      <w:pPr>
        <w:pStyle w:val="TOC8"/>
        <w:rPr>
          <w:rFonts w:asciiTheme="minorHAnsi" w:eastAsiaTheme="minorEastAsia" w:hAnsiTheme="minorHAnsi" w:cstheme="minorBidi"/>
          <w:szCs w:val="22"/>
        </w:rPr>
      </w:pPr>
      <w:r>
        <w:t>10.</w:t>
      </w:r>
      <w:r>
        <w:tab/>
        <w:t>Contributions to defined superannuation benefit schemes</w:t>
      </w:r>
      <w:r>
        <w:tab/>
      </w:r>
      <w:r>
        <w:fldChar w:fldCharType="begin"/>
      </w:r>
      <w:r>
        <w:instrText xml:space="preserve"> PAGEREF _Toc389741250 \h </w:instrText>
      </w:r>
      <w:r>
        <w:fldChar w:fldCharType="separate"/>
      </w:r>
      <w:r>
        <w:t>52</w:t>
      </w:r>
      <w:r>
        <w:fldChar w:fldCharType="end"/>
      </w:r>
    </w:p>
    <w:p>
      <w:pPr>
        <w:pStyle w:val="TOC8"/>
        <w:rPr>
          <w:rFonts w:asciiTheme="minorHAnsi" w:eastAsiaTheme="minorEastAsia" w:hAnsiTheme="minorHAnsi" w:cstheme="minorBidi"/>
          <w:szCs w:val="22"/>
        </w:rPr>
      </w:pPr>
      <w:r>
        <w:t>11.</w:t>
      </w:r>
      <w:r>
        <w:tab/>
        <w:t>Unfunded credit to certain unregulated schemes</w:t>
      </w:r>
      <w:r>
        <w:tab/>
      </w:r>
      <w:r>
        <w:fldChar w:fldCharType="begin"/>
      </w:r>
      <w:r>
        <w:instrText xml:space="preserve"> PAGEREF _Toc389741251 \h </w:instrText>
      </w:r>
      <w:r>
        <w:fldChar w:fldCharType="separate"/>
      </w:r>
      <w:r>
        <w:t>53</w:t>
      </w:r>
      <w:r>
        <w:fldChar w:fldCharType="end"/>
      </w:r>
    </w:p>
    <w:p>
      <w:pPr>
        <w:pStyle w:val="TOC8"/>
        <w:rPr>
          <w:rFonts w:asciiTheme="minorHAnsi" w:eastAsiaTheme="minorEastAsia" w:hAnsiTheme="minorHAnsi" w:cstheme="minorBidi"/>
          <w:szCs w:val="22"/>
        </w:rPr>
      </w:pPr>
      <w:r>
        <w:t>12.</w:t>
      </w:r>
      <w:r>
        <w:tab/>
        <w:t>Superannuation guarantee charge</w:t>
      </w:r>
      <w:r>
        <w:tab/>
      </w:r>
      <w:r>
        <w:fldChar w:fldCharType="begin"/>
      </w:r>
      <w:r>
        <w:instrText xml:space="preserve"> PAGEREF _Toc389741252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_Toc389741254 \h </w:instrText>
      </w:r>
      <w:r>
        <w:fldChar w:fldCharType="separate"/>
      </w:r>
      <w:r>
        <w:t>55</w:t>
      </w:r>
      <w:r>
        <w:fldChar w:fldCharType="end"/>
      </w:r>
    </w:p>
    <w:p>
      <w:pPr>
        <w:pStyle w:val="TOC2"/>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18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8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iCs/>
          <w:snapToGrid w:val="0"/>
          <w:vertAlign w:val="superscript"/>
        </w:rPr>
        <w:t> 1</w:t>
      </w:r>
      <w:r>
        <w:rPr>
          <w:i/>
          <w:snapToGrid w:val="0"/>
        </w:rPr>
        <w:t>.</w:t>
      </w:r>
    </w:p>
    <w:p>
      <w:pPr>
        <w:pStyle w:val="Heading5"/>
      </w:pPr>
      <w:bookmarkStart w:id="3" w:name="_Toc389741187"/>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88"/>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89"/>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90"/>
      <w:r>
        <w:rPr>
          <w:rStyle w:val="CharPartNo"/>
        </w:rPr>
        <w:t>Part 2</w:t>
      </w:r>
      <w:r>
        <w:t xml:space="preserve"> — </w:t>
      </w:r>
      <w:r>
        <w:rPr>
          <w:rStyle w:val="CharPartText"/>
        </w:rPr>
        <w:t>Liability and assessment</w:t>
      </w:r>
      <w:bookmarkEnd w:id="6"/>
    </w:p>
    <w:p>
      <w:pPr>
        <w:pStyle w:val="Heading3"/>
      </w:pPr>
      <w:bookmarkStart w:id="7" w:name="_Toc389741191"/>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92"/>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93"/>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94"/>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95"/>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96"/>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97"/>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98"/>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99"/>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9" o:title=""/>
          </v:shape>
          <o:OLEObject Type="Embed" ProgID="Equation.3" ShapeID="_x0000_i1025" DrawAspect="Content" ObjectID="_1643572283"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object w:dxaOrig="1620" w:dyaOrig="680">
          <v:shape id="_x0000_i1026" type="#_x0000_t75" style="width:81pt;height:33.75pt" o:ole="" fillcolor="window">
            <v:imagedata r:id="rId21" o:title=""/>
          </v:shape>
          <o:OLEObject Type="Embed" ProgID="Equation.3" ShapeID="_x0000_i1026" DrawAspect="Content" ObjectID="_1643572284" r:id="rId22"/>
        </w:obje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200"/>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201"/>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72285" r:id="rId24"/>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3.25pt;height:38.25pt" o:ole="" fillcolor="window">
            <v:imagedata r:id="rId25" o:title=""/>
          </v:shape>
          <o:OLEObject Type="Embed" ProgID="Equation.3" ShapeID="_x0000_i1028" DrawAspect="Content" ObjectID="_1643572286"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202"/>
      <w:r>
        <w:rPr>
          <w:rStyle w:val="CharSectno"/>
        </w:rPr>
        <w:t>15</w:t>
      </w:r>
      <w:r>
        <w:t>.</w:t>
      </w:r>
      <w:r>
        <w:tab/>
        <w:t>Tax payable with progressive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9" w:name="_Toc389741203"/>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0" w:name="_Toc389741204"/>
      <w:r>
        <w:rPr>
          <w:rStyle w:val="CharDivNo"/>
        </w:rPr>
        <w:t>Division 3</w:t>
      </w:r>
      <w:r>
        <w:t xml:space="preserve"> — </w:t>
      </w:r>
      <w:r>
        <w:rPr>
          <w:rStyle w:val="CharDivText"/>
        </w:rPr>
        <w:t>Group employers’ liability</w:t>
      </w:r>
      <w:bookmarkEnd w:id="20"/>
    </w:p>
    <w:p>
      <w:pPr>
        <w:pStyle w:val="Heading5"/>
      </w:pPr>
      <w:bookmarkStart w:id="21" w:name="_Toc389741205"/>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206"/>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72287"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3.25pt;height:38.25pt" o:ole="" fillcolor="window">
            <v:imagedata r:id="rId29" o:title=""/>
          </v:shape>
          <o:OLEObject Type="Embed" ProgID="Equation.3" ShapeID="_x0000_i1030" DrawAspect="Content" ObjectID="_1643572288"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207"/>
      <w:r>
        <w:rPr>
          <w:rStyle w:val="CharSectno"/>
        </w:rPr>
        <w:t>19</w:t>
      </w:r>
      <w:r>
        <w:t>.</w:t>
      </w:r>
      <w:r>
        <w:tab/>
        <w:t>Tax payable with progressive returns — groups</w:t>
      </w:r>
      <w:bookmarkEnd w:id="2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 w:name="_Toc389741208"/>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5" w:name="_Toc389741209"/>
      <w:r>
        <w:rPr>
          <w:rStyle w:val="CharDivNo"/>
        </w:rPr>
        <w:t>Division 4</w:t>
      </w:r>
      <w:r>
        <w:t xml:space="preserve"> — </w:t>
      </w:r>
      <w:r>
        <w:rPr>
          <w:rStyle w:val="CharDivText"/>
        </w:rPr>
        <w:t>Assessment generally</w:t>
      </w:r>
      <w:bookmarkEnd w:id="25"/>
    </w:p>
    <w:p>
      <w:pPr>
        <w:pStyle w:val="Heading5"/>
      </w:pPr>
      <w:bookmarkStart w:id="26" w:name="_Toc389741210"/>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211"/>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212"/>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t>“</w:t>
      </w:r>
      <w:r>
        <w:rPr>
          <w:rStyle w:val="CharDefText"/>
        </w:rPr>
        <w:t>part period factor</w:t>
      </w:r>
      <w:r>
        <w:rPr>
          <w:b/>
        </w:rPr>
        <w:t>”</w:t>
      </w:r>
      <w:r>
        <w:t xml:space="preserve"> means the amount represented by F in the formula —</w:t>
      </w:r>
    </w:p>
    <w:p>
      <w:pPr>
        <w:pStyle w:val="Equation"/>
        <w:jc w:val="center"/>
      </w:pPr>
      <w:r>
        <w:rPr>
          <w:position w:val="-24"/>
        </w:rPr>
        <w:object w:dxaOrig="780" w:dyaOrig="620">
          <v:shape id="_x0000_i1031" type="#_x0000_t75" style="width:39.75pt;height:31.5pt" o:ole="">
            <v:imagedata r:id="rId31" o:title=""/>
          </v:shape>
          <o:OLEObject Type="Embed" ProgID="Equation.3" ShapeID="_x0000_i1031" DrawAspect="Content" ObjectID="_1643572289" r:id="rId32"/>
        </w:object>
      </w:r>
    </w:p>
    <w:p>
      <w:pPr>
        <w:pStyle w:val="Defstart"/>
      </w:pPr>
      <w:r>
        <w:tab/>
      </w: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213"/>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214"/>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215"/>
      <w:r>
        <w:rPr>
          <w:rStyle w:val="CharSectno"/>
        </w:rPr>
        <w:t>24</w:t>
      </w:r>
      <w:r>
        <w:t>.</w:t>
      </w:r>
      <w:r>
        <w:tab/>
        <w:t>Applications for registration as an employer</w:t>
      </w:r>
      <w:bookmarkEnd w:id="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216"/>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217"/>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218"/>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35" w:name="_Toc389741219"/>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220"/>
      <w:r>
        <w:rPr>
          <w:rStyle w:val="CharSectno"/>
        </w:rPr>
        <w:t>28A</w:t>
      </w:r>
      <w:r>
        <w:t>.</w:t>
      </w:r>
      <w:r>
        <w:tab/>
        <w:t>Manner of lodging and paying in certain cases</w:t>
      </w:r>
      <w:bookmarkEnd w:id="3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Footnotesection"/>
      </w:pPr>
      <w:r>
        <w:tab/>
        <w:t>[Section 28A inserted by No. 82 of 2004 s. 14.]</w:t>
      </w:r>
    </w:p>
    <w:p>
      <w:pPr>
        <w:pStyle w:val="Heading5"/>
      </w:pPr>
      <w:bookmarkStart w:id="37" w:name="_Toc389741221"/>
      <w:r>
        <w:rPr>
          <w:rStyle w:val="CharSectno"/>
        </w:rPr>
        <w:t>29</w:t>
      </w:r>
      <w:r>
        <w:t>.</w:t>
      </w:r>
      <w:r>
        <w:tab/>
        <w:t>Exemptions from lodging monthly returns</w:t>
      </w:r>
      <w:bookmarkEnd w:id="37"/>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t>“</w:t>
      </w:r>
      <w:r>
        <w:rPr>
          <w:rStyle w:val="CharDefText"/>
        </w:rPr>
        <w:t>quarter</w:t>
      </w:r>
      <w:r>
        <w:rPr>
          <w:b/>
        </w:rPr>
        <w:t>”</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38" w:name="_Toc389741222"/>
      <w:r>
        <w:rPr>
          <w:rStyle w:val="CharPartNo"/>
        </w:rPr>
        <w:t>Part 4</w:t>
      </w:r>
      <w:r>
        <w:t xml:space="preserve"> — </w:t>
      </w:r>
      <w:r>
        <w:rPr>
          <w:rStyle w:val="CharPartText"/>
        </w:rPr>
        <w:t>Constitution of business groups</w:t>
      </w:r>
      <w:bookmarkEnd w:id="38"/>
    </w:p>
    <w:p>
      <w:pPr>
        <w:pStyle w:val="Heading5"/>
      </w:pPr>
      <w:bookmarkStart w:id="39" w:name="_Toc389741223"/>
      <w:r>
        <w:rPr>
          <w:rStyle w:val="CharSectno"/>
        </w:rPr>
        <w:t>30</w:t>
      </w:r>
      <w:r>
        <w:t>.</w:t>
      </w:r>
      <w:r>
        <w:tab/>
        <w:t>Grouping corporations</w:t>
      </w:r>
      <w:bookmarkEnd w:id="39"/>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0" w:name="_Toc389741224"/>
      <w:r>
        <w:rPr>
          <w:rStyle w:val="CharSectno"/>
        </w:rPr>
        <w:t>31</w:t>
      </w:r>
      <w:r>
        <w:t>.</w:t>
      </w:r>
      <w:r>
        <w:tab/>
        <w:t>Grouping where employees used in another business</w:t>
      </w:r>
      <w:bookmarkEnd w:id="40"/>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1" w:name="_Toc389741225"/>
      <w:r>
        <w:rPr>
          <w:rStyle w:val="CharSectno"/>
        </w:rPr>
        <w:t>32</w:t>
      </w:r>
      <w:r>
        <w:t>.</w:t>
      </w:r>
      <w:r>
        <w:tab/>
        <w:t>Grouping commonly controlled businesses</w:t>
      </w:r>
      <w:bookmarkEnd w:id="41"/>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2" w:name="_Toc389741226"/>
      <w:r>
        <w:rPr>
          <w:rStyle w:val="CharSectno"/>
        </w:rPr>
        <w:t>33</w:t>
      </w:r>
      <w:r>
        <w:t>.</w:t>
      </w:r>
      <w:r>
        <w:tab/>
        <w:t>Controlling interest in business</w:t>
      </w:r>
      <w:bookmarkEnd w:id="42"/>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3" w:name="_Toc389741227"/>
      <w:r>
        <w:rPr>
          <w:rStyle w:val="CharSectno"/>
        </w:rPr>
        <w:t>34</w:t>
      </w:r>
      <w:r>
        <w:t>.</w:t>
      </w:r>
      <w:r>
        <w:tab/>
        <w:t>Value of beneficial interest in discretionary trusts</w:t>
      </w:r>
      <w:bookmarkEnd w:id="43"/>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4" w:name="_Toc389741228"/>
      <w:r>
        <w:rPr>
          <w:rStyle w:val="CharSectno"/>
        </w:rPr>
        <w:t>35</w:t>
      </w:r>
      <w:r>
        <w:t>.</w:t>
      </w:r>
      <w:r>
        <w:tab/>
        <w:t>Grouping head and branch businesses</w:t>
      </w:r>
      <w:bookmarkEnd w:id="44"/>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5" w:name="_Toc389741229"/>
      <w:r>
        <w:rPr>
          <w:rStyle w:val="CharSectno"/>
        </w:rPr>
        <w:t>36</w:t>
      </w:r>
      <w:r>
        <w:t>.</w:t>
      </w:r>
      <w:r>
        <w:tab/>
        <w:t>Smaller groups subsumed into larger groups</w:t>
      </w:r>
      <w:bookmarkEnd w:id="45"/>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6" w:name="_Toc389741230"/>
      <w:r>
        <w:rPr>
          <w:rStyle w:val="CharSectno"/>
        </w:rPr>
        <w:t>37</w:t>
      </w:r>
      <w:r>
        <w:t>.</w:t>
      </w:r>
      <w:r>
        <w:tab/>
        <w:t>Grouping provisions operate independently</w:t>
      </w:r>
      <w:bookmarkEnd w:id="4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7" w:name="_Toc389741231"/>
      <w:r>
        <w:rPr>
          <w:rStyle w:val="CharSectno"/>
        </w:rPr>
        <w:t>38</w:t>
      </w:r>
      <w:r>
        <w:t>.</w:t>
      </w:r>
      <w:r>
        <w:tab/>
        <w:t>Exclusion from groups</w:t>
      </w:r>
      <w:bookmarkEnd w:id="47"/>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8" w:name="_Toc389741232"/>
      <w:r>
        <w:rPr>
          <w:rStyle w:val="CharSectno"/>
        </w:rPr>
        <w:t>39</w:t>
      </w:r>
      <w:r>
        <w:t>.</w:t>
      </w:r>
      <w:r>
        <w:tab/>
        <w:t>Designated group employer</w:t>
      </w:r>
      <w:bookmarkEnd w:id="4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9" w:name="_Toc389741233"/>
      <w:r>
        <w:rPr>
          <w:rStyle w:val="CharPartNo"/>
        </w:rPr>
        <w:t>Part 5</w:t>
      </w:r>
      <w:r>
        <w:rPr>
          <w:rStyle w:val="CharDivNo"/>
        </w:rPr>
        <w:t xml:space="preserve"> </w:t>
      </w:r>
      <w:r>
        <w:t>—</w:t>
      </w:r>
      <w:r>
        <w:rPr>
          <w:rStyle w:val="CharDivText"/>
        </w:rPr>
        <w:t xml:space="preserve"> </w:t>
      </w:r>
      <w:r>
        <w:rPr>
          <w:rStyle w:val="CharPartText"/>
        </w:rPr>
        <w:t>Miscellaneous</w:t>
      </w:r>
      <w:bookmarkEnd w:id="49"/>
    </w:p>
    <w:p>
      <w:pPr>
        <w:pStyle w:val="Heading5"/>
      </w:pPr>
      <w:bookmarkStart w:id="50" w:name="_Toc389741234"/>
      <w:r>
        <w:rPr>
          <w:rStyle w:val="CharSectno"/>
        </w:rPr>
        <w:t>40</w:t>
      </w:r>
      <w:r>
        <w:t>.</w:t>
      </w:r>
      <w:r>
        <w:tab/>
        <w:t>Exempt wages</w:t>
      </w:r>
      <w:bookmarkEnd w:id="50"/>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out of moneys expended for the purpose of a division or portion of a division referred to in the annual estimates of expenditure from the Consolidated Fund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Heading5"/>
      </w:pPr>
      <w:bookmarkStart w:id="51" w:name="_Toc389741235"/>
      <w:r>
        <w:rPr>
          <w:rStyle w:val="CharSectno"/>
        </w:rPr>
        <w:t>41</w:t>
      </w:r>
      <w:r>
        <w:t>.</w:t>
      </w:r>
      <w:r>
        <w:tab/>
        <w:t>Exempting charitable bodies or organisations</w:t>
      </w:r>
      <w:bookmarkEnd w:id="51"/>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2" w:name="_Toc389741236"/>
      <w:r>
        <w:rPr>
          <w:rStyle w:val="CharSectno"/>
        </w:rPr>
        <w:t>42</w:t>
      </w:r>
      <w:r>
        <w:t>.</w:t>
      </w:r>
      <w:r>
        <w:tab/>
        <w:t>Tax payable when employer leaves Australia</w:t>
      </w:r>
      <w:bookmarkEnd w:id="52"/>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237"/>
      <w:r>
        <w:rPr>
          <w:rStyle w:val="CharSectno"/>
        </w:rPr>
        <w:t>43</w:t>
      </w:r>
      <w:r>
        <w:t>.</w:t>
      </w:r>
      <w:r>
        <w:tab/>
        <w:t>Agents and trustees</w:t>
      </w:r>
      <w:bookmarkEnd w:id="5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4" w:name="_Toc389741238"/>
      <w:r>
        <w:rPr>
          <w:rStyle w:val="CharSectno"/>
        </w:rPr>
        <w:t>44</w:t>
      </w:r>
      <w:r>
        <w:t>.</w:t>
      </w:r>
      <w:r>
        <w:tab/>
        <w:t>Keeping books and accounts</w:t>
      </w:r>
      <w:bookmarkEnd w:id="5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5" w:name="_Toc389741239"/>
      <w:r>
        <w:rPr>
          <w:rStyle w:val="CharSectno"/>
        </w:rPr>
        <w:t>45</w:t>
      </w:r>
      <w:r>
        <w:t>.</w:t>
      </w:r>
      <w:r>
        <w:tab/>
        <w:t>Regulations</w:t>
      </w:r>
      <w:bookmarkEnd w:id="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56" w:name="_Toc389741240"/>
      <w:r>
        <w:rPr>
          <w:rStyle w:val="CharSchNo"/>
        </w:rPr>
        <w:t>Glossary</w:t>
      </w:r>
      <w:bookmarkEnd w:id="56"/>
      <w:r>
        <w:t xml:space="preserve"> </w:t>
      </w:r>
    </w:p>
    <w:p>
      <w:pPr>
        <w:pStyle w:val="yShoulderClause"/>
      </w:pPr>
      <w:r>
        <w:t>[s. 4]</w:t>
      </w:r>
    </w:p>
    <w:p>
      <w:pPr>
        <w:pStyle w:val="yHeading5"/>
        <w:outlineLvl w:val="9"/>
      </w:pPr>
      <w:bookmarkStart w:id="57" w:name="_Toc389741241"/>
      <w:r>
        <w:rPr>
          <w:rStyle w:val="CharSClsNo"/>
        </w:rPr>
        <w:t>1</w:t>
      </w:r>
      <w:r>
        <w:t>.</w:t>
      </w:r>
      <w:r>
        <w:tab/>
        <w:t>Definitions</w:t>
      </w:r>
      <w:bookmarkEnd w:id="57"/>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 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p>
    <w:p>
      <w:pPr>
        <w:pStyle w:val="yDefstart"/>
      </w:pPr>
      <w:r>
        <w:tab/>
      </w:r>
      <w:r>
        <w:rPr>
          <w:b/>
        </w:rPr>
        <w:t xml:space="preserve">“ </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58" w:name="_Toc389741242"/>
      <w:r>
        <w:rPr>
          <w:rStyle w:val="CharSClsNo"/>
        </w:rPr>
        <w:t>2</w:t>
      </w:r>
      <w:r>
        <w:t>.</w:t>
      </w:r>
      <w:r>
        <w:tab/>
        <w:t>Wages — meaning</w:t>
      </w:r>
      <w:bookmarkEnd w:id="58"/>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9" w:name="_Toc389741243"/>
      <w:r>
        <w:rPr>
          <w:rStyle w:val="CharSClsNo"/>
        </w:rPr>
        <w:t>3</w:t>
      </w:r>
      <w:r>
        <w:t>.</w:t>
      </w:r>
      <w:r>
        <w:tab/>
        <w:t>GST excluded from wages</w:t>
      </w:r>
      <w:bookmarkEnd w:id="59"/>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60" w:name="_Toc389741244"/>
      <w:r>
        <w:rPr>
          <w:rStyle w:val="CharSClsNo"/>
        </w:rPr>
        <w:t>4</w:t>
      </w:r>
      <w:r>
        <w:t>.</w:t>
      </w:r>
      <w:r>
        <w:tab/>
        <w:t>Place of payment of wages</w:t>
      </w:r>
      <w:bookmarkEnd w:id="6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1" w:name="_Toc389741245"/>
      <w:r>
        <w:rPr>
          <w:rStyle w:val="CharSClsNo"/>
        </w:rPr>
        <w:t>5</w:t>
      </w:r>
      <w:r>
        <w:t>.</w:t>
      </w:r>
      <w:r>
        <w:tab/>
        <w:t>Provider of fringe benefits or specified taxable benefits</w:t>
      </w:r>
      <w:bookmarkEnd w:id="61"/>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2" w:name="_Toc389741246"/>
      <w:r>
        <w:rPr>
          <w:rStyle w:val="CharSClsNo"/>
        </w:rPr>
        <w:t>6</w:t>
      </w:r>
      <w:r>
        <w:t>.</w:t>
      </w:r>
      <w:r>
        <w:tab/>
        <w:t>Value of wages paid in kind and other benefits</w:t>
      </w:r>
      <w:bookmarkEnd w:id="62"/>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3" w:name="_Toc389741247"/>
      <w:r>
        <w:rPr>
          <w:rStyle w:val="CharSClsNo"/>
        </w:rPr>
        <w:t>7</w:t>
      </w:r>
      <w:r>
        <w:t>.</w:t>
      </w:r>
      <w:r>
        <w:tab/>
        <w:t>The value of fringe benefits</w:t>
      </w:r>
      <w:bookmarkEnd w:id="63"/>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object w:dxaOrig="1060" w:dyaOrig="320">
          <v:shape id="_x0000_i1032" type="#_x0000_t75" style="width:53.25pt;height:15.75pt" o:ole="">
            <v:imagedata r:id="rId39" o:title=""/>
          </v:shape>
          <o:OLEObject Type="Embed" ProgID="Equation.3" ShapeID="_x0000_i1032" DrawAspect="Content" ObjectID="_1643572290" r:id="rId40"/>
        </w:obje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4" w:name="_Toc389741248"/>
      <w:r>
        <w:rPr>
          <w:rStyle w:val="CharSClsNo"/>
        </w:rPr>
        <w:t>8</w:t>
      </w:r>
      <w:r>
        <w:t>.</w:t>
      </w:r>
      <w:r>
        <w:tab/>
        <w:t>Superannuation benefits</w:t>
      </w:r>
      <w:bookmarkEnd w:id="6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5" w:name="_Toc389741249"/>
      <w:r>
        <w:rPr>
          <w:rStyle w:val="CharSClsNo"/>
        </w:rPr>
        <w:t>9</w:t>
      </w:r>
      <w:r>
        <w:t>.</w:t>
      </w:r>
      <w:r>
        <w:tab/>
        <w:t>Superannuation fund contributions</w:t>
      </w:r>
      <w:bookmarkEnd w:id="65"/>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6" w:name="_Toc389741250"/>
      <w:r>
        <w:rPr>
          <w:rStyle w:val="CharSClsNo"/>
        </w:rPr>
        <w:t>10</w:t>
      </w:r>
      <w:r>
        <w:t>.</w:t>
      </w:r>
      <w:r>
        <w:tab/>
      </w:r>
      <w:r>
        <w:rPr>
          <w:rStyle w:val="CharSectno"/>
        </w:rPr>
        <w:t>Contributions to defined superannuation benefit schemes</w:t>
      </w:r>
      <w:bookmarkEnd w:id="66"/>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7" w:name="_Toc389741251"/>
      <w:r>
        <w:rPr>
          <w:rStyle w:val="CharSClsNo"/>
        </w:rPr>
        <w:t>11</w:t>
      </w:r>
      <w:r>
        <w:t>.</w:t>
      </w:r>
      <w:r>
        <w:tab/>
        <w:t>Unfunded credit to certain unregulated schemes</w:t>
      </w:r>
      <w:bookmarkEnd w:id="67"/>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8" w:name="_Toc389741252"/>
      <w:r>
        <w:rPr>
          <w:rStyle w:val="CharSClsNo"/>
        </w:rPr>
        <w:t>12</w:t>
      </w:r>
      <w:r>
        <w:t>.</w:t>
      </w:r>
      <w:r>
        <w:tab/>
        <w:t>Superannuation guarantee charge</w:t>
      </w:r>
      <w:bookmarkEnd w:id="68"/>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69" w:name="_Toc389741253"/>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89741254"/>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iCs/>
                <w:sz w:val="19"/>
              </w:rPr>
              <w:t> </w:t>
            </w:r>
            <w:r>
              <w:rPr>
                <w:iCs/>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iCs/>
                <w:sz w:val="19"/>
              </w:rPr>
            </w:pPr>
            <w:r>
              <w:rPr>
                <w:i/>
                <w:sz w:val="19"/>
              </w:rPr>
              <w:t>Revenue Laws Amendment Act 2005</w:t>
            </w:r>
            <w:r>
              <w:rPr>
                <w:iCs/>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iCs/>
                <w:spacing w:val="-2"/>
                <w:sz w:val="19"/>
              </w:rPr>
            </w:pPr>
            <w:r>
              <w:rPr>
                <w:iCs/>
                <w:spacing w:val="-2"/>
                <w:sz w:val="19"/>
              </w:rPr>
              <w:t>18 May 2005 (see s. 2(2))</w:t>
            </w:r>
          </w:p>
        </w:tc>
      </w:tr>
      <w:tr>
        <w:trPr>
          <w:cantSplit/>
        </w:trPr>
        <w:tc>
          <w:tcPr>
            <w:tcW w:w="7088" w:type="dxa"/>
            <w:gridSpan w:val="4"/>
            <w:tcBorders>
              <w:bottom w:val="single" w:sz="8" w:space="0" w:color="auto"/>
            </w:tcBorders>
          </w:tcPr>
          <w:p>
            <w:pPr>
              <w:pStyle w:val="nTable"/>
              <w:spacing w:after="40"/>
              <w:rPr>
                <w:iCs/>
                <w:spacing w:val="-2"/>
                <w:sz w:val="19"/>
              </w:rPr>
            </w:pPr>
            <w:r>
              <w:rPr>
                <w:b/>
                <w:bCs/>
                <w:iCs/>
                <w:spacing w:val="-2"/>
                <w:sz w:val="19"/>
              </w:rPr>
              <w:t xml:space="preserve">Reprint 1: The </w:t>
            </w:r>
            <w:r>
              <w:rPr>
                <w:b/>
                <w:bCs/>
                <w:i/>
                <w:sz w:val="19"/>
              </w:rPr>
              <w:t>Pay</w:t>
            </w:r>
            <w:r>
              <w:rPr>
                <w:b/>
                <w:bCs/>
                <w:i/>
                <w:sz w:val="19"/>
              </w:rPr>
              <w:noBreakHyphen/>
              <w:t>roll Tax Assessment Act 2002</w:t>
            </w:r>
            <w:r>
              <w:rPr>
                <w:b/>
                <w:bCs/>
                <w:iCs/>
                <w:spacing w:val="-2"/>
                <w:sz w:val="19"/>
              </w:rPr>
              <w:t xml:space="preserve"> as at 6 Jan 2006</w:t>
            </w:r>
            <w:r>
              <w:rPr>
                <w:iCs/>
                <w:spacing w:val="-2"/>
                <w:sz w:val="19"/>
              </w:rPr>
              <w:t xml:space="preserve"> (includes amendments listed above)</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rPr>
          <w:iCs/>
        </w:rP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rPr>
          <w:iCs/>
        </w:rPr>
      </w:pPr>
      <w:r>
        <w:rPr>
          <w:vertAlign w:val="superscript"/>
        </w:rPr>
        <w:t>3</w:t>
      </w:r>
      <w:r>
        <w:tab/>
        <w:t xml:space="preserve">The </w:t>
      </w:r>
      <w:r>
        <w:rPr>
          <w:i/>
        </w:rPr>
        <w:t xml:space="preserve">Revenue Laws Amendment (Tax Relief) Act 2004 </w:t>
      </w:r>
      <w:r>
        <w:rPr>
          <w:iCs/>
        </w:rP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fldSimple w:instr=" STYLEREF CharSchNo \* MERGEFORMAT ">
            <w:r>
              <w:rPr>
                <w:noProof/>
              </w:rPr>
              <w:t>Glossary</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rPr>
              <w:bCs/>
            </w:rPr>
          </w:pPr>
          <w:r>
            <w:rPr>
              <w:bCs/>
            </w:rPr>
            <w:fldChar w:fldCharType="begin"/>
          </w:r>
          <w:r>
            <w:rPr>
              <w:bCs/>
            </w:rPr>
            <w:instrText xml:space="preserve"> styleref CharDivText </w:instrText>
          </w:r>
          <w:r>
            <w:rPr>
              <w:bCs/>
            </w:rPr>
            <w:fldChar w:fldCharType="separate"/>
          </w:r>
          <w:r>
            <w:rPr>
              <w:bCs/>
              <w:noProof/>
            </w:rPr>
            <w:t>Assessment generally</w:t>
          </w:r>
          <w:r>
            <w:rPr>
              <w:bCs/>
            </w:rPr>
            <w:fldChar w:fldCharType="end"/>
          </w:r>
        </w:p>
      </w:tc>
    </w:tr>
    <w:tr>
      <w:trPr>
        <w:cantSplit/>
      </w:trPr>
      <w:tc>
        <w:tcPr>
          <w:tcW w:w="7263" w:type="dxa"/>
          <w:gridSpan w:val="2"/>
        </w:tcPr>
        <w:p>
          <w:pPr>
            <w:pStyle w:val="HeaderSectionLeft"/>
          </w:pPr>
          <w:r>
            <w:t xml:space="preserve">s. </w:t>
          </w:r>
          <w:fldSimple w:instr=" styleref CharSectno ">
            <w:r>
              <w:rPr>
                <w:noProof/>
              </w:rPr>
              <w:t>23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generally</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s. </w:t>
          </w:r>
          <w:fldSimple w:instr=" styleref CharSectno ">
            <w:r>
              <w:rPr>
                <w:noProof/>
              </w:rPr>
              <w:t>23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Glossary</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15"/>
    <w:docVar w:name="WAFER_20140605140408" w:val="RemoveTocBookmarks,RemoveUnusedBookmarks,RemoveLanguageTags,UsedStyles,ResetPageSize"/>
    <w:docVar w:name="WAFER_20140605140408_GUID" w:val="2707e2e8-af76-42cd-ad6e-60e85bb599ef"/>
    <w:docVar w:name="WAFER_20151208154415" w:val="RemoveTrackChanges"/>
    <w:docVar w:name="WAFER_20151208154415_GUID" w:val="37b3ed89-b561-4bc8-a1f7-2e714f9b6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8.xml"/><Relationship Id="rId40" Type="http://schemas.openxmlformats.org/officeDocument/2006/relationships/oleObject" Target="embeddings/oleObject8.bin"/><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14482</Words>
  <Characters>71815</Characters>
  <Application>Microsoft Office Word</Application>
  <DocSecurity>0</DocSecurity>
  <Lines>1841</Lines>
  <Paragraphs>938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2002 - 01-b0-04</dc:title>
  <dc:subject/>
  <dc:creator/>
  <cp:keywords/>
  <dc:description/>
  <cp:lastModifiedBy>svcMRProcess</cp:lastModifiedBy>
  <cp:revision>4</cp:revision>
  <cp:lastPrinted>2006-01-11T07:15:00Z</cp:lastPrinted>
  <dcterms:created xsi:type="dcterms:W3CDTF">2020-02-18T15:04:00Z</dcterms:created>
  <dcterms:modified xsi:type="dcterms:W3CDTF">2020-02-18T15:05:00Z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6335</vt:i4>
  </property>
  <property fmtid="{D5CDD505-2E9C-101B-9397-08002B2CF9AE}" pid="6" name="ReprintNo">
    <vt:lpwstr>1</vt:lpwstr>
  </property>
  <property fmtid="{D5CDD505-2E9C-101B-9397-08002B2CF9AE}" pid="7" name="AsAtDate">
    <vt:lpwstr>01 Jul 2006</vt:lpwstr>
  </property>
  <property fmtid="{D5CDD505-2E9C-101B-9397-08002B2CF9AE}" pid="8" name="Suffix">
    <vt:lpwstr>01-b0-04</vt:lpwstr>
  </property>
</Properties>
</file>