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Dangerous Goods Safety Act 2004</w:t>
      </w:r>
    </w:p>
    <w:p>
      <w:pPr>
        <w:pStyle w:val="NameofActRegPage1"/>
        <w:spacing w:before="1800" w:after="420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(Major Hazard Facilities)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_Toc233693205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_Toc233693206 \h </w:instrText>
      </w:r>
      <w:r>
        <w:fldChar w:fldCharType="separate"/>
      </w:r>
      <w:r>
        <w:t>1</w:t>
      </w:r>
      <w:r>
        <w:fldChar w:fldCharType="end"/>
      </w:r>
    </w:p>
    <w:p>
      <w:pPr>
        <w:pStyle w:val="TOC8"/>
        <w:rPr>
          <w:sz w:val="24"/>
          <w:szCs w:val="24"/>
        </w:rPr>
      </w:pPr>
      <w:r>
        <w:rPr>
          <w:szCs w:val="24"/>
        </w:rPr>
        <w:t>3.</w:t>
      </w:r>
      <w:r>
        <w:rPr>
          <w:szCs w:val="24"/>
        </w:rPr>
        <w:tab/>
        <w:t>Application</w:t>
      </w:r>
      <w:r>
        <w:tab/>
      </w:r>
      <w:r>
        <w:fldChar w:fldCharType="begin"/>
      </w:r>
      <w:r>
        <w:instrText xml:space="preserve"> PAGEREF _Toc233693207 \h </w:instrText>
      </w:r>
      <w:r>
        <w:fldChar w:fldCharType="separate"/>
      </w:r>
      <w:r>
        <w:t>1</w:t>
      </w:r>
      <w:r>
        <w:fldChar w:fldCharType="end"/>
      </w:r>
    </w:p>
    <w:p>
      <w:pPr>
        <w:pStyle w:val="TOC8"/>
        <w:rPr>
          <w:sz w:val="24"/>
          <w:szCs w:val="24"/>
        </w:rPr>
      </w:pPr>
      <w:r>
        <w:rPr>
          <w:szCs w:val="24"/>
        </w:rPr>
        <w:t>4.</w:t>
      </w:r>
      <w:r>
        <w:rPr>
          <w:szCs w:val="24"/>
        </w:rPr>
        <w:tab/>
        <w:t>Terms used in these regulations</w:t>
      </w:r>
      <w:r>
        <w:tab/>
      </w:r>
      <w:r>
        <w:fldChar w:fldCharType="begin"/>
      </w:r>
      <w:r>
        <w:instrText xml:space="preserve"> PAGEREF _Toc233693208 \h </w:instrText>
      </w:r>
      <w:r>
        <w:fldChar w:fldCharType="separate"/>
      </w:r>
      <w:r>
        <w:t>2</w:t>
      </w:r>
      <w:r>
        <w:fldChar w:fldCharType="end"/>
      </w:r>
    </w:p>
    <w:p>
      <w:pPr>
        <w:pStyle w:val="TOC8"/>
        <w:rPr>
          <w:sz w:val="24"/>
          <w:szCs w:val="24"/>
        </w:rPr>
      </w:pPr>
      <w:r>
        <w:rPr>
          <w:szCs w:val="24"/>
        </w:rPr>
        <w:t>5.</w:t>
      </w:r>
      <w:r>
        <w:rPr>
          <w:szCs w:val="24"/>
        </w:rPr>
        <w:tab/>
        <w:t>“Major hazard facility”, meaning of</w:t>
      </w:r>
      <w:r>
        <w:tab/>
      </w:r>
      <w:r>
        <w:fldChar w:fldCharType="begin"/>
      </w:r>
      <w:r>
        <w:instrText xml:space="preserve"> PAGEREF _Toc233693209 \h </w:instrText>
      </w:r>
      <w:r>
        <w:fldChar w:fldCharType="separate"/>
      </w:r>
      <w:r>
        <w:t>6</w:t>
      </w:r>
      <w:r>
        <w:fldChar w:fldCharType="end"/>
      </w:r>
    </w:p>
    <w:p>
      <w:pPr>
        <w:pStyle w:val="TOC8"/>
        <w:rPr>
          <w:sz w:val="24"/>
          <w:szCs w:val="24"/>
        </w:rPr>
      </w:pPr>
      <w:r>
        <w:rPr>
          <w:szCs w:val="24"/>
        </w:rPr>
        <w:t>6.</w:t>
      </w:r>
      <w:r>
        <w:rPr>
          <w:szCs w:val="24"/>
        </w:rPr>
        <w:tab/>
        <w:t>“Place”, meaning of</w:t>
      </w:r>
      <w:r>
        <w:tab/>
      </w:r>
      <w:r>
        <w:fldChar w:fldCharType="begin"/>
      </w:r>
      <w:r>
        <w:instrText xml:space="preserve"> PAGEREF _Toc233693210 \h </w:instrText>
      </w:r>
      <w:r>
        <w:fldChar w:fldCharType="separate"/>
      </w:r>
      <w:r>
        <w:t>6</w:t>
      </w:r>
      <w:r>
        <w:fldChar w:fldCharType="end"/>
      </w:r>
    </w:p>
    <w:p>
      <w:pPr>
        <w:pStyle w:val="TOC8"/>
        <w:rPr>
          <w:sz w:val="24"/>
          <w:szCs w:val="24"/>
        </w:rPr>
      </w:pPr>
      <w:r>
        <w:rPr>
          <w:szCs w:val="24"/>
        </w:rPr>
        <w:t>7.</w:t>
      </w:r>
      <w:r>
        <w:rPr>
          <w:szCs w:val="24"/>
        </w:rPr>
        <w:tab/>
        <w:t>Circumstances in which Schedule 1 substances are likely to be at a place</w:t>
      </w:r>
      <w:r>
        <w:tab/>
      </w:r>
      <w:r>
        <w:fldChar w:fldCharType="begin"/>
      </w:r>
      <w:r>
        <w:instrText xml:space="preserve"> PAGEREF _Toc233693211 \h </w:instrText>
      </w:r>
      <w:r>
        <w:fldChar w:fldCharType="separate"/>
      </w:r>
      <w:r>
        <w:t>7</w:t>
      </w:r>
      <w:r>
        <w:fldChar w:fldCharType="end"/>
      </w:r>
    </w:p>
    <w:p>
      <w:pPr>
        <w:pStyle w:val="TOC8"/>
        <w:rPr>
          <w:sz w:val="24"/>
          <w:szCs w:val="24"/>
        </w:rPr>
      </w:pPr>
      <w:r>
        <w:rPr>
          <w:szCs w:val="24"/>
        </w:rPr>
        <w:t>8.</w:t>
      </w:r>
      <w:r>
        <w:rPr>
          <w:szCs w:val="24"/>
        </w:rPr>
        <w:tab/>
        <w:t>Determining the quantity of substances at a place or likely to be at a place</w:t>
      </w:r>
      <w:r>
        <w:tab/>
      </w:r>
      <w:r>
        <w:fldChar w:fldCharType="begin"/>
      </w:r>
      <w:r>
        <w:instrText xml:space="preserve"> PAGEREF _Toc233693212 \h </w:instrText>
      </w:r>
      <w:r>
        <w:fldChar w:fldCharType="separate"/>
      </w:r>
      <w:r>
        <w:t>7</w:t>
      </w:r>
      <w:r>
        <w:fldChar w:fldCharType="end"/>
      </w:r>
    </w:p>
    <w:p>
      <w:pPr>
        <w:pStyle w:val="TOC8"/>
        <w:rPr>
          <w:sz w:val="24"/>
          <w:szCs w:val="24"/>
        </w:rPr>
      </w:pPr>
      <w:r>
        <w:rPr>
          <w:szCs w:val="24"/>
        </w:rPr>
        <w:t>9.</w:t>
      </w:r>
      <w:r>
        <w:rPr>
          <w:szCs w:val="24"/>
        </w:rPr>
        <w:tab/>
        <w:t>Determining the critical quantity of Schedule 1 substances at a place or likely to be at a place</w:t>
      </w:r>
      <w:r>
        <w:tab/>
      </w:r>
      <w:r>
        <w:fldChar w:fldCharType="begin"/>
      </w:r>
      <w:r>
        <w:instrText xml:space="preserve"> PAGEREF _Toc233693213 \h </w:instrText>
      </w:r>
      <w:r>
        <w:fldChar w:fldCharType="separate"/>
      </w:r>
      <w:r>
        <w:t>8</w:t>
      </w:r>
      <w:r>
        <w:fldChar w:fldCharType="end"/>
      </w:r>
    </w:p>
    <w:p>
      <w:pPr>
        <w:pStyle w:val="TOC8"/>
        <w:rPr>
          <w:sz w:val="24"/>
          <w:szCs w:val="24"/>
        </w:rPr>
      </w:pPr>
      <w:r>
        <w:rPr>
          <w:szCs w:val="24"/>
        </w:rPr>
        <w:t>10.</w:t>
      </w:r>
      <w:r>
        <w:rPr>
          <w:szCs w:val="24"/>
        </w:rPr>
        <w:tab/>
        <w:t>Determining the threshold quantity for a Schedule 1 substance</w:t>
      </w:r>
      <w:r>
        <w:tab/>
      </w:r>
      <w:r>
        <w:fldChar w:fldCharType="begin"/>
      </w:r>
      <w:r>
        <w:instrText xml:space="preserve"> PAGEREF _Toc233693214 \h </w:instrText>
      </w:r>
      <w:r>
        <w:fldChar w:fldCharType="separate"/>
      </w:r>
      <w:r>
        <w:t>9</w:t>
      </w:r>
      <w:r>
        <w:fldChar w:fldCharType="end"/>
      </w:r>
    </w:p>
    <w:p>
      <w:pPr>
        <w:pStyle w:val="TOC2"/>
        <w:tabs>
          <w:tab w:val="right" w:leader="dot" w:pos="7086"/>
        </w:tabs>
        <w:rPr>
          <w:b w:val="0"/>
          <w:sz w:val="24"/>
          <w:szCs w:val="24"/>
        </w:rPr>
      </w:pPr>
      <w:r>
        <w:rPr>
          <w:szCs w:val="30"/>
        </w:rPr>
        <w:t>Part 2 — Main Offences</w:t>
      </w:r>
    </w:p>
    <w:p>
      <w:pPr>
        <w:pStyle w:val="TOC8"/>
        <w:rPr>
          <w:sz w:val="24"/>
          <w:szCs w:val="24"/>
        </w:rPr>
      </w:pPr>
      <w:r>
        <w:rPr>
          <w:szCs w:val="24"/>
        </w:rPr>
        <w:t>11.</w:t>
      </w:r>
      <w:r>
        <w:rPr>
          <w:szCs w:val="24"/>
        </w:rPr>
        <w:tab/>
        <w:t>Schedule 1 substances at a place not to exceed critical quantity without prior notification to Chief Officer</w:t>
      </w:r>
      <w:r>
        <w:tab/>
      </w:r>
      <w:r>
        <w:fldChar w:fldCharType="begin"/>
      </w:r>
      <w:r>
        <w:instrText xml:space="preserve"> PAGEREF _Toc233693216 \h </w:instrText>
      </w:r>
      <w:r>
        <w:fldChar w:fldCharType="separate"/>
      </w:r>
      <w:r>
        <w:t>11</w:t>
      </w:r>
      <w:r>
        <w:fldChar w:fldCharType="end"/>
      </w:r>
    </w:p>
    <w:p>
      <w:pPr>
        <w:pStyle w:val="TOC8"/>
        <w:rPr>
          <w:sz w:val="24"/>
          <w:szCs w:val="24"/>
        </w:rPr>
      </w:pPr>
      <w:r>
        <w:rPr>
          <w:szCs w:val="24"/>
        </w:rPr>
        <w:t>12.</w:t>
      </w:r>
      <w:r>
        <w:rPr>
          <w:szCs w:val="24"/>
        </w:rPr>
        <w:tab/>
        <w:t>No significant change to certain places without prior notification to Chief Officer</w:t>
      </w:r>
      <w:r>
        <w:tab/>
      </w:r>
      <w:r>
        <w:fldChar w:fldCharType="begin"/>
      </w:r>
      <w:r>
        <w:instrText xml:space="preserve"> PAGEREF _Toc233693217 \h </w:instrText>
      </w:r>
      <w:r>
        <w:fldChar w:fldCharType="separate"/>
      </w:r>
      <w:r>
        <w:t>11</w:t>
      </w:r>
      <w:r>
        <w:fldChar w:fldCharType="end"/>
      </w:r>
    </w:p>
    <w:p>
      <w:pPr>
        <w:pStyle w:val="TOC8"/>
        <w:rPr>
          <w:sz w:val="24"/>
          <w:szCs w:val="24"/>
        </w:rPr>
      </w:pPr>
      <w:r>
        <w:rPr>
          <w:szCs w:val="24"/>
        </w:rPr>
        <w:t>13.</w:t>
      </w:r>
      <w:r>
        <w:rPr>
          <w:szCs w:val="24"/>
        </w:rPr>
        <w:tab/>
        <w:t xml:space="preserve">Major hazard facility to operate in accordance with safety management system in approved </w:t>
      </w:r>
      <w:r>
        <w:rPr>
          <w:color w:val="000000"/>
          <w:szCs w:val="24"/>
        </w:rPr>
        <w:t>safety report</w:t>
      </w:r>
      <w:r>
        <w:tab/>
      </w:r>
      <w:r>
        <w:fldChar w:fldCharType="begin"/>
      </w:r>
      <w:r>
        <w:instrText xml:space="preserve"> PAGEREF _Toc233693218 \h </w:instrText>
      </w:r>
      <w:r>
        <w:fldChar w:fldCharType="separate"/>
      </w:r>
      <w:r>
        <w:t>12</w:t>
      </w:r>
      <w:r>
        <w:fldChar w:fldCharType="end"/>
      </w:r>
    </w:p>
    <w:p>
      <w:pPr>
        <w:pStyle w:val="TOC2"/>
        <w:tabs>
          <w:tab w:val="right" w:leader="dot" w:pos="7086"/>
        </w:tabs>
        <w:rPr>
          <w:b w:val="0"/>
          <w:sz w:val="24"/>
          <w:szCs w:val="24"/>
        </w:rPr>
      </w:pPr>
      <w:r>
        <w:rPr>
          <w:szCs w:val="30"/>
        </w:rPr>
        <w:lastRenderedPageBreak/>
        <w:t>Part 3 — Notification requirements</w:t>
      </w:r>
    </w:p>
    <w:p>
      <w:pPr>
        <w:pStyle w:val="TOC8"/>
        <w:rPr>
          <w:sz w:val="24"/>
          <w:szCs w:val="24"/>
        </w:rPr>
      </w:pPr>
      <w:r>
        <w:rPr>
          <w:szCs w:val="24"/>
        </w:rPr>
        <w:t>14.</w:t>
      </w:r>
      <w:r>
        <w:rPr>
          <w:szCs w:val="24"/>
        </w:rPr>
        <w:tab/>
        <w:t>Operator to notify Chief Officer if more than critical quantity of Schedule 1 substances likely to be at the place</w:t>
      </w:r>
      <w:r>
        <w:tab/>
      </w:r>
      <w:r>
        <w:fldChar w:fldCharType="begin"/>
      </w:r>
      <w:r>
        <w:instrText xml:space="preserve"> PAGEREF _Toc233693220 \h </w:instrText>
      </w:r>
      <w:r>
        <w:fldChar w:fldCharType="separate"/>
      </w:r>
      <w:r>
        <w:t>13</w:t>
      </w:r>
      <w:r>
        <w:fldChar w:fldCharType="end"/>
      </w:r>
    </w:p>
    <w:p>
      <w:pPr>
        <w:pStyle w:val="TOC8"/>
        <w:rPr>
          <w:sz w:val="24"/>
          <w:szCs w:val="24"/>
        </w:rPr>
      </w:pPr>
      <w:r>
        <w:rPr>
          <w:szCs w:val="24"/>
        </w:rPr>
        <w:t>15.</w:t>
      </w:r>
      <w:r>
        <w:rPr>
          <w:szCs w:val="24"/>
        </w:rPr>
        <w:tab/>
        <w:t>Operator of certain places to notify Chief Officer of change</w:t>
      </w:r>
      <w:r>
        <w:tab/>
      </w:r>
      <w:r>
        <w:fldChar w:fldCharType="begin"/>
      </w:r>
      <w:r>
        <w:instrText xml:space="preserve"> PAGEREF _Toc233693221 \h </w:instrText>
      </w:r>
      <w:r>
        <w:fldChar w:fldCharType="separate"/>
      </w:r>
      <w:r>
        <w:t>13</w:t>
      </w:r>
      <w:r>
        <w:fldChar w:fldCharType="end"/>
      </w:r>
    </w:p>
    <w:p>
      <w:pPr>
        <w:pStyle w:val="TOC8"/>
        <w:rPr>
          <w:sz w:val="24"/>
          <w:szCs w:val="24"/>
        </w:rPr>
      </w:pPr>
      <w:r>
        <w:rPr>
          <w:szCs w:val="24"/>
        </w:rPr>
        <w:t>16.</w:t>
      </w:r>
      <w:r>
        <w:rPr>
          <w:szCs w:val="24"/>
        </w:rPr>
        <w:tab/>
        <w:t>Chief Officer may direct operator to give notification</w:t>
      </w:r>
      <w:r>
        <w:tab/>
      </w:r>
      <w:r>
        <w:fldChar w:fldCharType="begin"/>
      </w:r>
      <w:r>
        <w:instrText xml:space="preserve"> PAGEREF _Toc233693222 \h </w:instrText>
      </w:r>
      <w:r>
        <w:fldChar w:fldCharType="separate"/>
      </w:r>
      <w:r>
        <w:t>14</w:t>
      </w:r>
      <w:r>
        <w:fldChar w:fldCharType="end"/>
      </w:r>
    </w:p>
    <w:p>
      <w:pPr>
        <w:pStyle w:val="TOC8"/>
        <w:rPr>
          <w:sz w:val="24"/>
          <w:szCs w:val="24"/>
        </w:rPr>
      </w:pPr>
      <w:r>
        <w:rPr>
          <w:szCs w:val="24"/>
        </w:rPr>
        <w:t>17.</w:t>
      </w:r>
      <w:r>
        <w:rPr>
          <w:szCs w:val="24"/>
        </w:rPr>
        <w:tab/>
        <w:t>Notification required</w:t>
      </w:r>
      <w:r>
        <w:tab/>
      </w:r>
      <w:r>
        <w:fldChar w:fldCharType="begin"/>
      </w:r>
      <w:r>
        <w:instrText xml:space="preserve"> PAGEREF _Toc233693223 \h </w:instrText>
      </w:r>
      <w:r>
        <w:fldChar w:fldCharType="separate"/>
      </w:r>
      <w:r>
        <w:t>15</w:t>
      </w:r>
      <w:r>
        <w:fldChar w:fldCharType="end"/>
      </w:r>
    </w:p>
    <w:p>
      <w:pPr>
        <w:pStyle w:val="TOC8"/>
        <w:rPr>
          <w:sz w:val="24"/>
          <w:szCs w:val="24"/>
        </w:rPr>
      </w:pPr>
      <w:r>
        <w:rPr>
          <w:szCs w:val="24"/>
        </w:rPr>
        <w:t>18.</w:t>
      </w:r>
      <w:r>
        <w:rPr>
          <w:szCs w:val="24"/>
        </w:rPr>
        <w:tab/>
        <w:t>Chief Officer may direct operator to give further information</w:t>
      </w:r>
      <w:r>
        <w:tab/>
      </w:r>
      <w:r>
        <w:fldChar w:fldCharType="begin"/>
      </w:r>
      <w:r>
        <w:instrText xml:space="preserve"> PAGEREF _Toc233693224 \h </w:instrText>
      </w:r>
      <w:r>
        <w:fldChar w:fldCharType="separate"/>
      </w:r>
      <w:r>
        <w:t>16</w:t>
      </w:r>
      <w:r>
        <w:fldChar w:fldCharType="end"/>
      </w:r>
    </w:p>
    <w:p>
      <w:pPr>
        <w:pStyle w:val="TOC2"/>
        <w:tabs>
          <w:tab w:val="right" w:leader="dot" w:pos="7086"/>
        </w:tabs>
        <w:rPr>
          <w:b w:val="0"/>
          <w:sz w:val="24"/>
          <w:szCs w:val="24"/>
        </w:rPr>
      </w:pPr>
      <w:r>
        <w:rPr>
          <w:szCs w:val="30"/>
        </w:rPr>
        <w:t>Part 4 — Certain places to be major hazard facilities</w:t>
      </w:r>
    </w:p>
    <w:p>
      <w:pPr>
        <w:pStyle w:val="TOC8"/>
        <w:rPr>
          <w:sz w:val="24"/>
          <w:szCs w:val="24"/>
        </w:rPr>
      </w:pPr>
      <w:r>
        <w:rPr>
          <w:szCs w:val="24"/>
        </w:rPr>
        <w:t>19.</w:t>
      </w:r>
      <w:r>
        <w:rPr>
          <w:szCs w:val="24"/>
        </w:rPr>
        <w:tab/>
        <w:t>Classification of certain places as major hazard facilities</w:t>
      </w:r>
      <w:r>
        <w:tab/>
      </w:r>
      <w:r>
        <w:fldChar w:fldCharType="begin"/>
      </w:r>
      <w:r>
        <w:instrText xml:space="preserve"> PAGEREF _Toc233693226 \h </w:instrText>
      </w:r>
      <w:r>
        <w:fldChar w:fldCharType="separate"/>
      </w:r>
      <w:r>
        <w:t>17</w:t>
      </w:r>
      <w:r>
        <w:fldChar w:fldCharType="end"/>
      </w:r>
    </w:p>
    <w:p>
      <w:pPr>
        <w:pStyle w:val="TOC8"/>
        <w:rPr>
          <w:sz w:val="24"/>
          <w:szCs w:val="24"/>
        </w:rPr>
      </w:pPr>
      <w:r>
        <w:rPr>
          <w:szCs w:val="24"/>
        </w:rPr>
        <w:t>20.</w:t>
      </w:r>
      <w:r>
        <w:rPr>
          <w:szCs w:val="24"/>
        </w:rPr>
        <w:tab/>
        <w:t>Chief Officer to consult in relation to a decision to classify a place as a major hazard facility</w:t>
      </w:r>
      <w:r>
        <w:tab/>
      </w:r>
      <w:r>
        <w:fldChar w:fldCharType="begin"/>
      </w:r>
      <w:r>
        <w:instrText xml:space="preserve"> PAGEREF _Toc233693227 \h </w:instrText>
      </w:r>
      <w:r>
        <w:fldChar w:fldCharType="separate"/>
      </w:r>
      <w:r>
        <w:t>18</w:t>
      </w:r>
      <w:r>
        <w:fldChar w:fldCharType="end"/>
      </w:r>
    </w:p>
    <w:p>
      <w:pPr>
        <w:pStyle w:val="TOC8"/>
        <w:rPr>
          <w:sz w:val="24"/>
          <w:szCs w:val="24"/>
        </w:rPr>
      </w:pPr>
      <w:r>
        <w:rPr>
          <w:szCs w:val="24"/>
        </w:rPr>
        <w:t>21.</w:t>
      </w:r>
      <w:r>
        <w:rPr>
          <w:szCs w:val="24"/>
        </w:rPr>
        <w:tab/>
        <w:t>Chief Officer to notify decision whether or not to classify a place as a major hazard facility</w:t>
      </w:r>
      <w:r>
        <w:tab/>
      </w:r>
      <w:r>
        <w:fldChar w:fldCharType="begin"/>
      </w:r>
      <w:r>
        <w:instrText xml:space="preserve"> PAGEREF _Toc233693228 \h </w:instrText>
      </w:r>
      <w:r>
        <w:fldChar w:fldCharType="separate"/>
      </w:r>
      <w:r>
        <w:t>18</w:t>
      </w:r>
      <w:r>
        <w:fldChar w:fldCharType="end"/>
      </w:r>
    </w:p>
    <w:p>
      <w:pPr>
        <w:pStyle w:val="TOC8"/>
        <w:rPr>
          <w:sz w:val="24"/>
          <w:szCs w:val="24"/>
        </w:rPr>
      </w:pPr>
      <w:r>
        <w:rPr>
          <w:szCs w:val="24"/>
        </w:rPr>
        <w:t>22.</w:t>
      </w:r>
      <w:r>
        <w:rPr>
          <w:szCs w:val="24"/>
        </w:rPr>
        <w:tab/>
        <w:t>Chief Officer may revoke decision to classify a place as a major hazard facility</w:t>
      </w:r>
      <w:r>
        <w:tab/>
      </w:r>
      <w:r>
        <w:fldChar w:fldCharType="begin"/>
      </w:r>
      <w:r>
        <w:instrText xml:space="preserve"> PAGEREF _Toc233693229 \h </w:instrText>
      </w:r>
      <w:r>
        <w:fldChar w:fldCharType="separate"/>
      </w:r>
      <w:r>
        <w:t>19</w:t>
      </w:r>
      <w:r>
        <w:fldChar w:fldCharType="end"/>
      </w:r>
    </w:p>
    <w:p>
      <w:pPr>
        <w:pStyle w:val="TOC2"/>
        <w:tabs>
          <w:tab w:val="right" w:leader="dot" w:pos="7086"/>
        </w:tabs>
        <w:rPr>
          <w:b w:val="0"/>
          <w:sz w:val="24"/>
          <w:szCs w:val="24"/>
        </w:rPr>
      </w:pPr>
      <w:r>
        <w:rPr>
          <w:szCs w:val="30"/>
        </w:rPr>
        <w:t>Part 5 — </w:t>
      </w:r>
      <w:r>
        <w:rPr>
          <w:color w:val="000000"/>
          <w:szCs w:val="30"/>
        </w:rPr>
        <w:t>Safety reports</w:t>
      </w:r>
    </w:p>
    <w:p>
      <w:pPr>
        <w:pStyle w:val="TOC8"/>
        <w:rPr>
          <w:sz w:val="24"/>
          <w:szCs w:val="24"/>
        </w:rPr>
      </w:pPr>
      <w:r>
        <w:rPr>
          <w:szCs w:val="24"/>
        </w:rPr>
        <w:t>23.</w:t>
      </w:r>
      <w:r>
        <w:rPr>
          <w:szCs w:val="24"/>
        </w:rPr>
        <w:tab/>
        <w:t xml:space="preserve">Duty to </w:t>
      </w:r>
      <w:r>
        <w:rPr>
          <w:color w:val="000000"/>
          <w:szCs w:val="24"/>
        </w:rPr>
        <w:t>prepare risk assessment</w:t>
      </w:r>
      <w:r>
        <w:tab/>
      </w:r>
      <w:r>
        <w:fldChar w:fldCharType="begin"/>
      </w:r>
      <w:r>
        <w:instrText xml:space="preserve"> PAGEREF _Toc233693231 \h </w:instrText>
      </w:r>
      <w:r>
        <w:fldChar w:fldCharType="separate"/>
      </w:r>
      <w:r>
        <w:t>20</w:t>
      </w:r>
      <w:r>
        <w:fldChar w:fldCharType="end"/>
      </w:r>
    </w:p>
    <w:p>
      <w:pPr>
        <w:pStyle w:val="TOC8"/>
        <w:rPr>
          <w:sz w:val="24"/>
          <w:szCs w:val="24"/>
        </w:rPr>
      </w:pPr>
      <w:r>
        <w:rPr>
          <w:szCs w:val="24"/>
        </w:rPr>
        <w:t>24.</w:t>
      </w:r>
      <w:r>
        <w:rPr>
          <w:szCs w:val="24"/>
        </w:rPr>
        <w:tab/>
        <w:t xml:space="preserve">Duty to </w:t>
      </w:r>
      <w:r>
        <w:rPr>
          <w:color w:val="000000"/>
          <w:szCs w:val="24"/>
        </w:rPr>
        <w:t>prepare safety management system</w:t>
      </w:r>
      <w:r>
        <w:tab/>
      </w:r>
      <w:r>
        <w:fldChar w:fldCharType="begin"/>
      </w:r>
      <w:r>
        <w:instrText xml:space="preserve"> PAGEREF _Toc233693232 \h </w:instrText>
      </w:r>
      <w:r>
        <w:fldChar w:fldCharType="separate"/>
      </w:r>
      <w:r>
        <w:t>21</w:t>
      </w:r>
      <w:r>
        <w:fldChar w:fldCharType="end"/>
      </w:r>
    </w:p>
    <w:p>
      <w:pPr>
        <w:pStyle w:val="TOC8"/>
        <w:rPr>
          <w:sz w:val="24"/>
          <w:szCs w:val="24"/>
        </w:rPr>
      </w:pPr>
      <w:r>
        <w:rPr>
          <w:szCs w:val="24"/>
        </w:rPr>
        <w:t>25.</w:t>
      </w:r>
      <w:r>
        <w:rPr>
          <w:szCs w:val="24"/>
        </w:rPr>
        <w:tab/>
        <w:t xml:space="preserve">Duty to </w:t>
      </w:r>
      <w:r>
        <w:rPr>
          <w:color w:val="000000"/>
          <w:szCs w:val="24"/>
        </w:rPr>
        <w:t>prepare safety report</w:t>
      </w:r>
      <w:r>
        <w:tab/>
      </w:r>
      <w:r>
        <w:fldChar w:fldCharType="begin"/>
      </w:r>
      <w:r>
        <w:instrText xml:space="preserve"> PAGEREF _Toc233693233 \h </w:instrText>
      </w:r>
      <w:r>
        <w:fldChar w:fldCharType="separate"/>
      </w:r>
      <w:r>
        <w:t>21</w:t>
      </w:r>
      <w:r>
        <w:fldChar w:fldCharType="end"/>
      </w:r>
    </w:p>
    <w:p>
      <w:pPr>
        <w:pStyle w:val="TOC8"/>
        <w:rPr>
          <w:sz w:val="24"/>
          <w:szCs w:val="24"/>
        </w:rPr>
      </w:pPr>
      <w:r>
        <w:rPr>
          <w:szCs w:val="24"/>
        </w:rPr>
        <w:t>26.</w:t>
      </w:r>
      <w:r>
        <w:rPr>
          <w:szCs w:val="24"/>
        </w:rPr>
        <w:tab/>
        <w:t xml:space="preserve">Application for approval of </w:t>
      </w:r>
      <w:r>
        <w:rPr>
          <w:color w:val="000000"/>
          <w:szCs w:val="24"/>
        </w:rPr>
        <w:t>safety report</w:t>
      </w:r>
      <w:r>
        <w:tab/>
      </w:r>
      <w:r>
        <w:fldChar w:fldCharType="begin"/>
      </w:r>
      <w:r>
        <w:instrText xml:space="preserve"> PAGEREF _Toc233693234 \h </w:instrText>
      </w:r>
      <w:r>
        <w:fldChar w:fldCharType="separate"/>
      </w:r>
      <w:r>
        <w:t>22</w:t>
      </w:r>
      <w:r>
        <w:fldChar w:fldCharType="end"/>
      </w:r>
    </w:p>
    <w:p>
      <w:pPr>
        <w:pStyle w:val="TOC8"/>
        <w:rPr>
          <w:sz w:val="24"/>
          <w:szCs w:val="24"/>
        </w:rPr>
      </w:pPr>
      <w:r>
        <w:rPr>
          <w:szCs w:val="24"/>
        </w:rPr>
        <w:t>27.</w:t>
      </w:r>
      <w:r>
        <w:rPr>
          <w:szCs w:val="24"/>
        </w:rPr>
        <w:tab/>
        <w:t xml:space="preserve">Approval of </w:t>
      </w:r>
      <w:r>
        <w:rPr>
          <w:color w:val="000000"/>
          <w:szCs w:val="24"/>
        </w:rPr>
        <w:t>safety report</w:t>
      </w:r>
      <w:r>
        <w:rPr>
          <w:szCs w:val="24"/>
        </w:rPr>
        <w:t xml:space="preserve"> by the Chief Officer</w:t>
      </w:r>
      <w:r>
        <w:tab/>
      </w:r>
      <w:r>
        <w:fldChar w:fldCharType="begin"/>
      </w:r>
      <w:r>
        <w:instrText xml:space="preserve"> PAGEREF _Toc233693235 \h </w:instrText>
      </w:r>
      <w:r>
        <w:fldChar w:fldCharType="separate"/>
      </w:r>
      <w:r>
        <w:t>22</w:t>
      </w:r>
      <w:r>
        <w:fldChar w:fldCharType="end"/>
      </w:r>
    </w:p>
    <w:p>
      <w:pPr>
        <w:pStyle w:val="TOC8"/>
        <w:rPr>
          <w:sz w:val="24"/>
          <w:szCs w:val="24"/>
        </w:rPr>
      </w:pPr>
      <w:r>
        <w:rPr>
          <w:szCs w:val="24"/>
        </w:rPr>
        <w:t>28.</w:t>
      </w:r>
      <w:r>
        <w:rPr>
          <w:szCs w:val="24"/>
        </w:rPr>
        <w:tab/>
        <w:t xml:space="preserve">Withdrawal of approval of </w:t>
      </w:r>
      <w:r>
        <w:rPr>
          <w:color w:val="000000"/>
          <w:szCs w:val="24"/>
        </w:rPr>
        <w:t>safety report</w:t>
      </w:r>
      <w:r>
        <w:tab/>
      </w:r>
      <w:r>
        <w:fldChar w:fldCharType="begin"/>
      </w:r>
      <w:r>
        <w:instrText xml:space="preserve"> PAGEREF _Toc233693236 \h </w:instrText>
      </w:r>
      <w:r>
        <w:fldChar w:fldCharType="separate"/>
      </w:r>
      <w:r>
        <w:t>23</w:t>
      </w:r>
      <w:r>
        <w:fldChar w:fldCharType="end"/>
      </w:r>
    </w:p>
    <w:p>
      <w:pPr>
        <w:pStyle w:val="TOC8"/>
        <w:rPr>
          <w:sz w:val="24"/>
          <w:szCs w:val="24"/>
        </w:rPr>
      </w:pPr>
      <w:r>
        <w:rPr>
          <w:szCs w:val="24"/>
        </w:rPr>
        <w:t>29.</w:t>
      </w:r>
      <w:r>
        <w:rPr>
          <w:szCs w:val="24"/>
        </w:rPr>
        <w:tab/>
        <w:t xml:space="preserve">Chief Officer to consult and notify in relation to approval of </w:t>
      </w:r>
      <w:r>
        <w:rPr>
          <w:color w:val="000000"/>
          <w:szCs w:val="24"/>
        </w:rPr>
        <w:t>safety report</w:t>
      </w:r>
      <w:r>
        <w:tab/>
      </w:r>
      <w:r>
        <w:fldChar w:fldCharType="begin"/>
      </w:r>
      <w:r>
        <w:instrText xml:space="preserve"> PAGEREF _Toc233693237 \h </w:instrText>
      </w:r>
      <w:r>
        <w:fldChar w:fldCharType="separate"/>
      </w:r>
      <w:r>
        <w:t>23</w:t>
      </w:r>
      <w:r>
        <w:fldChar w:fldCharType="end"/>
      </w:r>
    </w:p>
    <w:p>
      <w:pPr>
        <w:pStyle w:val="TOC8"/>
        <w:rPr>
          <w:sz w:val="24"/>
          <w:szCs w:val="24"/>
        </w:rPr>
      </w:pPr>
      <w:r>
        <w:rPr>
          <w:szCs w:val="24"/>
        </w:rPr>
        <w:t>30.</w:t>
      </w:r>
      <w:r>
        <w:rPr>
          <w:szCs w:val="24"/>
        </w:rPr>
        <w:tab/>
        <w:t>Operators to review safety reports</w:t>
      </w:r>
      <w:r>
        <w:tab/>
      </w:r>
      <w:r>
        <w:fldChar w:fldCharType="begin"/>
      </w:r>
      <w:r>
        <w:instrText xml:space="preserve"> PAGEREF _Toc233693238 \h </w:instrText>
      </w:r>
      <w:r>
        <w:fldChar w:fldCharType="separate"/>
      </w:r>
      <w:r>
        <w:t>24</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31.</w:t>
      </w:r>
      <w:r>
        <w:rPr>
          <w:szCs w:val="24"/>
        </w:rPr>
        <w:tab/>
        <w:t>Direction to provide information to nearby major hazard facility</w:t>
      </w:r>
      <w:r>
        <w:tab/>
      </w:r>
      <w:r>
        <w:fldChar w:fldCharType="begin"/>
      </w:r>
      <w:r>
        <w:instrText xml:space="preserve"> PAGEREF _Toc233693240 \h </w:instrText>
      </w:r>
      <w:r>
        <w:fldChar w:fldCharType="separate"/>
      </w:r>
      <w:r>
        <w:t>27</w:t>
      </w:r>
      <w:r>
        <w:fldChar w:fldCharType="end"/>
      </w:r>
    </w:p>
    <w:p>
      <w:pPr>
        <w:pStyle w:val="TOC8"/>
        <w:rPr>
          <w:sz w:val="24"/>
          <w:szCs w:val="24"/>
        </w:rPr>
      </w:pPr>
      <w:r>
        <w:rPr>
          <w:szCs w:val="24"/>
        </w:rPr>
        <w:t>32.</w:t>
      </w:r>
      <w:r>
        <w:rPr>
          <w:szCs w:val="24"/>
        </w:rPr>
        <w:tab/>
        <w:t>Operator of major hazard facility to notify Chief Officer of closure</w:t>
      </w:r>
      <w:r>
        <w:tab/>
      </w:r>
      <w:r>
        <w:fldChar w:fldCharType="begin"/>
      </w:r>
      <w:r>
        <w:instrText xml:space="preserve"> PAGEREF _Toc233693241 \h </w:instrText>
      </w:r>
      <w:r>
        <w:fldChar w:fldCharType="separate"/>
      </w:r>
      <w:r>
        <w:t>27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Threshold quantity for Schedule 1 substances</w:t>
      </w:r>
    </w:p>
    <w:p>
      <w:pPr>
        <w:pStyle w:val="TOC8"/>
        <w:rPr>
          <w:sz w:val="24"/>
          <w:szCs w:val="24"/>
        </w:rPr>
      </w:pPr>
      <w:r>
        <w:rPr>
          <w:szCs w:val="22"/>
        </w:rPr>
        <w:t>1.</w:t>
      </w:r>
      <w:r>
        <w:rPr>
          <w:szCs w:val="22"/>
        </w:rPr>
        <w:tab/>
        <w:t>Threshold quantity for substances</w:t>
      </w:r>
      <w:r>
        <w:tab/>
      </w:r>
      <w:r>
        <w:fldChar w:fldCharType="begin"/>
      </w:r>
      <w:r>
        <w:instrText xml:space="preserve"> PAGEREF _Toc233693243 \h </w:instrText>
      </w:r>
      <w:r>
        <w:fldChar w:fldCharType="separate"/>
      </w:r>
      <w:r>
        <w:t>28</w:t>
      </w:r>
      <w:r>
        <w:fldChar w:fldCharType="end"/>
      </w:r>
    </w:p>
    <w:p>
      <w:pPr>
        <w:pStyle w:val="TOC8"/>
        <w:rPr>
          <w:sz w:val="24"/>
          <w:szCs w:val="24"/>
        </w:rPr>
      </w:pPr>
      <w:r>
        <w:rPr>
          <w:szCs w:val="22"/>
        </w:rPr>
        <w:t>2.</w:t>
      </w:r>
      <w:r>
        <w:rPr>
          <w:szCs w:val="22"/>
        </w:rPr>
        <w:tab/>
        <w:t>Threshold quantity for categories of substances</w:t>
      </w:r>
      <w:r>
        <w:tab/>
      </w:r>
      <w:r>
        <w:fldChar w:fldCharType="begin"/>
      </w:r>
      <w:r>
        <w:instrText xml:space="preserve"> PAGEREF _Toc233693244 \h </w:instrText>
      </w:r>
      <w:r>
        <w:fldChar w:fldCharType="separate"/>
      </w:r>
      <w:r>
        <w:t>30</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Notifiable information</w:t>
      </w:r>
    </w:p>
    <w:p>
      <w:pPr>
        <w:pStyle w:val="TOC8"/>
        <w:rPr>
          <w:sz w:val="24"/>
          <w:szCs w:val="24"/>
        </w:rPr>
      </w:pPr>
      <w:r>
        <w:rPr>
          <w:szCs w:val="22"/>
        </w:rPr>
        <w:t>1.</w:t>
      </w:r>
      <w:r>
        <w:rPr>
          <w:szCs w:val="22"/>
        </w:rPr>
        <w:tab/>
        <w:t>“Material safety data sheet”, meaning of</w:t>
      </w:r>
      <w:r>
        <w:tab/>
      </w:r>
      <w:r>
        <w:fldChar w:fldCharType="begin"/>
      </w:r>
      <w:r>
        <w:instrText xml:space="preserve"> PAGEREF _Toc233693246 \h </w:instrText>
      </w:r>
      <w:r>
        <w:fldChar w:fldCharType="separate"/>
      </w:r>
      <w:r>
        <w:t>35</w:t>
      </w:r>
      <w:r>
        <w:fldChar w:fldCharType="end"/>
      </w:r>
    </w:p>
    <w:p>
      <w:pPr>
        <w:pStyle w:val="TOC8"/>
        <w:rPr>
          <w:sz w:val="24"/>
          <w:szCs w:val="24"/>
        </w:rPr>
      </w:pPr>
      <w:r>
        <w:rPr>
          <w:szCs w:val="22"/>
        </w:rPr>
        <w:t>2.</w:t>
      </w:r>
      <w:r>
        <w:rPr>
          <w:szCs w:val="22"/>
        </w:rPr>
        <w:tab/>
        <w:t>Notifiable information</w:t>
      </w:r>
      <w:r>
        <w:tab/>
      </w:r>
      <w:r>
        <w:fldChar w:fldCharType="begin"/>
      </w:r>
      <w:r>
        <w:instrText xml:space="preserve"> PAGEREF _Toc233693247 \h </w:instrText>
      </w:r>
      <w:r>
        <w:fldChar w:fldCharType="separate"/>
      </w:r>
      <w:r>
        <w:t>35</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w:t>
      </w:r>
    </w:p>
    <w:p>
      <w:pPr>
        <w:pStyle w:val="TOC8"/>
        <w:rPr>
          <w:sz w:val="24"/>
          <w:szCs w:val="24"/>
        </w:rPr>
      </w:pPr>
      <w:r>
        <w:rPr>
          <w:szCs w:val="22"/>
        </w:rPr>
        <w:t>1.</w:t>
      </w:r>
      <w:r>
        <w:rPr>
          <w:szCs w:val="22"/>
        </w:rPr>
        <w:tab/>
        <w:t>Fees</w:t>
      </w:r>
      <w:r>
        <w:tab/>
      </w:r>
      <w:r>
        <w:fldChar w:fldCharType="begin"/>
      </w:r>
      <w:r>
        <w:instrText xml:space="preserve"> PAGEREF _Toc233693249 \h </w:instrText>
      </w:r>
      <w:r>
        <w:fldChar w:fldCharType="separate"/>
      </w:r>
      <w:r>
        <w:t>36</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 xml:space="preserve">Procedures to be included in </w:t>
      </w:r>
      <w:r>
        <w:rPr>
          <w:color w:val="000000"/>
          <w:szCs w:val="28"/>
        </w:rPr>
        <w:t>safety management system</w:t>
      </w:r>
    </w:p>
    <w:p>
      <w:pPr>
        <w:pStyle w:val="TOC8"/>
        <w:rPr>
          <w:sz w:val="24"/>
          <w:szCs w:val="24"/>
        </w:rPr>
      </w:pPr>
      <w:r>
        <w:rPr>
          <w:szCs w:val="22"/>
        </w:rPr>
        <w:t>1.</w:t>
      </w:r>
      <w:r>
        <w:rPr>
          <w:szCs w:val="22"/>
        </w:rPr>
        <w:tab/>
        <w:t>Organisation and personnel</w:t>
      </w:r>
      <w:r>
        <w:tab/>
      </w:r>
      <w:r>
        <w:fldChar w:fldCharType="begin"/>
      </w:r>
      <w:r>
        <w:instrText xml:space="preserve"> PAGEREF _Toc233693251 \h </w:instrText>
      </w:r>
      <w:r>
        <w:fldChar w:fldCharType="separate"/>
      </w:r>
      <w:r>
        <w:t>37</w:t>
      </w:r>
      <w:r>
        <w:fldChar w:fldCharType="end"/>
      </w:r>
    </w:p>
    <w:p>
      <w:pPr>
        <w:pStyle w:val="TOC8"/>
        <w:rPr>
          <w:sz w:val="24"/>
          <w:szCs w:val="24"/>
        </w:rPr>
      </w:pPr>
      <w:r>
        <w:rPr>
          <w:szCs w:val="22"/>
        </w:rPr>
        <w:t>2.</w:t>
      </w:r>
      <w:r>
        <w:rPr>
          <w:szCs w:val="22"/>
        </w:rPr>
        <w:tab/>
        <w:t>Operational controls</w:t>
      </w:r>
      <w:r>
        <w:tab/>
      </w:r>
      <w:r>
        <w:fldChar w:fldCharType="begin"/>
      </w:r>
      <w:r>
        <w:instrText xml:space="preserve"> PAGEREF _Toc233693252 \h </w:instrText>
      </w:r>
      <w:r>
        <w:fldChar w:fldCharType="separate"/>
      </w:r>
      <w:r>
        <w:t>37</w:t>
      </w:r>
      <w:r>
        <w:fldChar w:fldCharType="end"/>
      </w:r>
    </w:p>
    <w:p>
      <w:pPr>
        <w:pStyle w:val="TOC8"/>
        <w:rPr>
          <w:sz w:val="24"/>
          <w:szCs w:val="24"/>
        </w:rPr>
      </w:pPr>
      <w:r>
        <w:rPr>
          <w:szCs w:val="22"/>
        </w:rPr>
        <w:t>3.</w:t>
      </w:r>
      <w:r>
        <w:rPr>
          <w:szCs w:val="22"/>
        </w:rPr>
        <w:tab/>
        <w:t>Security</w:t>
      </w:r>
      <w:r>
        <w:tab/>
      </w:r>
      <w:r>
        <w:fldChar w:fldCharType="begin"/>
      </w:r>
      <w:r>
        <w:instrText xml:space="preserve"> PAGEREF _Toc233693253 \h </w:instrText>
      </w:r>
      <w:r>
        <w:fldChar w:fldCharType="separate"/>
      </w:r>
      <w:r>
        <w:t>37</w:t>
      </w:r>
      <w:r>
        <w:fldChar w:fldCharType="end"/>
      </w:r>
    </w:p>
    <w:p>
      <w:pPr>
        <w:pStyle w:val="TOC8"/>
        <w:rPr>
          <w:sz w:val="24"/>
          <w:szCs w:val="24"/>
        </w:rPr>
      </w:pPr>
      <w:r>
        <w:rPr>
          <w:szCs w:val="22"/>
        </w:rPr>
        <w:t>4.</w:t>
      </w:r>
      <w:r>
        <w:rPr>
          <w:szCs w:val="22"/>
        </w:rPr>
        <w:tab/>
        <w:t>Informing employees and others</w:t>
      </w:r>
      <w:r>
        <w:tab/>
      </w:r>
      <w:r>
        <w:fldChar w:fldCharType="begin"/>
      </w:r>
      <w:r>
        <w:instrText xml:space="preserve"> PAGEREF _Toc233693254 \h </w:instrText>
      </w:r>
      <w:r>
        <w:fldChar w:fldCharType="separate"/>
      </w:r>
      <w:r>
        <w:t>37</w:t>
      </w:r>
      <w:r>
        <w:fldChar w:fldCharType="end"/>
      </w:r>
    </w:p>
    <w:p>
      <w:pPr>
        <w:pStyle w:val="TOC8"/>
        <w:rPr>
          <w:sz w:val="24"/>
          <w:szCs w:val="24"/>
        </w:rPr>
      </w:pPr>
      <w:r>
        <w:rPr>
          <w:szCs w:val="22"/>
        </w:rPr>
        <w:t>5.</w:t>
      </w:r>
      <w:r>
        <w:rPr>
          <w:szCs w:val="22"/>
        </w:rPr>
        <w:tab/>
        <w:t>Monitoring and continual improvement</w:t>
      </w:r>
      <w:r>
        <w:tab/>
      </w:r>
      <w:r>
        <w:fldChar w:fldCharType="begin"/>
      </w:r>
      <w:r>
        <w:instrText xml:space="preserve"> PAGEREF _Toc233693255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_Toc233693257 \h </w:instrText>
      </w:r>
      <w:r>
        <w:fldChar w:fldCharType="separate"/>
      </w:r>
      <w:r>
        <w:t>39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2" w:name="_Toc191980765"/>
      <w:bookmarkStart w:id="3" w:name="_Toc233693204"/>
      <w:r>
        <w:rPr>
          <w:rStyle w:val="CharPartNo"/>
        </w:rPr>
        <w:t>Part 1</w:t>
      </w:r>
      <w:r>
        <w:rPr>
          <w:rStyle w:val="CharDivNo"/>
        </w:rPr>
        <w:t> </w:t>
      </w:r>
      <w:r>
        <w:t>—</w:t>
      </w:r>
      <w:r>
        <w:rPr>
          <w:rStyle w:val="CharDivText"/>
        </w:rPr>
        <w:t> </w:t>
      </w:r>
      <w:r>
        <w:rPr>
          <w:rStyle w:val="CharPartText"/>
        </w:rPr>
        <w:t>Preliminary</w:t>
      </w:r>
      <w:bookmarkEnd w:id="2"/>
      <w:bookmarkEnd w:id="3"/>
    </w:p>
    <w:p>
      <w:pPr>
        <w:pStyle w:val="Heading5"/>
      </w:pPr>
      <w:bookmarkStart w:id="4" w:name="_Toc233693205"/>
      <w:r>
        <w:rPr>
          <w:rStyle w:val="CharSectno"/>
        </w:rPr>
        <w:t>1</w:t>
      </w:r>
      <w:r>
        <w:t>.</w:t>
      </w:r>
      <w:r>
        <w:tab/>
        <w:t>Citation</w:t>
      </w:r>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6" w:name="_Toc233693206"/>
      <w:r>
        <w:rPr>
          <w:rStyle w:val="CharSectno"/>
        </w:rPr>
        <w:t>2</w:t>
      </w:r>
      <w:r>
        <w:t>.</w:t>
      </w:r>
      <w:r>
        <w:tab/>
        <w:t>Commencement</w:t>
      </w:r>
      <w:bookmarkEnd w:id="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Heading5"/>
      </w:pPr>
      <w:bookmarkStart w:id="7" w:name="_Toc233693207"/>
      <w:r>
        <w:rPr>
          <w:rStyle w:val="CharSectno"/>
        </w:rPr>
        <w:t>3</w:t>
      </w:r>
      <w:r>
        <w:t>.</w:t>
      </w:r>
      <w:r>
        <w:tab/>
        <w:t>Application</w:t>
      </w:r>
      <w:bookmarkEnd w:id="7"/>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8" w:name="_Toc233693208"/>
      <w:r>
        <w:rPr>
          <w:rStyle w:val="CharSectno"/>
        </w:rPr>
        <w:t>4</w:t>
      </w:r>
      <w:r>
        <w:t>.</w:t>
      </w:r>
      <w:r>
        <w:tab/>
        <w:t>Terms used in these regulations</w:t>
      </w:r>
      <w:bookmarkEnd w:id="8"/>
    </w:p>
    <w:p>
      <w:pPr>
        <w:pStyle w:val="Subsection"/>
      </w:pPr>
      <w:r>
        <w:tab/>
      </w:r>
      <w:r>
        <w:tab/>
        <w:t xml:space="preserve">In these regulations, unless the contrary intention appears —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compliance day</w:t>
      </w:r>
      <w:r>
        <w:rPr>
          <w:bCs/>
        </w:rPr>
        <w:t>, in relation to a major hazard facility,</w:t>
      </w:r>
      <w:r>
        <w:t xml:space="preserve"> means — </w:t>
      </w:r>
    </w:p>
    <w:p>
      <w:pPr>
        <w:pStyle w:val="Defpara"/>
      </w:pPr>
      <w:r>
        <w:tab/>
        <w:t>(a)</w:t>
      </w:r>
      <w:r>
        <w:tab/>
        <w:t xml:space="preserve">in the case of a facility other than a modified place — </w:t>
      </w:r>
    </w:p>
    <w:p>
      <w:pPr>
        <w:pStyle w:val="Defsubpara"/>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pPr>
      <w:r>
        <w:tab/>
        <w:t>(I)</w:t>
      </w:r>
      <w:r>
        <w:tab/>
        <w:t>the day specified in the notice under regulation 21(2)(a)(i); or</w:t>
      </w:r>
    </w:p>
    <w:p>
      <w:pPr>
        <w:pStyle w:val="Defitem"/>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pPr>
      <w:r>
        <w:tab/>
      </w:r>
      <w:r>
        <w:tab/>
        <w:t>or</w:t>
      </w:r>
    </w:p>
    <w:p>
      <w:pPr>
        <w:pStyle w:val="Defsubpara"/>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pPr>
      <w:r>
        <w:tab/>
      </w:r>
      <w:r>
        <w:tab/>
        <w:t>or</w:t>
      </w:r>
    </w:p>
    <w:p>
      <w:pPr>
        <w:pStyle w:val="Defpara"/>
      </w:pPr>
      <w:r>
        <w:tab/>
        <w:t>(b)</w:t>
      </w:r>
      <w:r>
        <w:tab/>
        <w:t>in the case of a modified place — the day when the notifiable change occurs;</w:t>
      </w:r>
    </w:p>
    <w:p>
      <w:pPr>
        <w:pStyle w:val="Defstart"/>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employee</w:t>
      </w:r>
      <w:r>
        <w:t xml:space="preserve">, at a place, means any person who works at the place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an apprenticeship agreement as defined in the </w:t>
      </w:r>
      <w:r>
        <w:rPr>
          <w:i/>
        </w:rPr>
        <w:t>Industrial Training Act 1975</w:t>
      </w:r>
      <w:r>
        <w:t xml:space="preserve"> section 4(1); or</w:t>
      </w:r>
    </w:p>
    <w:p>
      <w:pPr>
        <w:pStyle w:val="Defpara"/>
      </w:pPr>
      <w:r>
        <w:tab/>
        <w:t>(d)</w:t>
      </w:r>
      <w:r>
        <w:tab/>
        <w:t xml:space="preserve">a training scheme as defined in the </w:t>
      </w:r>
      <w:r>
        <w:rPr>
          <w:i/>
        </w:rPr>
        <w:t>Vocational Education and Training Act 1996</w:t>
      </w:r>
      <w:r>
        <w:t xml:space="preserve"> section 5(1);</w:t>
      </w:r>
    </w:p>
    <w:p>
      <w:pPr>
        <w:pStyle w:val="Defstart"/>
      </w:pPr>
      <w:r>
        <w:rPr>
          <w:b/>
        </w:rPr>
        <w:tab/>
      </w:r>
      <w:r>
        <w:rPr>
          <w:rStyle w:val="CharDefText"/>
        </w:rPr>
        <w:t>existing facility</w:t>
      </w:r>
      <w:r>
        <w:t xml:space="preserve"> means a place — </w:t>
      </w:r>
    </w:p>
    <w:p>
      <w:pPr>
        <w:pStyle w:val="Defpara"/>
      </w:pPr>
      <w:r>
        <w:tab/>
        <w:t>(a)</w:t>
      </w:r>
      <w:r>
        <w:tab/>
        <w:t>at which more than the critical quantity of Schedule 1 substances is present; and</w:t>
      </w:r>
    </w:p>
    <w:p>
      <w:pPr>
        <w:pStyle w:val="Defpara"/>
      </w:pPr>
      <w:r>
        <w:tab/>
        <w:t>(b)</w:t>
      </w:r>
      <w:r>
        <w:tab/>
        <w:t xml:space="preserve">that immediately before the commencement day — </w:t>
      </w:r>
    </w:p>
    <w:p>
      <w:pPr>
        <w:pStyle w:val="Defsubpara"/>
      </w:pPr>
      <w:r>
        <w:tab/>
        <w:t>(i)</w:t>
      </w:r>
      <w:r>
        <w:tab/>
        <w:t xml:space="preserve">was a dangerous goods site licensed under the </w:t>
      </w:r>
      <w:r>
        <w:rPr>
          <w:i/>
          <w:iCs/>
        </w:rPr>
        <w:t>Explosives and Dangerous Goods (Dangerous Goods Handling and Storage) Regulations 1992</w:t>
      </w:r>
      <w:r>
        <w:rPr>
          <w:iCs/>
        </w:rPr>
        <w:t>;</w:t>
      </w:r>
      <w:r>
        <w:t xml:space="preserve"> and</w:t>
      </w:r>
    </w:p>
    <w:p>
      <w:pPr>
        <w:pStyle w:val="Defsubpara"/>
      </w:pPr>
      <w:r>
        <w:tab/>
        <w:t>(ii)</w:t>
      </w:r>
      <w:r>
        <w:tab/>
        <w:t>at which more than the critical quantity of Schedule 1 substances was permitted, under the licence, to be present;</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Defstart"/>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pPr>
      <w:r>
        <w:rPr>
          <w:b/>
        </w:rPr>
        <w:tab/>
      </w:r>
      <w:r>
        <w:rPr>
          <w:rStyle w:val="CharDefText"/>
        </w:rPr>
        <w:t>major hazard facility</w:t>
      </w:r>
      <w:r>
        <w:t xml:space="preserve"> has the meaning given in regulation 5;</w:t>
      </w:r>
    </w:p>
    <w:p>
      <w:pPr>
        <w:pStyle w:val="Defstart"/>
      </w:pPr>
      <w:r>
        <w:rPr>
          <w:b/>
        </w:rPr>
        <w:tab/>
      </w:r>
      <w:r>
        <w:rPr>
          <w:rStyle w:val="CharDefText"/>
        </w:rPr>
        <w:t>major incident</w:t>
      </w:r>
      <w:r>
        <w:t xml:space="preserve"> means an incident, including — </w:t>
      </w:r>
    </w:p>
    <w:p>
      <w:pPr>
        <w:pStyle w:val="Defpara"/>
      </w:pPr>
      <w:r>
        <w:tab/>
        <w:t>(a)</w:t>
      </w:r>
      <w:r>
        <w:tab/>
        <w:t>an emission of a Schedule 1 substance; or</w:t>
      </w:r>
    </w:p>
    <w:p>
      <w:pPr>
        <w:pStyle w:val="Defpara"/>
      </w:pPr>
      <w:r>
        <w:tab/>
        <w:t>(b)</w:t>
      </w:r>
      <w:r>
        <w:tab/>
        <w:t>a loss of containment of a Schedule 1 substance; or</w:t>
      </w:r>
    </w:p>
    <w:p>
      <w:pPr>
        <w:pStyle w:val="Defpara"/>
      </w:pPr>
      <w:r>
        <w:tab/>
        <w:t>(c)</w:t>
      </w:r>
      <w:r>
        <w:tab/>
        <w:t>a fire; or</w:t>
      </w:r>
    </w:p>
    <w:p>
      <w:pPr>
        <w:pStyle w:val="Defpara"/>
      </w:pPr>
      <w:r>
        <w:tab/>
        <w:t>(d)</w:t>
      </w:r>
      <w:r>
        <w:tab/>
        <w:t>an explosion; or</w:t>
      </w:r>
    </w:p>
    <w:p>
      <w:pPr>
        <w:pStyle w:val="Defpara"/>
      </w:pPr>
      <w:r>
        <w:tab/>
        <w:t>(e)</w:t>
      </w:r>
      <w:r>
        <w:tab/>
        <w:t xml:space="preserve">a release of energy, </w:t>
      </w:r>
    </w:p>
    <w:p>
      <w:pPr>
        <w:pStyle w:val="Defstart"/>
      </w:pPr>
      <w:r>
        <w:tab/>
        <w:t>that causes serious harm to people, property or the environment;</w:t>
      </w:r>
    </w:p>
    <w:p>
      <w:pPr>
        <w:pStyle w:val="Defstart"/>
      </w:pPr>
      <w:r>
        <w:rPr>
          <w:b/>
        </w:rPr>
        <w:tab/>
      </w:r>
      <w:r>
        <w:rPr>
          <w:rStyle w:val="CharDefText"/>
        </w:rPr>
        <w:t>modified place</w:t>
      </w:r>
      <w:r>
        <w:t xml:space="preserve"> means a place — </w:t>
      </w:r>
    </w:p>
    <w:p>
      <w:pPr>
        <w:pStyle w:val="Defpara"/>
      </w:pPr>
      <w:r>
        <w:tab/>
        <w:t>(a)</w:t>
      </w:r>
      <w:r>
        <w:tab/>
        <w:t>in respect of which an operator is required to give the Chief Officer notification under regulation 15(3); and</w:t>
      </w:r>
    </w:p>
    <w:p>
      <w:pPr>
        <w:pStyle w:val="Defpara"/>
      </w:pPr>
      <w:r>
        <w:tab/>
        <w:t>(b)</w:t>
      </w:r>
      <w:r>
        <w:tab/>
        <w:t>that becomes, subsequent to the operator giving notification under regulation 15(3), a major hazard facility;</w:t>
      </w:r>
    </w:p>
    <w:p>
      <w:pPr>
        <w:pStyle w:val="Defstart"/>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pPr>
      <w:r>
        <w:rPr>
          <w:b/>
        </w:rPr>
        <w:tab/>
      </w:r>
      <w:r>
        <w:rPr>
          <w:rStyle w:val="CharDefText"/>
        </w:rPr>
        <w:t>notifiable information</w:t>
      </w:r>
      <w:r>
        <w:t xml:space="preserve"> means the information listed in Schedule 2;</w:t>
      </w:r>
    </w:p>
    <w:p>
      <w:pPr>
        <w:pStyle w:val="Defstart"/>
      </w:pPr>
      <w:r>
        <w:rPr>
          <w:b/>
        </w:rPr>
        <w:tab/>
      </w:r>
      <w:r>
        <w:rPr>
          <w:rStyle w:val="CharDefText"/>
        </w:rPr>
        <w:t>operator</w:t>
      </w:r>
      <w:r>
        <w:rPr>
          <w:bCs/>
        </w:rPr>
        <w:t>,</w:t>
      </w:r>
      <w:r>
        <w:t xml:space="preserve"> of a place, including a major hazard facility, means the person who has the control or management of the place;</w:t>
      </w:r>
    </w:p>
    <w:p>
      <w:pPr>
        <w:pStyle w:val="Defstart"/>
      </w:pPr>
      <w:r>
        <w:rPr>
          <w:b/>
        </w:rPr>
        <w:tab/>
      </w:r>
      <w:r>
        <w:rPr>
          <w:rStyle w:val="CharDefText"/>
        </w:rPr>
        <w:t>place</w:t>
      </w:r>
      <w:r>
        <w:t xml:space="preserve"> has the meaning given in regulation 6;</w:t>
      </w:r>
    </w:p>
    <w:p>
      <w:pPr>
        <w:pStyle w:val="Defstart"/>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pPr>
      <w:r>
        <w:tab/>
        <w:t>(a)</w:t>
      </w:r>
      <w:r>
        <w:tab/>
        <w:t xml:space="preserve">in the case of a facility other than a modified place — </w:t>
      </w:r>
    </w:p>
    <w:p>
      <w:pPr>
        <w:pStyle w:val="Defsubpara"/>
      </w:pPr>
      <w:r>
        <w:tab/>
        <w:t>(i)</w:t>
      </w:r>
      <w:r>
        <w:tab/>
        <w:t>if more than the critical quantity of Schedule 1 substances is at the facility — the present; or</w:t>
      </w:r>
    </w:p>
    <w:p>
      <w:pPr>
        <w:pStyle w:val="Defsubpara"/>
      </w:pPr>
      <w:r>
        <w:tab/>
        <w:t>(ii)</w:t>
      </w:r>
      <w:r>
        <w:tab/>
        <w:t>if more than the critical quantity of Schedule 1 substances is likely to be at the place — the time when more than the critical quantity of Schedule 1 substances is at the facility for the first time;</w:t>
      </w:r>
    </w:p>
    <w:p>
      <w:pPr>
        <w:pStyle w:val="Defpara"/>
      </w:pPr>
      <w:r>
        <w:tab/>
      </w:r>
      <w:r>
        <w:tab/>
        <w:t>or</w:t>
      </w:r>
    </w:p>
    <w:p>
      <w:pPr>
        <w:pStyle w:val="Defpara"/>
      </w:pPr>
      <w:r>
        <w:tab/>
        <w:t>(b)</w:t>
      </w:r>
      <w:r>
        <w:tab/>
        <w:t xml:space="preserve">in the case of a modified place — </w:t>
      </w:r>
    </w:p>
    <w:p>
      <w:pPr>
        <w:pStyle w:val="Defsubpara"/>
      </w:pPr>
      <w:r>
        <w:tab/>
        <w:t>(i)</w:t>
      </w:r>
      <w:r>
        <w:tab/>
        <w:t>if the notifiable change has occurred — the present; or</w:t>
      </w:r>
    </w:p>
    <w:p>
      <w:pPr>
        <w:pStyle w:val="Defsubpara"/>
      </w:pPr>
      <w:r>
        <w:tab/>
        <w:t>(ii)</w:t>
      </w:r>
      <w:r>
        <w:tab/>
        <w:t>if the notifiable change has not occurred — the time when the notifiable change occurs;</w:t>
      </w:r>
    </w:p>
    <w:p>
      <w:pPr>
        <w:pStyle w:val="Defstart"/>
      </w:pPr>
      <w:r>
        <w:rPr>
          <w:b/>
        </w:rPr>
        <w:tab/>
      </w:r>
      <w:r>
        <w:rPr>
          <w:rStyle w:val="CharDefText"/>
          <w:color w:val="000000"/>
        </w:rPr>
        <w:t>risk assessment</w:t>
      </w:r>
      <w:r>
        <w:t xml:space="preserve"> means a document that complies with regulation 23(2);</w:t>
      </w:r>
    </w:p>
    <w:p>
      <w:pPr>
        <w:pStyle w:val="Defstart"/>
      </w:pPr>
      <w:r>
        <w:rPr>
          <w:b/>
        </w:rPr>
        <w:tab/>
      </w:r>
      <w:r>
        <w:rPr>
          <w:rStyle w:val="CharDefText"/>
          <w:color w:val="000000"/>
        </w:rPr>
        <w:t>safety management system</w:t>
      </w:r>
      <w:r>
        <w:t xml:space="preserve"> means a document that complies with regulation 24(2);</w:t>
      </w:r>
    </w:p>
    <w:p>
      <w:pPr>
        <w:pStyle w:val="Defstart"/>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rPr>
          <w:lang w:val="en-US"/>
        </w:rPr>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rPr>
          <w:lang w:val="en-US"/>
        </w:rPr>
        <w:t>.</w:t>
      </w:r>
    </w:p>
    <w:p>
      <w:pPr>
        <w:pStyle w:val="Heading5"/>
      </w:pPr>
      <w:bookmarkStart w:id="9" w:name="_Toc233693209"/>
      <w:r>
        <w:rPr>
          <w:rStyle w:val="CharSectno"/>
        </w:rPr>
        <w:t>5</w:t>
      </w:r>
      <w:r>
        <w:t>.</w:t>
      </w:r>
      <w:r>
        <w:tab/>
        <w:t>“Major hazard facility”, meaning of</w:t>
      </w:r>
      <w:bookmarkEnd w:id="9"/>
    </w:p>
    <w:p>
      <w:pPr>
        <w:pStyle w:val="Subsection"/>
      </w:pPr>
      <w:r>
        <w:tab/>
      </w:r>
      <w:r>
        <w:tab/>
        <w:t xml:space="preserve">A place is a major hazard facility for the purposes of these regulations if — </w:t>
      </w:r>
    </w:p>
    <w:p>
      <w:pPr>
        <w:pStyle w:val="Indenta"/>
      </w:pPr>
      <w:r>
        <w:tab/>
        <w:t>(a)</w:t>
      </w:r>
      <w:r>
        <w:tab/>
        <w:t>the operator of the place has been given a notice under regulation 21(1) of the Chief Officer’s decision to classify the place as a major hazard facility; and</w:t>
      </w:r>
    </w:p>
    <w:p>
      <w:pPr>
        <w:pStyle w:val="Indenta"/>
      </w:pPr>
      <w:r>
        <w:tab/>
        <w:t>(b)</w:t>
      </w:r>
      <w:r>
        <w:tab/>
        <w:t>the Chief Officer has not subsequently revoked that decision under regulation 22.</w:t>
      </w:r>
    </w:p>
    <w:p>
      <w:pPr>
        <w:pStyle w:val="Heading5"/>
      </w:pPr>
      <w:bookmarkStart w:id="10" w:name="_Toc233693210"/>
      <w:r>
        <w:rPr>
          <w:rStyle w:val="CharSectno"/>
        </w:rPr>
        <w:t>6</w:t>
      </w:r>
      <w:r>
        <w:t>.</w:t>
      </w:r>
      <w:r>
        <w:tab/>
        <w:t>“Place”, meaning of</w:t>
      </w:r>
      <w:bookmarkEnd w:id="10"/>
    </w:p>
    <w:p>
      <w:pPr>
        <w:pStyle w:val="Subsection"/>
      </w:pPr>
      <w:r>
        <w:tab/>
        <w:t>(1)</w:t>
      </w:r>
      <w:r>
        <w:tab/>
        <w:t>An area of land, or of water, or of land and water is a place for the purposes of these regulations if it is controlled or managed by one person.</w:t>
      </w:r>
    </w:p>
    <w:p>
      <w:pPr>
        <w:pStyle w:val="Subsection"/>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11" w:name="_Toc233693211"/>
      <w:r>
        <w:rPr>
          <w:rStyle w:val="CharSectno"/>
        </w:rPr>
        <w:t>7</w:t>
      </w:r>
      <w:r>
        <w:t>.</w:t>
      </w:r>
      <w:r>
        <w:tab/>
        <w:t>Circumstances in which Schedule 1 substances are likely to be at a place</w:t>
      </w:r>
      <w:bookmarkEnd w:id="11"/>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12" w:name="_Toc233693212"/>
      <w:r>
        <w:rPr>
          <w:rStyle w:val="CharSectno"/>
        </w:rPr>
        <w:t>8</w:t>
      </w:r>
      <w:r>
        <w:t>.</w:t>
      </w:r>
      <w:r>
        <w:tab/>
        <w:t>Determining the quantity of substances at a place or likely to be at a place</w:t>
      </w:r>
      <w:bookmarkEnd w:id="12"/>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pPr>
      <w:r>
        <w:rPr>
          <w:position w:val="-10"/>
          <w:lang w:eastAsia="en-AU"/>
        </w:rPr>
        <w:drawing>
          <wp:inline distT="0" distB="0" distL="0" distR="0">
            <wp:extent cx="580390" cy="207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0390" cy="20701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13" w:name="_Toc233693213"/>
      <w:r>
        <w:rPr>
          <w:rStyle w:val="CharSectno"/>
        </w:rPr>
        <w:t>9</w:t>
      </w:r>
      <w:r>
        <w:t>.</w:t>
      </w:r>
      <w:r>
        <w:tab/>
        <w:t>Determining the critical quantity of Schedule 1 substances at a place or likely to be at a place</w:t>
      </w:r>
      <w:bookmarkEnd w:id="13"/>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lang w:eastAsia="en-AU"/>
        </w:rPr>
        <w:drawing>
          <wp:inline distT="0" distB="0" distL="0" distR="0">
            <wp:extent cx="1280160" cy="421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0160" cy="42164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14" w:name="_Toc233693214"/>
      <w:r>
        <w:rPr>
          <w:rStyle w:val="CharSectno"/>
        </w:rPr>
        <w:t>10</w:t>
      </w:r>
      <w:r>
        <w:t>.</w:t>
      </w:r>
      <w:r>
        <w:tab/>
        <w:t>Determining the threshold quantity for a Schedule 1 substance</w:t>
      </w:r>
      <w:bookmarkEnd w:id="14"/>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If in the course of determining whether a substance belongs to a particular category listed in column 1 of Table 2 a question arises as to what procedure is the relevant procedure referred to in the definitions of “class”, “classification code”, “division”, “hazchem code”, “packing group” and “subsidiary risk”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15" w:name="_Toc191980776"/>
      <w:bookmarkStart w:id="16" w:name="_Toc233693215"/>
      <w:r>
        <w:rPr>
          <w:rStyle w:val="CharPartNo"/>
        </w:rPr>
        <w:t>Part 2</w:t>
      </w:r>
      <w:r>
        <w:rPr>
          <w:rStyle w:val="CharDivNo"/>
        </w:rPr>
        <w:t> </w:t>
      </w:r>
      <w:r>
        <w:t>—</w:t>
      </w:r>
      <w:r>
        <w:rPr>
          <w:rStyle w:val="CharDivText"/>
        </w:rPr>
        <w:t> </w:t>
      </w:r>
      <w:r>
        <w:rPr>
          <w:rStyle w:val="CharPartText"/>
        </w:rPr>
        <w:t>Main Offences</w:t>
      </w:r>
      <w:bookmarkEnd w:id="15"/>
      <w:bookmarkEnd w:id="16"/>
    </w:p>
    <w:p>
      <w:pPr>
        <w:pStyle w:val="Heading5"/>
      </w:pPr>
      <w:bookmarkStart w:id="17" w:name="_Toc233693216"/>
      <w:r>
        <w:rPr>
          <w:rStyle w:val="CharSectno"/>
        </w:rPr>
        <w:t>11</w:t>
      </w:r>
      <w:r>
        <w:t>.</w:t>
      </w:r>
      <w:r>
        <w:tab/>
        <w:t>Schedule 1 substances at a place not to exceed critical quantity without prior notification to Chief Officer</w:t>
      </w:r>
      <w:bookmarkEnd w:id="17"/>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18" w:name="_Toc233693217"/>
      <w:r>
        <w:rPr>
          <w:rStyle w:val="CharSectno"/>
        </w:rPr>
        <w:t>12</w:t>
      </w:r>
      <w:r>
        <w:t>.</w:t>
      </w:r>
      <w:r>
        <w:tab/>
        <w:t>No significant change to certain places without prior notification to Chief Officer</w:t>
      </w:r>
      <w:bookmarkEnd w:id="18"/>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9" w:name="_Toc233693218"/>
      <w:r>
        <w:rPr>
          <w:rStyle w:val="CharSectno"/>
        </w:rPr>
        <w:t>13</w:t>
      </w:r>
      <w:r>
        <w:t>.</w:t>
      </w:r>
      <w:r>
        <w:tab/>
        <w:t xml:space="preserve">Major hazard facility to operate in accordance with safety management system in approved </w:t>
      </w:r>
      <w:r>
        <w:rPr>
          <w:color w:val="000000"/>
        </w:rPr>
        <w:t>safety report</w:t>
      </w:r>
      <w:bookmarkEnd w:id="19"/>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20" w:name="_Toc191980780"/>
      <w:bookmarkStart w:id="21" w:name="_Toc233693219"/>
      <w:r>
        <w:rPr>
          <w:rStyle w:val="CharPartNo"/>
        </w:rPr>
        <w:t>Part 3</w:t>
      </w:r>
      <w:r>
        <w:rPr>
          <w:rStyle w:val="CharDivNo"/>
        </w:rPr>
        <w:t> </w:t>
      </w:r>
      <w:r>
        <w:t>—</w:t>
      </w:r>
      <w:r>
        <w:rPr>
          <w:rStyle w:val="CharDivText"/>
        </w:rPr>
        <w:t> </w:t>
      </w:r>
      <w:r>
        <w:rPr>
          <w:rStyle w:val="CharPartText"/>
        </w:rPr>
        <w:t>Notification requirements</w:t>
      </w:r>
      <w:bookmarkEnd w:id="20"/>
      <w:bookmarkEnd w:id="21"/>
    </w:p>
    <w:p>
      <w:pPr>
        <w:pStyle w:val="Heading5"/>
      </w:pPr>
      <w:bookmarkStart w:id="22" w:name="_Toc233693220"/>
      <w:r>
        <w:rPr>
          <w:rStyle w:val="CharSectno"/>
        </w:rPr>
        <w:t>14</w:t>
      </w:r>
      <w:r>
        <w:t>.</w:t>
      </w:r>
      <w:r>
        <w:tab/>
        <w:t>Operator to notify Chief Officer if more than critical quantity of Schedule 1 substances likely to be at the place</w:t>
      </w:r>
      <w:bookmarkEnd w:id="22"/>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3" w:name="_Toc233693221"/>
      <w:r>
        <w:rPr>
          <w:rStyle w:val="CharSectno"/>
        </w:rPr>
        <w:t>15</w:t>
      </w:r>
      <w:r>
        <w:t>.</w:t>
      </w:r>
      <w:r>
        <w:tab/>
        <w:t>Operator of certain places to notify Chief Officer of change</w:t>
      </w:r>
      <w:bookmarkEnd w:id="23"/>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notification that complies with regulation 17.</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Heading5"/>
      </w:pPr>
      <w:bookmarkStart w:id="24" w:name="_Toc233693222"/>
      <w:r>
        <w:rPr>
          <w:rStyle w:val="CharSectno"/>
        </w:rPr>
        <w:t>16</w:t>
      </w:r>
      <w:r>
        <w:t>.</w:t>
      </w:r>
      <w:r>
        <w:tab/>
        <w:t>Chief Officer may direct operator to give notification</w:t>
      </w:r>
      <w:bookmarkEnd w:id="24"/>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5" w:name="_Toc233693223"/>
      <w:r>
        <w:rPr>
          <w:rStyle w:val="CharSectno"/>
        </w:rPr>
        <w:t>17</w:t>
      </w:r>
      <w:r>
        <w:t>.</w:t>
      </w:r>
      <w:r>
        <w:tab/>
        <w:t>Notification required</w:t>
      </w:r>
      <w:bookmarkEnd w:id="25"/>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Subsection"/>
      </w:pPr>
      <w:r>
        <w:tab/>
        <w:t>(c)</w:t>
      </w:r>
      <w:r>
        <w:tab/>
        <w:t>contain the notifiable information for the place as it exists, or as the operator expects it will exist, on the relevant date.</w:t>
      </w:r>
    </w:p>
    <w:p>
      <w:pPr>
        <w:pStyle w:val="Heading5"/>
      </w:pPr>
      <w:bookmarkStart w:id="26" w:name="_Toc233693224"/>
      <w:r>
        <w:rPr>
          <w:rStyle w:val="CharSectno"/>
        </w:rPr>
        <w:t>18</w:t>
      </w:r>
      <w:r>
        <w:t>.</w:t>
      </w:r>
      <w:r>
        <w:tab/>
        <w:t>Chief Officer may direct operator to give further information</w:t>
      </w:r>
      <w:bookmarkEnd w:id="26"/>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27" w:name="_Toc191980786"/>
      <w:bookmarkStart w:id="28" w:name="_Toc233693225"/>
      <w:r>
        <w:rPr>
          <w:rStyle w:val="CharPartNo"/>
        </w:rPr>
        <w:t>Part 4</w:t>
      </w:r>
      <w:r>
        <w:rPr>
          <w:rStyle w:val="CharDivNo"/>
        </w:rPr>
        <w:t> </w:t>
      </w:r>
      <w:r>
        <w:t>—</w:t>
      </w:r>
      <w:r>
        <w:rPr>
          <w:rStyle w:val="CharDivText"/>
        </w:rPr>
        <w:t> </w:t>
      </w:r>
      <w:r>
        <w:rPr>
          <w:rStyle w:val="CharPartText"/>
        </w:rPr>
        <w:t>Certain places to be major hazard facilities</w:t>
      </w:r>
      <w:bookmarkEnd w:id="27"/>
      <w:bookmarkEnd w:id="28"/>
    </w:p>
    <w:p>
      <w:pPr>
        <w:pStyle w:val="Heading5"/>
      </w:pPr>
      <w:bookmarkStart w:id="29" w:name="_Toc233693226"/>
      <w:r>
        <w:rPr>
          <w:rStyle w:val="CharSectno"/>
        </w:rPr>
        <w:t>19</w:t>
      </w:r>
      <w:r>
        <w:t>.</w:t>
      </w:r>
      <w:r>
        <w:tab/>
        <w:t>Classification of certain places as major hazard facilities</w:t>
      </w:r>
      <w:bookmarkEnd w:id="29"/>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30" w:name="_Toc233693227"/>
      <w:r>
        <w:rPr>
          <w:rStyle w:val="CharSectno"/>
        </w:rPr>
        <w:t>20</w:t>
      </w:r>
      <w:r>
        <w:t>.</w:t>
      </w:r>
      <w:r>
        <w:tab/>
        <w:t>Chief Officer to consult in relation to a decision to classify a place as a major hazard facility</w:t>
      </w:r>
      <w:bookmarkEnd w:id="30"/>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31" w:name="_Toc233693228"/>
      <w:r>
        <w:rPr>
          <w:rStyle w:val="CharSectno"/>
        </w:rPr>
        <w:t>21</w:t>
      </w:r>
      <w:r>
        <w:t>.</w:t>
      </w:r>
      <w:r>
        <w:tab/>
        <w:t>Chief Officer to notify decision whether or not to classify a place as a major hazard facility</w:t>
      </w:r>
      <w:bookmarkEnd w:id="31"/>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32" w:name="_Toc233693229"/>
      <w:r>
        <w:rPr>
          <w:rStyle w:val="CharSectno"/>
        </w:rPr>
        <w:t>22</w:t>
      </w:r>
      <w:r>
        <w:t>.</w:t>
      </w:r>
      <w:r>
        <w:tab/>
        <w:t>Chief Officer may revoke decision to classify a place as a major hazard facility</w:t>
      </w:r>
      <w:bookmarkEnd w:id="32"/>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33" w:name="_Toc191980791"/>
      <w:bookmarkStart w:id="34" w:name="_Toc233693230"/>
      <w:r>
        <w:rPr>
          <w:rStyle w:val="CharPartNo"/>
        </w:rPr>
        <w:t>Part 5</w:t>
      </w:r>
      <w:r>
        <w:rPr>
          <w:rStyle w:val="CharDivNo"/>
        </w:rPr>
        <w:t> </w:t>
      </w:r>
      <w:r>
        <w:t>—</w:t>
      </w:r>
      <w:r>
        <w:rPr>
          <w:rStyle w:val="CharDivText"/>
        </w:rPr>
        <w:t> </w:t>
      </w:r>
      <w:r>
        <w:rPr>
          <w:rStyle w:val="CharPartText"/>
          <w:color w:val="000000"/>
        </w:rPr>
        <w:t>Safety reports</w:t>
      </w:r>
      <w:bookmarkEnd w:id="33"/>
      <w:bookmarkEnd w:id="34"/>
    </w:p>
    <w:p>
      <w:pPr>
        <w:pStyle w:val="Heading5"/>
      </w:pPr>
      <w:bookmarkStart w:id="35" w:name="_Toc233693231"/>
      <w:r>
        <w:rPr>
          <w:rStyle w:val="CharSectno"/>
        </w:rPr>
        <w:t>23</w:t>
      </w:r>
      <w:r>
        <w:t>.</w:t>
      </w:r>
      <w:r>
        <w:tab/>
        <w:t xml:space="preserve">Duty to </w:t>
      </w:r>
      <w:r>
        <w:rPr>
          <w:color w:val="000000"/>
        </w:rPr>
        <w:t>prepare risk assessment</w:t>
      </w:r>
      <w:bookmarkEnd w:id="35"/>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“safety management document” in the Act section 3(1).</w:t>
      </w:r>
    </w:p>
    <w:p>
      <w:pPr>
        <w:pStyle w:val="Heading5"/>
      </w:pPr>
      <w:bookmarkStart w:id="36" w:name="_Toc233693232"/>
      <w:r>
        <w:rPr>
          <w:rStyle w:val="CharSectno"/>
        </w:rPr>
        <w:t>24</w:t>
      </w:r>
      <w:r>
        <w:t>.</w:t>
      </w:r>
      <w:r>
        <w:tab/>
        <w:t xml:space="preserve">Duty to </w:t>
      </w:r>
      <w:r>
        <w:rPr>
          <w:color w:val="000000"/>
        </w:rPr>
        <w:t>prepare safety management system</w:t>
      </w:r>
      <w:bookmarkEnd w:id="36"/>
    </w:p>
    <w:p>
      <w:pPr>
        <w:pStyle w:val="Subsection"/>
        <w:rPr>
          <w:color w:val="000000"/>
        </w:rPr>
      </w:pPr>
      <w:r>
        <w:tab/>
        <w:t>(1)</w:t>
      </w:r>
      <w:r>
        <w:tab/>
        <w:t xml:space="preserve">The operator of a major hazard facility must prepare a </w:t>
      </w:r>
      <w:r>
        <w:rPr>
          <w:color w:val="000000"/>
        </w:rPr>
        <w:t>safety management system for the facility.</w:t>
      </w:r>
    </w:p>
    <w:p>
      <w:pPr>
        <w:pStyle w:val="Subsection"/>
      </w:pPr>
      <w:r>
        <w:tab/>
        <w:t>(2)</w:t>
      </w:r>
      <w:r>
        <w:tab/>
      </w:r>
      <w:r>
        <w:rPr>
          <w:color w:val="000000"/>
        </w:rPr>
        <w:t>A safety management system for</w:t>
      </w:r>
      <w:r>
        <w:t xml:space="preserve"> a facility is a document that — </w:t>
      </w:r>
    </w:p>
    <w:p>
      <w:pPr>
        <w:pStyle w:val="Indenta"/>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pPr>
      <w:r>
        <w:tab/>
        <w:t>(b)</w:t>
      </w:r>
      <w:r>
        <w:tab/>
        <w:t>has been prepared in consultation with employees and records the details of the consultation; and</w:t>
      </w:r>
    </w:p>
    <w:p>
      <w:pPr>
        <w:pStyle w:val="Indenta"/>
      </w:pPr>
      <w:r>
        <w:tab/>
        <w:t>(c)</w:t>
      </w:r>
      <w:r>
        <w:tab/>
        <w:t>is in a form acceptable to the Chief Officer.</w:t>
      </w:r>
    </w:p>
    <w:p>
      <w:pPr>
        <w:pStyle w:val="Subsection"/>
      </w:pPr>
      <w:r>
        <w:tab/>
        <w:t>(3)</w:t>
      </w:r>
      <w:r>
        <w:tab/>
        <w:t xml:space="preserve">A </w:t>
      </w:r>
      <w:r>
        <w:rPr>
          <w:color w:val="000000"/>
        </w:rPr>
        <w:t>safety management system is</w:t>
      </w:r>
      <w:r>
        <w:t xml:space="preserve"> prescribed to be a safety management document for the purposes of the definition of “safety management document” in the Act section 3(1).</w:t>
      </w:r>
    </w:p>
    <w:p>
      <w:pPr>
        <w:pStyle w:val="Heading5"/>
      </w:pPr>
      <w:bookmarkStart w:id="37" w:name="_Toc233693233"/>
      <w:r>
        <w:rPr>
          <w:rStyle w:val="CharSectno"/>
        </w:rPr>
        <w:t>25</w:t>
      </w:r>
      <w:r>
        <w:t>.</w:t>
      </w:r>
      <w:r>
        <w:tab/>
        <w:t xml:space="preserve">Duty to </w:t>
      </w:r>
      <w:r>
        <w:rPr>
          <w:color w:val="000000"/>
        </w:rPr>
        <w:t>prepare safety report</w:t>
      </w:r>
      <w:bookmarkEnd w:id="37"/>
    </w:p>
    <w:p>
      <w:pPr>
        <w:pStyle w:val="Subsection"/>
        <w:rPr>
          <w:color w:val="000000"/>
        </w:rPr>
      </w:pPr>
      <w:r>
        <w:tab/>
        <w:t>(1)</w:t>
      </w:r>
      <w:r>
        <w:tab/>
        <w:t xml:space="preserve">The operator of a major hazard facility must prepare a </w:t>
      </w:r>
      <w:r>
        <w:rPr>
          <w:color w:val="000000"/>
        </w:rPr>
        <w:t>safety report for the facility.</w:t>
      </w:r>
    </w:p>
    <w:p>
      <w:pPr>
        <w:pStyle w:val="Subsection"/>
      </w:pPr>
      <w:r>
        <w:tab/>
        <w:t>(2)</w:t>
      </w:r>
      <w:r>
        <w:tab/>
      </w:r>
      <w:r>
        <w:rPr>
          <w:color w:val="000000"/>
        </w:rPr>
        <w:t>A safety report for</w:t>
      </w:r>
      <w:r>
        <w:t xml:space="preserve"> a facility is a document that — </w:t>
      </w:r>
    </w:p>
    <w:p>
      <w:pPr>
        <w:pStyle w:val="Indenta"/>
      </w:pPr>
      <w:r>
        <w:tab/>
        <w:t>(a)</w:t>
      </w:r>
      <w:r>
        <w:tab/>
        <w:t>contains the notifiable information for the facility as it exists, or as the operator expects it will exist, at the relevant time; and</w:t>
      </w:r>
    </w:p>
    <w:p>
      <w:pPr>
        <w:pStyle w:val="Indenta"/>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is prescribed to be a safety management document for the purposes of the definition of “safety management document” in the Act section 3(1).</w:t>
      </w:r>
    </w:p>
    <w:p>
      <w:pPr>
        <w:pStyle w:val="Heading5"/>
        <w:rPr>
          <w:color w:val="000000"/>
        </w:rPr>
      </w:pPr>
      <w:bookmarkStart w:id="38" w:name="_Toc233693234"/>
      <w:r>
        <w:rPr>
          <w:rStyle w:val="CharSectno"/>
        </w:rPr>
        <w:t>26</w:t>
      </w:r>
      <w:r>
        <w:t>.</w:t>
      </w:r>
      <w:r>
        <w:tab/>
        <w:t xml:space="preserve">Application for approval of </w:t>
      </w:r>
      <w:r>
        <w:rPr>
          <w:color w:val="000000"/>
        </w:rPr>
        <w:t>safety report</w:t>
      </w:r>
      <w:bookmarkEnd w:id="38"/>
    </w:p>
    <w:p>
      <w:pPr>
        <w:pStyle w:val="Subsection"/>
      </w:pPr>
      <w:r>
        <w:tab/>
        <w:t>(1)</w:t>
      </w:r>
      <w:r>
        <w:tab/>
        <w:t xml:space="preserve">An application for approval of a </w:t>
      </w:r>
      <w:r>
        <w:rPr>
          <w:color w:val="000000"/>
        </w:rPr>
        <w:t>safety report</w:t>
      </w:r>
      <w:r>
        <w:t xml:space="preserve"> for a facility must —</w:t>
      </w:r>
    </w:p>
    <w:p>
      <w:pPr>
        <w:pStyle w:val="Indenta"/>
      </w:pPr>
      <w:r>
        <w:tab/>
        <w:t>(a)</w:t>
      </w:r>
      <w:r>
        <w:tab/>
        <w:t>be made to the Chief Officer in an approved form; and</w:t>
      </w:r>
    </w:p>
    <w:p>
      <w:pPr>
        <w:pStyle w:val="Indenta"/>
      </w:pPr>
      <w:r>
        <w:tab/>
        <w:t>(b)</w:t>
      </w:r>
      <w:r>
        <w:tab/>
        <w:t>if it is the first application for approval of a safety report for the facility — be accompanied by the relevant fee specified in Schedule 3.</w:t>
      </w:r>
    </w:p>
    <w:p>
      <w:pPr>
        <w:pStyle w:val="Subsection"/>
      </w:pPr>
      <w:r>
        <w:tab/>
        <w:t>(2)</w:t>
      </w:r>
      <w:r>
        <w:tab/>
        <w:t>The Chief Officer may waive the fee or part of the fee payable under subregulation (1) in relation to a particular application if the application is in respect of an existing facility.</w:t>
      </w:r>
    </w:p>
    <w:p>
      <w:pPr>
        <w:pStyle w:val="Heading5"/>
      </w:pPr>
      <w:bookmarkStart w:id="39" w:name="_Toc233693235"/>
      <w:r>
        <w:rPr>
          <w:rStyle w:val="CharSectno"/>
        </w:rPr>
        <w:t>27</w:t>
      </w:r>
      <w:r>
        <w:t>.</w:t>
      </w:r>
      <w:r>
        <w:tab/>
        <w:t xml:space="preserve">Approval of </w:t>
      </w:r>
      <w:r>
        <w:rPr>
          <w:color w:val="000000"/>
        </w:rPr>
        <w:t>safety report</w:t>
      </w:r>
      <w:r>
        <w:t xml:space="preserve"> by the Chief Officer</w:t>
      </w:r>
      <w:bookmarkEnd w:id="39"/>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pPr>
      <w:r>
        <w:tab/>
        <w:t>(a)</w:t>
      </w:r>
      <w:r>
        <w:tab/>
        <w:t xml:space="preserve">the </w:t>
      </w:r>
      <w:r>
        <w:rPr>
          <w:color w:val="000000"/>
        </w:rPr>
        <w:t>safety report</w:t>
      </w:r>
      <w:r>
        <w:t xml:space="preserve"> complies with regulation 25(2); and</w:t>
      </w:r>
    </w:p>
    <w:p>
      <w:pPr>
        <w:pStyle w:val="Indenta"/>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pPr>
      <w:r>
        <w:tab/>
        <w:t>(a)</w:t>
      </w:r>
      <w:r>
        <w:tab/>
        <w:t>the severity of the risk to people, property or the environment from the dangerous goods; and</w:t>
      </w:r>
    </w:p>
    <w:p>
      <w:pPr>
        <w:pStyle w:val="Indenta"/>
      </w:pPr>
      <w:r>
        <w:tab/>
        <w:t>(b)</w:t>
      </w:r>
      <w:r>
        <w:tab/>
        <w:t>the severity of any harm that might be caused by the dangerous goods to people, property or the environment; and</w:t>
      </w:r>
    </w:p>
    <w:p>
      <w:pPr>
        <w:pStyle w:val="Indenta"/>
      </w:pPr>
      <w:r>
        <w:tab/>
        <w:t>(c)</w:t>
      </w:r>
      <w:r>
        <w:tab/>
        <w:t>public knowledge about the matters in paragraphs (a) and (b); and</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Heading5"/>
      </w:pPr>
      <w:bookmarkStart w:id="40" w:name="_Toc233693236"/>
      <w:r>
        <w:rPr>
          <w:rStyle w:val="CharSectno"/>
        </w:rPr>
        <w:t>28</w:t>
      </w:r>
      <w:r>
        <w:t>.</w:t>
      </w:r>
      <w:r>
        <w:tab/>
        <w:t xml:space="preserve">Withdrawal of approval of </w:t>
      </w:r>
      <w:r>
        <w:rPr>
          <w:color w:val="000000"/>
        </w:rPr>
        <w:t>safety report</w:t>
      </w:r>
      <w:bookmarkEnd w:id="40"/>
    </w:p>
    <w:p>
      <w:pPr>
        <w:pStyle w:val="Subsection"/>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pPr>
      <w:r>
        <w:tab/>
        <w:t>(2)</w:t>
      </w:r>
      <w:r>
        <w:tab/>
        <w:t xml:space="preserve">The Chief Officer cannot withdraw approval of </w:t>
      </w:r>
      <w:r>
        <w:rPr>
          <w:color w:val="000000"/>
        </w:rPr>
        <w:t>a safety report</w:t>
      </w:r>
      <w:r>
        <w:t xml:space="preserve"> if — </w:t>
      </w:r>
    </w:p>
    <w:p>
      <w:pPr>
        <w:pStyle w:val="Indenta"/>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41" w:name="_Toc233693237"/>
      <w:r>
        <w:rPr>
          <w:rStyle w:val="CharSectno"/>
        </w:rPr>
        <w:t>29</w:t>
      </w:r>
      <w:r>
        <w:t>.</w:t>
      </w:r>
      <w:r>
        <w:tab/>
        <w:t xml:space="preserve">Chief Officer to consult and notify in relation to approval of </w:t>
      </w:r>
      <w:r>
        <w:rPr>
          <w:color w:val="000000"/>
        </w:rPr>
        <w:t>safety report</w:t>
      </w:r>
      <w:bookmarkEnd w:id="41"/>
    </w:p>
    <w:p>
      <w:pPr>
        <w:pStyle w:val="Subsection"/>
      </w:pPr>
      <w:r>
        <w:tab/>
        <w:t>(1)</w:t>
      </w:r>
      <w:r>
        <w:tab/>
        <w:t xml:space="preserve">Before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w:t>
      </w:r>
      <w:r>
        <w:t xml:space="preserve">, the Chief Officer must — </w:t>
      </w:r>
    </w:p>
    <w:p>
      <w:pPr>
        <w:pStyle w:val="Indenta"/>
      </w:pPr>
      <w:r>
        <w:tab/>
        <w:t>(c)</w:t>
      </w:r>
      <w:r>
        <w:tab/>
        <w:t xml:space="preserve">give the operator of the major hazard facility to which the </w:t>
      </w:r>
      <w:r>
        <w:rPr>
          <w:color w:val="000000"/>
        </w:rPr>
        <w:t>safety report</w:t>
      </w:r>
      <w:r>
        <w:t xml:space="preserve"> relates written notice of — </w:t>
      </w:r>
    </w:p>
    <w:p>
      <w:pPr>
        <w:pStyle w:val="Indenti"/>
      </w:pPr>
      <w:r>
        <w:tab/>
        <w:t>(i)</w:t>
      </w:r>
      <w:r>
        <w:tab/>
        <w:t>the Chief Officer’s intention to make the decision referred to in paragraph (a) or (b); and</w:t>
      </w:r>
    </w:p>
    <w:p>
      <w:pPr>
        <w:pStyle w:val="Indenti"/>
      </w:pPr>
      <w:r>
        <w:tab/>
        <w:t>(ii)</w:t>
      </w:r>
      <w:r>
        <w:tab/>
        <w:t>the reasons for the intended decision;</w:t>
      </w:r>
    </w:p>
    <w:p>
      <w:pPr>
        <w:pStyle w:val="Indenta"/>
      </w:pPr>
      <w:r>
        <w:tab/>
      </w:r>
      <w:r>
        <w:tab/>
        <w:t>and</w:t>
      </w:r>
    </w:p>
    <w:p>
      <w:pPr>
        <w:pStyle w:val="Indenta"/>
      </w:pPr>
      <w:r>
        <w:tab/>
        <w:t>(d)</w:t>
      </w:r>
      <w:r>
        <w:tab/>
        <w:t>invite the operator to make submissions to the Chief Officer in relation to the intended decision before a date specified in the notice; and</w:t>
      </w:r>
    </w:p>
    <w:p>
      <w:pPr>
        <w:pStyle w:val="Indenta"/>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42" w:name="_Toc233693238"/>
      <w:r>
        <w:rPr>
          <w:rStyle w:val="CharSectno"/>
        </w:rPr>
        <w:t>30</w:t>
      </w:r>
      <w:r>
        <w:t>.</w:t>
      </w:r>
      <w:r>
        <w:tab/>
        <w:t>Operators to review safety reports</w:t>
      </w:r>
      <w:bookmarkEnd w:id="42"/>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pPr>
      <w:r>
        <w:tab/>
        <w:t>(a)</w:t>
      </w:r>
      <w:r>
        <w:tab/>
        <w:t xml:space="preserve">before implementing a significant change to — </w:t>
      </w:r>
    </w:p>
    <w:p>
      <w:pPr>
        <w:pStyle w:val="Indenti"/>
      </w:pPr>
      <w:r>
        <w:tab/>
        <w:t>(i)</w:t>
      </w:r>
      <w:r>
        <w:tab/>
        <w:t>any plant, process or substance used at the facility including the introduction of any new plant, process or substance; or</w:t>
      </w:r>
    </w:p>
    <w:p>
      <w:pPr>
        <w:pStyle w:val="Indenti"/>
      </w:pPr>
      <w:r>
        <w:tab/>
        <w:t>(ii)</w:t>
      </w:r>
      <w:r>
        <w:tab/>
        <w:t>the layout of the facility or where dangerous goods are to be stored, handled or transported within the facility;</w:t>
      </w:r>
    </w:p>
    <w:p>
      <w:pPr>
        <w:pStyle w:val="Indenta"/>
      </w:pPr>
      <w:r>
        <w:tab/>
      </w:r>
      <w:r>
        <w:tab/>
        <w:t>or</w:t>
      </w:r>
    </w:p>
    <w:p>
      <w:pPr>
        <w:pStyle w:val="Indenta"/>
      </w:pPr>
      <w:r>
        <w:tab/>
        <w:t>(b)</w:t>
      </w:r>
      <w:r>
        <w:tab/>
        <w:t>as soon as practicable after a dangerous goods incident or major incident occurs at the facility; or</w:t>
      </w:r>
    </w:p>
    <w:p>
      <w:pPr>
        <w:pStyle w:val="Indenta"/>
      </w:pPr>
      <w:r>
        <w:tab/>
        <w:t>(c)</w:t>
      </w:r>
      <w:r>
        <w:tab/>
        <w:t>as soon as practicable after becoming aware of a change in land use or zoning for the area surrounding the facility; or</w:t>
      </w:r>
    </w:p>
    <w:p>
      <w:pPr>
        <w:pStyle w:val="Indenta"/>
      </w:pPr>
      <w:r>
        <w:tab/>
        <w:t>(d)</w:t>
      </w:r>
      <w:r>
        <w:tab/>
        <w:t>as soon as practicable after receiving information provided under a direction given under regulation 31(1); or</w:t>
      </w:r>
    </w:p>
    <w:p>
      <w:pPr>
        <w:pStyle w:val="Indenta"/>
      </w:pPr>
      <w:r>
        <w:tab/>
        <w:t>(e)</w:t>
      </w:r>
      <w:r>
        <w:tab/>
        <w:t xml:space="preserve">as soon as practicable after the expiry of — </w:t>
      </w:r>
    </w:p>
    <w:p>
      <w:pPr>
        <w:pStyle w:val="Indenti"/>
      </w:pPr>
      <w:r>
        <w:tab/>
        <w:t>(i)</w:t>
      </w:r>
      <w:r>
        <w:tab/>
        <w:t>5 years since the last review under this regulation; or</w:t>
      </w:r>
    </w:p>
    <w:p>
      <w:pPr>
        <w:pStyle w:val="Indenti"/>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pPr>
      <w:r>
        <w:tab/>
      </w:r>
      <w:r>
        <w:tab/>
        <w:t>or</w:t>
      </w:r>
    </w:p>
    <w:p>
      <w:pPr>
        <w:pStyle w:val="Indenta"/>
      </w:pPr>
      <w:r>
        <w:tab/>
        <w:t>(f)</w:t>
      </w:r>
      <w:r>
        <w:tab/>
        <w:t>as soon as practicable after a request by the Chief Officer.</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rPr>
          <w:color w:val="000000"/>
        </w:rPr>
      </w:pPr>
      <w:r>
        <w:rPr>
          <w:color w:val="000000"/>
        </w:rPr>
        <w:tab/>
        <w:t>(a)</w:t>
      </w:r>
      <w:r>
        <w:rPr>
          <w:color w:val="000000"/>
        </w:rPr>
        <w:tab/>
        <w:t>that the safety report no longer complies with regulation 25(2);</w:t>
      </w:r>
    </w:p>
    <w:p>
      <w:pPr>
        <w:pStyle w:val="Indenta"/>
        <w:rPr>
          <w:color w:val="000000"/>
        </w:rPr>
      </w:pPr>
      <w:r>
        <w:rPr>
          <w:color w:val="000000"/>
        </w:rPr>
        <w:tab/>
        <w:t>(b)</w:t>
      </w:r>
      <w:r>
        <w:rPr>
          <w:color w:val="000000"/>
        </w:rPr>
        <w:tab/>
        <w:t>that the risk assessment no longer complies with regulation 23(2);</w:t>
      </w:r>
    </w:p>
    <w:p>
      <w:pPr>
        <w:pStyle w:val="Indenta"/>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43" w:name="_Toc191980800"/>
      <w:bookmarkStart w:id="44" w:name="_Toc233693239"/>
      <w:r>
        <w:rPr>
          <w:rStyle w:val="CharPartNo"/>
        </w:rPr>
        <w:t>Part 6</w:t>
      </w:r>
      <w:r>
        <w:rPr>
          <w:rStyle w:val="CharDivNo"/>
        </w:rPr>
        <w:t> </w:t>
      </w:r>
      <w:r>
        <w:t>—</w:t>
      </w:r>
      <w:r>
        <w:rPr>
          <w:rStyle w:val="CharDivText"/>
        </w:rPr>
        <w:t> </w:t>
      </w:r>
      <w:r>
        <w:rPr>
          <w:rStyle w:val="CharPartText"/>
        </w:rPr>
        <w:t>Miscellaneous</w:t>
      </w:r>
      <w:bookmarkEnd w:id="43"/>
      <w:bookmarkEnd w:id="44"/>
    </w:p>
    <w:p>
      <w:pPr>
        <w:pStyle w:val="Heading5"/>
      </w:pPr>
      <w:bookmarkStart w:id="45" w:name="_Toc233693240"/>
      <w:r>
        <w:rPr>
          <w:rStyle w:val="CharSectno"/>
        </w:rPr>
        <w:t>31</w:t>
      </w:r>
      <w:r>
        <w:t>.</w:t>
      </w:r>
      <w:r>
        <w:tab/>
        <w:t>Direction to provide information to nearby major hazard facility</w:t>
      </w:r>
      <w:bookmarkEnd w:id="45"/>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6" w:name="_Toc233693241"/>
      <w:r>
        <w:rPr>
          <w:rStyle w:val="CharSectno"/>
        </w:rPr>
        <w:t>32</w:t>
      </w:r>
      <w:r>
        <w:t>.</w:t>
      </w:r>
      <w:r>
        <w:tab/>
        <w:t>Operator of major hazard facility to notify Chief Officer of closure</w:t>
      </w:r>
      <w:bookmarkEnd w:id="46"/>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528" w:gutter="0"/>
          <w:pgNumType w:start="1"/>
          <w:cols w:space="720"/>
          <w:noEndnote/>
          <w:titlePg/>
        </w:sectPr>
      </w:pPr>
    </w:p>
    <w:p>
      <w:pPr>
        <w:pStyle w:val="yScheduleHeading"/>
        <w:outlineLvl w:val="0"/>
      </w:pPr>
      <w:bookmarkStart w:id="47" w:name="_Toc191980803"/>
      <w:bookmarkStart w:id="48" w:name="_Toc233693242"/>
      <w:r>
        <w:rPr>
          <w:rStyle w:val="CharSchNo"/>
        </w:rPr>
        <w:t>Schedule 1</w:t>
      </w:r>
      <w:r>
        <w:rPr>
          <w:rStyle w:val="CharSDivNo"/>
        </w:rPr>
        <w:t> </w:t>
      </w:r>
      <w:r>
        <w:t>—</w:t>
      </w:r>
      <w:r>
        <w:rPr>
          <w:rStyle w:val="CharSDivText"/>
        </w:rPr>
        <w:t> </w:t>
      </w:r>
      <w:r>
        <w:rPr>
          <w:rStyle w:val="CharSchText"/>
        </w:rPr>
        <w:t>Threshold quantity for Schedule 1 substances</w:t>
      </w:r>
      <w:bookmarkEnd w:id="47"/>
      <w:bookmarkEnd w:id="48"/>
    </w:p>
    <w:p>
      <w:pPr>
        <w:pStyle w:val="yShoulderClause"/>
      </w:pPr>
      <w:r>
        <w:t>[r. 4 and 10]</w:t>
      </w:r>
    </w:p>
    <w:p>
      <w:pPr>
        <w:pStyle w:val="yHeading5"/>
      </w:pPr>
      <w:bookmarkStart w:id="49" w:name="_Toc233693243"/>
      <w:r>
        <w:rPr>
          <w:rStyle w:val="CharSClsNo"/>
        </w:rPr>
        <w:t>1</w:t>
      </w:r>
      <w:r>
        <w:t>.</w:t>
      </w:r>
      <w:r>
        <w:tab/>
        <w:t>Threshold quantity for substances</w:t>
      </w:r>
      <w:bookmarkEnd w:id="49"/>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rPr>
          <w:bCs/>
        </w:rPr>
      </w:pPr>
      <w:r>
        <w:rPr>
          <w:bCs/>
        </w:rPr>
        <w:t>Table 1</w:t>
      </w:r>
    </w:p>
    <w:tbl>
      <w:tblPr>
        <w:tblW w:w="0" w:type="auto"/>
        <w:tblInd w:w="675" w:type="dxa"/>
        <w:tblLayout w:type="fixed"/>
        <w:tblLook w:val="0000" w:firstRow="0" w:lastRow="0" w:firstColumn="0" w:lastColumn="0" w:noHBand="0" w:noVBand="0"/>
      </w:tblPr>
      <w:tblGrid>
        <w:gridCol w:w="2977"/>
        <w:gridCol w:w="1843"/>
        <w:gridCol w:w="1808"/>
      </w:tblGrid>
      <w:tr>
        <w:trPr>
          <w:cantSplit/>
          <w:tblHeader/>
        </w:trPr>
        <w:tc>
          <w:tcPr>
            <w:tcW w:w="2977" w:type="dxa"/>
            <w:tcBorders>
              <w:top w:val="single" w:sz="4" w:space="0" w:color="auto"/>
              <w:bottom w:val="single" w:sz="4" w:space="0" w:color="auto"/>
            </w:tcBorders>
          </w:tcPr>
          <w:p>
            <w:pPr>
              <w:pStyle w:val="yTable"/>
              <w:rPr>
                <w:b/>
              </w:rPr>
            </w:pPr>
            <w:r>
              <w:rPr>
                <w:b/>
              </w:rPr>
              <w:t>Substance</w:t>
            </w:r>
          </w:p>
        </w:tc>
        <w:tc>
          <w:tcPr>
            <w:tcW w:w="1843" w:type="dxa"/>
            <w:tcBorders>
              <w:top w:val="single" w:sz="4" w:space="0" w:color="auto"/>
              <w:bottom w:val="single" w:sz="4" w:space="0" w:color="auto"/>
            </w:tcBorders>
          </w:tcPr>
          <w:p>
            <w:pPr>
              <w:pStyle w:val="yTable"/>
              <w:rPr>
                <w:b/>
              </w:rPr>
            </w:pPr>
            <w:r>
              <w:rPr>
                <w:b/>
              </w:rPr>
              <w:t>UN number</w:t>
            </w:r>
          </w:p>
        </w:tc>
        <w:tc>
          <w:tcPr>
            <w:tcW w:w="1808" w:type="dxa"/>
            <w:tcBorders>
              <w:top w:val="single" w:sz="4" w:space="0" w:color="auto"/>
              <w:bottom w:val="single" w:sz="4" w:space="0" w:color="auto"/>
            </w:tcBorders>
          </w:tcPr>
          <w:p>
            <w:pPr>
              <w:pStyle w:val="yTable"/>
              <w:rPr>
                <w:b/>
              </w:rPr>
            </w:pPr>
            <w:r>
              <w:rPr>
                <w:b/>
              </w:rPr>
              <w:t>Threshold quantity (in tonnes)</w:t>
            </w:r>
          </w:p>
        </w:tc>
      </w:tr>
      <w:tr>
        <w:trPr>
          <w:cantSplit/>
        </w:trPr>
        <w:tc>
          <w:tcPr>
            <w:tcW w:w="2977" w:type="dxa"/>
          </w:tcPr>
          <w:p>
            <w:pPr>
              <w:pStyle w:val="yTable"/>
            </w:pPr>
            <w:r>
              <w:t>ACETONE CYANOHYDRIN</w:t>
            </w:r>
          </w:p>
        </w:tc>
        <w:tc>
          <w:tcPr>
            <w:tcW w:w="1843" w:type="dxa"/>
          </w:tcPr>
          <w:p>
            <w:pPr>
              <w:pStyle w:val="yTable"/>
            </w:pPr>
            <w:r>
              <w:t>1541</w:t>
            </w:r>
          </w:p>
        </w:tc>
        <w:tc>
          <w:tcPr>
            <w:tcW w:w="1808" w:type="dxa"/>
          </w:tcPr>
          <w:p>
            <w:pPr>
              <w:pStyle w:val="yTable"/>
            </w:pPr>
            <w:r>
              <w:t>20</w:t>
            </w:r>
          </w:p>
        </w:tc>
      </w:tr>
      <w:tr>
        <w:trPr>
          <w:cantSplit/>
        </w:trPr>
        <w:tc>
          <w:tcPr>
            <w:tcW w:w="2977" w:type="dxa"/>
          </w:tcPr>
          <w:p>
            <w:pPr>
              <w:pStyle w:val="yTable"/>
            </w:pPr>
            <w:r>
              <w:t>ACETYLENE</w:t>
            </w:r>
          </w:p>
        </w:tc>
        <w:tc>
          <w:tcPr>
            <w:tcW w:w="1843" w:type="dxa"/>
          </w:tcPr>
          <w:p>
            <w:pPr>
              <w:pStyle w:val="yTable"/>
            </w:pPr>
            <w:r>
              <w:t>1001</w:t>
            </w:r>
          </w:p>
        </w:tc>
        <w:tc>
          <w:tcPr>
            <w:tcW w:w="1808" w:type="dxa"/>
          </w:tcPr>
          <w:p>
            <w:pPr>
              <w:pStyle w:val="yTable"/>
            </w:pPr>
            <w:r>
              <w:t>50</w:t>
            </w:r>
          </w:p>
        </w:tc>
      </w:tr>
      <w:tr>
        <w:trPr>
          <w:cantSplit/>
        </w:trPr>
        <w:tc>
          <w:tcPr>
            <w:tcW w:w="2977" w:type="dxa"/>
          </w:tcPr>
          <w:p>
            <w:pPr>
              <w:pStyle w:val="yTable"/>
            </w:pPr>
            <w:r>
              <w:t>ACROLEIN</w:t>
            </w:r>
          </w:p>
        </w:tc>
        <w:tc>
          <w:tcPr>
            <w:tcW w:w="1843" w:type="dxa"/>
          </w:tcPr>
          <w:p>
            <w:pPr>
              <w:pStyle w:val="yTable"/>
            </w:pPr>
            <w:r>
              <w:t>1092</w:t>
            </w:r>
          </w:p>
        </w:tc>
        <w:tc>
          <w:tcPr>
            <w:tcW w:w="1808" w:type="dxa"/>
          </w:tcPr>
          <w:p>
            <w:pPr>
              <w:pStyle w:val="yTable"/>
            </w:pPr>
            <w:r>
              <w:t>200</w:t>
            </w:r>
          </w:p>
        </w:tc>
      </w:tr>
      <w:tr>
        <w:trPr>
          <w:cantSplit/>
        </w:trPr>
        <w:tc>
          <w:tcPr>
            <w:tcW w:w="2977" w:type="dxa"/>
          </w:tcPr>
          <w:p>
            <w:pPr>
              <w:pStyle w:val="yTable"/>
            </w:pPr>
            <w:r>
              <w:t>ACRYLONITRILE</w:t>
            </w:r>
          </w:p>
        </w:tc>
        <w:tc>
          <w:tcPr>
            <w:tcW w:w="1843" w:type="dxa"/>
          </w:tcPr>
          <w:p>
            <w:pPr>
              <w:pStyle w:val="yTable"/>
            </w:pPr>
            <w:r>
              <w:t>1093</w:t>
            </w:r>
          </w:p>
        </w:tc>
        <w:tc>
          <w:tcPr>
            <w:tcW w:w="1808" w:type="dxa"/>
          </w:tcPr>
          <w:p>
            <w:pPr>
              <w:pStyle w:val="yTable"/>
            </w:pPr>
            <w:r>
              <w:t>200</w:t>
            </w:r>
          </w:p>
        </w:tc>
      </w:tr>
      <w:tr>
        <w:trPr>
          <w:cantSplit/>
        </w:trPr>
        <w:tc>
          <w:tcPr>
            <w:tcW w:w="2977" w:type="dxa"/>
          </w:tcPr>
          <w:p>
            <w:pPr>
              <w:pStyle w:val="yTable"/>
            </w:pPr>
            <w:r>
              <w:t>ALLYL ALCOHOL</w:t>
            </w:r>
          </w:p>
        </w:tc>
        <w:tc>
          <w:tcPr>
            <w:tcW w:w="1843" w:type="dxa"/>
          </w:tcPr>
          <w:p>
            <w:pPr>
              <w:pStyle w:val="yTable"/>
            </w:pPr>
            <w:r>
              <w:t>1098</w:t>
            </w:r>
          </w:p>
        </w:tc>
        <w:tc>
          <w:tcPr>
            <w:tcW w:w="1808" w:type="dxa"/>
          </w:tcPr>
          <w:p>
            <w:pPr>
              <w:pStyle w:val="yTable"/>
            </w:pPr>
            <w:r>
              <w:t>20</w:t>
            </w:r>
          </w:p>
        </w:tc>
      </w:tr>
      <w:tr>
        <w:trPr>
          <w:cantSplit/>
        </w:trPr>
        <w:tc>
          <w:tcPr>
            <w:tcW w:w="2977" w:type="dxa"/>
          </w:tcPr>
          <w:p>
            <w:pPr>
              <w:pStyle w:val="yTable"/>
            </w:pPr>
            <w:r>
              <w:t>ALLYLAMINE</w:t>
            </w:r>
          </w:p>
        </w:tc>
        <w:tc>
          <w:tcPr>
            <w:tcW w:w="1843" w:type="dxa"/>
          </w:tcPr>
          <w:p>
            <w:pPr>
              <w:pStyle w:val="yTable"/>
            </w:pPr>
            <w:r>
              <w:t>2334</w:t>
            </w:r>
          </w:p>
        </w:tc>
        <w:tc>
          <w:tcPr>
            <w:tcW w:w="1808" w:type="dxa"/>
          </w:tcPr>
          <w:p>
            <w:pPr>
              <w:pStyle w:val="yTable"/>
            </w:pPr>
            <w:r>
              <w:t>200</w:t>
            </w:r>
          </w:p>
        </w:tc>
      </w:tr>
      <w:tr>
        <w:trPr>
          <w:cantSplit/>
        </w:trPr>
        <w:tc>
          <w:tcPr>
            <w:tcW w:w="2977" w:type="dxa"/>
          </w:tcPr>
          <w:p>
            <w:pPr>
              <w:pStyle w:val="yTable"/>
            </w:pPr>
            <w:r>
              <w:t>AMMONIA, anhydrous, liquefied or ammonia solutions, relative density less than 0.880 at 15°C in water, with more than 50% ammonia</w:t>
            </w:r>
          </w:p>
        </w:tc>
        <w:tc>
          <w:tcPr>
            <w:tcW w:w="1843" w:type="dxa"/>
          </w:tcPr>
          <w:p>
            <w:pPr>
              <w:pStyle w:val="yTable"/>
            </w:pPr>
            <w:r>
              <w:t>1005</w:t>
            </w:r>
          </w:p>
        </w:tc>
        <w:tc>
          <w:tcPr>
            <w:tcW w:w="1808" w:type="dxa"/>
          </w:tcPr>
          <w:p>
            <w:pPr>
              <w:pStyle w:val="yTable"/>
            </w:pPr>
            <w:r>
              <w:t>200</w:t>
            </w:r>
          </w:p>
        </w:tc>
      </w:tr>
      <w:tr>
        <w:trPr>
          <w:cantSplit/>
        </w:trPr>
        <w:tc>
          <w:tcPr>
            <w:tcW w:w="2977" w:type="dxa"/>
          </w:tcPr>
          <w:p>
            <w:pPr>
              <w:pStyle w:val="yTable"/>
            </w:pPr>
            <w:r>
              <w:t>AMMONIUM NITRATE FERTILIZERS</w:t>
            </w:r>
          </w:p>
        </w:tc>
        <w:tc>
          <w:tcPr>
            <w:tcW w:w="1843" w:type="dxa"/>
          </w:tcPr>
          <w:p>
            <w:pPr>
              <w:pStyle w:val="yTable"/>
            </w:pPr>
            <w:r>
              <w:t>2067</w:t>
            </w:r>
          </w:p>
        </w:tc>
        <w:tc>
          <w:tcPr>
            <w:tcW w:w="1808" w:type="dxa"/>
          </w:tcPr>
          <w:p>
            <w:pPr>
              <w:pStyle w:val="yTable"/>
            </w:pPr>
            <w:r>
              <w:t>5 000</w:t>
            </w:r>
          </w:p>
        </w:tc>
      </w:tr>
      <w:tr>
        <w:trPr>
          <w:cantSplit/>
        </w:trPr>
        <w:tc>
          <w:tcPr>
            <w:tcW w:w="2977" w:type="dxa"/>
          </w:tcPr>
          <w:p>
            <w:pPr>
              <w:pStyle w:val="yTable"/>
            </w:pPr>
            <w:r>
              <w:t>AMMONIUM NITRATE, with not more than 0.2% combustible substances, including any organic substance calculated as carbon, to the exclusion of any other added substance</w:t>
            </w:r>
          </w:p>
        </w:tc>
        <w:tc>
          <w:tcPr>
            <w:tcW w:w="1843" w:type="dxa"/>
          </w:tcPr>
          <w:p>
            <w:pPr>
              <w:pStyle w:val="yTable"/>
            </w:pPr>
            <w:r>
              <w:t>1942</w:t>
            </w:r>
          </w:p>
        </w:tc>
        <w:tc>
          <w:tcPr>
            <w:tcW w:w="1808" w:type="dxa"/>
          </w:tcPr>
          <w:p>
            <w:pPr>
              <w:pStyle w:val="yTable"/>
            </w:pPr>
            <w:r>
              <w:t>2 500</w:t>
            </w:r>
          </w:p>
        </w:tc>
      </w:tr>
      <w:tr>
        <w:trPr>
          <w:cantSplit/>
        </w:trPr>
        <w:tc>
          <w:tcPr>
            <w:tcW w:w="2977" w:type="dxa"/>
          </w:tcPr>
          <w:p>
            <w:pPr>
              <w:pStyle w:val="yTable"/>
            </w:pPr>
            <w:r>
              <w:t>ARSENIC PENTOXIDE, Arsenic (V) acid and other salts</w:t>
            </w:r>
          </w:p>
        </w:tc>
        <w:tc>
          <w:tcPr>
            <w:tcW w:w="1843" w:type="dxa"/>
          </w:tcPr>
          <w:p>
            <w:pPr>
              <w:pStyle w:val="yTable"/>
            </w:pPr>
            <w:r>
              <w:t>1559</w:t>
            </w:r>
          </w:p>
        </w:tc>
        <w:tc>
          <w:tcPr>
            <w:tcW w:w="1808" w:type="dxa"/>
          </w:tcPr>
          <w:p>
            <w:pPr>
              <w:pStyle w:val="yTable"/>
            </w:pPr>
            <w:r>
              <w:t>10</w:t>
            </w:r>
          </w:p>
        </w:tc>
      </w:tr>
      <w:tr>
        <w:trPr>
          <w:cantSplit/>
        </w:trPr>
        <w:tc>
          <w:tcPr>
            <w:tcW w:w="2977" w:type="dxa"/>
          </w:tcPr>
          <w:p>
            <w:pPr>
              <w:pStyle w:val="yTable"/>
            </w:pPr>
            <w:r>
              <w:t>ARSENIC TRIOXIDE, Arsenious (III) acid and other salts</w:t>
            </w:r>
          </w:p>
        </w:tc>
        <w:tc>
          <w:tcPr>
            <w:tcW w:w="1843" w:type="dxa"/>
          </w:tcPr>
          <w:p>
            <w:pPr>
              <w:pStyle w:val="yTable"/>
            </w:pPr>
            <w:r>
              <w:t>1561</w:t>
            </w:r>
          </w:p>
        </w:tc>
        <w:tc>
          <w:tcPr>
            <w:tcW w:w="1808" w:type="dxa"/>
          </w:tcPr>
          <w:p>
            <w:pPr>
              <w:pStyle w:val="yTable"/>
            </w:pPr>
            <w:r>
              <w:t>0.10</w:t>
            </w:r>
          </w:p>
        </w:tc>
      </w:tr>
      <w:tr>
        <w:trPr>
          <w:cantSplit/>
        </w:trPr>
        <w:tc>
          <w:tcPr>
            <w:tcW w:w="2977" w:type="dxa"/>
          </w:tcPr>
          <w:p>
            <w:pPr>
              <w:pStyle w:val="yTable"/>
            </w:pPr>
            <w:r>
              <w:t>ARSINE</w:t>
            </w:r>
          </w:p>
        </w:tc>
        <w:tc>
          <w:tcPr>
            <w:tcW w:w="1843" w:type="dxa"/>
          </w:tcPr>
          <w:p>
            <w:pPr>
              <w:pStyle w:val="yTable"/>
            </w:pPr>
            <w:r>
              <w:t>2188</w:t>
            </w:r>
          </w:p>
        </w:tc>
        <w:tc>
          <w:tcPr>
            <w:tcW w:w="1808" w:type="dxa"/>
          </w:tcPr>
          <w:p>
            <w:pPr>
              <w:pStyle w:val="yTable"/>
            </w:pPr>
            <w:r>
              <w:t>0.01</w:t>
            </w:r>
          </w:p>
        </w:tc>
      </w:tr>
      <w:tr>
        <w:trPr>
          <w:cantSplit/>
        </w:trPr>
        <w:tc>
          <w:tcPr>
            <w:tcW w:w="2977" w:type="dxa"/>
          </w:tcPr>
          <w:p>
            <w:pPr>
              <w:pStyle w:val="yTable"/>
            </w:pPr>
            <w:r>
              <w:t>BROMINE or BROMINE SOLUTIONS</w:t>
            </w:r>
          </w:p>
        </w:tc>
        <w:tc>
          <w:tcPr>
            <w:tcW w:w="1843" w:type="dxa"/>
          </w:tcPr>
          <w:p>
            <w:pPr>
              <w:pStyle w:val="yTable"/>
            </w:pPr>
            <w:r>
              <w:t>1744</w:t>
            </w:r>
          </w:p>
        </w:tc>
        <w:tc>
          <w:tcPr>
            <w:tcW w:w="1808" w:type="dxa"/>
          </w:tcPr>
          <w:p>
            <w:pPr>
              <w:pStyle w:val="yTable"/>
            </w:pPr>
            <w:r>
              <w:t>100</w:t>
            </w:r>
          </w:p>
        </w:tc>
      </w:tr>
      <w:tr>
        <w:trPr>
          <w:cantSplit/>
        </w:trPr>
        <w:tc>
          <w:tcPr>
            <w:tcW w:w="2977" w:type="dxa"/>
          </w:tcPr>
          <w:p>
            <w:pPr>
              <w:pStyle w:val="yTable"/>
            </w:pPr>
            <w:r>
              <w:t>CARBON DISULFIDE</w:t>
            </w:r>
          </w:p>
        </w:tc>
        <w:tc>
          <w:tcPr>
            <w:tcW w:w="1843" w:type="dxa"/>
          </w:tcPr>
          <w:p>
            <w:pPr>
              <w:pStyle w:val="yTable"/>
            </w:pPr>
            <w:r>
              <w:t>1131</w:t>
            </w:r>
          </w:p>
        </w:tc>
        <w:tc>
          <w:tcPr>
            <w:tcW w:w="1808" w:type="dxa"/>
          </w:tcPr>
          <w:p>
            <w:pPr>
              <w:pStyle w:val="yTable"/>
            </w:pPr>
            <w:r>
              <w:t>200</w:t>
            </w:r>
          </w:p>
        </w:tc>
      </w:tr>
      <w:tr>
        <w:trPr>
          <w:cantSplit/>
        </w:trPr>
        <w:tc>
          <w:tcPr>
            <w:tcW w:w="2977" w:type="dxa"/>
          </w:tcPr>
          <w:p>
            <w:pPr>
              <w:pStyle w:val="yTable"/>
            </w:pPr>
            <w:r>
              <w:t>CHLORINE</w:t>
            </w:r>
          </w:p>
        </w:tc>
        <w:tc>
          <w:tcPr>
            <w:tcW w:w="1843" w:type="dxa"/>
          </w:tcPr>
          <w:p>
            <w:pPr>
              <w:pStyle w:val="yTable"/>
            </w:pPr>
            <w:r>
              <w:t>1017</w:t>
            </w:r>
          </w:p>
        </w:tc>
        <w:tc>
          <w:tcPr>
            <w:tcW w:w="1808" w:type="dxa"/>
          </w:tcPr>
          <w:p>
            <w:pPr>
              <w:pStyle w:val="yTable"/>
            </w:pPr>
            <w:r>
              <w:t>25</w:t>
            </w:r>
          </w:p>
        </w:tc>
      </w:tr>
      <w:tr>
        <w:trPr>
          <w:cantSplit/>
        </w:trPr>
        <w:tc>
          <w:tcPr>
            <w:tcW w:w="2977" w:type="dxa"/>
          </w:tcPr>
          <w:p>
            <w:pPr>
              <w:pStyle w:val="yTable"/>
            </w:pPr>
            <w:r>
              <w:t>DIOXINS</w:t>
            </w:r>
          </w:p>
        </w:tc>
        <w:tc>
          <w:tcPr>
            <w:tcW w:w="1843" w:type="dxa"/>
          </w:tcPr>
          <w:p>
            <w:pPr>
              <w:pStyle w:val="yTable"/>
            </w:pPr>
            <w:r>
              <w:noBreakHyphen/>
            </w:r>
            <w:r>
              <w:noBreakHyphen/>
            </w:r>
            <w:r>
              <w:noBreakHyphen/>
            </w:r>
          </w:p>
        </w:tc>
        <w:tc>
          <w:tcPr>
            <w:tcW w:w="1808" w:type="dxa"/>
          </w:tcPr>
          <w:p>
            <w:pPr>
              <w:pStyle w:val="yTable"/>
            </w:pPr>
            <w:r>
              <w:t>0.10</w:t>
            </w:r>
          </w:p>
        </w:tc>
      </w:tr>
      <w:tr>
        <w:trPr>
          <w:cantSplit/>
        </w:trPr>
        <w:tc>
          <w:tcPr>
            <w:tcW w:w="2977" w:type="dxa"/>
          </w:tcPr>
          <w:p>
            <w:pPr>
              <w:pStyle w:val="yTable"/>
            </w:pPr>
            <w:r>
              <w:t>ETHYL NITRATE</w:t>
            </w:r>
          </w:p>
        </w:tc>
        <w:tc>
          <w:tcPr>
            <w:tcW w:w="1843" w:type="dxa"/>
          </w:tcPr>
          <w:p>
            <w:pPr>
              <w:pStyle w:val="yTable"/>
            </w:pPr>
            <w:r>
              <w:noBreakHyphen/>
            </w:r>
            <w:r>
              <w:noBreakHyphen/>
            </w:r>
            <w:r>
              <w:noBreakHyphen/>
            </w:r>
          </w:p>
        </w:tc>
        <w:tc>
          <w:tcPr>
            <w:tcW w:w="1808" w:type="dxa"/>
          </w:tcPr>
          <w:p>
            <w:pPr>
              <w:pStyle w:val="yTable"/>
            </w:pPr>
            <w:r>
              <w:t>50</w:t>
            </w:r>
          </w:p>
        </w:tc>
      </w:tr>
      <w:tr>
        <w:trPr>
          <w:cantSplit/>
        </w:trPr>
        <w:tc>
          <w:tcPr>
            <w:tcW w:w="2977" w:type="dxa"/>
          </w:tcPr>
          <w:p>
            <w:pPr>
              <w:pStyle w:val="yTable"/>
            </w:pPr>
            <w:r>
              <w:t>ETHYLENE DIBROMIDE</w:t>
            </w:r>
          </w:p>
        </w:tc>
        <w:tc>
          <w:tcPr>
            <w:tcW w:w="1843" w:type="dxa"/>
          </w:tcPr>
          <w:p>
            <w:pPr>
              <w:pStyle w:val="yTable"/>
            </w:pPr>
            <w:r>
              <w:t>1605</w:t>
            </w:r>
          </w:p>
        </w:tc>
        <w:tc>
          <w:tcPr>
            <w:tcW w:w="1808" w:type="dxa"/>
          </w:tcPr>
          <w:p>
            <w:pPr>
              <w:pStyle w:val="yTable"/>
            </w:pPr>
            <w:r>
              <w:t>50</w:t>
            </w:r>
          </w:p>
        </w:tc>
      </w:tr>
      <w:tr>
        <w:trPr>
          <w:cantSplit/>
        </w:trPr>
        <w:tc>
          <w:tcPr>
            <w:tcW w:w="2977" w:type="dxa"/>
          </w:tcPr>
          <w:p>
            <w:pPr>
              <w:pStyle w:val="yTable"/>
            </w:pPr>
            <w:r>
              <w:t>ETHYLENE OXIDE</w:t>
            </w:r>
          </w:p>
        </w:tc>
        <w:tc>
          <w:tcPr>
            <w:tcW w:w="1843" w:type="dxa"/>
          </w:tcPr>
          <w:p>
            <w:pPr>
              <w:pStyle w:val="yTable"/>
            </w:pPr>
            <w:r>
              <w:t>1040</w:t>
            </w:r>
          </w:p>
        </w:tc>
        <w:tc>
          <w:tcPr>
            <w:tcW w:w="1808" w:type="dxa"/>
          </w:tcPr>
          <w:p>
            <w:pPr>
              <w:pStyle w:val="yTable"/>
            </w:pPr>
            <w:r>
              <w:t>50</w:t>
            </w:r>
          </w:p>
        </w:tc>
      </w:tr>
      <w:tr>
        <w:trPr>
          <w:cantSplit/>
        </w:trPr>
        <w:tc>
          <w:tcPr>
            <w:tcW w:w="2977" w:type="dxa"/>
          </w:tcPr>
          <w:p>
            <w:pPr>
              <w:pStyle w:val="yTable"/>
            </w:pPr>
            <w:r>
              <w:t>ETYLENEIMINE</w:t>
            </w:r>
          </w:p>
        </w:tc>
        <w:tc>
          <w:tcPr>
            <w:tcW w:w="1843" w:type="dxa"/>
          </w:tcPr>
          <w:p>
            <w:pPr>
              <w:pStyle w:val="yTable"/>
            </w:pPr>
            <w:r>
              <w:t>1185</w:t>
            </w:r>
          </w:p>
        </w:tc>
        <w:tc>
          <w:tcPr>
            <w:tcW w:w="1808" w:type="dxa"/>
          </w:tcPr>
          <w:p>
            <w:pPr>
              <w:pStyle w:val="yTable"/>
            </w:pPr>
            <w:r>
              <w:t>50</w:t>
            </w:r>
          </w:p>
        </w:tc>
      </w:tr>
      <w:tr>
        <w:trPr>
          <w:cantSplit/>
        </w:trPr>
        <w:tc>
          <w:tcPr>
            <w:tcW w:w="2977" w:type="dxa"/>
          </w:tcPr>
          <w:p>
            <w:pPr>
              <w:pStyle w:val="yTable"/>
            </w:pPr>
            <w:r>
              <w:t>FLUORINE</w:t>
            </w:r>
          </w:p>
        </w:tc>
        <w:tc>
          <w:tcPr>
            <w:tcW w:w="1843" w:type="dxa"/>
          </w:tcPr>
          <w:p>
            <w:pPr>
              <w:pStyle w:val="yTable"/>
            </w:pPr>
            <w:r>
              <w:t>1045</w:t>
            </w:r>
          </w:p>
        </w:tc>
        <w:tc>
          <w:tcPr>
            <w:tcW w:w="1808" w:type="dxa"/>
          </w:tcPr>
          <w:p>
            <w:pPr>
              <w:pStyle w:val="yTable"/>
            </w:pPr>
            <w:r>
              <w:t>25</w:t>
            </w:r>
          </w:p>
        </w:tc>
      </w:tr>
      <w:tr>
        <w:trPr>
          <w:cantSplit/>
        </w:trPr>
        <w:tc>
          <w:tcPr>
            <w:tcW w:w="2977" w:type="dxa"/>
          </w:tcPr>
          <w:p>
            <w:pPr>
              <w:pStyle w:val="yTable"/>
            </w:pPr>
            <w:r>
              <w:t>FORMALDEHYDE</w:t>
            </w:r>
          </w:p>
        </w:tc>
        <w:tc>
          <w:tcPr>
            <w:tcW w:w="1843" w:type="dxa"/>
          </w:tcPr>
          <w:p>
            <w:pPr>
              <w:pStyle w:val="yTable"/>
            </w:pPr>
            <w:r>
              <w:t>1198 or 2209</w:t>
            </w:r>
          </w:p>
        </w:tc>
        <w:tc>
          <w:tcPr>
            <w:tcW w:w="1808" w:type="dxa"/>
          </w:tcPr>
          <w:p>
            <w:pPr>
              <w:pStyle w:val="yTable"/>
            </w:pPr>
            <w:r>
              <w:t>50</w:t>
            </w:r>
          </w:p>
        </w:tc>
      </w:tr>
      <w:tr>
        <w:trPr>
          <w:cantSplit/>
        </w:trPr>
        <w:tc>
          <w:tcPr>
            <w:tcW w:w="2977" w:type="dxa"/>
          </w:tcPr>
          <w:p>
            <w:pPr>
              <w:pStyle w:val="yTable"/>
            </w:pPr>
            <w:r>
              <w:t>HYDROFLUORIC ACID SOLUTION, greater than 50%</w:t>
            </w:r>
          </w:p>
        </w:tc>
        <w:tc>
          <w:tcPr>
            <w:tcW w:w="1843" w:type="dxa"/>
          </w:tcPr>
          <w:p>
            <w:pPr>
              <w:pStyle w:val="yTable"/>
            </w:pPr>
            <w:r>
              <w:t>1790</w:t>
            </w:r>
          </w:p>
        </w:tc>
        <w:tc>
          <w:tcPr>
            <w:tcW w:w="1808" w:type="dxa"/>
          </w:tcPr>
          <w:p>
            <w:pPr>
              <w:pStyle w:val="yTable"/>
            </w:pPr>
            <w:r>
              <w:t>50</w:t>
            </w:r>
          </w:p>
        </w:tc>
      </w:tr>
      <w:tr>
        <w:trPr>
          <w:cantSplit/>
        </w:trPr>
        <w:tc>
          <w:tcPr>
            <w:tcW w:w="2977" w:type="dxa"/>
          </w:tcPr>
          <w:p>
            <w:pPr>
              <w:pStyle w:val="yTable"/>
            </w:pPr>
            <w:r>
              <w:t>HYDROGEN</w:t>
            </w:r>
          </w:p>
        </w:tc>
        <w:tc>
          <w:tcPr>
            <w:tcW w:w="1843" w:type="dxa"/>
          </w:tcPr>
          <w:p>
            <w:pPr>
              <w:pStyle w:val="yTable"/>
            </w:pPr>
            <w:r>
              <w:t>1049</w:t>
            </w:r>
          </w:p>
        </w:tc>
        <w:tc>
          <w:tcPr>
            <w:tcW w:w="1808" w:type="dxa"/>
          </w:tcPr>
          <w:p>
            <w:pPr>
              <w:pStyle w:val="yTable"/>
            </w:pPr>
            <w:r>
              <w:t>50</w:t>
            </w:r>
          </w:p>
        </w:tc>
      </w:tr>
      <w:tr>
        <w:trPr>
          <w:cantSplit/>
        </w:trPr>
        <w:tc>
          <w:tcPr>
            <w:tcW w:w="2977" w:type="dxa"/>
          </w:tcPr>
          <w:p>
            <w:pPr>
              <w:pStyle w:val="yTable"/>
            </w:pPr>
            <w:r>
              <w:t>HYDROGEN CHLORIDE, anhydrous</w:t>
            </w:r>
          </w:p>
        </w:tc>
        <w:tc>
          <w:tcPr>
            <w:tcW w:w="1843" w:type="dxa"/>
          </w:tcPr>
          <w:p>
            <w:pPr>
              <w:pStyle w:val="yTable"/>
            </w:pPr>
            <w:r>
              <w:t>1050</w:t>
            </w:r>
          </w:p>
        </w:tc>
        <w:tc>
          <w:tcPr>
            <w:tcW w:w="1808" w:type="dxa"/>
          </w:tcPr>
          <w:p>
            <w:pPr>
              <w:pStyle w:val="yTable"/>
            </w:pPr>
            <w:r>
              <w:t>250</w:t>
            </w:r>
          </w:p>
        </w:tc>
      </w:tr>
      <w:tr>
        <w:trPr>
          <w:cantSplit/>
        </w:trPr>
        <w:tc>
          <w:tcPr>
            <w:tcW w:w="2977" w:type="dxa"/>
          </w:tcPr>
          <w:p>
            <w:pPr>
              <w:pStyle w:val="yTable"/>
            </w:pPr>
            <w:r>
              <w:t>HYDROGEN CHLORIDE, refrigerated liquid</w:t>
            </w:r>
          </w:p>
        </w:tc>
        <w:tc>
          <w:tcPr>
            <w:tcW w:w="1843" w:type="dxa"/>
          </w:tcPr>
          <w:p>
            <w:pPr>
              <w:pStyle w:val="yTable"/>
            </w:pPr>
            <w:r>
              <w:t>2186</w:t>
            </w:r>
          </w:p>
        </w:tc>
        <w:tc>
          <w:tcPr>
            <w:tcW w:w="1808" w:type="dxa"/>
          </w:tcPr>
          <w:p>
            <w:pPr>
              <w:pStyle w:val="yTable"/>
            </w:pPr>
            <w:r>
              <w:t>250</w:t>
            </w:r>
          </w:p>
        </w:tc>
      </w:tr>
      <w:tr>
        <w:trPr>
          <w:cantSplit/>
        </w:trPr>
        <w:tc>
          <w:tcPr>
            <w:tcW w:w="2977" w:type="dxa"/>
          </w:tcPr>
          <w:p>
            <w:pPr>
              <w:pStyle w:val="yTable"/>
            </w:pPr>
            <w:r>
              <w:t>HYDROGEN CYANIDE</w:t>
            </w:r>
          </w:p>
        </w:tc>
        <w:tc>
          <w:tcPr>
            <w:tcW w:w="1843" w:type="dxa"/>
          </w:tcPr>
          <w:p>
            <w:pPr>
              <w:pStyle w:val="yTable"/>
            </w:pPr>
            <w:r>
              <w:t>1051 or 1614</w:t>
            </w:r>
          </w:p>
        </w:tc>
        <w:tc>
          <w:tcPr>
            <w:tcW w:w="1808" w:type="dxa"/>
          </w:tcPr>
          <w:p>
            <w:pPr>
              <w:pStyle w:val="yTable"/>
            </w:pPr>
            <w:r>
              <w:t>20</w:t>
            </w:r>
          </w:p>
        </w:tc>
      </w:tr>
      <w:tr>
        <w:trPr>
          <w:cantSplit/>
        </w:trPr>
        <w:tc>
          <w:tcPr>
            <w:tcW w:w="2977" w:type="dxa"/>
          </w:tcPr>
          <w:p>
            <w:pPr>
              <w:pStyle w:val="yTable"/>
            </w:pPr>
            <w:r>
              <w:t>HYDROGEN FLUORIDE</w:t>
            </w:r>
          </w:p>
        </w:tc>
        <w:tc>
          <w:tcPr>
            <w:tcW w:w="1843" w:type="dxa"/>
          </w:tcPr>
          <w:p>
            <w:pPr>
              <w:pStyle w:val="yTable"/>
            </w:pPr>
            <w:r>
              <w:t>1052</w:t>
            </w:r>
          </w:p>
        </w:tc>
        <w:tc>
          <w:tcPr>
            <w:tcW w:w="1808" w:type="dxa"/>
          </w:tcPr>
          <w:p>
            <w:pPr>
              <w:pStyle w:val="yTable"/>
            </w:pPr>
            <w:r>
              <w:t>50</w:t>
            </w:r>
          </w:p>
        </w:tc>
      </w:tr>
      <w:tr>
        <w:trPr>
          <w:cantSplit/>
        </w:trPr>
        <w:tc>
          <w:tcPr>
            <w:tcW w:w="2977" w:type="dxa"/>
          </w:tcPr>
          <w:p>
            <w:pPr>
              <w:pStyle w:val="yTable"/>
            </w:pPr>
            <w:r>
              <w:t>HYDROGEN SULFIDE</w:t>
            </w:r>
          </w:p>
        </w:tc>
        <w:tc>
          <w:tcPr>
            <w:tcW w:w="1843" w:type="dxa"/>
          </w:tcPr>
          <w:p>
            <w:pPr>
              <w:pStyle w:val="yTable"/>
            </w:pPr>
            <w:r>
              <w:t>1053</w:t>
            </w:r>
          </w:p>
        </w:tc>
        <w:tc>
          <w:tcPr>
            <w:tcW w:w="1808" w:type="dxa"/>
          </w:tcPr>
          <w:p>
            <w:pPr>
              <w:pStyle w:val="yTable"/>
            </w:pPr>
            <w:r>
              <w:t>50</w:t>
            </w:r>
          </w:p>
        </w:tc>
      </w:tr>
      <w:tr>
        <w:trPr>
          <w:cantSplit/>
        </w:trPr>
        <w:tc>
          <w:tcPr>
            <w:tcW w:w="2977" w:type="dxa"/>
          </w:tcPr>
          <w:p>
            <w:pPr>
              <w:pStyle w:val="yTable"/>
            </w:pPr>
            <w:r>
              <w:t>LP GASES</w:t>
            </w:r>
          </w:p>
        </w:tc>
        <w:tc>
          <w:tcPr>
            <w:tcW w:w="1843" w:type="dxa"/>
          </w:tcPr>
          <w:p>
            <w:pPr>
              <w:pStyle w:val="yTable"/>
            </w:pPr>
            <w:r>
              <w:t>1011, 1012, 1075, 1978 or 1077</w:t>
            </w:r>
          </w:p>
        </w:tc>
        <w:tc>
          <w:tcPr>
            <w:tcW w:w="1808" w:type="dxa"/>
          </w:tcPr>
          <w:p>
            <w:pPr>
              <w:pStyle w:val="yTable"/>
            </w:pPr>
            <w:r>
              <w:t>200</w:t>
            </w:r>
          </w:p>
        </w:tc>
      </w:tr>
      <w:tr>
        <w:trPr>
          <w:cantSplit/>
        </w:trPr>
        <w:tc>
          <w:tcPr>
            <w:tcW w:w="2977" w:type="dxa"/>
          </w:tcPr>
          <w:p>
            <w:pPr>
              <w:pStyle w:val="yTable"/>
            </w:pPr>
            <w:r>
              <w:t>METHYL BROMIDE</w:t>
            </w:r>
          </w:p>
        </w:tc>
        <w:tc>
          <w:tcPr>
            <w:tcW w:w="1843" w:type="dxa"/>
          </w:tcPr>
          <w:p>
            <w:pPr>
              <w:pStyle w:val="yTable"/>
            </w:pPr>
            <w:r>
              <w:t>1062</w:t>
            </w:r>
          </w:p>
        </w:tc>
        <w:tc>
          <w:tcPr>
            <w:tcW w:w="1808" w:type="dxa"/>
          </w:tcPr>
          <w:p>
            <w:pPr>
              <w:pStyle w:val="yTable"/>
            </w:pPr>
            <w:r>
              <w:t>200</w:t>
            </w:r>
          </w:p>
        </w:tc>
      </w:tr>
      <w:tr>
        <w:trPr>
          <w:cantSplit/>
        </w:trPr>
        <w:tc>
          <w:tcPr>
            <w:tcW w:w="2977" w:type="dxa"/>
          </w:tcPr>
          <w:p>
            <w:pPr>
              <w:pStyle w:val="yTable"/>
            </w:pPr>
            <w:r>
              <w:t>METHANE or NATURAL GAS</w:t>
            </w:r>
          </w:p>
        </w:tc>
        <w:tc>
          <w:tcPr>
            <w:tcW w:w="1843" w:type="dxa"/>
          </w:tcPr>
          <w:p>
            <w:pPr>
              <w:pStyle w:val="yTable"/>
            </w:pPr>
            <w:r>
              <w:t>1971 or 1972</w:t>
            </w:r>
          </w:p>
        </w:tc>
        <w:tc>
          <w:tcPr>
            <w:tcW w:w="1808" w:type="dxa"/>
          </w:tcPr>
          <w:p>
            <w:pPr>
              <w:pStyle w:val="yTable"/>
            </w:pPr>
            <w:r>
              <w:t>200</w:t>
            </w:r>
          </w:p>
        </w:tc>
      </w:tr>
      <w:tr>
        <w:trPr>
          <w:cantSplit/>
        </w:trPr>
        <w:tc>
          <w:tcPr>
            <w:tcW w:w="2977" w:type="dxa"/>
          </w:tcPr>
          <w:p>
            <w:pPr>
              <w:pStyle w:val="yTable"/>
            </w:pPr>
            <w:r>
              <w:t>METHYL ISOCYANATE</w:t>
            </w:r>
          </w:p>
        </w:tc>
        <w:tc>
          <w:tcPr>
            <w:tcW w:w="1843" w:type="dxa"/>
          </w:tcPr>
          <w:p>
            <w:pPr>
              <w:pStyle w:val="yTable"/>
            </w:pPr>
            <w:r>
              <w:t>2480</w:t>
            </w:r>
          </w:p>
        </w:tc>
        <w:tc>
          <w:tcPr>
            <w:tcW w:w="1808" w:type="dxa"/>
          </w:tcPr>
          <w:p>
            <w:pPr>
              <w:pStyle w:val="yTable"/>
            </w:pPr>
            <w:r>
              <w:t>0.15</w:t>
            </w:r>
          </w:p>
        </w:tc>
      </w:tr>
      <w:tr>
        <w:trPr>
          <w:cantSplit/>
        </w:trPr>
        <w:tc>
          <w:tcPr>
            <w:tcW w:w="2977" w:type="dxa"/>
          </w:tcPr>
          <w:p>
            <w:pPr>
              <w:pStyle w:val="yTable"/>
            </w:pPr>
            <w:r>
              <w:t>OXIDES OF NITROGEN, including nitrous oxide, nitrogen dioxide and nitrogen trioxide</w:t>
            </w:r>
          </w:p>
        </w:tc>
        <w:tc>
          <w:tcPr>
            <w:tcW w:w="1843" w:type="dxa"/>
          </w:tcPr>
          <w:p>
            <w:pPr>
              <w:pStyle w:val="yTable"/>
            </w:pPr>
            <w:r>
              <w:t>1067, 1070, 1660, 1975, 2201 or 2421</w:t>
            </w:r>
          </w:p>
        </w:tc>
        <w:tc>
          <w:tcPr>
            <w:tcW w:w="1808" w:type="dxa"/>
          </w:tcPr>
          <w:p>
            <w:pPr>
              <w:pStyle w:val="yTable"/>
            </w:pPr>
            <w:r>
              <w:t>50</w:t>
            </w:r>
          </w:p>
        </w:tc>
      </w:tr>
      <w:tr>
        <w:trPr>
          <w:cantSplit/>
        </w:trPr>
        <w:tc>
          <w:tcPr>
            <w:tcW w:w="2977" w:type="dxa"/>
          </w:tcPr>
          <w:p>
            <w:pPr>
              <w:pStyle w:val="yTable"/>
            </w:pPr>
            <w:r>
              <w:t>OXYGEN</w:t>
            </w:r>
          </w:p>
        </w:tc>
        <w:tc>
          <w:tcPr>
            <w:tcW w:w="1843" w:type="dxa"/>
          </w:tcPr>
          <w:p>
            <w:pPr>
              <w:pStyle w:val="yTable"/>
            </w:pPr>
            <w:r>
              <w:t>1072 or 1073</w:t>
            </w:r>
          </w:p>
        </w:tc>
        <w:tc>
          <w:tcPr>
            <w:tcW w:w="1808" w:type="dxa"/>
          </w:tcPr>
          <w:p>
            <w:pPr>
              <w:pStyle w:val="yTable"/>
            </w:pPr>
            <w:r>
              <w:t>2 000</w:t>
            </w:r>
          </w:p>
        </w:tc>
      </w:tr>
      <w:tr>
        <w:trPr>
          <w:cantSplit/>
        </w:trPr>
        <w:tc>
          <w:tcPr>
            <w:tcW w:w="2977" w:type="dxa"/>
          </w:tcPr>
          <w:p>
            <w:pPr>
              <w:pStyle w:val="yTable"/>
            </w:pPr>
            <w:r>
              <w:t>PHOSGENE</w:t>
            </w:r>
          </w:p>
        </w:tc>
        <w:tc>
          <w:tcPr>
            <w:tcW w:w="1843" w:type="dxa"/>
          </w:tcPr>
          <w:p>
            <w:pPr>
              <w:pStyle w:val="yTable"/>
            </w:pPr>
            <w:r>
              <w:t>1076</w:t>
            </w:r>
          </w:p>
        </w:tc>
        <w:tc>
          <w:tcPr>
            <w:tcW w:w="1808" w:type="dxa"/>
          </w:tcPr>
          <w:p>
            <w:pPr>
              <w:pStyle w:val="yTable"/>
            </w:pPr>
            <w:r>
              <w:t>0.75</w:t>
            </w:r>
          </w:p>
        </w:tc>
      </w:tr>
      <w:tr>
        <w:trPr>
          <w:cantSplit/>
        </w:trPr>
        <w:tc>
          <w:tcPr>
            <w:tcW w:w="2977" w:type="dxa"/>
          </w:tcPr>
          <w:p>
            <w:pPr>
              <w:pStyle w:val="yTable"/>
            </w:pPr>
            <w:r>
              <w:t>PROPYLENEIMINE</w:t>
            </w:r>
          </w:p>
        </w:tc>
        <w:tc>
          <w:tcPr>
            <w:tcW w:w="1843" w:type="dxa"/>
          </w:tcPr>
          <w:p>
            <w:pPr>
              <w:pStyle w:val="yTable"/>
            </w:pPr>
            <w:r>
              <w:t>1921</w:t>
            </w:r>
          </w:p>
        </w:tc>
        <w:tc>
          <w:tcPr>
            <w:tcW w:w="1808" w:type="dxa"/>
          </w:tcPr>
          <w:p>
            <w:pPr>
              <w:pStyle w:val="yTable"/>
            </w:pPr>
            <w:r>
              <w:t>200</w:t>
            </w:r>
          </w:p>
        </w:tc>
      </w:tr>
      <w:tr>
        <w:trPr>
          <w:cantSplit/>
        </w:trPr>
        <w:tc>
          <w:tcPr>
            <w:tcW w:w="2977" w:type="dxa"/>
          </w:tcPr>
          <w:p>
            <w:pPr>
              <w:pStyle w:val="yTable"/>
            </w:pPr>
            <w:r>
              <w:t>PROPYLENE OXIDE</w:t>
            </w:r>
          </w:p>
        </w:tc>
        <w:tc>
          <w:tcPr>
            <w:tcW w:w="1843" w:type="dxa"/>
          </w:tcPr>
          <w:p>
            <w:pPr>
              <w:pStyle w:val="yTable"/>
            </w:pPr>
            <w:r>
              <w:t>1280</w:t>
            </w:r>
          </w:p>
        </w:tc>
        <w:tc>
          <w:tcPr>
            <w:tcW w:w="1808" w:type="dxa"/>
          </w:tcPr>
          <w:p>
            <w:pPr>
              <w:pStyle w:val="yTable"/>
            </w:pPr>
            <w:r>
              <w:t>50</w:t>
            </w:r>
          </w:p>
        </w:tc>
      </w:tr>
      <w:tr>
        <w:trPr>
          <w:cantSplit/>
        </w:trPr>
        <w:tc>
          <w:tcPr>
            <w:tcW w:w="2977" w:type="dxa"/>
          </w:tcPr>
          <w:p>
            <w:pPr>
              <w:pStyle w:val="yTable"/>
            </w:pPr>
            <w:r>
              <w:t>SODIUM CHLORATE, solid</w:t>
            </w:r>
          </w:p>
        </w:tc>
        <w:tc>
          <w:tcPr>
            <w:tcW w:w="1843" w:type="dxa"/>
          </w:tcPr>
          <w:p>
            <w:pPr>
              <w:pStyle w:val="yTable"/>
            </w:pPr>
            <w:r>
              <w:t>1495</w:t>
            </w:r>
          </w:p>
        </w:tc>
        <w:tc>
          <w:tcPr>
            <w:tcW w:w="1808" w:type="dxa"/>
          </w:tcPr>
          <w:p>
            <w:pPr>
              <w:pStyle w:val="yTable"/>
            </w:pPr>
            <w:r>
              <w:t>200</w:t>
            </w:r>
          </w:p>
        </w:tc>
      </w:tr>
      <w:tr>
        <w:trPr>
          <w:cantSplit/>
        </w:trPr>
        <w:tc>
          <w:tcPr>
            <w:tcW w:w="2977" w:type="dxa"/>
          </w:tcPr>
          <w:p>
            <w:pPr>
              <w:pStyle w:val="yTable"/>
            </w:pPr>
            <w:r>
              <w:t>SULFURIC ANHYDRIDE (or SULFUR TRIOXIDE)</w:t>
            </w:r>
          </w:p>
        </w:tc>
        <w:tc>
          <w:tcPr>
            <w:tcW w:w="1843" w:type="dxa"/>
          </w:tcPr>
          <w:p>
            <w:pPr>
              <w:pStyle w:val="yTable"/>
            </w:pPr>
            <w:r>
              <w:t>1829</w:t>
            </w:r>
          </w:p>
        </w:tc>
        <w:tc>
          <w:tcPr>
            <w:tcW w:w="1808" w:type="dxa"/>
          </w:tcPr>
          <w:p>
            <w:pPr>
              <w:pStyle w:val="yTable"/>
            </w:pPr>
            <w:r>
              <w:t>75</w:t>
            </w:r>
          </w:p>
        </w:tc>
      </w:tr>
      <w:tr>
        <w:trPr>
          <w:cantSplit/>
        </w:trPr>
        <w:tc>
          <w:tcPr>
            <w:tcW w:w="2977" w:type="dxa"/>
          </w:tcPr>
          <w:p>
            <w:pPr>
              <w:pStyle w:val="yTable"/>
            </w:pPr>
            <w:r>
              <w:t>SULFUR DICHLORIDE</w:t>
            </w:r>
          </w:p>
        </w:tc>
        <w:tc>
          <w:tcPr>
            <w:tcW w:w="1843" w:type="dxa"/>
          </w:tcPr>
          <w:p>
            <w:pPr>
              <w:pStyle w:val="yTable"/>
            </w:pPr>
            <w:r>
              <w:t>1828</w:t>
            </w:r>
          </w:p>
        </w:tc>
        <w:tc>
          <w:tcPr>
            <w:tcW w:w="1808" w:type="dxa"/>
          </w:tcPr>
          <w:p>
            <w:pPr>
              <w:pStyle w:val="yTable"/>
            </w:pPr>
            <w:r>
              <w:t>1</w:t>
            </w:r>
          </w:p>
        </w:tc>
      </w:tr>
      <w:tr>
        <w:trPr>
          <w:cantSplit/>
        </w:trPr>
        <w:tc>
          <w:tcPr>
            <w:tcW w:w="2977" w:type="dxa"/>
          </w:tcPr>
          <w:p>
            <w:pPr>
              <w:pStyle w:val="yTable"/>
            </w:pPr>
            <w:r>
              <w:t>SULFUR DIOXIDE, liquefied</w:t>
            </w:r>
          </w:p>
        </w:tc>
        <w:tc>
          <w:tcPr>
            <w:tcW w:w="1843" w:type="dxa"/>
          </w:tcPr>
          <w:p>
            <w:pPr>
              <w:pStyle w:val="yTable"/>
            </w:pPr>
            <w:r>
              <w:t>1079</w:t>
            </w:r>
          </w:p>
        </w:tc>
        <w:tc>
          <w:tcPr>
            <w:tcW w:w="1808" w:type="dxa"/>
          </w:tcPr>
          <w:p>
            <w:pPr>
              <w:pStyle w:val="yTable"/>
            </w:pPr>
            <w:r>
              <w:t>200</w:t>
            </w:r>
          </w:p>
        </w:tc>
      </w:tr>
      <w:tr>
        <w:trPr>
          <w:cantSplit/>
        </w:trPr>
        <w:tc>
          <w:tcPr>
            <w:tcW w:w="2977" w:type="dxa"/>
          </w:tcPr>
          <w:p>
            <w:pPr>
              <w:pStyle w:val="yTable"/>
            </w:pPr>
            <w:r>
              <w:t xml:space="preserve">TITANIUM TETRACHLORIDE </w:t>
            </w:r>
          </w:p>
        </w:tc>
        <w:tc>
          <w:tcPr>
            <w:tcW w:w="1843" w:type="dxa"/>
          </w:tcPr>
          <w:p>
            <w:pPr>
              <w:pStyle w:val="yTable"/>
            </w:pPr>
            <w:r>
              <w:t>1838</w:t>
            </w:r>
          </w:p>
        </w:tc>
        <w:tc>
          <w:tcPr>
            <w:tcW w:w="1808" w:type="dxa"/>
          </w:tcPr>
          <w:p>
            <w:pPr>
              <w:pStyle w:val="yTable"/>
            </w:pPr>
            <w:r>
              <w:t>500</w:t>
            </w:r>
          </w:p>
        </w:tc>
      </w:tr>
      <w:tr>
        <w:trPr>
          <w:cantSplit/>
        </w:trPr>
        <w:tc>
          <w:tcPr>
            <w:tcW w:w="2977" w:type="dxa"/>
            <w:tcBorders>
              <w:bottom w:val="single" w:sz="4" w:space="0" w:color="auto"/>
            </w:tcBorders>
          </w:tcPr>
          <w:p>
            <w:pPr>
              <w:pStyle w:val="yTable"/>
            </w:pPr>
            <w:r>
              <w:t>TOLUENE DIISOCYANATE</w:t>
            </w:r>
          </w:p>
        </w:tc>
        <w:tc>
          <w:tcPr>
            <w:tcW w:w="1843" w:type="dxa"/>
            <w:tcBorders>
              <w:bottom w:val="single" w:sz="4" w:space="0" w:color="auto"/>
            </w:tcBorders>
          </w:tcPr>
          <w:p>
            <w:pPr>
              <w:pStyle w:val="yTable"/>
            </w:pPr>
            <w:r>
              <w:t>2078</w:t>
            </w:r>
          </w:p>
        </w:tc>
        <w:tc>
          <w:tcPr>
            <w:tcW w:w="1808" w:type="dxa"/>
            <w:tcBorders>
              <w:bottom w:val="single" w:sz="4" w:space="0" w:color="auto"/>
            </w:tcBorders>
          </w:tcPr>
          <w:p>
            <w:pPr>
              <w:pStyle w:val="yTable"/>
            </w:pPr>
            <w:r>
              <w:t>200</w:t>
            </w:r>
          </w:p>
        </w:tc>
      </w:tr>
    </w:tbl>
    <w:p>
      <w:pPr>
        <w:pStyle w:val="yHeading5"/>
      </w:pPr>
      <w:bookmarkStart w:id="50" w:name="_Toc233693244"/>
      <w:r>
        <w:rPr>
          <w:rStyle w:val="CharSClsNo"/>
        </w:rPr>
        <w:t>2</w:t>
      </w:r>
      <w:r>
        <w:t>.</w:t>
      </w:r>
      <w:r>
        <w:tab/>
        <w:t>Threshold quantity for categories of substances</w:t>
      </w:r>
      <w:bookmarkEnd w:id="50"/>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rPr>
          <w:bCs/>
        </w:rPr>
      </w:pPr>
      <w:r>
        <w:rPr>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
              <w:rPr>
                <w:b/>
              </w:rPr>
            </w:pPr>
            <w:r>
              <w:rPr>
                <w:b/>
              </w:rPr>
              <w:t>Category of substances</w:t>
            </w:r>
          </w:p>
        </w:tc>
        <w:tc>
          <w:tcPr>
            <w:tcW w:w="1950" w:type="dxa"/>
            <w:tcBorders>
              <w:top w:val="single" w:sz="4" w:space="0" w:color="auto"/>
              <w:bottom w:val="single" w:sz="4" w:space="0" w:color="auto"/>
            </w:tcBorders>
          </w:tcPr>
          <w:p>
            <w:pPr>
              <w:pStyle w:val="yTable"/>
              <w:ind w:left="176"/>
              <w:rPr>
                <w:b/>
              </w:rPr>
            </w:pPr>
            <w:r>
              <w:rPr>
                <w:b/>
              </w:rPr>
              <w:t>Threshold quantity (in tonnes)</w:t>
            </w:r>
          </w:p>
        </w:tc>
      </w:tr>
      <w:tr>
        <w:trPr>
          <w:cantSplit/>
        </w:trPr>
        <w:tc>
          <w:tcPr>
            <w:tcW w:w="1970" w:type="dxa"/>
          </w:tcPr>
          <w:p>
            <w:pPr>
              <w:pStyle w:val="yTable"/>
            </w:pPr>
            <w:r>
              <w:t xml:space="preserve">Explosives — </w:t>
            </w:r>
          </w:p>
        </w:tc>
        <w:tc>
          <w:tcPr>
            <w:tcW w:w="2708" w:type="dxa"/>
          </w:tcPr>
          <w:p>
            <w:pPr>
              <w:pStyle w:val="yTable"/>
              <w:numPr>
                <w:ilvl w:val="0"/>
                <w:numId w:val="1"/>
              </w:numPr>
            </w:pPr>
            <w:r>
              <w:t>of classification code 1.1A</w:t>
            </w:r>
          </w:p>
        </w:tc>
        <w:tc>
          <w:tcPr>
            <w:tcW w:w="1950" w:type="dxa"/>
          </w:tcPr>
          <w:p>
            <w:pPr>
              <w:pStyle w:val="yTable"/>
              <w:spacing w:before="120"/>
              <w:ind w:left="176"/>
            </w:pPr>
            <w:r>
              <w:t>10 (excluding packaging, casings and non</w:t>
            </w:r>
            <w:r>
              <w:noBreakHyphen/>
              <w:t>explosive components)</w:t>
            </w:r>
          </w:p>
        </w:tc>
      </w:tr>
      <w:tr>
        <w:trPr>
          <w:cantSplit/>
        </w:trPr>
        <w:tc>
          <w:tcPr>
            <w:tcW w:w="1970" w:type="dxa"/>
          </w:tcPr>
          <w:p>
            <w:pPr>
              <w:pStyle w:val="yTable"/>
            </w:pPr>
          </w:p>
        </w:tc>
        <w:tc>
          <w:tcPr>
            <w:tcW w:w="2708" w:type="dxa"/>
          </w:tcPr>
          <w:p>
            <w:pPr>
              <w:pStyle w:val="yTable"/>
              <w:numPr>
                <w:ilvl w:val="0"/>
                <w:numId w:val="1"/>
              </w:numPr>
            </w:pPr>
            <w:r>
              <w:t>of division 1.1 (other than explosives of classification code 1.1A)</w:t>
            </w:r>
          </w:p>
        </w:tc>
        <w:tc>
          <w:tcPr>
            <w:tcW w:w="1950" w:type="dxa"/>
          </w:tcPr>
          <w:p>
            <w:pPr>
              <w:pStyle w:val="yTable"/>
              <w:spacing w:before="120"/>
              <w:ind w:left="176"/>
            </w:pPr>
            <w:r>
              <w:t>50 (excluding packaging, casings and non</w:t>
            </w:r>
            <w:r>
              <w:noBreakHyphen/>
              <w:t>explosive components)</w:t>
            </w:r>
          </w:p>
        </w:tc>
      </w:tr>
      <w:tr>
        <w:trPr>
          <w:cantSplit/>
        </w:trPr>
        <w:tc>
          <w:tcPr>
            <w:tcW w:w="1970" w:type="dxa"/>
          </w:tcPr>
          <w:p>
            <w:pPr>
              <w:pStyle w:val="yTable"/>
            </w:pPr>
          </w:p>
        </w:tc>
        <w:tc>
          <w:tcPr>
            <w:tcW w:w="2708" w:type="dxa"/>
          </w:tcPr>
          <w:p>
            <w:pPr>
              <w:pStyle w:val="yTable"/>
              <w:numPr>
                <w:ilvl w:val="0"/>
                <w:numId w:val="1"/>
              </w:numPr>
            </w:pPr>
            <w:r>
              <w:t>of division 1.2</w:t>
            </w:r>
          </w:p>
        </w:tc>
        <w:tc>
          <w:tcPr>
            <w:tcW w:w="1950" w:type="dxa"/>
          </w:tcPr>
          <w:p>
            <w:pPr>
              <w:pStyle w:val="yTable"/>
              <w:spacing w:before="120"/>
              <w:ind w:left="176"/>
            </w:pPr>
            <w:r>
              <w:t>200 (excluding packaging, casings and non</w:t>
            </w:r>
            <w:r>
              <w:noBreakHyphen/>
              <w:t>explosive components)</w:t>
            </w:r>
          </w:p>
        </w:tc>
      </w:tr>
      <w:tr>
        <w:trPr>
          <w:cantSplit/>
        </w:trPr>
        <w:tc>
          <w:tcPr>
            <w:tcW w:w="1970" w:type="dxa"/>
          </w:tcPr>
          <w:p>
            <w:pPr>
              <w:pStyle w:val="yTable"/>
            </w:pPr>
          </w:p>
        </w:tc>
        <w:tc>
          <w:tcPr>
            <w:tcW w:w="2708" w:type="dxa"/>
          </w:tcPr>
          <w:p>
            <w:pPr>
              <w:pStyle w:val="yTable"/>
              <w:numPr>
                <w:ilvl w:val="0"/>
                <w:numId w:val="1"/>
              </w:numPr>
            </w:pPr>
            <w:r>
              <w:t>of division 1.3</w:t>
            </w:r>
          </w:p>
        </w:tc>
        <w:tc>
          <w:tcPr>
            <w:tcW w:w="1950" w:type="dxa"/>
          </w:tcPr>
          <w:p>
            <w:pPr>
              <w:pStyle w:val="yTable"/>
              <w:spacing w:before="120"/>
              <w:ind w:left="176"/>
            </w:pPr>
            <w:r>
              <w:t>200 (excluding packaging, casings and non</w:t>
            </w:r>
            <w:r>
              <w:noBreakHyphen/>
              <w:t>explosive components)</w:t>
            </w:r>
          </w:p>
        </w:tc>
      </w:tr>
      <w:tr>
        <w:trPr>
          <w:cantSplit/>
        </w:trPr>
        <w:tc>
          <w:tcPr>
            <w:tcW w:w="1970" w:type="dxa"/>
          </w:tcPr>
          <w:p>
            <w:pPr>
              <w:pStyle w:val="yTable"/>
              <w:spacing w:before="120"/>
            </w:pPr>
            <w:r>
              <w:t xml:space="preserve">Compressed or liquefied gases — </w:t>
            </w:r>
          </w:p>
        </w:tc>
        <w:tc>
          <w:tcPr>
            <w:tcW w:w="2708" w:type="dxa"/>
          </w:tcPr>
          <w:p>
            <w:pPr>
              <w:pStyle w:val="yTable"/>
              <w:numPr>
                <w:ilvl w:val="0"/>
                <w:numId w:val="1"/>
              </w:numPr>
            </w:pPr>
            <w:r>
              <w:t>of division 2.1 or subsidiary risk 2.1</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of division 2.3</w:t>
            </w:r>
          </w:p>
        </w:tc>
        <w:tc>
          <w:tcPr>
            <w:tcW w:w="1950" w:type="dxa"/>
          </w:tcPr>
          <w:p>
            <w:pPr>
              <w:pStyle w:val="yTable"/>
              <w:spacing w:before="120"/>
              <w:ind w:left="176"/>
            </w:pPr>
            <w:r>
              <w:t>20</w:t>
            </w:r>
          </w:p>
        </w:tc>
      </w:tr>
      <w:tr>
        <w:trPr>
          <w:cantSplit/>
        </w:trPr>
        <w:tc>
          <w:tcPr>
            <w:tcW w:w="1970" w:type="dxa"/>
          </w:tcPr>
          <w:p>
            <w:pPr>
              <w:pStyle w:val="yTable"/>
            </w:pPr>
          </w:p>
        </w:tc>
        <w:tc>
          <w:tcPr>
            <w:tcW w:w="2708" w:type="dxa"/>
          </w:tcPr>
          <w:p>
            <w:pPr>
              <w:pStyle w:val="yTable"/>
              <w:numPr>
                <w:ilvl w:val="0"/>
                <w:numId w:val="1"/>
              </w:numPr>
            </w:pPr>
            <w:r>
              <w:t>of subsidiary risk 5.1</w:t>
            </w:r>
          </w:p>
        </w:tc>
        <w:tc>
          <w:tcPr>
            <w:tcW w:w="1950" w:type="dxa"/>
          </w:tcPr>
          <w:p>
            <w:pPr>
              <w:pStyle w:val="yTable"/>
              <w:spacing w:before="120"/>
              <w:ind w:left="176"/>
            </w:pPr>
            <w:r>
              <w:t>200</w:t>
            </w:r>
          </w:p>
        </w:tc>
      </w:tr>
      <w:tr>
        <w:trPr>
          <w:cantSplit/>
        </w:trPr>
        <w:tc>
          <w:tcPr>
            <w:tcW w:w="1970" w:type="dxa"/>
          </w:tcPr>
          <w:p>
            <w:pPr>
              <w:pStyle w:val="yTable"/>
              <w:spacing w:before="120"/>
            </w:pPr>
            <w:r>
              <w:t xml:space="preserve">Flammable materials — </w:t>
            </w:r>
          </w:p>
        </w:tc>
        <w:tc>
          <w:tcPr>
            <w:tcW w:w="2708" w:type="dxa"/>
          </w:tcPr>
          <w:p>
            <w:pPr>
              <w:pStyle w:val="yTable"/>
              <w:numPr>
                <w:ilvl w:val="0"/>
                <w:numId w:val="1"/>
              </w:numPr>
            </w:pPr>
            <w:r>
              <w:t>liquids of class 3 packing group I, except for crude oil in locations considered by the Chief Officer to be remote</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crude oil in locations considered by the Chief Officer to be remote and of class 3 packing group I</w:t>
            </w:r>
          </w:p>
        </w:tc>
        <w:tc>
          <w:tcPr>
            <w:tcW w:w="1950" w:type="dxa"/>
          </w:tcPr>
          <w:p>
            <w:pPr>
              <w:pStyle w:val="yTable"/>
              <w:spacing w:before="120"/>
              <w:ind w:left="176"/>
            </w:pPr>
            <w:r>
              <w:t>2 000</w:t>
            </w:r>
          </w:p>
        </w:tc>
      </w:tr>
      <w:tr>
        <w:trPr>
          <w:cantSplit/>
        </w:trPr>
        <w:tc>
          <w:tcPr>
            <w:tcW w:w="1970" w:type="dxa"/>
          </w:tcPr>
          <w:p>
            <w:pPr>
              <w:pStyle w:val="yTable"/>
            </w:pPr>
          </w:p>
        </w:tc>
        <w:tc>
          <w:tcPr>
            <w:tcW w:w="2708" w:type="dxa"/>
          </w:tcPr>
          <w:p>
            <w:pPr>
              <w:pStyle w:val="yTable"/>
              <w:numPr>
                <w:ilvl w:val="0"/>
                <w:numId w:val="1"/>
              </w:numPr>
            </w:pPr>
            <w:r>
              <w:t>liquids of class 3 packing group II or III</w:t>
            </w:r>
          </w:p>
        </w:tc>
        <w:tc>
          <w:tcPr>
            <w:tcW w:w="1950" w:type="dxa"/>
          </w:tcPr>
          <w:p>
            <w:pPr>
              <w:pStyle w:val="yTable"/>
              <w:spacing w:before="120"/>
              <w:ind w:left="176"/>
            </w:pPr>
            <w:r>
              <w:t>50 000</w:t>
            </w:r>
          </w:p>
        </w:tc>
      </w:tr>
      <w:tr>
        <w:trPr>
          <w:cantSplit/>
        </w:trPr>
        <w:tc>
          <w:tcPr>
            <w:tcW w:w="1970" w:type="dxa"/>
          </w:tcPr>
          <w:p>
            <w:pPr>
              <w:pStyle w:val="yTable"/>
            </w:pPr>
          </w:p>
        </w:tc>
        <w:tc>
          <w:tcPr>
            <w:tcW w:w="2708" w:type="dxa"/>
          </w:tcPr>
          <w:p>
            <w:pPr>
              <w:pStyle w:val="yTable"/>
              <w:numPr>
                <w:ilvl w:val="0"/>
                <w:numId w:val="1"/>
              </w:numPr>
            </w:pPr>
            <w:r>
              <w:t>liquids with flashpoints &lt;61°C and that in ambient conditions would be above their boiling points</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combustible solids of division 4.1 packing group I</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spontaneously combustible materials of division 4.2 packing group I or II</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materials that liberate flammable gases or react violently on contact with water and of division 4.3 packing group I or II</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materials of class 3 or 8 packing group I or II that have hazchem codes of 4WE (that is, materials that react violently with water)</w:t>
            </w:r>
          </w:p>
        </w:tc>
        <w:tc>
          <w:tcPr>
            <w:tcW w:w="1950" w:type="dxa"/>
          </w:tcPr>
          <w:p>
            <w:pPr>
              <w:pStyle w:val="yTable"/>
              <w:spacing w:before="120"/>
              <w:ind w:left="176"/>
            </w:pPr>
            <w:r>
              <w:t>500</w:t>
            </w:r>
          </w:p>
        </w:tc>
      </w:tr>
      <w:tr>
        <w:trPr>
          <w:cantSplit/>
        </w:trPr>
        <w:tc>
          <w:tcPr>
            <w:tcW w:w="1970" w:type="dxa"/>
          </w:tcPr>
          <w:p>
            <w:pPr>
              <w:pStyle w:val="yTable"/>
              <w:spacing w:before="120"/>
            </w:pPr>
            <w:r>
              <w:t xml:space="preserve">Oxidising materials of division 5.1 packing group I or II </w:t>
            </w:r>
          </w:p>
        </w:tc>
        <w:tc>
          <w:tcPr>
            <w:tcW w:w="2708" w:type="dxa"/>
          </w:tcPr>
          <w:p>
            <w:pPr>
              <w:pStyle w:val="yTable"/>
            </w:pPr>
          </w:p>
        </w:tc>
        <w:tc>
          <w:tcPr>
            <w:tcW w:w="1950" w:type="dxa"/>
          </w:tcPr>
          <w:p>
            <w:pPr>
              <w:pStyle w:val="yTable"/>
              <w:spacing w:before="120"/>
              <w:ind w:left="176"/>
            </w:pPr>
            <w:r>
              <w:t>200</w:t>
            </w:r>
          </w:p>
        </w:tc>
      </w:tr>
      <w:tr>
        <w:trPr>
          <w:cantSplit/>
        </w:trPr>
        <w:tc>
          <w:tcPr>
            <w:tcW w:w="1970" w:type="dxa"/>
          </w:tcPr>
          <w:p>
            <w:pPr>
              <w:pStyle w:val="yTable"/>
              <w:spacing w:before="120"/>
            </w:pPr>
            <w:r>
              <w:t>Peroxides, organic, of division 5.2</w:t>
            </w:r>
          </w:p>
        </w:tc>
        <w:tc>
          <w:tcPr>
            <w:tcW w:w="2708" w:type="dxa"/>
          </w:tcPr>
          <w:p>
            <w:pPr>
              <w:pStyle w:val="yTable"/>
            </w:pPr>
          </w:p>
        </w:tc>
        <w:tc>
          <w:tcPr>
            <w:tcW w:w="1950" w:type="dxa"/>
          </w:tcPr>
          <w:p>
            <w:pPr>
              <w:pStyle w:val="yTable"/>
              <w:spacing w:before="120"/>
              <w:ind w:left="176"/>
            </w:pPr>
            <w:r>
              <w:t>200</w:t>
            </w:r>
          </w:p>
        </w:tc>
      </w:tr>
      <w:tr>
        <w:trPr>
          <w:cantSplit/>
        </w:trPr>
        <w:tc>
          <w:tcPr>
            <w:tcW w:w="1970" w:type="dxa"/>
          </w:tcPr>
          <w:p>
            <w:pPr>
              <w:pStyle w:val="yTable"/>
              <w:keepNext/>
              <w:spacing w:before="120"/>
            </w:pPr>
            <w:r>
              <w:t xml:space="preserve">Toxic solids or liquids — </w:t>
            </w:r>
          </w:p>
        </w:tc>
        <w:tc>
          <w:tcPr>
            <w:tcW w:w="2708" w:type="dxa"/>
          </w:tcPr>
          <w:p>
            <w:pPr>
              <w:pStyle w:val="yTable"/>
              <w:keepNext/>
              <w:numPr>
                <w:ilvl w:val="0"/>
                <w:numId w:val="1"/>
              </w:numPr>
            </w:pPr>
            <w:r>
              <w:t>of division 6.1 packing group I</w:t>
            </w:r>
          </w:p>
        </w:tc>
        <w:tc>
          <w:tcPr>
            <w:tcW w:w="1950" w:type="dxa"/>
          </w:tcPr>
          <w:p>
            <w:pPr>
              <w:pStyle w:val="yTable"/>
              <w:spacing w:before="120"/>
              <w:ind w:left="176"/>
            </w:pPr>
            <w:r>
              <w:t>20</w:t>
            </w:r>
          </w:p>
        </w:tc>
      </w:tr>
      <w:tr>
        <w:trPr>
          <w:cantSplit/>
        </w:trPr>
        <w:tc>
          <w:tcPr>
            <w:tcW w:w="1970" w:type="dxa"/>
          </w:tcPr>
          <w:p>
            <w:pPr>
              <w:pStyle w:val="yTable"/>
              <w:keepNext/>
            </w:pPr>
          </w:p>
        </w:tc>
        <w:tc>
          <w:tcPr>
            <w:tcW w:w="2708" w:type="dxa"/>
          </w:tcPr>
          <w:p>
            <w:pPr>
              <w:pStyle w:val="yTable"/>
              <w:keepNext/>
              <w:numPr>
                <w:ilvl w:val="0"/>
                <w:numId w:val="1"/>
              </w:numPr>
            </w:pPr>
            <w:r>
              <w:t>of division 6.1 packing group II</w:t>
            </w:r>
          </w:p>
        </w:tc>
        <w:tc>
          <w:tcPr>
            <w:tcW w:w="1950" w:type="dxa"/>
          </w:tcPr>
          <w:p>
            <w:pPr>
              <w:pStyle w:val="yTable"/>
              <w:spacing w:before="120"/>
              <w:ind w:left="176"/>
            </w:pPr>
            <w:r>
              <w:t>200</w:t>
            </w:r>
          </w:p>
        </w:tc>
      </w:tr>
      <w:tr>
        <w:trPr>
          <w:cantSplit/>
        </w:trPr>
        <w:tc>
          <w:tcPr>
            <w:tcW w:w="1970" w:type="dxa"/>
            <w:tcBorders>
              <w:bottom w:val="single" w:sz="4" w:space="0" w:color="auto"/>
            </w:tcBorders>
          </w:tcPr>
          <w:p>
            <w:pPr>
              <w:pStyle w:val="yTable"/>
              <w:spacing w:before="120"/>
            </w:pPr>
            <w:r>
              <w:t>Goods too dangerous to transport</w:t>
            </w:r>
          </w:p>
        </w:tc>
        <w:tc>
          <w:tcPr>
            <w:tcW w:w="2708" w:type="dxa"/>
            <w:tcBorders>
              <w:bottom w:val="single" w:sz="4" w:space="0" w:color="auto"/>
            </w:tcBorders>
          </w:tcPr>
          <w:p>
            <w:pPr>
              <w:pStyle w:val="yTable"/>
            </w:pPr>
          </w:p>
        </w:tc>
        <w:tc>
          <w:tcPr>
            <w:tcW w:w="1950" w:type="dxa"/>
            <w:tcBorders>
              <w:bottom w:val="single" w:sz="4" w:space="0" w:color="auto"/>
            </w:tcBorders>
          </w:tcPr>
          <w:p>
            <w:pPr>
              <w:pStyle w:val="yTable"/>
              <w:spacing w:before="120"/>
              <w:ind w:left="176"/>
            </w:pPr>
            <w:r>
              <w:t>2</w:t>
            </w:r>
          </w:p>
        </w:tc>
      </w:tr>
    </w:tbl>
    <w:p>
      <w:pPr>
        <w:pStyle w:val="yScheduleHeading"/>
        <w:spacing w:before="120"/>
        <w:jc w:val="left"/>
        <w:sectPr>
          <w:headerReference w:type="even" r:id="rId27"/>
          <w:headerReference w:type="default" r:id="rId28"/>
          <w:footerReference w:type="even" r:id="rId29"/>
          <w:footerReference w:type="default" r:id="rId30"/>
          <w:endnotePr>
            <w:numFmt w:val="decimal"/>
          </w:endnotePr>
          <w:pgSz w:w="11907" w:h="16840" w:code="9"/>
          <w:pgMar w:top="2381" w:right="2410" w:bottom="3544" w:left="2410" w:header="720" w:footer="3544" w:gutter="0"/>
          <w:cols w:space="720"/>
        </w:sectPr>
      </w:pPr>
    </w:p>
    <w:p>
      <w:pPr>
        <w:pStyle w:val="yScheduleHeading"/>
      </w:pPr>
      <w:bookmarkStart w:id="51" w:name="_Toc191980806"/>
      <w:bookmarkStart w:id="52" w:name="_Toc233693245"/>
      <w:r>
        <w:rPr>
          <w:rStyle w:val="CharSchNo"/>
        </w:rPr>
        <w:t>Schedule 2</w:t>
      </w:r>
      <w:r>
        <w:rPr>
          <w:rStyle w:val="CharSDivNo"/>
        </w:rPr>
        <w:t> </w:t>
      </w:r>
      <w:r>
        <w:t>—</w:t>
      </w:r>
      <w:r>
        <w:rPr>
          <w:rStyle w:val="CharSDivText"/>
        </w:rPr>
        <w:t> </w:t>
      </w:r>
      <w:r>
        <w:rPr>
          <w:rStyle w:val="CharSchText"/>
        </w:rPr>
        <w:t>Notifiable information</w:t>
      </w:r>
      <w:bookmarkEnd w:id="51"/>
      <w:bookmarkEnd w:id="52"/>
    </w:p>
    <w:p>
      <w:pPr>
        <w:pStyle w:val="yShoulderClause"/>
      </w:pPr>
      <w:r>
        <w:t>[r. 4]</w:t>
      </w:r>
    </w:p>
    <w:p>
      <w:pPr>
        <w:pStyle w:val="yHeading5"/>
      </w:pPr>
      <w:bookmarkStart w:id="53" w:name="_Toc233693246"/>
      <w:r>
        <w:rPr>
          <w:rStyle w:val="CharSClsNo"/>
        </w:rPr>
        <w:t>1</w:t>
      </w:r>
      <w:r>
        <w:t>.</w:t>
      </w:r>
      <w:r>
        <w:tab/>
        <w:t>“Material safety data sheet”, meaning of</w:t>
      </w:r>
      <w:bookmarkEnd w:id="53"/>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54" w:name="_Toc233693247"/>
      <w:r>
        <w:rPr>
          <w:rStyle w:val="CharSClsNo"/>
        </w:rPr>
        <w:t>2</w:t>
      </w:r>
      <w:r>
        <w:t>.</w:t>
      </w:r>
      <w:r>
        <w:tab/>
        <w:t>Notifiable information</w:t>
      </w:r>
      <w:bookmarkEnd w:id="54"/>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55" w:name="_Toc191980809"/>
      <w:bookmarkStart w:id="56" w:name="_Toc233693248"/>
      <w:r>
        <w:rPr>
          <w:rStyle w:val="CharSchNo"/>
        </w:rPr>
        <w:t>Schedule 3</w:t>
      </w:r>
      <w:r>
        <w:rPr>
          <w:rStyle w:val="CharSDivNo"/>
        </w:rPr>
        <w:t> </w:t>
      </w:r>
      <w:r>
        <w:t>—</w:t>
      </w:r>
      <w:r>
        <w:rPr>
          <w:rStyle w:val="CharSDivText"/>
        </w:rPr>
        <w:t> </w:t>
      </w:r>
      <w:r>
        <w:rPr>
          <w:rStyle w:val="CharSchText"/>
        </w:rPr>
        <w:t>Fees</w:t>
      </w:r>
      <w:bookmarkEnd w:id="55"/>
      <w:bookmarkEnd w:id="56"/>
    </w:p>
    <w:p>
      <w:pPr>
        <w:pStyle w:val="yShoulderClause"/>
      </w:pPr>
      <w:r>
        <w:t>[r. 26]</w:t>
      </w:r>
    </w:p>
    <w:p>
      <w:pPr>
        <w:pStyle w:val="yHeading5"/>
      </w:pPr>
      <w:bookmarkStart w:id="57" w:name="_Toc233693249"/>
      <w:r>
        <w:rPr>
          <w:rStyle w:val="CharSClsNo"/>
        </w:rPr>
        <w:t>1</w:t>
      </w:r>
      <w:r>
        <w:t>.</w:t>
      </w:r>
      <w:r>
        <w:tab/>
        <w:t>Fees</w:t>
      </w:r>
      <w:bookmarkEnd w:id="57"/>
    </w:p>
    <w:p>
      <w:pPr>
        <w:pStyle w:val="ySubsection"/>
      </w:pPr>
      <w:r>
        <w:tab/>
        <w:t>(1)</w:t>
      </w:r>
      <w:r>
        <w:tab/>
        <w:t xml:space="preserve">In this Schedule — </w:t>
      </w:r>
    </w:p>
    <w:p>
      <w:pPr>
        <w:pStyle w:val="yDefstart"/>
      </w:pPr>
      <w:r>
        <w:rPr>
          <w:b/>
        </w:rPr>
        <w:tab/>
      </w:r>
      <w:r>
        <w:rPr>
          <w:rStyle w:val="CharDefText"/>
        </w:rPr>
        <w:t>Class A facility</w:t>
      </w:r>
      <w:r>
        <w:t xml:space="preserve"> means a facility at which Schedule 1 substances are used in, or produced by means of, an industrial production process that the Chief Officer determines is a process of high complexity;</w:t>
      </w:r>
    </w:p>
    <w:p>
      <w:pPr>
        <w:pStyle w:val="yDefstart"/>
      </w:pPr>
      <w:r>
        <w:rPr>
          <w:b/>
        </w:rPr>
        <w:tab/>
      </w:r>
      <w:r>
        <w:rPr>
          <w:rStyle w:val="CharDefText"/>
        </w:rPr>
        <w:t>Class B facility</w:t>
      </w:r>
      <w:r>
        <w:t xml:space="preserve"> means a facility at which Schedule 1 substances are used in, or produced by means of, an industrial production process that the Chief Officer determines is a process of medium complexity;</w:t>
      </w:r>
    </w:p>
    <w:p>
      <w:pPr>
        <w:pStyle w:val="yDefstart"/>
      </w:pPr>
      <w:r>
        <w:rPr>
          <w:b/>
        </w:rPr>
        <w:tab/>
      </w:r>
      <w:r>
        <w:rPr>
          <w:rStyle w:val="CharDefText"/>
        </w:rPr>
        <w:t>Class C facility</w:t>
      </w:r>
      <w:r>
        <w:t xml:space="preserve"> means —</w:t>
      </w:r>
    </w:p>
    <w:p>
      <w:pPr>
        <w:pStyle w:val="yDefpara"/>
      </w:pPr>
      <w:r>
        <w:tab/>
        <w:t>(a)</w:t>
      </w:r>
      <w:r>
        <w:tab/>
        <w:t>a facility at which Schedule 1 substances are used in, or produced by means of, an industrial production process that the Chief Officer determines is a process of low complexity; or</w:t>
      </w:r>
    </w:p>
    <w:p>
      <w:pPr>
        <w:pStyle w:val="yDefpara"/>
      </w:pPr>
      <w:r>
        <w:tab/>
        <w:t>(b)</w:t>
      </w:r>
      <w:r>
        <w:tab/>
        <w:t xml:space="preserve">a facility at which Schedule 1 substances — </w:t>
      </w:r>
    </w:p>
    <w:p>
      <w:pPr>
        <w:pStyle w:val="yDefsubpara"/>
      </w:pPr>
      <w:r>
        <w:tab/>
        <w:t>(i)</w:t>
      </w:r>
      <w:r>
        <w:tab/>
        <w:t>are stored but not used in, or produced by means of, an industrial production process; and</w:t>
      </w:r>
    </w:p>
    <w:p>
      <w:pPr>
        <w:pStyle w:val="yDefsubpara"/>
      </w:pPr>
      <w:r>
        <w:tab/>
        <w:t>(ii)</w:t>
      </w:r>
      <w:r>
        <w:tab/>
        <w:t>in the view of the Chief Officer, are frequently handled;</w:t>
      </w:r>
    </w:p>
    <w:p>
      <w:pPr>
        <w:pStyle w:val="yDefstart"/>
      </w:pPr>
      <w:r>
        <w:rPr>
          <w:b/>
        </w:rPr>
        <w:tab/>
      </w:r>
      <w:r>
        <w:rPr>
          <w:rStyle w:val="CharDefText"/>
        </w:rPr>
        <w:t>Class D facility</w:t>
      </w:r>
      <w:r>
        <w:t xml:space="preserve"> means a facility at which Schedule 1 substances — </w:t>
      </w:r>
    </w:p>
    <w:p>
      <w:pPr>
        <w:pStyle w:val="yDefpara"/>
      </w:pPr>
      <w:r>
        <w:tab/>
        <w:t>(a)</w:t>
      </w:r>
      <w:r>
        <w:tab/>
        <w:t>are stored but not used in, or produced by means of, an industrial production process; and</w:t>
      </w:r>
    </w:p>
    <w:p>
      <w:pPr>
        <w:pStyle w:val="yDefpara"/>
      </w:pPr>
      <w:r>
        <w:tab/>
        <w:t>(b)</w:t>
      </w:r>
      <w:r>
        <w:tab/>
        <w:t>in the view of the Chief Officer, are infrequently handled.</w:t>
      </w:r>
    </w:p>
    <w:p>
      <w:pPr>
        <w:pStyle w:val="ySubsection"/>
      </w:pPr>
      <w:r>
        <w:tab/>
        <w:t>(2)</w:t>
      </w:r>
      <w:r>
        <w:tab/>
        <w:t>For the purposes of regulation </w:t>
      </w:r>
      <w:r>
        <w:rPr>
          <w:bCs/>
          <w:color w:val="000000"/>
        </w:rPr>
        <w:t xml:space="preserve">26, </w:t>
      </w:r>
      <w:r>
        <w:t xml:space="preserve">the following fees are specified — </w:t>
      </w:r>
    </w:p>
    <w:p>
      <w:pPr>
        <w:pStyle w:val="yIndenta"/>
      </w:pPr>
      <w:r>
        <w:tab/>
        <w:t>(a)</w:t>
      </w:r>
      <w:r>
        <w:tab/>
        <w:t>for a Class A facility —$57 300;</w:t>
      </w:r>
    </w:p>
    <w:p>
      <w:pPr>
        <w:pStyle w:val="yIndenta"/>
      </w:pPr>
      <w:r>
        <w:tab/>
        <w:t>(b)</w:t>
      </w:r>
      <w:r>
        <w:tab/>
        <w:t>for a Class B facility —$40 600;</w:t>
      </w:r>
    </w:p>
    <w:p>
      <w:pPr>
        <w:pStyle w:val="yIndenta"/>
      </w:pPr>
      <w:r>
        <w:tab/>
        <w:t>(c)</w:t>
      </w:r>
      <w:r>
        <w:tab/>
        <w:t>for a Class C facility —$22 900;</w:t>
      </w:r>
    </w:p>
    <w:p>
      <w:pPr>
        <w:pStyle w:val="yIndenta"/>
      </w:pPr>
      <w:r>
        <w:tab/>
        <w:t>(d)</w:t>
      </w:r>
      <w:r>
        <w:tab/>
        <w:t>for a Class D facility —$6 200.</w:t>
      </w:r>
    </w:p>
    <w:p>
      <w:pPr>
        <w:pStyle w:val="yFootnotesection"/>
      </w:pPr>
      <w:r>
        <w:tab/>
        <w:t>[Schedule 3 amended in Gazette 16 Jun 2009 p. 2195.]</w:t>
      </w:r>
    </w:p>
    <w:p>
      <w:pPr>
        <w:pStyle w:val="yScheduleHeading"/>
      </w:pPr>
      <w:bookmarkStart w:id="58" w:name="_Toc191980811"/>
      <w:bookmarkStart w:id="59" w:name="_Toc233693250"/>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58"/>
      <w:bookmarkEnd w:id="59"/>
      <w:r>
        <w:rPr>
          <w:rStyle w:val="CharSchText"/>
        </w:rPr>
        <w:t xml:space="preserve"> </w:t>
      </w:r>
    </w:p>
    <w:p>
      <w:pPr>
        <w:pStyle w:val="yShoulderClause"/>
      </w:pPr>
      <w:r>
        <w:t>[r. 24]</w:t>
      </w:r>
    </w:p>
    <w:p>
      <w:pPr>
        <w:pStyle w:val="yHeading5"/>
      </w:pPr>
      <w:bookmarkStart w:id="60" w:name="_Toc233693251"/>
      <w:r>
        <w:rPr>
          <w:rStyle w:val="CharSClsNo"/>
        </w:rPr>
        <w:t>1</w:t>
      </w:r>
      <w:r>
        <w:t>.</w:t>
      </w:r>
      <w:r>
        <w:tab/>
        <w:t>Organisation and personnel</w:t>
      </w:r>
      <w:bookmarkEnd w:id="60"/>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61" w:name="_Toc233693252"/>
      <w:r>
        <w:rPr>
          <w:rStyle w:val="CharSClsNo"/>
        </w:rPr>
        <w:t>2</w:t>
      </w:r>
      <w:r>
        <w:t>.</w:t>
      </w:r>
      <w:r>
        <w:tab/>
        <w:t>Operational controls</w:t>
      </w:r>
      <w:bookmarkEnd w:id="61"/>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62" w:name="_Toc233693253"/>
      <w:r>
        <w:rPr>
          <w:rStyle w:val="CharSClsNo"/>
        </w:rPr>
        <w:t>3</w:t>
      </w:r>
      <w:r>
        <w:t>.</w:t>
      </w:r>
      <w:r>
        <w:tab/>
        <w:t>Security</w:t>
      </w:r>
      <w:bookmarkEnd w:id="62"/>
    </w:p>
    <w:p>
      <w:pPr>
        <w:pStyle w:val="ySubsection"/>
      </w:pPr>
      <w:r>
        <w:tab/>
      </w:r>
      <w:r>
        <w:tab/>
        <w:t>The procedures for preventing unauthorised acts that could cause a major incident and for preventing acts intended to cause a major incident.</w:t>
      </w:r>
    </w:p>
    <w:p>
      <w:pPr>
        <w:pStyle w:val="yHeading5"/>
      </w:pPr>
      <w:bookmarkStart w:id="63" w:name="_Toc233693254"/>
      <w:r>
        <w:rPr>
          <w:rStyle w:val="CharSClsNo"/>
        </w:rPr>
        <w:t>4</w:t>
      </w:r>
      <w:r>
        <w:t>.</w:t>
      </w:r>
      <w:r>
        <w:tab/>
        <w:t>Informing employees and others</w:t>
      </w:r>
      <w:bookmarkEnd w:id="63"/>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 Fire and Emergency Services Authority of Western Australia.</w:t>
      </w:r>
    </w:p>
    <w:p>
      <w:pPr>
        <w:pStyle w:val="yHeading5"/>
      </w:pPr>
      <w:bookmarkStart w:id="64" w:name="_Toc233693255"/>
      <w:r>
        <w:rPr>
          <w:rStyle w:val="CharSClsNo"/>
        </w:rPr>
        <w:t>5</w:t>
      </w:r>
      <w:r>
        <w:t>.</w:t>
      </w:r>
      <w:r>
        <w:tab/>
        <w:t>Monitoring and continual improvement</w:t>
      </w:r>
      <w:bookmarkEnd w:id="64"/>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sectPr>
          <w:headerReference w:type="even" r:id="rId31"/>
          <w:headerReference w:type="default" r:id="rId32"/>
          <w:footerReference w:type="even" r:id="rId33"/>
          <w:footerReference w:type="default" r:id="rId34"/>
          <w:headerReference w:type="first" r:id="rId35"/>
          <w:endnotePr>
            <w:numFmt w:val="decimal"/>
          </w:endnotePr>
          <w:pgSz w:w="11906" w:h="16838" w:code="9"/>
          <w:pgMar w:top="2376" w:right="2405" w:bottom="3542" w:left="2405" w:header="706" w:footer="3528" w:gutter="0"/>
          <w:cols w:space="720"/>
          <w:noEndnote/>
        </w:sectPr>
      </w:pPr>
    </w:p>
    <w:p>
      <w:pPr>
        <w:pStyle w:val="nHeading2"/>
      </w:pPr>
      <w:bookmarkStart w:id="65" w:name="_Toc191980817"/>
      <w:bookmarkStart w:id="66" w:name="_Toc233693256"/>
      <w:r>
        <w:t>Notes</w:t>
      </w:r>
      <w:bookmarkEnd w:id="65"/>
      <w:bookmarkEnd w:id="66"/>
    </w:p>
    <w:p>
      <w:pPr>
        <w:pStyle w:val="nSubsection"/>
        <w:rPr>
          <w:snapToGrid w:val="0"/>
        </w:rPr>
      </w:pPr>
      <w:r>
        <w:rPr>
          <w:snapToGrid w:val="0"/>
          <w:vertAlign w:val="superscript"/>
        </w:rPr>
        <w:t>1</w:t>
      </w:r>
      <w:r>
        <w:rPr>
          <w:snapToGrid w:val="0"/>
        </w:rPr>
        <w:tab/>
        <w:t xml:space="preserve">This is a compilation of the </w:t>
      </w:r>
      <w:r>
        <w:rPr>
          <w:i/>
        </w:rPr>
        <w:t>Dangerous Goods Safety (Major Hazard Facilities) Regulations 2007</w:t>
      </w:r>
      <w:r>
        <w:rPr>
          <w:snapToGrid w:val="0"/>
        </w:rPr>
        <w:t xml:space="preserve"> and includes the amendments made by the other written laws referred to in the following table.  </w:t>
      </w:r>
    </w:p>
    <w:p>
      <w:pPr>
        <w:pStyle w:val="nHeading3"/>
      </w:pPr>
      <w:bookmarkStart w:id="67" w:name="_Toc233693257"/>
      <w:r>
        <w:t>Compilation table</w:t>
      </w:r>
      <w:bookmarkEnd w:id="6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Dangerous Goods Safety (Major Hazard Facilities) Regulations 2007</w:t>
            </w:r>
            <w:r>
              <w:rPr>
                <w:sz w:val="19"/>
              </w:rPr>
              <w:t xml:space="preserve"> </w:t>
            </w:r>
          </w:p>
        </w:tc>
        <w:tc>
          <w:tcPr>
            <w:tcW w:w="1276" w:type="dxa"/>
          </w:tcPr>
          <w:p>
            <w:pPr>
              <w:pStyle w:val="nTable"/>
              <w:spacing w:after="40"/>
              <w:rPr>
                <w:sz w:val="19"/>
              </w:rPr>
            </w:pPr>
            <w:r>
              <w:rPr>
                <w:sz w:val="19"/>
              </w:rPr>
              <w:t>31 Dec 2007 p. 7057-100</w:t>
            </w:r>
          </w:p>
        </w:tc>
        <w:tc>
          <w:tcPr>
            <w:tcW w:w="2693" w:type="dxa"/>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r>
        <w:tc>
          <w:tcPr>
            <w:tcW w:w="3118" w:type="dxa"/>
          </w:tcPr>
          <w:p>
            <w:pPr>
              <w:pStyle w:val="nTable"/>
              <w:spacing w:after="40"/>
              <w:rPr>
                <w:i/>
                <w:sz w:val="19"/>
              </w:rPr>
            </w:pPr>
            <w:r>
              <w:rPr>
                <w:i/>
                <w:sz w:val="19"/>
              </w:rPr>
              <w:t>Dangerous Goods Safety (Major Hazard Facilities) Amendment Regulations (No. 2) 2009</w:t>
            </w:r>
            <w:r>
              <w:rPr>
                <w:iCs/>
                <w:sz w:val="19"/>
              </w:rPr>
              <w:t xml:space="preserve"> </w:t>
            </w:r>
          </w:p>
        </w:tc>
        <w:tc>
          <w:tcPr>
            <w:tcW w:w="1276" w:type="dxa"/>
          </w:tcPr>
          <w:p>
            <w:pPr>
              <w:pStyle w:val="nTable"/>
              <w:spacing w:after="40"/>
              <w:rPr>
                <w:sz w:val="19"/>
              </w:rPr>
            </w:pPr>
            <w:r>
              <w:rPr>
                <w:sz w:val="19"/>
              </w:rPr>
              <w:t>16 Jun 2009 p. 2194</w:t>
            </w:r>
            <w:r>
              <w:rPr>
                <w:sz w:val="19"/>
              </w:rPr>
              <w:noBreakHyphen/>
              <w:t>5</w:t>
            </w:r>
          </w:p>
        </w:tc>
        <w:tc>
          <w:tcPr>
            <w:tcW w:w="2693" w:type="dxa"/>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bl>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bookmarkStart w:id="68" w:name="AutoSch"/>
      <w:bookmarkEnd w:id="68"/>
    </w:p>
    <w:p/>
    <w:sectPr>
      <w:headerReference w:type="even" r:id="rId39"/>
      <w:headerReference w:type="default" r:id="rId40"/>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33</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27</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(Major Hazard Facilities)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Dangerous Goods Safety (Major Hazard Facilities) Regulations 2007</w:t>
            </w:r>
          </w:fldSimple>
        </w:p>
      </w:tc>
    </w:tr>
    <w:tr>
      <w:tc>
        <w:tcPr>
          <w:tcW w:w="5715" w:type="dxa"/>
        </w:tcPr>
        <w:p>
          <w:pPr>
            <w:pStyle w:val="HeaderTextRight"/>
            <w:ind w:right="124"/>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(Major Hazard Facilities)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Threshold quantity for Schedule 1 substances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fldSimple w:instr=" styleref CharSchText ">
            <w:r>
              <w:rPr>
                <w:noProof/>
              </w:rPr>
              <w:t>Threshold quantity for Schedule 1 substances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(Major Hazard Facilities)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5874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E20F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7BCBE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683C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5AE36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C88B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A804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5E38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3C5BD6"/>
    <w:lvl w:ilvl="0">
      <w:start w:val="1"/>
      <w:numFmt w:val="decimal"/>
      <w:pStyle w:val="ListNumber"/>
      <w:lvlText w:val="%1."/>
      <w:lvlJc w:val="left"/>
      <w:pPr>
        <w:tabs>
          <w:tab w:val="num" w:pos="360"/>
        </w:tabs>
        <w:ind w:left="360" w:hanging="360"/>
      </w:pPr>
    </w:lvl>
  </w:abstractNum>
  <w:abstractNum w:abstractNumId="9">
    <w:nsid w:val="FFFFFF89"/>
    <w:multiLevelType w:val="singleLevel"/>
    <w:tmpl w:val="816C85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EC2A2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F4CF68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103"/>
    <w:docVar w:name="WAFER_20151210102103" w:val="RemoveTrackChanges"/>
    <w:docVar w:name="WAFER_20151210102103_GUID" w:val="2ab0df64-e119-45f4-b795-4b5c47f2b9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8758</Words>
  <Characters>42218</Characters>
  <Application>Microsoft Office Word</Application>
  <DocSecurity>0</DocSecurity>
  <Lines>1407</Lines>
  <Paragraphs>878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2007 - 00-d0-02</dc:title>
  <dc:subject/>
  <dc:creator/>
  <cp:keywords/>
  <dc:description/>
  <cp:lastModifiedBy>svcMRProcess</cp:lastModifiedBy>
  <cp:revision>4</cp:revision>
  <cp:lastPrinted>2007-12-11T09:45:00Z</cp:lastPrinted>
  <dcterms:created xsi:type="dcterms:W3CDTF">2020-02-22T15:55:00Z</dcterms:created>
  <dcterms:modified xsi:type="dcterms:W3CDTF">2020-02-22T15:55:00Z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36895</vt:i4>
  </property>
  <property fmtid="{D5CDD505-2E9C-101B-9397-08002B2CF9AE}" pid="6" name="AsAtDate">
    <vt:lpwstr>01 Jul 2009</vt:lpwstr>
  </property>
  <property fmtid="{D5CDD505-2E9C-101B-9397-08002B2CF9AE}" pid="7" name="Suffix">
    <vt:lpwstr>00-d0-02</vt:lpwstr>
  </property>
</Properties>
</file>