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outlineLvl w:val="0"/>
      </w:pPr>
      <w:bookmarkStart w:id="0" w:name="_GoBack"/>
      <w:bookmarkEnd w:id="0"/>
      <w:r>
        <w:t>Western Australia</w:t>
      </w:r>
    </w:p>
    <w:p>
      <w:pPr>
        <w:pStyle w:val="PrincipalActReg"/>
        <w:spacing w:before="2600" w:after="0"/>
      </w:pPr>
      <w:r>
        <w:t>Energy Operators (Powers) Act 1979</w:t>
      </w:r>
    </w:p>
    <w:p>
      <w:pPr>
        <w:pStyle w:val="NameofActRegPage1"/>
        <w:spacing w:before="1800" w:after="420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_Toc81213722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_Toc81213723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r>
      <w:r>
        <w:rPr>
          <w:snapToGrid w:val="0"/>
        </w:rPr>
        <w:t>Terms used in these by</w:t>
      </w:r>
      <w:r>
        <w:rPr>
          <w:snapToGrid w:val="0"/>
        </w:rPr>
        <w:noBreakHyphen/>
        <w:t>laws</w:t>
      </w:r>
      <w:r>
        <w:tab/>
      </w:r>
      <w:r>
        <w:fldChar w:fldCharType="begin"/>
      </w:r>
      <w:r>
        <w:instrText xml:space="preserve"> PAGEREF _Toc81213724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tab/>
        <w:t>Construction of references to time</w:t>
      </w:r>
      <w:r>
        <w:tab/>
      </w:r>
      <w:r>
        <w:fldChar w:fldCharType="begin"/>
      </w:r>
      <w:r>
        <w:instrText xml:space="preserve"> PAGEREF _Toc81213725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r>
      <w:r>
        <w:rPr>
          <w:snapToGrid w:val="0"/>
        </w:rPr>
        <w:t>Electricity charges</w:t>
      </w:r>
      <w:r>
        <w:tab/>
      </w:r>
      <w:r>
        <w:fldChar w:fldCharType="begin"/>
      </w:r>
      <w:r>
        <w:instrText xml:space="preserve"> PAGEREF _Toc81213726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residential tariffs</w:t>
      </w:r>
      <w:r>
        <w:tab/>
      </w:r>
      <w:r>
        <w:fldChar w:fldCharType="begin"/>
      </w:r>
      <w:r>
        <w:instrText xml:space="preserve"> PAGEREF _Toc81213727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Meter rental</w:t>
      </w:r>
      <w:r>
        <w:tab/>
      </w:r>
      <w:r>
        <w:fldChar w:fldCharType="begin"/>
      </w:r>
      <w:r>
        <w:instrText xml:space="preserve"> PAGEREF _Toc81213728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Fees</w:t>
      </w:r>
      <w:r>
        <w:tab/>
      </w:r>
      <w:r>
        <w:fldChar w:fldCharType="begin"/>
      </w:r>
      <w:r>
        <w:instrText xml:space="preserve"> PAGEREF _Toc81213729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Payment</w:t>
      </w:r>
      <w:r>
        <w:tab/>
      </w:r>
      <w:r>
        <w:fldChar w:fldCharType="begin"/>
      </w:r>
      <w:r>
        <w:instrText xml:space="preserve"> PAGEREF _Toc81213730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Rebates and reduced fees</w:t>
      </w:r>
      <w:r>
        <w:tab/>
      </w:r>
      <w:r>
        <w:fldChar w:fldCharType="begin"/>
      </w:r>
      <w:r>
        <w:instrText xml:space="preserve"> PAGEREF _Toc81213731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Calculation of charges</w:t>
      </w:r>
      <w:r>
        <w:tab/>
      </w:r>
      <w:r>
        <w:fldChar w:fldCharType="begin"/>
      </w:r>
      <w:r>
        <w:instrText xml:space="preserve"> PAGEREF _Toc81213732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Changes in rates</w:t>
      </w:r>
      <w:r>
        <w:tab/>
      </w:r>
      <w:r>
        <w:fldChar w:fldCharType="begin"/>
      </w:r>
      <w:r>
        <w:instrText xml:space="preserve"> PAGEREF _Toc81213733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Prescribed rate of interest for s. 62(16) of the Act</w:t>
      </w:r>
      <w:r>
        <w:tab/>
      </w:r>
      <w:r>
        <w:fldChar w:fldCharType="begin"/>
      </w:r>
      <w:r>
        <w:instrText xml:space="preserve"> PAGEREF _Toc81213734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Supply charges</w:t>
      </w:r>
    </w:p>
    <w:p>
      <w:pPr>
        <w:pStyle w:val="TOC8"/>
        <w:rPr>
          <w:rFonts w:asciiTheme="minorHAnsi" w:eastAsiaTheme="minorEastAsia" w:hAnsiTheme="minorHAnsi" w:cstheme="minorBidi"/>
          <w:szCs w:val="22"/>
          <w:lang w:eastAsia="en-AU"/>
        </w:rPr>
      </w:pPr>
      <w:r>
        <w:t>1.</w:t>
      </w:r>
      <w:r>
        <w:tab/>
        <w:t>Tariff L1 (general supply — low/medium voltage tariff)</w:t>
      </w:r>
      <w:r>
        <w:tab/>
      </w:r>
      <w:r>
        <w:fldChar w:fldCharType="begin"/>
      </w:r>
      <w:r>
        <w:instrText xml:space="preserve"> PAGEREF _Toc81213736 \h </w:instrText>
      </w:r>
      <w:r>
        <w:fldChar w:fldCharType="separate"/>
      </w:r>
      <w:r>
        <w:t>7</w:t>
      </w:r>
      <w:r>
        <w:fldChar w:fldCharType="end"/>
      </w:r>
    </w:p>
    <w:p>
      <w:pPr>
        <w:pStyle w:val="TOC8"/>
        <w:rPr>
          <w:rFonts w:asciiTheme="minorHAnsi" w:eastAsiaTheme="minorEastAsia" w:hAnsiTheme="minorHAnsi" w:cstheme="minorBidi"/>
          <w:szCs w:val="22"/>
          <w:lang w:eastAsia="en-AU"/>
        </w:rPr>
      </w:pPr>
      <w:r>
        <w:t>2.</w:t>
      </w:r>
      <w:r>
        <w:tab/>
        <w:t>Tariff L3 (general supply — low/medium voltage tariff)</w:t>
      </w:r>
      <w:r>
        <w:tab/>
      </w:r>
      <w:r>
        <w:fldChar w:fldCharType="begin"/>
      </w:r>
      <w:r>
        <w:instrText xml:space="preserve"> PAGEREF _Toc81213737 \h </w:instrText>
      </w:r>
      <w:r>
        <w:fldChar w:fldCharType="separate"/>
      </w:r>
      <w:r>
        <w:t>7</w:t>
      </w:r>
      <w:r>
        <w:fldChar w:fldCharType="end"/>
      </w:r>
    </w:p>
    <w:p>
      <w:pPr>
        <w:pStyle w:val="TOC8"/>
        <w:rPr>
          <w:rFonts w:asciiTheme="minorHAnsi" w:eastAsiaTheme="minorEastAsia" w:hAnsiTheme="minorHAnsi" w:cstheme="minorBidi"/>
          <w:szCs w:val="22"/>
          <w:lang w:eastAsia="en-AU"/>
        </w:rPr>
      </w:pPr>
      <w:r>
        <w:t>3.</w:t>
      </w:r>
      <w:r>
        <w:tab/>
        <w:t>Tariff M1 (general supply — high voltage tariff)</w:t>
      </w:r>
      <w:r>
        <w:tab/>
      </w:r>
      <w:r>
        <w:fldChar w:fldCharType="begin"/>
      </w:r>
      <w:r>
        <w:instrText xml:space="preserve"> PAGEREF _Toc81213738 \h </w:instrText>
      </w:r>
      <w:r>
        <w:fldChar w:fldCharType="separate"/>
      </w:r>
      <w:r>
        <w:t>8</w:t>
      </w:r>
      <w:r>
        <w:fldChar w:fldCharType="end"/>
      </w:r>
    </w:p>
    <w:p>
      <w:pPr>
        <w:pStyle w:val="TOC8"/>
        <w:rPr>
          <w:rFonts w:asciiTheme="minorHAnsi" w:eastAsiaTheme="minorEastAsia" w:hAnsiTheme="minorHAnsi" w:cstheme="minorBidi"/>
          <w:szCs w:val="22"/>
          <w:lang w:eastAsia="en-AU"/>
        </w:rPr>
      </w:pPr>
      <w:r>
        <w:t>4.</w:t>
      </w:r>
      <w:r>
        <w:tab/>
        <w:t>Tariff R1 (time of use tariff)</w:t>
      </w:r>
      <w:r>
        <w:tab/>
      </w:r>
      <w:r>
        <w:fldChar w:fldCharType="begin"/>
      </w:r>
      <w:r>
        <w:instrText xml:space="preserve"> PAGEREF _Toc81213739 \h </w:instrText>
      </w:r>
      <w:r>
        <w:fldChar w:fldCharType="separate"/>
      </w:r>
      <w:r>
        <w:t>8</w:t>
      </w:r>
      <w:r>
        <w:fldChar w:fldCharType="end"/>
      </w:r>
    </w:p>
    <w:p>
      <w:pPr>
        <w:pStyle w:val="TOC8"/>
        <w:rPr>
          <w:rFonts w:asciiTheme="minorHAnsi" w:eastAsiaTheme="minorEastAsia" w:hAnsiTheme="minorHAnsi" w:cstheme="minorBidi"/>
          <w:szCs w:val="22"/>
          <w:lang w:eastAsia="en-AU"/>
        </w:rPr>
      </w:pPr>
      <w:r>
        <w:t>5.</w:t>
      </w:r>
      <w:r>
        <w:tab/>
        <w:t>Tariff R3 (time of use tariff)</w:t>
      </w:r>
      <w:r>
        <w:tab/>
      </w:r>
      <w:r>
        <w:fldChar w:fldCharType="begin"/>
      </w:r>
      <w:r>
        <w:instrText xml:space="preserve"> PAGEREF _Toc81213740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tab/>
      </w:r>
      <w:r>
        <w:rPr>
          <w:snapToGrid w:val="0"/>
        </w:rPr>
        <w:t>Tariff S1 (low/medium voltage time based demand and energy tariff)</w:t>
      </w:r>
      <w:r>
        <w:tab/>
      </w:r>
      <w:r>
        <w:fldChar w:fldCharType="begin"/>
      </w:r>
      <w:r>
        <w:instrText xml:space="preserve"> PAGEREF _Toc81213741 \h </w:instrText>
      </w:r>
      <w:r>
        <w:fldChar w:fldCharType="separate"/>
      </w:r>
      <w:r>
        <w:t>9</w:t>
      </w:r>
      <w:r>
        <w:fldChar w:fldCharType="end"/>
      </w:r>
    </w:p>
    <w:p>
      <w:pPr>
        <w:pStyle w:val="TOC8"/>
        <w:rPr>
          <w:rFonts w:asciiTheme="minorHAnsi" w:eastAsiaTheme="minorEastAsia" w:hAnsiTheme="minorHAnsi" w:cstheme="minorBidi"/>
          <w:szCs w:val="22"/>
          <w:lang w:eastAsia="en-AU"/>
        </w:rPr>
      </w:pPr>
      <w:r>
        <w:t>7.</w:t>
      </w:r>
      <w:r>
        <w:tab/>
        <w:t xml:space="preserve">Tariff T1 </w:t>
      </w:r>
      <w:r>
        <w:rPr>
          <w:snapToGrid w:val="0"/>
        </w:rPr>
        <w:t>(high voltage time based demand and energy tariff)</w:t>
      </w:r>
      <w:r>
        <w:tab/>
      </w:r>
      <w:r>
        <w:fldChar w:fldCharType="begin"/>
      </w:r>
      <w:r>
        <w:instrText xml:space="preserve"> PAGEREF _Toc81213742 \h </w:instrText>
      </w:r>
      <w:r>
        <w:fldChar w:fldCharType="separate"/>
      </w:r>
      <w:r>
        <w:t>10</w:t>
      </w:r>
      <w:r>
        <w:fldChar w:fldCharType="end"/>
      </w:r>
    </w:p>
    <w:p>
      <w:pPr>
        <w:pStyle w:val="TOC8"/>
        <w:rPr>
          <w:rFonts w:asciiTheme="minorHAnsi" w:eastAsiaTheme="minorEastAsia" w:hAnsiTheme="minorHAnsi" w:cstheme="minorBidi"/>
          <w:szCs w:val="22"/>
          <w:lang w:eastAsia="en-AU"/>
        </w:rPr>
      </w:pPr>
      <w:r>
        <w:lastRenderedPageBreak/>
        <w:t>8.</w:t>
      </w:r>
      <w:r>
        <w:tab/>
        <w:t>Standby charges</w:t>
      </w:r>
      <w:r>
        <w:tab/>
      </w:r>
      <w:r>
        <w:fldChar w:fldCharType="begin"/>
      </w:r>
      <w:r>
        <w:instrText xml:space="preserve"> PAGEREF _Toc81213743 \h </w:instrText>
      </w:r>
      <w:r>
        <w:fldChar w:fldCharType="separate"/>
      </w:r>
      <w:r>
        <w:t>11</w:t>
      </w:r>
      <w:r>
        <w:fldChar w:fldCharType="end"/>
      </w:r>
    </w:p>
    <w:p>
      <w:pPr>
        <w:pStyle w:val="TOC8"/>
        <w:rPr>
          <w:rFonts w:asciiTheme="minorHAnsi" w:eastAsiaTheme="minorEastAsia" w:hAnsiTheme="minorHAnsi" w:cstheme="minorBidi"/>
          <w:szCs w:val="22"/>
          <w:lang w:eastAsia="en-AU"/>
        </w:rPr>
      </w:pPr>
      <w:r>
        <w:t>9.</w:t>
      </w:r>
      <w:r>
        <w:tab/>
        <w:t>Tariff A1 (residential tariff)</w:t>
      </w:r>
      <w:r>
        <w:tab/>
      </w:r>
      <w:r>
        <w:fldChar w:fldCharType="begin"/>
      </w:r>
      <w:r>
        <w:instrText xml:space="preserve"> PAGEREF _Toc81213744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tab/>
        <w:t>Tariff B1 (residential water heating tariff)</w:t>
      </w:r>
      <w:r>
        <w:tab/>
      </w:r>
      <w:r>
        <w:fldChar w:fldCharType="begin"/>
      </w:r>
      <w:r>
        <w:instrText xml:space="preserve"> PAGEREF _Toc81213745 \h </w:instrText>
      </w:r>
      <w:r>
        <w:fldChar w:fldCharType="separate"/>
      </w:r>
      <w:r>
        <w:t>13</w:t>
      </w:r>
      <w:r>
        <w:fldChar w:fldCharType="end"/>
      </w:r>
    </w:p>
    <w:p>
      <w:pPr>
        <w:pStyle w:val="TOC8"/>
        <w:rPr>
          <w:rFonts w:asciiTheme="minorHAnsi" w:eastAsiaTheme="minorEastAsia" w:hAnsiTheme="minorHAnsi" w:cstheme="minorBidi"/>
          <w:szCs w:val="22"/>
          <w:lang w:eastAsia="en-AU"/>
        </w:rPr>
      </w:pPr>
      <w:r>
        <w:t>11.</w:t>
      </w:r>
      <w:r>
        <w:tab/>
        <w:t>Tariff C1 (special community service tariff)</w:t>
      </w:r>
      <w:r>
        <w:tab/>
      </w:r>
      <w:r>
        <w:fldChar w:fldCharType="begin"/>
      </w:r>
      <w:r>
        <w:instrText xml:space="preserve"> PAGEREF _Toc81213746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Tariff D1 (special tariff for certain premises)</w:t>
      </w:r>
      <w:r>
        <w:tab/>
      </w:r>
      <w:r>
        <w:fldChar w:fldCharType="begin"/>
      </w:r>
      <w:r>
        <w:instrText xml:space="preserve"> PAGEREF _Toc81213747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tab/>
        <w:t>Tariff K1 (general supply with residential tariff)</w:t>
      </w:r>
      <w:r>
        <w:tab/>
      </w:r>
      <w:r>
        <w:fldChar w:fldCharType="begin"/>
      </w:r>
      <w:r>
        <w:instrText xml:space="preserve"> PAGEREF _Toc81213748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tab/>
        <w:t>Tariff W1 (traffic light installations)</w:t>
      </w:r>
      <w:r>
        <w:tab/>
      </w:r>
      <w:r>
        <w:fldChar w:fldCharType="begin"/>
      </w:r>
      <w:r>
        <w:instrText xml:space="preserve"> PAGEREF _Toc81213749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Street lighting</w:t>
      </w:r>
    </w:p>
    <w:p>
      <w:pPr>
        <w:pStyle w:val="TOC2"/>
        <w:tabs>
          <w:tab w:val="right" w:leader="dot" w:pos="7086"/>
        </w:tabs>
        <w:rPr>
          <w:rFonts w:asciiTheme="minorHAnsi" w:eastAsiaTheme="minorEastAsia" w:hAnsiTheme="minorHAnsi" w:cstheme="minorBidi"/>
          <w:b w:val="0"/>
          <w:sz w:val="22"/>
          <w:szCs w:val="22"/>
          <w:lang w:eastAsia="en-AU"/>
        </w:rPr>
      </w:pPr>
      <w:r>
        <w:t>Schedule 3 — Meter rental</w:t>
      </w:r>
    </w:p>
    <w:p>
      <w:pPr>
        <w:pStyle w:val="TOC2"/>
        <w:tabs>
          <w:tab w:val="right" w:leader="dot" w:pos="7086"/>
        </w:tabs>
        <w:rPr>
          <w:rFonts w:asciiTheme="minorHAnsi" w:eastAsiaTheme="minorEastAsia" w:hAnsiTheme="minorHAnsi" w:cstheme="minorBidi"/>
          <w:b w:val="0"/>
          <w:sz w:val="22"/>
          <w:szCs w:val="22"/>
          <w:lang w:eastAsia="en-AU"/>
        </w:rPr>
      </w:pPr>
      <w:r>
        <w:t>Schedule 4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_Toc81213754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3"/>
          <w:headerReference w:type="default" r:id="rId14"/>
          <w:footerReference w:type="even" r:id="rId15"/>
          <w:footerReference w:type="default" r:id="rId16"/>
          <w:footerReference w:type="first" r:id="rId17"/>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(Electricity Retail Corporation) (Charges) By-laws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8121372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(Electricity Retail Corporation) (Charges) By-laws 2006</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8121372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81213724"/>
      <w:r>
        <w:rPr>
          <w:rStyle w:val="CharSectno"/>
        </w:rPr>
        <w:t>3</w:t>
      </w:r>
      <w:r>
        <w:t>.</w:t>
      </w:r>
      <w:r>
        <w:tab/>
      </w:r>
      <w:bookmarkEnd w:id="19"/>
      <w:bookmarkEnd w:id="20"/>
      <w:bookmarkEnd w:id="21"/>
      <w:bookmarkEnd w:id="22"/>
      <w:bookmarkEnd w:id="23"/>
      <w:bookmarkEnd w:id="24"/>
      <w:bookmarkEnd w:id="25"/>
      <w:r>
        <w:rPr>
          <w:snapToGrid w:val="0"/>
        </w:rPr>
        <w:t>Terms used in these by</w:t>
      </w:r>
      <w:r>
        <w:rPr>
          <w:snapToGrid w:val="0"/>
        </w:rPr>
        <w:noBreakHyphen/>
        <w:t>laws</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rPr>
          <w:b/>
        </w:rPr>
        <w:lastRenderedPageBreak/>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[By-law 3 amended in Gazette 30 Mar 2009 p. 970.]</w:t>
      </w:r>
    </w:p>
    <w:p>
      <w:pPr>
        <w:pStyle w:val="Heading5"/>
      </w:pPr>
      <w:bookmarkStart w:id="28" w:name="_Toc81213725"/>
      <w:bookmarkStart w:id="29" w:name="_Toc486232664"/>
      <w:bookmarkStart w:id="30" w:name="_Toc509735409"/>
      <w:bookmarkStart w:id="31" w:name="_Toc511625641"/>
      <w:bookmarkStart w:id="32" w:name="_Toc512237523"/>
      <w:bookmarkStart w:id="33" w:name="_Toc512935995"/>
      <w:bookmarkStart w:id="34" w:name="_Toc44470744"/>
      <w:bookmarkStart w:id="35" w:name="_Toc63831848"/>
      <w:bookmarkStart w:id="36" w:name="_Toc128282856"/>
      <w:r>
        <w:rPr>
          <w:rStyle w:val="CharSectno"/>
        </w:rPr>
        <w:t>3A</w:t>
      </w:r>
      <w:r>
        <w:t>.</w:t>
      </w:r>
      <w:r>
        <w:tab/>
        <w:t>Construction of references to time</w:t>
      </w:r>
      <w:bookmarkEnd w:id="28"/>
    </w:p>
    <w:p>
      <w:pPr>
        <w:pStyle w:val="Subsection"/>
      </w:pPr>
      <w:r>
        <w:tab/>
        <w:t>(1)</w:t>
      </w:r>
      <w:r>
        <w:tab/>
        <w:t>In this by</w:t>
      </w:r>
      <w:r>
        <w:noBreakHyphen/>
        <w:t xml:space="preserve">law — </w:t>
      </w:r>
    </w:p>
    <w:p>
      <w:pPr>
        <w:pStyle w:val="Defstart"/>
      </w:pPr>
      <w:r>
        <w:rPr>
          <w:b/>
        </w:rPr>
        <w:tab/>
      </w:r>
      <w:r>
        <w:rPr>
          <w:rStyle w:val="CharDefText"/>
        </w:rPr>
        <w:t>standard time</w:t>
      </w:r>
      <w:r>
        <w:t xml:space="preserve"> and </w:t>
      </w:r>
      <w:r>
        <w:rPr>
          <w:rStyle w:val="CharDefText"/>
        </w:rPr>
        <w:t>summer time</w:t>
      </w:r>
      <w:r>
        <w:rPr>
          <w:b/>
        </w:rPr>
        <w:t xml:space="preserve"> </w:t>
      </w:r>
      <w:r>
        <w:t xml:space="preserve">have the meaning given to those terms in the </w:t>
      </w:r>
      <w:r>
        <w:rPr>
          <w:i/>
          <w:iCs/>
        </w:rPr>
        <w:t xml:space="preserve">Daylight Saving Act 2006 </w:t>
      </w:r>
      <w:r>
        <w:t>section 3.</w:t>
      </w:r>
    </w:p>
    <w:p>
      <w:pPr>
        <w:pStyle w:val="Subsection"/>
      </w:pPr>
      <w:r>
        <w:tab/>
        <w:t>(2)</w:t>
      </w:r>
      <w:r>
        <w:tab/>
        <w:t xml:space="preserve">For the purposes of the </w:t>
      </w:r>
      <w:r>
        <w:rPr>
          <w:i/>
          <w:iCs/>
        </w:rPr>
        <w:t>Daylight Saving Act 2006</w:t>
      </w:r>
      <w:r>
        <w:t xml:space="preserve"> section 7, it is provided that a reference in these by</w:t>
      </w:r>
      <w:r>
        <w:noBreakHyphen/>
        <w:t xml:space="preserve">laws to any time or period of time is to be construed as a reference to — </w:t>
      </w:r>
    </w:p>
    <w:p>
      <w:pPr>
        <w:pStyle w:val="Indenta"/>
      </w:pPr>
      <w:r>
        <w:tab/>
        <w:t>(a)</w:t>
      </w:r>
      <w:r>
        <w:tab/>
        <w:t>standard time and not to summer time; or</w:t>
      </w:r>
    </w:p>
    <w:p>
      <w:pPr>
        <w:pStyle w:val="Indenta"/>
      </w:pPr>
      <w:r>
        <w:tab/>
        <w:t>(b)</w:t>
      </w:r>
      <w:r>
        <w:tab/>
        <w:t>that period of time as determined by reference to standard time and not by reference to summer time.</w:t>
      </w:r>
    </w:p>
    <w:p>
      <w:pPr>
        <w:pStyle w:val="Footnotesection"/>
      </w:pPr>
      <w:r>
        <w:tab/>
        <w:t>[By-law 3A inserted in Gazette 1 Dec 2006 p. 5349</w:t>
      </w:r>
      <w:r>
        <w:noBreakHyphen/>
        <w:t>50.]</w:t>
      </w:r>
    </w:p>
    <w:p>
      <w:pPr>
        <w:pStyle w:val="Heading5"/>
        <w:rPr>
          <w:snapToGrid w:val="0"/>
        </w:rPr>
      </w:pPr>
      <w:bookmarkStart w:id="37" w:name="_Toc81213726"/>
      <w:r>
        <w:rPr>
          <w:rStyle w:val="CharSectno"/>
        </w:rPr>
        <w:t>4</w:t>
      </w:r>
      <w:r>
        <w:t>.</w:t>
      </w:r>
      <w:r>
        <w:tab/>
      </w:r>
      <w:r>
        <w:rPr>
          <w:snapToGrid w:val="0"/>
        </w:rPr>
        <w:t>Electricity charges</w:t>
      </w:r>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8" w:name="_Toc128282857"/>
      <w:bookmarkStart w:id="39" w:name="_Toc81213727"/>
      <w:r>
        <w:rPr>
          <w:rStyle w:val="CharSectno"/>
        </w:rPr>
        <w:t>5</w:t>
      </w:r>
      <w:r>
        <w:t>.</w:t>
      </w:r>
      <w:r>
        <w:tab/>
        <w:t>Application of residential tariffs</w:t>
      </w:r>
      <w:bookmarkEnd w:id="38"/>
      <w:bookmarkEnd w:id="39"/>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lastRenderedPageBreak/>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pPr>
      <w:bookmarkStart w:id="40" w:name="_Toc128282858"/>
      <w:bookmarkStart w:id="41" w:name="_Toc81213728"/>
      <w:r>
        <w:rPr>
          <w:rStyle w:val="CharSectno"/>
        </w:rPr>
        <w:t>6</w:t>
      </w:r>
      <w:r>
        <w:t>.</w:t>
      </w:r>
      <w:r>
        <w:tab/>
        <w:t>Meter rental</w:t>
      </w:r>
      <w:bookmarkEnd w:id="40"/>
      <w:bookmarkEnd w:id="4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2" w:name="_Toc128282859"/>
      <w:bookmarkStart w:id="43" w:name="_Toc81213729"/>
      <w:r>
        <w:rPr>
          <w:rStyle w:val="CharSectno"/>
        </w:rPr>
        <w:t>7</w:t>
      </w:r>
      <w:r>
        <w:t>.</w:t>
      </w:r>
      <w:r>
        <w:tab/>
        <w:t>Fees</w:t>
      </w:r>
      <w:bookmarkEnd w:id="42"/>
      <w:bookmarkEnd w:id="43"/>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4" w:name="_Toc128282860"/>
      <w:bookmarkStart w:id="45" w:name="_Toc81213730"/>
      <w:r>
        <w:rPr>
          <w:rStyle w:val="CharSectno"/>
        </w:rPr>
        <w:t>8</w:t>
      </w:r>
      <w:r>
        <w:t>.</w:t>
      </w:r>
      <w:r>
        <w:tab/>
        <w:t>Payment</w:t>
      </w:r>
      <w:bookmarkEnd w:id="44"/>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lastRenderedPageBreak/>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[By-law 8 amended in Gazette 30 Mar 2009 p. 970.]</w:t>
      </w:r>
    </w:p>
    <w:p>
      <w:pPr>
        <w:pStyle w:val="Heading5"/>
      </w:pPr>
      <w:bookmarkStart w:id="46" w:name="_Toc128282861"/>
      <w:bookmarkStart w:id="47" w:name="_Toc81213731"/>
      <w:r>
        <w:rPr>
          <w:rStyle w:val="CharSectno"/>
        </w:rPr>
        <w:t>9</w:t>
      </w:r>
      <w:r>
        <w:t>.</w:t>
      </w:r>
      <w:r>
        <w:tab/>
        <w:t>Rebates and reduced fees</w:t>
      </w:r>
      <w:bookmarkEnd w:id="46"/>
      <w:bookmarkEnd w:id="4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lastRenderedPageBreak/>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8" w:name="_Toc128282862"/>
      <w:bookmarkStart w:id="49" w:name="_Toc81213732"/>
      <w:r>
        <w:rPr>
          <w:rStyle w:val="CharSectno"/>
        </w:rPr>
        <w:t>10</w:t>
      </w:r>
      <w:r>
        <w:t>.</w:t>
      </w:r>
      <w:r>
        <w:tab/>
        <w:t>Calculation of charges</w:t>
      </w:r>
      <w:bookmarkEnd w:id="48"/>
      <w:bookmarkEnd w:id="4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0" w:name="_Toc128282863"/>
      <w:bookmarkStart w:id="51" w:name="_Toc81213733"/>
      <w:r>
        <w:rPr>
          <w:rStyle w:val="CharSectno"/>
        </w:rPr>
        <w:t>11</w:t>
      </w:r>
      <w:r>
        <w:t>.</w:t>
      </w:r>
      <w:r>
        <w:tab/>
        <w:t>Changes in rates</w:t>
      </w:r>
      <w:bookmarkEnd w:id="50"/>
      <w:bookmarkEnd w:id="51"/>
    </w:p>
    <w:p>
      <w:pPr>
        <w:pStyle w:val="Subsection"/>
        <w:rPr>
          <w:snapToGrid w:val="0"/>
        </w:rPr>
      </w:pPr>
      <w:r>
        <w:rPr>
          <w:snapToGrid w:val="0"/>
        </w:rPr>
        <w:tab/>
      </w:r>
      <w:r>
        <w:rPr>
          <w:snapToGrid w:val="0"/>
        </w:rPr>
        <w:tab/>
        <w:t xml:space="preserve">Where during any accounting period a change in the applicable rate of charges occurs, the charge payable may be adjusted by </w:t>
      </w:r>
      <w:r>
        <w:rPr>
          <w:snapToGrid w:val="0"/>
        </w:rPr>
        <w:lastRenderedPageBreak/>
        <w:t>reference to the date on which the change is to take effect or by reference to the date on which the change is applied to any applicable account, whichever results in the lower charge.</w:t>
      </w:r>
    </w:p>
    <w:p>
      <w:pPr>
        <w:pStyle w:val="Heading5"/>
      </w:pPr>
      <w:bookmarkStart w:id="52" w:name="_Toc81213734"/>
      <w:r>
        <w:rPr>
          <w:rStyle w:val="CharSectno"/>
        </w:rPr>
        <w:t>12</w:t>
      </w:r>
      <w:r>
        <w:t>.</w:t>
      </w:r>
      <w:r>
        <w:tab/>
        <w:t>Prescribed rate of interest for s. 62(16) of the Act</w:t>
      </w:r>
      <w:bookmarkEnd w:id="5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[By-law 12 inserted in Gazette 30 Mar 2009 p. 970-1.]</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3" w:name="_Toc233185409"/>
      <w:bookmarkStart w:id="54" w:name="_Toc81213735"/>
      <w:bookmarkStart w:id="55" w:name="_Toc123621759"/>
      <w:bookmarkStart w:id="56" w:name="_Toc123621906"/>
      <w:bookmarkStart w:id="57" w:name="_Toc123624866"/>
      <w:bookmarkStart w:id="58" w:name="_Toc123624933"/>
      <w:bookmarkStart w:id="59" w:name="_Toc123626279"/>
      <w:bookmarkStart w:id="60" w:name="_Toc123629883"/>
      <w:bookmarkStart w:id="61" w:name="_Toc124135800"/>
      <w:bookmarkStart w:id="62" w:name="_Toc124137267"/>
      <w:bookmarkStart w:id="63" w:name="_Toc124147435"/>
      <w:bookmarkStart w:id="64" w:name="_Toc124147472"/>
      <w:bookmarkStart w:id="65" w:name="_Toc124158783"/>
      <w:bookmarkStart w:id="66" w:name="_Toc124158890"/>
      <w:bookmarkStart w:id="67" w:name="_Toc124158924"/>
      <w:bookmarkStart w:id="68" w:name="_Toc124216305"/>
      <w:bookmarkStart w:id="69" w:name="_Toc124227064"/>
      <w:bookmarkStart w:id="70" w:name="_Toc124227157"/>
      <w:bookmarkStart w:id="71" w:name="_Toc124234423"/>
      <w:bookmarkStart w:id="72" w:name="_Toc124234775"/>
      <w:bookmarkStart w:id="73" w:name="_Toc124234815"/>
      <w:r>
        <w:rPr>
          <w:rStyle w:val="CharSchNo"/>
        </w:rPr>
        <w:lastRenderedPageBreak/>
        <w:t>Schedule 1</w:t>
      </w:r>
      <w:r>
        <w:rPr>
          <w:rStyle w:val="CharSDivNo"/>
        </w:rPr>
        <w:t> </w:t>
      </w:r>
      <w:r>
        <w:t>—</w:t>
      </w:r>
      <w:r>
        <w:rPr>
          <w:rStyle w:val="CharSDivText"/>
        </w:rPr>
        <w:t> </w:t>
      </w:r>
      <w:r>
        <w:rPr>
          <w:rStyle w:val="CharSchText"/>
        </w:rPr>
        <w:t>Supply charges</w:t>
      </w:r>
      <w:bookmarkEnd w:id="53"/>
      <w:bookmarkEnd w:id="54"/>
    </w:p>
    <w:p>
      <w:pPr>
        <w:pStyle w:val="yShoulderClause"/>
      </w:pPr>
      <w:r>
        <w:t>[bl. 3, 4(1) and 10(1)]</w:t>
      </w:r>
    </w:p>
    <w:p>
      <w:pPr>
        <w:pStyle w:val="yFootnoteheading"/>
      </w:pPr>
      <w:r>
        <w:tab/>
        <w:t>[Heading inserted in Gazette 30 Mar 2009 p. 983.]</w:t>
      </w:r>
    </w:p>
    <w:p>
      <w:pPr>
        <w:pStyle w:val="yHeading5"/>
      </w:pPr>
      <w:bookmarkStart w:id="74" w:name="_Toc81213736"/>
      <w:r>
        <w:rPr>
          <w:rStyle w:val="CharSClsNo"/>
        </w:rPr>
        <w:t>1</w:t>
      </w:r>
      <w:r>
        <w:t>.</w:t>
      </w:r>
      <w:r>
        <w:tab/>
        <w:t>Tariff L1 (general supply — low/medium voltage tariff)</w:t>
      </w:r>
      <w:bookmarkEnd w:id="74"/>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30.679 cents per day; and</w:t>
      </w:r>
    </w:p>
    <w:p>
      <w:pPr>
        <w:pStyle w:val="yIndenta"/>
      </w:pPr>
      <w:r>
        <w:tab/>
        <w:t>(b)</w:t>
      </w:r>
      <w:r>
        <w:tab/>
        <w:t xml:space="preserve">a charge for metered consumption at the rate of — </w:t>
      </w:r>
    </w:p>
    <w:p>
      <w:pPr>
        <w:pStyle w:val="yIndenti0"/>
      </w:pPr>
      <w:r>
        <w:tab/>
        <w:t>(i)</w:t>
      </w:r>
      <w:r>
        <w:tab/>
        <w:t>20.163 cents per unit for the first 1 650 units per day; and</w:t>
      </w:r>
    </w:p>
    <w:p>
      <w:pPr>
        <w:pStyle w:val="yIndenti0"/>
      </w:pPr>
      <w:r>
        <w:tab/>
        <w:t>(ii)</w:t>
      </w:r>
      <w:r>
        <w:tab/>
        <w:t>18.194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30 Mar 2009 p. 983.]</w:t>
      </w:r>
    </w:p>
    <w:p>
      <w:pPr>
        <w:pStyle w:val="yHeading5"/>
      </w:pPr>
      <w:bookmarkStart w:id="75" w:name="_Toc81213737"/>
      <w:r>
        <w:rPr>
          <w:rStyle w:val="CharSClsNo"/>
        </w:rPr>
        <w:t>2</w:t>
      </w:r>
      <w:r>
        <w:t>.</w:t>
      </w:r>
      <w:r>
        <w:tab/>
        <w:t>Tariff L3 (general supply — low/medium voltage tariff)</w:t>
      </w:r>
      <w:bookmarkEnd w:id="75"/>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32.142 cents per day; and</w:t>
      </w:r>
    </w:p>
    <w:p>
      <w:pPr>
        <w:pStyle w:val="yIndenta"/>
      </w:pPr>
      <w:r>
        <w:tab/>
        <w:t>(b)</w:t>
      </w:r>
      <w:r>
        <w:tab/>
        <w:t xml:space="preserve">a charge for metered consumption at the rate of — </w:t>
      </w:r>
    </w:p>
    <w:p>
      <w:pPr>
        <w:pStyle w:val="yIndenti0"/>
      </w:pPr>
      <w:r>
        <w:tab/>
        <w:t>(i)</w:t>
      </w:r>
      <w:r>
        <w:tab/>
        <w:t>21.12 cents per unit for the first 1 650 units per day; and</w:t>
      </w:r>
    </w:p>
    <w:p>
      <w:pPr>
        <w:pStyle w:val="yIndenti0"/>
      </w:pPr>
      <w:r>
        <w:tab/>
        <w:t>(ii)</w:t>
      </w:r>
      <w:r>
        <w:tab/>
        <w:t>19.063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pPr>
      <w:r>
        <w:tab/>
        <w:t>[Clause 2 inserted in Gazette 30 Mar 2009 p. 983-4.]</w:t>
      </w:r>
    </w:p>
    <w:p>
      <w:pPr>
        <w:pStyle w:val="yHeading5"/>
      </w:pPr>
      <w:bookmarkStart w:id="76" w:name="_Toc81213738"/>
      <w:r>
        <w:rPr>
          <w:rStyle w:val="CharSClsNo"/>
        </w:rPr>
        <w:lastRenderedPageBreak/>
        <w:t>3</w:t>
      </w:r>
      <w:r>
        <w:t>.</w:t>
      </w:r>
      <w:r>
        <w:rPr>
          <w:b w:val="0"/>
        </w:rPr>
        <w:tab/>
      </w:r>
      <w:r>
        <w:t>Tariff M1 (general supply — high voltage tariff)</w:t>
      </w:r>
      <w:bookmarkEnd w:id="76"/>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32.142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20.405 cents per unit for the first 1 650 units per day; and</w:t>
      </w:r>
    </w:p>
    <w:p>
      <w:pPr>
        <w:pStyle w:val="yIndenti0"/>
        <w:rPr>
          <w:snapToGrid w:val="0"/>
        </w:rPr>
      </w:pPr>
      <w:r>
        <w:rPr>
          <w:snapToGrid w:val="0"/>
        </w:rPr>
        <w:tab/>
        <w:t>(ii)</w:t>
      </w:r>
      <w:r>
        <w:rPr>
          <w:snapToGrid w:val="0"/>
        </w:rPr>
        <w:tab/>
        <w:t>18.326 cents per unit per day for all units exceeding 1 650 units.</w:t>
      </w:r>
    </w:p>
    <w:p>
      <w:pPr>
        <w:pStyle w:val="yFootnotesection"/>
      </w:pPr>
      <w:r>
        <w:tab/>
        <w:t>[Clause 3 inserted in Gazette 30 Mar 2009 p. 984.]</w:t>
      </w:r>
    </w:p>
    <w:p>
      <w:pPr>
        <w:pStyle w:val="yHeading5"/>
      </w:pPr>
      <w:bookmarkStart w:id="77" w:name="_Toc81213739"/>
      <w:r>
        <w:rPr>
          <w:rStyle w:val="CharSClsNo"/>
        </w:rPr>
        <w:t>4</w:t>
      </w:r>
      <w:r>
        <w:t>.</w:t>
      </w:r>
      <w:r>
        <w:tab/>
        <w:t>Tariff R1 (time of use tariff)</w:t>
      </w:r>
      <w:bookmarkEnd w:id="77"/>
    </w:p>
    <w:p>
      <w:pPr>
        <w:pStyle w:val="ySubsection"/>
      </w:pPr>
      <w:r>
        <w:tab/>
        <w:t>(1)</w:t>
      </w:r>
      <w:r>
        <w:tab/>
        <w:t>Tariff R1 comprises —</w:t>
      </w:r>
    </w:p>
    <w:p>
      <w:pPr>
        <w:pStyle w:val="yIndenta"/>
        <w:rPr>
          <w:snapToGrid w:val="0"/>
        </w:rPr>
      </w:pPr>
      <w:r>
        <w:tab/>
        <w:t>(a)</w:t>
      </w:r>
      <w:r>
        <w:tab/>
        <w:t>a fi</w:t>
      </w:r>
      <w:r>
        <w:rPr>
          <w:snapToGrid w:val="0"/>
        </w:rPr>
        <w:t>xed charge at the rate of $1.2577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22.077 cents per unit; and</w:t>
      </w:r>
    </w:p>
    <w:p>
      <w:pPr>
        <w:pStyle w:val="yIndenti0"/>
        <w:rPr>
          <w:snapToGrid w:val="0"/>
        </w:rPr>
      </w:pPr>
      <w:r>
        <w:tab/>
        <w:t>(ii)</w:t>
      </w:r>
      <w:r>
        <w:tab/>
        <w:t>an off</w:t>
      </w:r>
      <w:r>
        <w:rPr>
          <w:snapToGrid w:val="0"/>
        </w:rPr>
        <w:t xml:space="preserve"> peak energy charge at the rate of 6.809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 4 inserted in Gazette 30 Mar 2009 p. 984-5.]</w:t>
      </w:r>
    </w:p>
    <w:p>
      <w:pPr>
        <w:pStyle w:val="yHeading5"/>
      </w:pPr>
      <w:bookmarkStart w:id="78" w:name="_Toc81213740"/>
      <w:r>
        <w:rPr>
          <w:rStyle w:val="CharSClsNo"/>
        </w:rPr>
        <w:t>5</w:t>
      </w:r>
      <w:r>
        <w:t>.</w:t>
      </w:r>
      <w:r>
        <w:tab/>
        <w:t>Tariff R3 (time of use tariff)</w:t>
      </w:r>
      <w:bookmarkEnd w:id="78"/>
    </w:p>
    <w:p>
      <w:pPr>
        <w:pStyle w:val="ySubsection"/>
      </w:pPr>
      <w:r>
        <w:tab/>
        <w:t>(1)</w:t>
      </w:r>
      <w:r>
        <w:tab/>
        <w:t>Tariff R3 comprises —</w:t>
      </w:r>
    </w:p>
    <w:p>
      <w:pPr>
        <w:pStyle w:val="yIndenta"/>
        <w:rPr>
          <w:snapToGrid w:val="0"/>
        </w:rPr>
      </w:pPr>
      <w:r>
        <w:tab/>
        <w:t>(a)</w:t>
      </w:r>
      <w:r>
        <w:tab/>
        <w:t>a fi</w:t>
      </w:r>
      <w:r>
        <w:rPr>
          <w:snapToGrid w:val="0"/>
        </w:rPr>
        <w:t>xed charge at the rate of $1.5123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lastRenderedPageBreak/>
        <w:tab/>
        <w:t>(i)</w:t>
      </w:r>
      <w:r>
        <w:rPr>
          <w:snapToGrid w:val="0"/>
        </w:rPr>
        <w:tab/>
        <w:t>an on peak energy charge at the rate of 26.477 cents per unit; and</w:t>
      </w:r>
    </w:p>
    <w:p>
      <w:pPr>
        <w:pStyle w:val="yIndenti0"/>
        <w:rPr>
          <w:snapToGrid w:val="0"/>
        </w:rPr>
      </w:pPr>
      <w:r>
        <w:tab/>
        <w:t>(ii)</w:t>
      </w:r>
      <w:r>
        <w:tab/>
        <w:t>an off</w:t>
      </w:r>
      <w:r>
        <w:rPr>
          <w:snapToGrid w:val="0"/>
        </w:rPr>
        <w:t xml:space="preserve"> peak energy charge at the rate of 8.151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[Clause 5 inserted in Gazette 30 Mar 2009 p. 985.]</w:t>
      </w:r>
    </w:p>
    <w:p>
      <w:pPr>
        <w:pStyle w:val="yHeading5"/>
        <w:rPr>
          <w:snapToGrid w:val="0"/>
        </w:rPr>
      </w:pPr>
      <w:bookmarkStart w:id="79" w:name="_Toc81213741"/>
      <w:r>
        <w:rPr>
          <w:rStyle w:val="CharSClsNo"/>
        </w:rPr>
        <w:t>6</w:t>
      </w:r>
      <w:r>
        <w:t>.</w:t>
      </w:r>
      <w:r>
        <w:rPr>
          <w:b w:val="0"/>
        </w:rPr>
        <w:tab/>
      </w:r>
      <w:r>
        <w:rPr>
          <w:snapToGrid w:val="0"/>
        </w:rPr>
        <w:t>Tariff S1 (low/medium voltage time based demand and energy tariff)</w:t>
      </w:r>
      <w:bookmarkEnd w:id="79"/>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$335.3634 per day; and</w:t>
      </w:r>
    </w:p>
    <w:p>
      <w:pPr>
        <w:pStyle w:val="yIndenta"/>
      </w:pPr>
      <w:r>
        <w:tab/>
        <w:t>(b)</w:t>
      </w:r>
      <w:r>
        <w:tab/>
        <w:t xml:space="preserve">a demand charge at the rate of 85.184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12.188 cents per unit; and</w:t>
      </w:r>
    </w:p>
    <w:p>
      <w:pPr>
        <w:pStyle w:val="yIndenti0"/>
      </w:pPr>
      <w:r>
        <w:tab/>
        <w:t>(ii)</w:t>
      </w:r>
      <w:r>
        <w:tab/>
        <w:t>an off peak energy charge at the rate of 7.711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lastRenderedPageBreak/>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985-6.]</w:t>
      </w:r>
    </w:p>
    <w:p>
      <w:pPr>
        <w:pStyle w:val="yHeading5"/>
        <w:rPr>
          <w:snapToGrid w:val="0"/>
        </w:rPr>
      </w:pPr>
      <w:bookmarkStart w:id="80" w:name="_Toc81213742"/>
      <w:r>
        <w:rPr>
          <w:rStyle w:val="CharSClsNo"/>
        </w:rPr>
        <w:t>7</w:t>
      </w:r>
      <w:r>
        <w:t>.</w:t>
      </w:r>
      <w:r>
        <w:rPr>
          <w:b w:val="0"/>
        </w:rPr>
        <w:tab/>
      </w:r>
      <w:r>
        <w:t xml:space="preserve">Tariff T1 </w:t>
      </w:r>
      <w:r>
        <w:rPr>
          <w:snapToGrid w:val="0"/>
        </w:rPr>
        <w:t>(high voltage time based demand and energy tariff)</w:t>
      </w:r>
      <w:bookmarkEnd w:id="80"/>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$442.4244 per day; and</w:t>
      </w:r>
    </w:p>
    <w:p>
      <w:pPr>
        <w:pStyle w:val="yIndenta"/>
      </w:pPr>
      <w:r>
        <w:tab/>
        <w:t>(b)</w:t>
      </w:r>
      <w:r>
        <w:tab/>
        <w:t xml:space="preserve">a demand charge at the rate of 77.946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11.396 cents per unit; and</w:t>
      </w:r>
    </w:p>
    <w:p>
      <w:pPr>
        <w:pStyle w:val="yIndenti0"/>
      </w:pPr>
      <w:r>
        <w:tab/>
        <w:t>(ii)</w:t>
      </w:r>
      <w:r>
        <w:tab/>
        <w:t>an off peak energy charge at the rate of 7.579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986-7.]</w:t>
      </w:r>
    </w:p>
    <w:p>
      <w:pPr>
        <w:pStyle w:val="yHeading5"/>
      </w:pPr>
      <w:bookmarkStart w:id="81" w:name="_Toc81213743"/>
      <w:r>
        <w:rPr>
          <w:rStyle w:val="CharSClsNo"/>
        </w:rPr>
        <w:lastRenderedPageBreak/>
        <w:t>8</w:t>
      </w:r>
      <w:r>
        <w:t>.</w:t>
      </w:r>
      <w:r>
        <w:rPr>
          <w:b w:val="0"/>
        </w:rPr>
        <w:tab/>
      </w:r>
      <w:r>
        <w:t>Standby charges</w:t>
      </w:r>
      <w:bookmarkEnd w:id="81"/>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ySubsection"/>
        <w:rPr>
          <w:snapToGrid w:val="0"/>
        </w:rPr>
      </w:pPr>
      <w:r>
        <w:rPr>
          <w:snapToGrid w:val="0"/>
          <w:position w:val="-26"/>
          <w:sz w:val="20"/>
        </w:rPr>
        <w:lastRenderedPageBreak/>
        <w:tab/>
      </w:r>
      <w:r>
        <w:rPr>
          <w:snapToGrid w:val="0"/>
          <w:position w:val="-26"/>
          <w:sz w:val="20"/>
        </w:rPr>
        <w:tab/>
      </w:r>
      <w:r>
        <w:rPr>
          <w:noProof/>
          <w:position w:val="-26"/>
          <w:sz w:val="20"/>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987-9.]</w:t>
      </w:r>
    </w:p>
    <w:p>
      <w:pPr>
        <w:pStyle w:val="yHeading5"/>
      </w:pPr>
      <w:bookmarkStart w:id="82" w:name="_Toc81213744"/>
      <w:r>
        <w:rPr>
          <w:rStyle w:val="CharSClsNo"/>
        </w:rPr>
        <w:t>9</w:t>
      </w:r>
      <w:r>
        <w:t>.</w:t>
      </w:r>
      <w:r>
        <w:rPr>
          <w:b w:val="0"/>
        </w:rPr>
        <w:tab/>
      </w:r>
      <w:r>
        <w:t>Tariff A1 (residential tariff)</w:t>
      </w:r>
      <w:bookmarkEnd w:id="82"/>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p>
    <w:p>
      <w:pPr>
        <w:pStyle w:val="yIndenti0"/>
        <w:rPr>
          <w:snapToGrid w:val="0"/>
        </w:rPr>
      </w:pPr>
      <w:r>
        <w:rPr>
          <w:snapToGrid w:val="0"/>
        </w:rPr>
        <w:tab/>
        <w:t>(i)</w:t>
      </w:r>
      <w:r>
        <w:rPr>
          <w:snapToGrid w:val="0"/>
        </w:rPr>
        <w:tab/>
        <w:t>32.329 cents per day for the first dwelling; and</w:t>
      </w:r>
    </w:p>
    <w:p>
      <w:pPr>
        <w:pStyle w:val="yIndenti0"/>
        <w:rPr>
          <w:snapToGrid w:val="0"/>
        </w:rPr>
      </w:pPr>
      <w:r>
        <w:rPr>
          <w:snapToGrid w:val="0"/>
        </w:rPr>
        <w:tab/>
        <w:t>(ii)</w:t>
      </w:r>
      <w:r>
        <w:rPr>
          <w:snapToGrid w:val="0"/>
        </w:rPr>
        <w:tab/>
        <w:t>25.102 cents per day for each additional dwelling;</w:t>
      </w:r>
    </w:p>
    <w:p>
      <w:pPr>
        <w:pStyle w:val="yIndenta"/>
      </w:pPr>
      <w:r>
        <w:tab/>
      </w:r>
      <w:r>
        <w:tab/>
        <w:t>and</w:t>
      </w:r>
    </w:p>
    <w:p>
      <w:pPr>
        <w:pStyle w:val="yIndenta"/>
      </w:pPr>
      <w:r>
        <w:tab/>
        <w:t>(b)</w:t>
      </w:r>
      <w:r>
        <w:tab/>
        <w:t>a charge for metered consumption at the rate of 17.611 cents per unit.</w:t>
      </w:r>
    </w:p>
    <w:p>
      <w:pPr>
        <w:pStyle w:val="yFootnotesection"/>
      </w:pPr>
      <w:r>
        <w:lastRenderedPageBreak/>
        <w:tab/>
        <w:t>[Clause 9 inserted in Gazette 30 Mar 2009 p. 989.]</w:t>
      </w:r>
    </w:p>
    <w:p>
      <w:pPr>
        <w:pStyle w:val="yHeading5"/>
      </w:pPr>
      <w:bookmarkStart w:id="83" w:name="_Toc81213745"/>
      <w:r>
        <w:rPr>
          <w:rStyle w:val="CharSClsNo"/>
        </w:rPr>
        <w:t>10</w:t>
      </w:r>
      <w:r>
        <w:t>.</w:t>
      </w:r>
      <w:r>
        <w:rPr>
          <w:b w:val="0"/>
        </w:rPr>
        <w:tab/>
      </w:r>
      <w:r>
        <w:t>Tariff B1 (residential water heating tariff)</w:t>
      </w:r>
      <w:bookmarkEnd w:id="83"/>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18.458 cents per day or, for multiple dwellings supplied through one metered supply point, a fixed charge at the rate of 18.458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10.197 cents per unit.</w:t>
      </w:r>
    </w:p>
    <w:p>
      <w:pPr>
        <w:pStyle w:val="yFootnotesection"/>
      </w:pPr>
      <w:r>
        <w:tab/>
        <w:t>[Clause 10 inserted in Gazette 30 Mar 2009 p. 990.]</w:t>
      </w:r>
    </w:p>
    <w:p>
      <w:pPr>
        <w:pStyle w:val="yHeading5"/>
      </w:pPr>
      <w:bookmarkStart w:id="84" w:name="_Toc81213746"/>
      <w:r>
        <w:rPr>
          <w:rStyle w:val="CharSClsNo"/>
        </w:rPr>
        <w:t>11</w:t>
      </w:r>
      <w:r>
        <w:t>.</w:t>
      </w:r>
      <w:r>
        <w:rPr>
          <w:b w:val="0"/>
        </w:rPr>
        <w:tab/>
      </w:r>
      <w:r>
        <w:t>Tariff C1 (special community service tariff)</w:t>
      </w:r>
      <w:bookmarkEnd w:id="84"/>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fixed charge at the rate of 29.524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16.093 cents per unit for the first 20 units per day; and</w:t>
      </w:r>
    </w:p>
    <w:p>
      <w:pPr>
        <w:pStyle w:val="yIndenti0"/>
        <w:rPr>
          <w:snapToGrid w:val="0"/>
        </w:rPr>
      </w:pPr>
      <w:r>
        <w:rPr>
          <w:snapToGrid w:val="0"/>
        </w:rPr>
        <w:tab/>
        <w:t>(ii)</w:t>
      </w:r>
      <w:r>
        <w:rPr>
          <w:snapToGrid w:val="0"/>
        </w:rPr>
        <w:tab/>
        <w:t>20.163 cents for the next 1 630 units per day; and</w:t>
      </w:r>
    </w:p>
    <w:p>
      <w:pPr>
        <w:pStyle w:val="yIndenti0"/>
        <w:rPr>
          <w:snapToGrid w:val="0"/>
        </w:rPr>
      </w:pPr>
      <w:r>
        <w:rPr>
          <w:snapToGrid w:val="0"/>
        </w:rPr>
        <w:tab/>
        <w:t>(iii)</w:t>
      </w:r>
      <w:r>
        <w:rPr>
          <w:snapToGrid w:val="0"/>
        </w:rPr>
        <w:tab/>
        <w:t>18.194 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lastRenderedPageBreak/>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990-1.]</w:t>
      </w:r>
    </w:p>
    <w:p>
      <w:pPr>
        <w:pStyle w:val="yHeading5"/>
      </w:pPr>
      <w:bookmarkStart w:id="85" w:name="_Toc81213747"/>
      <w:r>
        <w:rPr>
          <w:rStyle w:val="CharSClsNo"/>
        </w:rPr>
        <w:t>12</w:t>
      </w:r>
      <w:r>
        <w:t>.</w:t>
      </w:r>
      <w:r>
        <w:rPr>
          <w:b w:val="0"/>
        </w:rPr>
        <w:tab/>
      </w:r>
      <w:r>
        <w:t>Tariff D1 (special tariff for certain premises)</w:t>
      </w:r>
      <w:bookmarkEnd w:id="85"/>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29.524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16.093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991-2.]</w:t>
      </w:r>
    </w:p>
    <w:p>
      <w:pPr>
        <w:pStyle w:val="yHeading5"/>
      </w:pPr>
      <w:bookmarkStart w:id="86" w:name="_Toc81213748"/>
      <w:r>
        <w:rPr>
          <w:rStyle w:val="CharSClsNo"/>
        </w:rPr>
        <w:t>13</w:t>
      </w:r>
      <w:r>
        <w:t>.</w:t>
      </w:r>
      <w:r>
        <w:rPr>
          <w:b w:val="0"/>
        </w:rPr>
        <w:tab/>
      </w:r>
      <w:r>
        <w:t>Tariff K1 (general supply with residential tariff)</w:t>
      </w:r>
      <w:bookmarkEnd w:id="86"/>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lastRenderedPageBreak/>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32.329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17.611 cents per unit for the first 20 units per day; and</w:t>
      </w:r>
    </w:p>
    <w:p>
      <w:pPr>
        <w:pStyle w:val="yIndenti0"/>
        <w:rPr>
          <w:snapToGrid w:val="0"/>
        </w:rPr>
      </w:pPr>
      <w:r>
        <w:rPr>
          <w:snapToGrid w:val="0"/>
        </w:rPr>
        <w:tab/>
        <w:t>(ii)</w:t>
      </w:r>
      <w:r>
        <w:rPr>
          <w:snapToGrid w:val="0"/>
        </w:rPr>
        <w:tab/>
        <w:t>22.077 cents per unit for the next 1 630 units per day; and</w:t>
      </w:r>
    </w:p>
    <w:p>
      <w:pPr>
        <w:pStyle w:val="yIndenti0"/>
        <w:rPr>
          <w:snapToGrid w:val="0"/>
        </w:rPr>
      </w:pPr>
      <w:r>
        <w:rPr>
          <w:snapToGrid w:val="0"/>
        </w:rPr>
        <w:tab/>
        <w:t>(iii)</w:t>
      </w:r>
      <w:r>
        <w:rPr>
          <w:snapToGrid w:val="0"/>
        </w:rPr>
        <w:tab/>
        <w:t>19.932 cents per unit per day for all units exceeding 1 650 units.</w:t>
      </w:r>
    </w:p>
    <w:p>
      <w:pPr>
        <w:pStyle w:val="yFootnotesection"/>
      </w:pPr>
      <w:r>
        <w:tab/>
        <w:t>[Clause 13 inserted in Gazette 30 Mar 2009 p. 992.]</w:t>
      </w:r>
    </w:p>
    <w:p>
      <w:pPr>
        <w:pStyle w:val="yHeading5"/>
      </w:pPr>
      <w:bookmarkStart w:id="87" w:name="_Toc81213749"/>
      <w:r>
        <w:rPr>
          <w:rStyle w:val="CharSClsNo"/>
        </w:rPr>
        <w:t>14</w:t>
      </w:r>
      <w:r>
        <w:t>.</w:t>
      </w:r>
      <w:r>
        <w:rPr>
          <w:b w:val="0"/>
        </w:rPr>
        <w:tab/>
      </w:r>
      <w:r>
        <w:t>Tariff W1 (traffic light installations)</w:t>
      </w:r>
      <w:bookmarkEnd w:id="87"/>
    </w:p>
    <w:p>
      <w:pPr>
        <w:pStyle w:val="ySubsection"/>
      </w:pPr>
      <w:r>
        <w:tab/>
      </w:r>
      <w:r>
        <w:tab/>
        <w:t>Tariff W1 comprises a charge of $3.8833 per day per kW of installed wattage.</w:t>
      </w:r>
    </w:p>
    <w:p>
      <w:pPr>
        <w:pStyle w:val="yFootnotesection"/>
      </w:pPr>
      <w:r>
        <w:tab/>
        <w:t>[Clause 14 inserted in Gazette 30 Mar 2009 p. 992.]</w:t>
      </w:r>
    </w:p>
    <w:p>
      <w:pPr>
        <w:rPr>
          <w:u w:val="words"/>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88" w:name="_Toc233185424"/>
      <w:bookmarkStart w:id="89" w:name="_Toc81213750"/>
      <w:bookmarkStart w:id="90" w:name="_Toc124158784"/>
      <w:bookmarkStart w:id="91" w:name="_Toc124158891"/>
      <w:bookmarkStart w:id="92" w:name="_Toc124158925"/>
      <w:bookmarkStart w:id="93" w:name="_Toc124216306"/>
      <w:bookmarkStart w:id="94" w:name="_Toc124227065"/>
      <w:bookmarkStart w:id="95" w:name="_Toc124227158"/>
      <w:bookmarkStart w:id="96" w:name="_Toc124234424"/>
      <w:bookmarkStart w:id="97" w:name="_Toc124234776"/>
      <w:bookmarkStart w:id="98" w:name="_Toc124234816"/>
      <w:bookmarkStart w:id="99" w:name="_Toc124934232"/>
      <w:bookmarkStart w:id="100" w:name="_Toc125279682"/>
      <w:bookmarkStart w:id="101" w:name="_Toc127067109"/>
      <w:bookmarkStart w:id="102" w:name="_Toc127076312"/>
      <w:bookmarkStart w:id="103" w:name="_Toc127085645"/>
      <w:bookmarkStart w:id="104" w:name="_Toc127086737"/>
      <w:bookmarkStart w:id="105" w:name="_Toc127671680"/>
      <w:bookmarkStart w:id="106" w:name="_Toc127690057"/>
      <w:bookmarkStart w:id="107" w:name="_Toc127699338"/>
      <w:bookmarkStart w:id="108" w:name="_Toc127760430"/>
      <w:bookmarkStart w:id="109" w:name="_Toc127760458"/>
      <w:bookmarkStart w:id="110" w:name="_Toc127946780"/>
      <w:bookmarkStart w:id="111" w:name="_Toc127960813"/>
      <w:bookmarkStart w:id="112" w:name="_Toc127960841"/>
      <w:bookmarkStart w:id="113" w:name="_Toc128190515"/>
      <w:bookmarkStart w:id="114" w:name="_Toc128196187"/>
      <w:bookmarkStart w:id="115" w:name="_Toc128197606"/>
      <w:bookmarkStart w:id="116" w:name="_Toc128282879"/>
      <w:bookmarkStart w:id="117" w:name="_Toc131490127"/>
      <w:bookmarkStart w:id="118" w:name="_Toc131491087"/>
      <w:bookmarkStart w:id="119" w:name="_Toc152664696"/>
      <w:bookmarkStart w:id="120" w:name="_Toc152669127"/>
      <w:bookmarkStart w:id="121" w:name="_Toc171051502"/>
      <w:bookmarkStart w:id="122" w:name="_Toc226275324"/>
      <w:bookmarkStart w:id="123" w:name="_Toc226275364"/>
      <w:bookmarkStart w:id="124" w:name="_Toc123621760"/>
      <w:bookmarkStart w:id="125" w:name="_Toc123621907"/>
      <w:bookmarkStart w:id="126" w:name="_Toc123624867"/>
      <w:bookmarkStart w:id="127" w:name="_Toc123624934"/>
      <w:bookmarkStart w:id="128" w:name="_Toc123626280"/>
      <w:bookmarkStart w:id="129" w:name="_Toc123629884"/>
      <w:bookmarkStart w:id="130" w:name="_Toc124135801"/>
      <w:bookmarkStart w:id="131" w:name="_Toc124137268"/>
      <w:bookmarkStart w:id="132" w:name="_Toc124147436"/>
      <w:bookmarkStart w:id="133" w:name="_Toc12414747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SchNo"/>
        </w:rPr>
        <w:lastRenderedPageBreak/>
        <w:t>Schedule 2</w:t>
      </w:r>
      <w:r>
        <w:rPr>
          <w:rStyle w:val="CharSDivNo"/>
        </w:rPr>
        <w:t> </w:t>
      </w:r>
      <w:r>
        <w:t>—</w:t>
      </w:r>
      <w:r>
        <w:rPr>
          <w:rStyle w:val="CharSDivText"/>
        </w:rPr>
        <w:t> </w:t>
      </w:r>
      <w:r>
        <w:rPr>
          <w:rStyle w:val="CharSchText"/>
        </w:rPr>
        <w:t>Street lighting</w:t>
      </w:r>
      <w:bookmarkEnd w:id="88"/>
      <w:bookmarkEnd w:id="89"/>
    </w:p>
    <w:p>
      <w:pPr>
        <w:pStyle w:val="yShoulderClause"/>
      </w:pPr>
      <w:r>
        <w:t>[bl. 4(2)]</w:t>
      </w:r>
    </w:p>
    <w:p>
      <w:pPr>
        <w:pStyle w:val="yFootnoteheading"/>
        <w:spacing w:after="120"/>
      </w:pPr>
      <w:bookmarkStart w:id="134" w:name="OLE_LINK1"/>
      <w:r>
        <w:tab/>
        <w:t>[Heading inserted in Gazette 30 Mar 2009 p. 993.]</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trPr>
        <w:tc>
          <w:tcPr>
            <w:tcW w:w="567" w:type="dxa"/>
            <w:tcBorders>
              <w:top w:val="single" w:sz="4" w:space="0" w:color="auto"/>
              <w:bottom w:val="single" w:sz="4" w:space="0" w:color="auto"/>
            </w:tcBorders>
          </w:tcPr>
          <w:bookmarkEnd w:id="134"/>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276" w:type="dxa"/>
            <w:gridSpan w:val="2"/>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gridAfter w:val="1"/>
          <w:wAfter w:w="851" w:type="dxa"/>
          <w:cantSplit/>
        </w:trPr>
        <w:tc>
          <w:tcPr>
            <w:tcW w:w="6095" w:type="dxa"/>
            <w:gridSpan w:val="6"/>
          </w:tcPr>
          <w:p>
            <w:pPr>
              <w:pStyle w:val="yTableNAm"/>
              <w:rPr>
                <w:i/>
                <w:iCs/>
                <w:sz w:val="18"/>
              </w:rPr>
            </w:pPr>
            <w:r>
              <w:rPr>
                <w:i/>
                <w:iCs/>
                <w:sz w:val="18"/>
              </w:rPr>
              <w:t>Street lighting on current offer and for existing services</w:t>
            </w:r>
          </w:p>
        </w:tc>
      </w:tr>
      <w:t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26.620</w:t>
            </w:r>
          </w:p>
        </w:tc>
        <w:tc>
          <w:tcPr>
            <w:tcW w:w="1276" w:type="dxa"/>
          </w:tcPr>
          <w:p>
            <w:pPr>
              <w:pStyle w:val="yTableNAm"/>
              <w:tabs>
                <w:tab w:val="clear" w:pos="567"/>
                <w:tab w:val="decimal" w:pos="355"/>
              </w:tabs>
              <w:rPr>
                <w:sz w:val="18"/>
              </w:rPr>
            </w:pPr>
            <w:r>
              <w:rPr>
                <w:sz w:val="18"/>
              </w:rPr>
              <w:t>27.214</w:t>
            </w:r>
          </w:p>
        </w:tc>
        <w:tc>
          <w:tcPr>
            <w:tcW w:w="1276" w:type="dxa"/>
            <w:gridSpan w:val="2"/>
          </w:tcPr>
          <w:p>
            <w:pPr>
              <w:pStyle w:val="yTableNAm"/>
              <w:tabs>
                <w:tab w:val="clear" w:pos="567"/>
                <w:tab w:val="decimal" w:pos="355"/>
              </w:tabs>
              <w:rPr>
                <w:sz w:val="18"/>
              </w:rPr>
            </w:pPr>
            <w:r>
              <w:rPr>
                <w:sz w:val="18"/>
              </w:rPr>
              <w:t>29.942</w:t>
            </w:r>
          </w:p>
        </w:tc>
      </w:tr>
      <w:t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32.923</w:t>
            </w:r>
          </w:p>
        </w:tc>
        <w:tc>
          <w:tcPr>
            <w:tcW w:w="1276" w:type="dxa"/>
          </w:tcPr>
          <w:p>
            <w:pPr>
              <w:pStyle w:val="yTableNAm"/>
              <w:tabs>
                <w:tab w:val="clear" w:pos="567"/>
                <w:tab w:val="decimal" w:pos="355"/>
              </w:tabs>
              <w:rPr>
                <w:sz w:val="18"/>
              </w:rPr>
            </w:pPr>
            <w:r>
              <w:rPr>
                <w:sz w:val="18"/>
              </w:rPr>
              <w:t>33.990</w:t>
            </w:r>
          </w:p>
        </w:tc>
        <w:tc>
          <w:tcPr>
            <w:tcW w:w="1276" w:type="dxa"/>
            <w:gridSpan w:val="2"/>
          </w:tcPr>
          <w:p>
            <w:pPr>
              <w:pStyle w:val="yTableNAm"/>
              <w:tabs>
                <w:tab w:val="clear" w:pos="567"/>
                <w:tab w:val="decimal" w:pos="355"/>
              </w:tabs>
              <w:rPr>
                <w:sz w:val="18"/>
              </w:rPr>
            </w:pPr>
            <w:r>
              <w:rPr>
                <w:sz w:val="18"/>
              </w:rPr>
              <w:t>37.840</w:t>
            </w:r>
          </w:p>
        </w:tc>
      </w:tr>
      <w:t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r>
              <w:rPr>
                <w:sz w:val="18"/>
              </w:rPr>
              <w:t xml:space="preserve">Low Pressure Sodium </w:t>
            </w:r>
          </w:p>
        </w:tc>
        <w:tc>
          <w:tcPr>
            <w:tcW w:w="1275" w:type="dxa"/>
          </w:tcPr>
          <w:p>
            <w:pPr>
              <w:pStyle w:val="yTableNAm"/>
              <w:tabs>
                <w:tab w:val="clear" w:pos="567"/>
                <w:tab w:val="decimal" w:pos="355"/>
              </w:tabs>
              <w:rPr>
                <w:sz w:val="18"/>
              </w:rPr>
            </w:pPr>
            <w:r>
              <w:rPr>
                <w:sz w:val="18"/>
              </w:rPr>
              <w:br/>
              <w:t>33.693</w:t>
            </w:r>
          </w:p>
        </w:tc>
        <w:tc>
          <w:tcPr>
            <w:tcW w:w="1276" w:type="dxa"/>
          </w:tcPr>
          <w:p>
            <w:pPr>
              <w:pStyle w:val="yTableNAm"/>
              <w:tabs>
                <w:tab w:val="clear" w:pos="567"/>
                <w:tab w:val="decimal" w:pos="355"/>
              </w:tabs>
              <w:rPr>
                <w:sz w:val="18"/>
              </w:rPr>
            </w:pPr>
            <w:r>
              <w:rPr>
                <w:sz w:val="18"/>
              </w:rPr>
              <w:br/>
              <w:t>34.793</w:t>
            </w:r>
          </w:p>
        </w:tc>
        <w:tc>
          <w:tcPr>
            <w:tcW w:w="1276" w:type="dxa"/>
            <w:gridSpan w:val="2"/>
          </w:tcPr>
          <w:p>
            <w:pPr>
              <w:pStyle w:val="yTableNAm"/>
              <w:tabs>
                <w:tab w:val="clear" w:pos="567"/>
                <w:tab w:val="decimal" w:pos="355"/>
              </w:tabs>
              <w:rPr>
                <w:sz w:val="18"/>
              </w:rPr>
            </w:pPr>
            <w:r>
              <w:rPr>
                <w:sz w:val="18"/>
              </w:rPr>
              <w:br/>
              <w:t>39.215</w:t>
            </w:r>
          </w:p>
        </w:tc>
      </w:tr>
      <w:t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40.854</w:t>
            </w:r>
          </w:p>
        </w:tc>
        <w:tc>
          <w:tcPr>
            <w:tcW w:w="1276" w:type="dxa"/>
          </w:tcPr>
          <w:p>
            <w:pPr>
              <w:pStyle w:val="yTableNAm"/>
              <w:tabs>
                <w:tab w:val="clear" w:pos="567"/>
                <w:tab w:val="decimal" w:pos="355"/>
              </w:tabs>
              <w:rPr>
                <w:sz w:val="18"/>
              </w:rPr>
            </w:pPr>
            <w:r>
              <w:rPr>
                <w:sz w:val="18"/>
              </w:rPr>
              <w:t>42.933</w:t>
            </w:r>
          </w:p>
        </w:tc>
        <w:tc>
          <w:tcPr>
            <w:tcW w:w="1276" w:type="dxa"/>
            <w:gridSpan w:val="2"/>
          </w:tcPr>
          <w:p>
            <w:pPr>
              <w:pStyle w:val="yTableNAm"/>
              <w:tabs>
                <w:tab w:val="clear" w:pos="567"/>
                <w:tab w:val="decimal" w:pos="355"/>
              </w:tabs>
              <w:rPr>
                <w:sz w:val="18"/>
              </w:rPr>
            </w:pPr>
            <w:r>
              <w:rPr>
                <w:sz w:val="18"/>
              </w:rPr>
              <w:t>50.688</w:t>
            </w:r>
          </w:p>
        </w:tc>
      </w:tr>
      <w:t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60.522</w:t>
            </w:r>
          </w:p>
        </w:tc>
        <w:tc>
          <w:tcPr>
            <w:tcW w:w="1276" w:type="dxa"/>
          </w:tcPr>
          <w:p>
            <w:pPr>
              <w:pStyle w:val="yTableNAm"/>
              <w:tabs>
                <w:tab w:val="clear" w:pos="567"/>
                <w:tab w:val="decimal" w:pos="355"/>
              </w:tabs>
              <w:rPr>
                <w:sz w:val="18"/>
              </w:rPr>
            </w:pPr>
            <w:r>
              <w:rPr>
                <w:sz w:val="18"/>
              </w:rPr>
              <w:t>63.690</w:t>
            </w:r>
          </w:p>
        </w:tc>
        <w:tc>
          <w:tcPr>
            <w:tcW w:w="1276" w:type="dxa"/>
            <w:gridSpan w:val="2"/>
          </w:tcPr>
          <w:p>
            <w:pPr>
              <w:pStyle w:val="yTableNAm"/>
              <w:tabs>
                <w:tab w:val="clear" w:pos="567"/>
                <w:tab w:val="decimal" w:pos="355"/>
              </w:tabs>
              <w:rPr>
                <w:sz w:val="18"/>
              </w:rPr>
            </w:pPr>
            <w:r>
              <w:rPr>
                <w:sz w:val="18"/>
              </w:rPr>
              <w:t>75.790</w:t>
            </w:r>
          </w:p>
        </w:tc>
      </w:tr>
      <w:t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tcPr>
          <w:p>
            <w:pPr>
              <w:pStyle w:val="yTableNAm"/>
              <w:rPr>
                <w:sz w:val="18"/>
              </w:rPr>
            </w:pPr>
            <w:r>
              <w:rPr>
                <w:sz w:val="18"/>
              </w:rPr>
              <w:t>High Pressure Sodium</w:t>
            </w:r>
          </w:p>
        </w:tc>
        <w:tc>
          <w:tcPr>
            <w:tcW w:w="1275" w:type="dxa"/>
          </w:tcPr>
          <w:p>
            <w:pPr>
              <w:pStyle w:val="yTableNAm"/>
              <w:tabs>
                <w:tab w:val="clear" w:pos="567"/>
                <w:tab w:val="decimal" w:pos="355"/>
              </w:tabs>
              <w:rPr>
                <w:sz w:val="18"/>
              </w:rPr>
            </w:pPr>
            <w:r>
              <w:rPr>
                <w:sz w:val="18"/>
              </w:rPr>
              <w:br/>
              <w:t>31.185</w:t>
            </w:r>
          </w:p>
        </w:tc>
        <w:tc>
          <w:tcPr>
            <w:tcW w:w="1276" w:type="dxa"/>
          </w:tcPr>
          <w:p>
            <w:pPr>
              <w:pStyle w:val="yTableNAm"/>
              <w:tabs>
                <w:tab w:val="clear" w:pos="567"/>
                <w:tab w:val="decimal" w:pos="355"/>
              </w:tabs>
              <w:rPr>
                <w:sz w:val="18"/>
              </w:rPr>
            </w:pPr>
            <w:r>
              <w:rPr>
                <w:sz w:val="18"/>
              </w:rPr>
              <w:br/>
              <w:t>32.329</w:t>
            </w:r>
          </w:p>
        </w:tc>
        <w:tc>
          <w:tcPr>
            <w:tcW w:w="1276" w:type="dxa"/>
            <w:gridSpan w:val="2"/>
          </w:tcPr>
          <w:p>
            <w:pPr>
              <w:pStyle w:val="yTableNAm"/>
              <w:tabs>
                <w:tab w:val="clear" w:pos="567"/>
                <w:tab w:val="decimal" w:pos="355"/>
              </w:tabs>
              <w:rPr>
                <w:sz w:val="18"/>
              </w:rPr>
            </w:pPr>
            <w:r>
              <w:rPr>
                <w:sz w:val="18"/>
              </w:rPr>
              <w:br/>
              <w:t>38.731</w:t>
            </w:r>
          </w:p>
        </w:tc>
      </w:tr>
      <w:t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tcPr>
          <w:p>
            <w:pPr>
              <w:pStyle w:val="yTableNAm"/>
              <w:rPr>
                <w:sz w:val="18"/>
              </w:rPr>
            </w:pPr>
            <w:r>
              <w:rPr>
                <w:sz w:val="18"/>
              </w:rPr>
              <w:t>High Pressure Sodium</w:t>
            </w:r>
          </w:p>
        </w:tc>
        <w:tc>
          <w:tcPr>
            <w:tcW w:w="1275" w:type="dxa"/>
          </w:tcPr>
          <w:p>
            <w:pPr>
              <w:pStyle w:val="yTableNAm"/>
              <w:tabs>
                <w:tab w:val="clear" w:pos="567"/>
                <w:tab w:val="decimal" w:pos="355"/>
              </w:tabs>
              <w:rPr>
                <w:sz w:val="18"/>
              </w:rPr>
            </w:pPr>
            <w:r>
              <w:rPr>
                <w:sz w:val="18"/>
              </w:rPr>
              <w:br/>
              <w:t>46.233</w:t>
            </w:r>
          </w:p>
        </w:tc>
        <w:tc>
          <w:tcPr>
            <w:tcW w:w="1276" w:type="dxa"/>
          </w:tcPr>
          <w:p>
            <w:pPr>
              <w:pStyle w:val="yTableNAm"/>
              <w:tabs>
                <w:tab w:val="clear" w:pos="567"/>
                <w:tab w:val="decimal" w:pos="355"/>
              </w:tabs>
              <w:rPr>
                <w:sz w:val="18"/>
              </w:rPr>
            </w:pPr>
            <w:r>
              <w:rPr>
                <w:sz w:val="18"/>
              </w:rPr>
              <w:br/>
              <w:t>48.697</w:t>
            </w:r>
          </w:p>
        </w:tc>
        <w:tc>
          <w:tcPr>
            <w:tcW w:w="1276" w:type="dxa"/>
            <w:gridSpan w:val="2"/>
          </w:tcPr>
          <w:p>
            <w:pPr>
              <w:pStyle w:val="yTableNAm"/>
              <w:tabs>
                <w:tab w:val="clear" w:pos="567"/>
                <w:tab w:val="decimal" w:pos="355"/>
              </w:tabs>
              <w:rPr>
                <w:sz w:val="18"/>
              </w:rPr>
            </w:pPr>
            <w:r>
              <w:rPr>
                <w:sz w:val="18"/>
              </w:rPr>
              <w:br/>
              <w:t>58.201</w:t>
            </w:r>
          </w:p>
        </w:tc>
      </w:tr>
      <w:tr>
        <w:tc>
          <w:tcPr>
            <w:tcW w:w="567" w:type="dxa"/>
          </w:tcPr>
          <w:p>
            <w:pPr>
              <w:pStyle w:val="yTableNAm"/>
              <w:rPr>
                <w:sz w:val="18"/>
              </w:rPr>
            </w:pPr>
            <w:r>
              <w:rPr>
                <w:sz w:val="18"/>
              </w:rPr>
              <w:t>Z.18</w:t>
            </w:r>
          </w:p>
        </w:tc>
        <w:tc>
          <w:tcPr>
            <w:tcW w:w="851" w:type="dxa"/>
          </w:tcPr>
          <w:p>
            <w:pPr>
              <w:pStyle w:val="yTableNAm"/>
              <w:rPr>
                <w:sz w:val="18"/>
              </w:rPr>
            </w:pPr>
            <w:r>
              <w:rPr>
                <w:sz w:val="18"/>
              </w:rPr>
              <w:t>per kW</w:t>
            </w:r>
          </w:p>
        </w:tc>
        <w:tc>
          <w:tcPr>
            <w:tcW w:w="1701" w:type="dxa"/>
          </w:tcPr>
          <w:p>
            <w:pPr>
              <w:pStyle w:val="yTableNAm"/>
              <w:rPr>
                <w:sz w:val="18"/>
              </w:rPr>
            </w:pPr>
            <w:r>
              <w:rPr>
                <w:sz w:val="18"/>
              </w:rPr>
              <w:t>Auxiliary Lighting in Public Places</w:t>
            </w:r>
          </w:p>
        </w:tc>
        <w:tc>
          <w:tcPr>
            <w:tcW w:w="1275" w:type="dxa"/>
          </w:tcPr>
          <w:p>
            <w:pPr>
              <w:pStyle w:val="yTableNAm"/>
              <w:tabs>
                <w:tab w:val="clear" w:pos="567"/>
                <w:tab w:val="decimal" w:pos="355"/>
              </w:tabs>
              <w:rPr>
                <w:sz w:val="18"/>
              </w:rPr>
            </w:pPr>
            <w:r>
              <w:rPr>
                <w:sz w:val="18"/>
              </w:rPr>
              <w:br/>
              <w:t>132.451</w:t>
            </w:r>
          </w:p>
        </w:tc>
        <w:tc>
          <w:tcPr>
            <w:tcW w:w="1276" w:type="dxa"/>
          </w:tcPr>
          <w:p>
            <w:pPr>
              <w:pStyle w:val="yTableNAm"/>
              <w:tabs>
                <w:tab w:val="clear" w:pos="567"/>
                <w:tab w:val="decimal" w:pos="355"/>
              </w:tabs>
              <w:rPr>
                <w:sz w:val="18"/>
              </w:rPr>
            </w:pPr>
            <w:r>
              <w:rPr>
                <w:sz w:val="18"/>
              </w:rPr>
              <w:br/>
              <w:t>139.810</w:t>
            </w:r>
          </w:p>
        </w:tc>
        <w:tc>
          <w:tcPr>
            <w:tcW w:w="1276" w:type="dxa"/>
            <w:gridSpan w:val="2"/>
          </w:tcPr>
          <w:p>
            <w:pPr>
              <w:pStyle w:val="yTableNAm"/>
              <w:tabs>
                <w:tab w:val="clear" w:pos="567"/>
                <w:tab w:val="decimal" w:pos="355"/>
              </w:tabs>
              <w:rPr>
                <w:sz w:val="18"/>
              </w:rPr>
            </w:pPr>
            <w:r>
              <w:rPr>
                <w:sz w:val="18"/>
              </w:rPr>
              <w:br/>
              <w:t>168.773</w:t>
            </w:r>
          </w:p>
        </w:tc>
      </w:tr>
      <w:tr>
        <w:trPr>
          <w:cantSplit/>
        </w:trPr>
        <w:tc>
          <w:tcPr>
            <w:tcW w:w="6946" w:type="dxa"/>
            <w:gridSpan w:val="7"/>
          </w:tcPr>
          <w:p>
            <w:pPr>
              <w:pStyle w:val="yTableNAm"/>
              <w:rPr>
                <w:i/>
                <w:iCs/>
                <w:sz w:val="18"/>
              </w:rPr>
            </w:pPr>
            <w:r>
              <w:rPr>
                <w:i/>
                <w:iCs/>
                <w:sz w:val="18"/>
              </w:rPr>
              <w:t>Street lighting for existing services only</w:t>
            </w:r>
          </w:p>
        </w:tc>
      </w:tr>
      <w:t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52.943</w:t>
            </w:r>
          </w:p>
        </w:tc>
        <w:tc>
          <w:tcPr>
            <w:tcW w:w="1276" w:type="dxa"/>
          </w:tcPr>
          <w:p>
            <w:pPr>
              <w:pStyle w:val="yTableNAm"/>
              <w:tabs>
                <w:tab w:val="clear" w:pos="567"/>
                <w:tab w:val="decimal" w:pos="355"/>
              </w:tabs>
              <w:rPr>
                <w:sz w:val="18"/>
              </w:rPr>
            </w:pPr>
            <w:r>
              <w:rPr>
                <w:sz w:val="18"/>
              </w:rPr>
              <w:t>55.011</w:t>
            </w:r>
          </w:p>
        </w:tc>
        <w:tc>
          <w:tcPr>
            <w:tcW w:w="1276" w:type="dxa"/>
            <w:gridSpan w:val="2"/>
          </w:tcPr>
          <w:p>
            <w:pPr>
              <w:pStyle w:val="yTableNAm"/>
              <w:tabs>
                <w:tab w:val="clear" w:pos="567"/>
                <w:tab w:val="decimal" w:pos="355"/>
              </w:tabs>
              <w:rPr>
                <w:sz w:val="18"/>
              </w:rPr>
            </w:pPr>
            <w:r>
              <w:rPr>
                <w:sz w:val="18"/>
              </w:rPr>
              <w:t>62.777</w:t>
            </w:r>
          </w:p>
        </w:tc>
      </w:tr>
      <w:t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72.622</w:t>
            </w:r>
          </w:p>
        </w:tc>
        <w:tc>
          <w:tcPr>
            <w:tcW w:w="1276" w:type="dxa"/>
          </w:tcPr>
          <w:p>
            <w:pPr>
              <w:pStyle w:val="yTableNAm"/>
              <w:tabs>
                <w:tab w:val="clear" w:pos="567"/>
                <w:tab w:val="decimal" w:pos="355"/>
              </w:tabs>
              <w:rPr>
                <w:sz w:val="18"/>
              </w:rPr>
            </w:pPr>
            <w:r>
              <w:rPr>
                <w:sz w:val="18"/>
              </w:rPr>
              <w:t>75.790</w:t>
            </w:r>
          </w:p>
        </w:tc>
        <w:tc>
          <w:tcPr>
            <w:tcW w:w="1276" w:type="dxa"/>
            <w:gridSpan w:val="2"/>
          </w:tcPr>
          <w:p>
            <w:pPr>
              <w:pStyle w:val="yTableNAm"/>
              <w:tabs>
                <w:tab w:val="clear" w:pos="567"/>
                <w:tab w:val="decimal" w:pos="355"/>
              </w:tabs>
              <w:rPr>
                <w:sz w:val="18"/>
              </w:rPr>
            </w:pPr>
            <w:r>
              <w:rPr>
                <w:sz w:val="18"/>
              </w:rPr>
              <w:t>87.835</w:t>
            </w:r>
          </w:p>
        </w:tc>
      </w:tr>
      <w:t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50% E.C. cost</w:t>
            </w:r>
          </w:p>
        </w:tc>
        <w:tc>
          <w:tcPr>
            <w:tcW w:w="1275" w:type="dxa"/>
          </w:tcPr>
          <w:p>
            <w:pPr>
              <w:pStyle w:val="yTableNAm"/>
              <w:tabs>
                <w:tab w:val="clear" w:pos="567"/>
                <w:tab w:val="decimal" w:pos="355"/>
              </w:tabs>
              <w:rPr>
                <w:sz w:val="18"/>
              </w:rPr>
            </w:pPr>
            <w:r>
              <w:rPr>
                <w:sz w:val="18"/>
              </w:rPr>
              <w:t>46.893</w:t>
            </w:r>
          </w:p>
        </w:tc>
        <w:tc>
          <w:tcPr>
            <w:tcW w:w="1276" w:type="dxa"/>
          </w:tcPr>
          <w:p>
            <w:pPr>
              <w:pStyle w:val="yTableNAm"/>
              <w:tabs>
                <w:tab w:val="clear" w:pos="567"/>
                <w:tab w:val="decimal" w:pos="355"/>
              </w:tabs>
              <w:rPr>
                <w:sz w:val="18"/>
              </w:rPr>
            </w:pPr>
            <w:r>
              <w:rPr>
                <w:sz w:val="18"/>
              </w:rPr>
              <w:t>48.939</w:t>
            </w:r>
          </w:p>
        </w:tc>
        <w:tc>
          <w:tcPr>
            <w:tcW w:w="1276" w:type="dxa"/>
            <w:gridSpan w:val="2"/>
          </w:tcPr>
          <w:p>
            <w:pPr>
              <w:pStyle w:val="yTableNAm"/>
              <w:tabs>
                <w:tab w:val="clear" w:pos="567"/>
                <w:tab w:val="decimal" w:pos="355"/>
              </w:tabs>
              <w:rPr>
                <w:sz w:val="18"/>
              </w:rPr>
            </w:pPr>
            <w:r>
              <w:rPr>
                <w:sz w:val="18"/>
              </w:rPr>
              <w:t>56.727</w:t>
            </w:r>
          </w:p>
        </w:tc>
      </w:tr>
      <w:t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100% E.C. cost</w:t>
            </w:r>
          </w:p>
        </w:tc>
        <w:tc>
          <w:tcPr>
            <w:tcW w:w="1275" w:type="dxa"/>
          </w:tcPr>
          <w:p>
            <w:pPr>
              <w:pStyle w:val="yTableNAm"/>
              <w:tabs>
                <w:tab w:val="clear" w:pos="567"/>
                <w:tab w:val="decimal" w:pos="355"/>
              </w:tabs>
              <w:rPr>
                <w:sz w:val="18"/>
              </w:rPr>
            </w:pPr>
            <w:r>
              <w:rPr>
                <w:sz w:val="18"/>
              </w:rPr>
              <w:br/>
              <w:t>52.943</w:t>
            </w:r>
          </w:p>
        </w:tc>
        <w:tc>
          <w:tcPr>
            <w:tcW w:w="1276" w:type="dxa"/>
          </w:tcPr>
          <w:p>
            <w:pPr>
              <w:pStyle w:val="yTableNAm"/>
              <w:tabs>
                <w:tab w:val="clear" w:pos="567"/>
                <w:tab w:val="decimal" w:pos="355"/>
              </w:tabs>
              <w:rPr>
                <w:sz w:val="18"/>
              </w:rPr>
            </w:pPr>
            <w:r>
              <w:rPr>
                <w:sz w:val="18"/>
              </w:rPr>
              <w:br/>
              <w:t>55.011</w:t>
            </w:r>
          </w:p>
        </w:tc>
        <w:tc>
          <w:tcPr>
            <w:tcW w:w="1276" w:type="dxa"/>
            <w:gridSpan w:val="2"/>
          </w:tcPr>
          <w:p>
            <w:pPr>
              <w:pStyle w:val="yTableNAm"/>
              <w:tabs>
                <w:tab w:val="clear" w:pos="567"/>
                <w:tab w:val="decimal" w:pos="355"/>
              </w:tabs>
              <w:rPr>
                <w:sz w:val="18"/>
              </w:rPr>
            </w:pPr>
            <w:r>
              <w:rPr>
                <w:sz w:val="18"/>
              </w:rPr>
              <w:br/>
              <w:t>62.777</w:t>
            </w:r>
          </w:p>
        </w:tc>
      </w:tr>
      <w:t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50% E.C. cost</w:t>
            </w:r>
          </w:p>
        </w:tc>
        <w:tc>
          <w:tcPr>
            <w:tcW w:w="1275" w:type="dxa"/>
          </w:tcPr>
          <w:p>
            <w:pPr>
              <w:pStyle w:val="yTableNAm"/>
              <w:tabs>
                <w:tab w:val="clear" w:pos="567"/>
                <w:tab w:val="decimal" w:pos="355"/>
              </w:tabs>
              <w:rPr>
                <w:sz w:val="18"/>
              </w:rPr>
            </w:pPr>
            <w:r>
              <w:rPr>
                <w:sz w:val="18"/>
              </w:rPr>
              <w:br/>
              <w:t>66.572</w:t>
            </w:r>
          </w:p>
        </w:tc>
        <w:tc>
          <w:tcPr>
            <w:tcW w:w="1276" w:type="dxa"/>
          </w:tcPr>
          <w:p>
            <w:pPr>
              <w:pStyle w:val="yTableNAm"/>
              <w:tabs>
                <w:tab w:val="clear" w:pos="567"/>
                <w:tab w:val="decimal" w:pos="355"/>
              </w:tabs>
              <w:rPr>
                <w:sz w:val="18"/>
              </w:rPr>
            </w:pPr>
            <w:r>
              <w:rPr>
                <w:sz w:val="18"/>
              </w:rPr>
              <w:br/>
              <w:t>69.751</w:t>
            </w:r>
          </w:p>
        </w:tc>
        <w:tc>
          <w:tcPr>
            <w:tcW w:w="1276" w:type="dxa"/>
            <w:gridSpan w:val="2"/>
          </w:tcPr>
          <w:p>
            <w:pPr>
              <w:pStyle w:val="yTableNAm"/>
              <w:tabs>
                <w:tab w:val="clear" w:pos="567"/>
                <w:tab w:val="decimal" w:pos="355"/>
              </w:tabs>
              <w:rPr>
                <w:sz w:val="18"/>
              </w:rPr>
            </w:pPr>
            <w:r>
              <w:rPr>
                <w:sz w:val="18"/>
              </w:rPr>
              <w:br/>
              <w:t>81.807</w:t>
            </w:r>
          </w:p>
        </w:tc>
      </w:tr>
      <w:t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100% E.C. cost</w:t>
            </w:r>
          </w:p>
        </w:tc>
        <w:tc>
          <w:tcPr>
            <w:tcW w:w="1275" w:type="dxa"/>
          </w:tcPr>
          <w:p>
            <w:pPr>
              <w:pStyle w:val="yTableNAm"/>
              <w:tabs>
                <w:tab w:val="clear" w:pos="567"/>
                <w:tab w:val="decimal" w:pos="355"/>
              </w:tabs>
              <w:rPr>
                <w:sz w:val="18"/>
              </w:rPr>
            </w:pPr>
            <w:r>
              <w:rPr>
                <w:sz w:val="18"/>
              </w:rPr>
              <w:br/>
              <w:t>72.622</w:t>
            </w:r>
          </w:p>
        </w:tc>
        <w:tc>
          <w:tcPr>
            <w:tcW w:w="1276" w:type="dxa"/>
          </w:tcPr>
          <w:p>
            <w:pPr>
              <w:pStyle w:val="yTableNAm"/>
              <w:tabs>
                <w:tab w:val="clear" w:pos="567"/>
                <w:tab w:val="decimal" w:pos="355"/>
              </w:tabs>
              <w:rPr>
                <w:sz w:val="18"/>
              </w:rPr>
            </w:pPr>
            <w:r>
              <w:rPr>
                <w:sz w:val="18"/>
              </w:rPr>
              <w:br/>
              <w:t>75.790</w:t>
            </w:r>
          </w:p>
        </w:tc>
        <w:tc>
          <w:tcPr>
            <w:tcW w:w="1276" w:type="dxa"/>
            <w:gridSpan w:val="2"/>
          </w:tcPr>
          <w:p>
            <w:pPr>
              <w:pStyle w:val="yTableNAm"/>
              <w:tabs>
                <w:tab w:val="clear" w:pos="567"/>
                <w:tab w:val="decimal" w:pos="355"/>
              </w:tabs>
              <w:rPr>
                <w:sz w:val="18"/>
              </w:rPr>
            </w:pPr>
            <w:r>
              <w:rPr>
                <w:sz w:val="18"/>
              </w:rPr>
              <w:br/>
              <w:t>87.835</w:t>
            </w:r>
          </w:p>
        </w:tc>
      </w:tr>
      <w:t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tcPr>
          <w:p>
            <w:pPr>
              <w:pStyle w:val="yTableNAm"/>
              <w:rPr>
                <w:sz w:val="18"/>
              </w:rPr>
            </w:pPr>
            <w:r>
              <w:rPr>
                <w:sz w:val="18"/>
              </w:rPr>
              <w:t>H.P. Sodium</w:t>
            </w:r>
          </w:p>
        </w:tc>
        <w:tc>
          <w:tcPr>
            <w:tcW w:w="1275" w:type="dxa"/>
          </w:tcPr>
          <w:p>
            <w:pPr>
              <w:pStyle w:val="yTableNAm"/>
              <w:tabs>
                <w:tab w:val="clear" w:pos="567"/>
                <w:tab w:val="decimal" w:pos="355"/>
              </w:tabs>
              <w:rPr>
                <w:sz w:val="18"/>
              </w:rPr>
            </w:pPr>
            <w:r>
              <w:rPr>
                <w:sz w:val="18"/>
              </w:rPr>
              <w:t>48.114</w:t>
            </w:r>
          </w:p>
        </w:tc>
        <w:tc>
          <w:tcPr>
            <w:tcW w:w="1276" w:type="dxa"/>
          </w:tcPr>
          <w:p>
            <w:pPr>
              <w:pStyle w:val="yTableNAm"/>
              <w:tabs>
                <w:tab w:val="clear" w:pos="567"/>
                <w:tab w:val="decimal" w:pos="355"/>
              </w:tabs>
              <w:rPr>
                <w:sz w:val="18"/>
              </w:rPr>
            </w:pPr>
            <w:r>
              <w:rPr>
                <w:sz w:val="18"/>
              </w:rPr>
              <w:t>49.236</w:t>
            </w:r>
          </w:p>
        </w:tc>
        <w:tc>
          <w:tcPr>
            <w:tcW w:w="1276" w:type="dxa"/>
            <w:gridSpan w:val="2"/>
          </w:tcPr>
          <w:p>
            <w:pPr>
              <w:pStyle w:val="yTableNAm"/>
              <w:tabs>
                <w:tab w:val="clear" w:pos="567"/>
                <w:tab w:val="decimal" w:pos="355"/>
              </w:tabs>
              <w:rPr>
                <w:sz w:val="18"/>
              </w:rPr>
            </w:pPr>
            <w:r>
              <w:rPr>
                <w:sz w:val="18"/>
              </w:rPr>
              <w:t>55.616</w:t>
            </w:r>
          </w:p>
        </w:tc>
      </w:tr>
      <w:t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tcPr>
          <w:p>
            <w:pPr>
              <w:pStyle w:val="yTableNAm"/>
              <w:rPr>
                <w:sz w:val="18"/>
              </w:rPr>
            </w:pPr>
            <w:r>
              <w:rPr>
                <w:sz w:val="18"/>
              </w:rPr>
              <w:t>H.P. Sodium 50% E.C. cost</w:t>
            </w:r>
          </w:p>
        </w:tc>
        <w:tc>
          <w:tcPr>
            <w:tcW w:w="1275" w:type="dxa"/>
          </w:tcPr>
          <w:p>
            <w:pPr>
              <w:pStyle w:val="yTableNAm"/>
              <w:tabs>
                <w:tab w:val="clear" w:pos="567"/>
                <w:tab w:val="decimal" w:pos="355"/>
              </w:tabs>
              <w:rPr>
                <w:sz w:val="18"/>
              </w:rPr>
            </w:pPr>
            <w:r>
              <w:rPr>
                <w:sz w:val="18"/>
              </w:rPr>
              <w:br/>
              <w:t>55.286</w:t>
            </w:r>
          </w:p>
        </w:tc>
        <w:tc>
          <w:tcPr>
            <w:tcW w:w="1276" w:type="dxa"/>
          </w:tcPr>
          <w:p>
            <w:pPr>
              <w:pStyle w:val="yTableNAm"/>
              <w:tabs>
                <w:tab w:val="clear" w:pos="567"/>
                <w:tab w:val="decimal" w:pos="355"/>
              </w:tabs>
              <w:rPr>
                <w:sz w:val="18"/>
              </w:rPr>
            </w:pPr>
            <w:r>
              <w:rPr>
                <w:sz w:val="18"/>
              </w:rPr>
              <w:br/>
              <w:t>57.772</w:t>
            </w:r>
          </w:p>
        </w:tc>
        <w:tc>
          <w:tcPr>
            <w:tcW w:w="1276" w:type="dxa"/>
            <w:gridSpan w:val="2"/>
          </w:tcPr>
          <w:p>
            <w:pPr>
              <w:pStyle w:val="yTableNAm"/>
              <w:tabs>
                <w:tab w:val="clear" w:pos="567"/>
                <w:tab w:val="decimal" w:pos="355"/>
              </w:tabs>
              <w:rPr>
                <w:sz w:val="18"/>
              </w:rPr>
            </w:pPr>
            <w:r>
              <w:rPr>
                <w:sz w:val="18"/>
              </w:rPr>
              <w:br/>
              <w:t>67.254</w:t>
            </w:r>
          </w:p>
        </w:tc>
      </w:tr>
      <w:tr>
        <w:tc>
          <w:tcPr>
            <w:tcW w:w="567" w:type="dxa"/>
          </w:tcPr>
          <w:p>
            <w:pPr>
              <w:pStyle w:val="yTableNAm"/>
              <w:rPr>
                <w:sz w:val="18"/>
              </w:rPr>
            </w:pPr>
            <w:r>
              <w:rPr>
                <w:sz w:val="18"/>
              </w:rPr>
              <w:lastRenderedPageBreak/>
              <w:t>Z.17</w:t>
            </w:r>
          </w:p>
        </w:tc>
        <w:tc>
          <w:tcPr>
            <w:tcW w:w="851" w:type="dxa"/>
          </w:tcPr>
          <w:p>
            <w:pPr>
              <w:pStyle w:val="yTableNAm"/>
              <w:rPr>
                <w:sz w:val="18"/>
              </w:rPr>
            </w:pPr>
            <w:r>
              <w:rPr>
                <w:sz w:val="18"/>
              </w:rPr>
              <w:t>250</w:t>
            </w:r>
          </w:p>
        </w:tc>
        <w:tc>
          <w:tcPr>
            <w:tcW w:w="1701" w:type="dxa"/>
          </w:tcPr>
          <w:p>
            <w:pPr>
              <w:pStyle w:val="yTableNAm"/>
              <w:rPr>
                <w:sz w:val="18"/>
              </w:rPr>
            </w:pPr>
            <w:r>
              <w:rPr>
                <w:sz w:val="18"/>
              </w:rPr>
              <w:t>H.P. Sodium 100% E.C. cost</w:t>
            </w:r>
          </w:p>
        </w:tc>
        <w:tc>
          <w:tcPr>
            <w:tcW w:w="1275" w:type="dxa"/>
          </w:tcPr>
          <w:p>
            <w:pPr>
              <w:pStyle w:val="yTableNAm"/>
              <w:tabs>
                <w:tab w:val="clear" w:pos="567"/>
                <w:tab w:val="decimal" w:pos="355"/>
              </w:tabs>
              <w:rPr>
                <w:sz w:val="18"/>
              </w:rPr>
            </w:pPr>
            <w:r>
              <w:rPr>
                <w:sz w:val="18"/>
              </w:rPr>
              <w:br/>
              <w:t>64.317</w:t>
            </w:r>
          </w:p>
        </w:tc>
        <w:tc>
          <w:tcPr>
            <w:tcW w:w="1276" w:type="dxa"/>
          </w:tcPr>
          <w:p>
            <w:pPr>
              <w:pStyle w:val="yTableNAm"/>
              <w:tabs>
                <w:tab w:val="clear" w:pos="567"/>
                <w:tab w:val="decimal" w:pos="355"/>
              </w:tabs>
              <w:rPr>
                <w:sz w:val="18"/>
              </w:rPr>
            </w:pPr>
            <w:r>
              <w:rPr>
                <w:sz w:val="18"/>
              </w:rPr>
              <w:br/>
              <w:t>66.836</w:t>
            </w:r>
          </w:p>
        </w:tc>
        <w:tc>
          <w:tcPr>
            <w:tcW w:w="1276" w:type="dxa"/>
            <w:gridSpan w:val="2"/>
          </w:tcPr>
          <w:p>
            <w:pPr>
              <w:pStyle w:val="yTableNAm"/>
              <w:tabs>
                <w:tab w:val="clear" w:pos="567"/>
                <w:tab w:val="decimal" w:pos="355"/>
              </w:tabs>
              <w:rPr>
                <w:sz w:val="18"/>
              </w:rPr>
            </w:pPr>
            <w:r>
              <w:rPr>
                <w:sz w:val="18"/>
              </w:rPr>
              <w:br/>
              <w:t>76.329</w:t>
            </w:r>
          </w:p>
        </w:tc>
      </w:tr>
      <w:t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26.620</w:t>
            </w:r>
          </w:p>
        </w:tc>
        <w:tc>
          <w:tcPr>
            <w:tcW w:w="1276" w:type="dxa"/>
          </w:tcPr>
          <w:p>
            <w:pPr>
              <w:pStyle w:val="yTableNAm"/>
              <w:tabs>
                <w:tab w:val="clear" w:pos="567"/>
                <w:tab w:val="decimal" w:pos="355"/>
              </w:tabs>
              <w:rPr>
                <w:sz w:val="18"/>
              </w:rPr>
            </w:pPr>
            <w:r>
              <w:rPr>
                <w:sz w:val="18"/>
              </w:rPr>
              <w:t>27.214</w:t>
            </w:r>
          </w:p>
        </w:tc>
        <w:tc>
          <w:tcPr>
            <w:tcW w:w="1276" w:type="dxa"/>
            <w:gridSpan w:val="2"/>
          </w:tcPr>
          <w:p>
            <w:pPr>
              <w:pStyle w:val="yTableNAm"/>
              <w:tabs>
                <w:tab w:val="clear" w:pos="567"/>
                <w:tab w:val="decimal" w:pos="355"/>
              </w:tabs>
              <w:rPr>
                <w:sz w:val="18"/>
              </w:rPr>
            </w:pPr>
            <w:r>
              <w:rPr>
                <w:sz w:val="18"/>
              </w:rPr>
              <w:t>29.942</w:t>
            </w:r>
          </w:p>
        </w:tc>
      </w:tr>
      <w:t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32.923</w:t>
            </w:r>
          </w:p>
        </w:tc>
        <w:tc>
          <w:tcPr>
            <w:tcW w:w="1276" w:type="dxa"/>
          </w:tcPr>
          <w:p>
            <w:pPr>
              <w:pStyle w:val="yTableNAm"/>
              <w:tabs>
                <w:tab w:val="clear" w:pos="567"/>
                <w:tab w:val="decimal" w:pos="355"/>
              </w:tabs>
              <w:rPr>
                <w:sz w:val="18"/>
              </w:rPr>
            </w:pPr>
            <w:r>
              <w:rPr>
                <w:sz w:val="18"/>
              </w:rPr>
              <w:t>33.990</w:t>
            </w:r>
          </w:p>
        </w:tc>
        <w:tc>
          <w:tcPr>
            <w:tcW w:w="1276" w:type="dxa"/>
            <w:gridSpan w:val="2"/>
          </w:tcPr>
          <w:p>
            <w:pPr>
              <w:pStyle w:val="yTableNAm"/>
              <w:tabs>
                <w:tab w:val="clear" w:pos="567"/>
                <w:tab w:val="decimal" w:pos="355"/>
              </w:tabs>
              <w:rPr>
                <w:sz w:val="18"/>
              </w:rPr>
            </w:pPr>
            <w:r>
              <w:rPr>
                <w:sz w:val="18"/>
              </w:rPr>
              <w:t>37.840</w:t>
            </w:r>
          </w:p>
        </w:tc>
      </w:tr>
      <w:t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52.943</w:t>
            </w:r>
          </w:p>
        </w:tc>
        <w:tc>
          <w:tcPr>
            <w:tcW w:w="1276" w:type="dxa"/>
          </w:tcPr>
          <w:p>
            <w:pPr>
              <w:pStyle w:val="yTableNAm"/>
              <w:tabs>
                <w:tab w:val="clear" w:pos="567"/>
                <w:tab w:val="decimal" w:pos="355"/>
              </w:tabs>
              <w:rPr>
                <w:sz w:val="18"/>
              </w:rPr>
            </w:pPr>
            <w:r>
              <w:rPr>
                <w:sz w:val="18"/>
              </w:rPr>
              <w:t>55.011</w:t>
            </w:r>
          </w:p>
        </w:tc>
        <w:tc>
          <w:tcPr>
            <w:tcW w:w="1276" w:type="dxa"/>
            <w:gridSpan w:val="2"/>
          </w:tcPr>
          <w:p>
            <w:pPr>
              <w:pStyle w:val="yTableNAm"/>
              <w:tabs>
                <w:tab w:val="clear" w:pos="567"/>
                <w:tab w:val="decimal" w:pos="355"/>
              </w:tabs>
              <w:rPr>
                <w:sz w:val="18"/>
              </w:rPr>
            </w:pPr>
            <w:r>
              <w:rPr>
                <w:sz w:val="18"/>
              </w:rPr>
              <w:t>62.777</w:t>
            </w:r>
          </w:p>
        </w:tc>
      </w:tr>
      <w:t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tcPr>
          <w:p>
            <w:pPr>
              <w:pStyle w:val="yTableNAm"/>
              <w:rPr>
                <w:sz w:val="18"/>
              </w:rPr>
            </w:pPr>
            <w:r>
              <w:rPr>
                <w:sz w:val="18"/>
              </w:rPr>
              <w:t>Fluorescent</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tcPr>
          <w:p>
            <w:pPr>
              <w:pStyle w:val="yTableNAm"/>
              <w:rPr>
                <w:sz w:val="18"/>
              </w:rPr>
            </w:pPr>
            <w:r>
              <w:rPr>
                <w:sz w:val="18"/>
              </w:rPr>
              <w:t>Fluorescent</w:t>
            </w:r>
          </w:p>
        </w:tc>
        <w:tc>
          <w:tcPr>
            <w:tcW w:w="1275" w:type="dxa"/>
          </w:tcPr>
          <w:p>
            <w:pPr>
              <w:pStyle w:val="yTableNAm"/>
              <w:tabs>
                <w:tab w:val="clear" w:pos="567"/>
                <w:tab w:val="decimal" w:pos="355"/>
              </w:tabs>
              <w:rPr>
                <w:sz w:val="18"/>
              </w:rPr>
            </w:pPr>
            <w:r>
              <w:rPr>
                <w:sz w:val="18"/>
              </w:rPr>
              <w:t>26.620</w:t>
            </w:r>
          </w:p>
        </w:tc>
        <w:tc>
          <w:tcPr>
            <w:tcW w:w="1276" w:type="dxa"/>
          </w:tcPr>
          <w:p>
            <w:pPr>
              <w:pStyle w:val="yTableNAm"/>
              <w:tabs>
                <w:tab w:val="clear" w:pos="567"/>
                <w:tab w:val="decimal" w:pos="355"/>
              </w:tabs>
              <w:rPr>
                <w:sz w:val="18"/>
              </w:rPr>
            </w:pPr>
            <w:r>
              <w:rPr>
                <w:sz w:val="18"/>
              </w:rPr>
              <w:t>27.214</w:t>
            </w:r>
          </w:p>
        </w:tc>
        <w:tc>
          <w:tcPr>
            <w:tcW w:w="1276" w:type="dxa"/>
            <w:gridSpan w:val="2"/>
          </w:tcPr>
          <w:p>
            <w:pPr>
              <w:pStyle w:val="yTableNAm"/>
              <w:tabs>
                <w:tab w:val="clear" w:pos="567"/>
                <w:tab w:val="decimal" w:pos="355"/>
              </w:tabs>
              <w:rPr>
                <w:sz w:val="18"/>
              </w:rPr>
            </w:pPr>
            <w:r>
              <w:rPr>
                <w:sz w:val="18"/>
              </w:rPr>
              <w:t>29.942</w:t>
            </w:r>
          </w:p>
        </w:tc>
      </w:tr>
      <w:t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tcBorders>
              <w:bottom w:val="single" w:sz="4" w:space="0" w:color="auto"/>
            </w:tcBorders>
          </w:tcPr>
          <w:p>
            <w:pPr>
              <w:pStyle w:val="yTableNAm"/>
              <w:rPr>
                <w:sz w:val="18"/>
              </w:rPr>
            </w:pPr>
            <w:r>
              <w:rPr>
                <w:sz w:val="18"/>
              </w:rPr>
              <w:t>Fluorescent</w:t>
            </w:r>
          </w:p>
        </w:tc>
        <w:tc>
          <w:tcPr>
            <w:tcW w:w="1275" w:type="dxa"/>
            <w:tcBorders>
              <w:bottom w:val="single" w:sz="4" w:space="0" w:color="auto"/>
            </w:tcBorders>
          </w:tcPr>
          <w:p>
            <w:pPr>
              <w:pStyle w:val="yTableNAm"/>
              <w:tabs>
                <w:tab w:val="clear" w:pos="567"/>
                <w:tab w:val="decimal" w:pos="355"/>
              </w:tabs>
              <w:rPr>
                <w:sz w:val="18"/>
              </w:rPr>
            </w:pPr>
            <w:r>
              <w:rPr>
                <w:sz w:val="18"/>
              </w:rPr>
              <w:t>37.235</w:t>
            </w:r>
          </w:p>
        </w:tc>
        <w:tc>
          <w:tcPr>
            <w:tcW w:w="1276" w:type="dxa"/>
            <w:tcBorders>
              <w:bottom w:val="single" w:sz="4" w:space="0" w:color="auto"/>
            </w:tcBorders>
          </w:tcPr>
          <w:p>
            <w:pPr>
              <w:pStyle w:val="yTableNAm"/>
              <w:tabs>
                <w:tab w:val="clear" w:pos="567"/>
                <w:tab w:val="decimal" w:pos="355"/>
              </w:tabs>
              <w:rPr>
                <w:sz w:val="18"/>
              </w:rPr>
            </w:pPr>
            <w:r>
              <w:rPr>
                <w:sz w:val="18"/>
              </w:rPr>
              <w:t>37.752</w:t>
            </w:r>
          </w:p>
        </w:tc>
        <w:tc>
          <w:tcPr>
            <w:tcW w:w="1276" w:type="dxa"/>
            <w:gridSpan w:val="2"/>
            <w:tcBorders>
              <w:bottom w:val="single" w:sz="4" w:space="0" w:color="auto"/>
            </w:tcBorders>
          </w:tcPr>
          <w:p>
            <w:pPr>
              <w:pStyle w:val="yTableNAm"/>
              <w:tabs>
                <w:tab w:val="clear" w:pos="567"/>
                <w:tab w:val="decimal" w:pos="355"/>
              </w:tabs>
              <w:rPr>
                <w:sz w:val="18"/>
              </w:rPr>
            </w:pPr>
            <w:r>
              <w:rPr>
                <w:sz w:val="18"/>
              </w:rPr>
              <w:t>43.802</w:t>
            </w:r>
          </w:p>
        </w:tc>
      </w:tr>
    </w:tbl>
    <w:p>
      <w:pPr>
        <w:pStyle w:val="yFootnotesection"/>
      </w:pPr>
      <w:r>
        <w:tab/>
        <w:t>[Schedule 2 inserted in Gazette 30 Mar 2009 p. 992-4.]</w:t>
      </w:r>
    </w:p>
    <w:p>
      <w:pPr>
        <w:pStyle w:val="yScheduleHeading"/>
      </w:pPr>
      <w:bookmarkStart w:id="135" w:name="_Toc233185425"/>
      <w:bookmarkStart w:id="136" w:name="_Toc81213751"/>
      <w:r>
        <w:rPr>
          <w:rStyle w:val="CharSchNo"/>
        </w:rPr>
        <w:lastRenderedPageBreak/>
        <w:t>Schedule 3</w:t>
      </w:r>
      <w:r>
        <w:rPr>
          <w:rStyle w:val="CharSDivNo"/>
        </w:rPr>
        <w:t> </w:t>
      </w:r>
      <w:r>
        <w:t>—</w:t>
      </w:r>
      <w:r>
        <w:rPr>
          <w:rStyle w:val="CharSDivText"/>
        </w:rPr>
        <w:t> </w:t>
      </w:r>
      <w:r>
        <w:rPr>
          <w:rStyle w:val="CharSchText"/>
        </w:rPr>
        <w:t>Meter rental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35"/>
      <w:bookmarkEnd w:id="136"/>
    </w:p>
    <w:bookmarkEnd w:id="124"/>
    <w:bookmarkEnd w:id="125"/>
    <w:bookmarkEnd w:id="126"/>
    <w:bookmarkEnd w:id="127"/>
    <w:bookmarkEnd w:id="128"/>
    <w:bookmarkEnd w:id="129"/>
    <w:bookmarkEnd w:id="130"/>
    <w:bookmarkEnd w:id="131"/>
    <w:bookmarkEnd w:id="132"/>
    <w:bookmarkEnd w:id="133"/>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37" w:name="_Toc123621761"/>
      <w:bookmarkStart w:id="138" w:name="_Toc123621908"/>
      <w:bookmarkStart w:id="139" w:name="_Toc123624868"/>
      <w:bookmarkStart w:id="140" w:name="_Toc123624935"/>
      <w:bookmarkStart w:id="141" w:name="_Toc123626281"/>
      <w:bookmarkStart w:id="142" w:name="_Toc123629885"/>
      <w:bookmarkStart w:id="143" w:name="_Toc124135802"/>
      <w:bookmarkStart w:id="144" w:name="_Toc124137269"/>
      <w:bookmarkStart w:id="145" w:name="_Toc124147437"/>
      <w:bookmarkStart w:id="146" w:name="_Toc124147474"/>
      <w:bookmarkStart w:id="147" w:name="_Toc124158785"/>
      <w:bookmarkStart w:id="148" w:name="_Toc124158892"/>
      <w:bookmarkStart w:id="149" w:name="_Toc124158926"/>
      <w:bookmarkStart w:id="150" w:name="_Toc124216307"/>
      <w:bookmarkStart w:id="151" w:name="_Toc124227066"/>
      <w:bookmarkStart w:id="152" w:name="_Toc124227159"/>
      <w:bookmarkStart w:id="153" w:name="_Toc124234425"/>
      <w:bookmarkStart w:id="154" w:name="_Toc124234777"/>
      <w:bookmarkStart w:id="155" w:name="_Toc124234817"/>
      <w:bookmarkStart w:id="156" w:name="_Toc124934233"/>
      <w:bookmarkStart w:id="157" w:name="_Toc125279683"/>
      <w:bookmarkStart w:id="158" w:name="_Toc127067110"/>
      <w:bookmarkStart w:id="159" w:name="_Toc127076313"/>
      <w:bookmarkStart w:id="160" w:name="_Toc127085646"/>
      <w:bookmarkStart w:id="161" w:name="_Toc127086738"/>
      <w:bookmarkStart w:id="162" w:name="_Toc127671681"/>
      <w:bookmarkStart w:id="163" w:name="_Toc127690058"/>
      <w:bookmarkStart w:id="164" w:name="_Toc127699339"/>
      <w:bookmarkStart w:id="165" w:name="_Toc127760431"/>
      <w:bookmarkStart w:id="166" w:name="_Toc127760459"/>
      <w:bookmarkStart w:id="167" w:name="_Toc127946781"/>
      <w:bookmarkStart w:id="168" w:name="_Toc127960814"/>
      <w:bookmarkStart w:id="169" w:name="_Toc127960842"/>
      <w:bookmarkStart w:id="170" w:name="_Toc128190516"/>
      <w:bookmarkStart w:id="171" w:name="_Toc128196188"/>
      <w:bookmarkStart w:id="172" w:name="_Toc128197607"/>
      <w:bookmarkStart w:id="173" w:name="_Toc128282880"/>
      <w:bookmarkStart w:id="174" w:name="_Toc131490128"/>
      <w:bookmarkStart w:id="175" w:name="_Toc131491088"/>
      <w:bookmarkStart w:id="176" w:name="_Toc152664697"/>
      <w:bookmarkStart w:id="177" w:name="_Toc152669128"/>
      <w:bookmarkStart w:id="178" w:name="_Toc171051503"/>
      <w:bookmarkStart w:id="179" w:name="_Toc226275325"/>
      <w:bookmarkStart w:id="180" w:name="_Toc226275365"/>
      <w:bookmarkStart w:id="181" w:name="_Toc233185426"/>
      <w:bookmarkStart w:id="182" w:name="_Toc81213752"/>
      <w:r>
        <w:rPr>
          <w:rStyle w:val="CharSchNo"/>
        </w:rPr>
        <w:lastRenderedPageBreak/>
        <w:t>Schedule 4</w:t>
      </w:r>
      <w:r>
        <w:rPr>
          <w:rStyle w:val="CharSDivNo"/>
        </w:rPr>
        <w:t> </w:t>
      </w:r>
      <w:r>
        <w:t>—</w:t>
      </w:r>
      <w:r>
        <w:rPr>
          <w:rStyle w:val="CharSDivText"/>
        </w:rPr>
        <w:t> </w:t>
      </w:r>
      <w:r>
        <w:rPr>
          <w:rStyle w:val="CharSchText"/>
        </w:rPr>
        <w:t>Fees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5387"/>
        <w:gridCol w:w="1418"/>
      </w:tblGrid>
      <w:tr>
        <w:trPr>
          <w:cantSplit/>
        </w:trPr>
        <w:tc>
          <w:tcPr>
            <w:tcW w:w="5387" w:type="dxa"/>
            <w:tcBorders>
              <w:top w:val="single" w:sz="4" w:space="0" w:color="auto"/>
              <w:bottom w:val="single" w:sz="4" w:space="0" w:color="auto"/>
            </w:tcBorders>
          </w:tcPr>
          <w:p>
            <w:pPr>
              <w:pStyle w:val="yTableNAm"/>
              <w:rPr>
                <w:b/>
                <w:iCs/>
              </w:rPr>
            </w:pPr>
            <w:r>
              <w:rPr>
                <w:b/>
                <w:iCs/>
              </w:rPr>
              <w:tab/>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5387"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NAm"/>
            </w:pPr>
            <w:r>
              <w:br/>
              <w:t>$32.10</w:t>
            </w:r>
          </w:p>
        </w:tc>
      </w:tr>
      <w:tr>
        <w:tc>
          <w:tcPr>
            <w:tcW w:w="5387"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18" w:type="dxa"/>
          </w:tcPr>
          <w:p>
            <w:pPr>
              <w:pStyle w:val="yTableNAm"/>
            </w:pPr>
          </w:p>
          <w:p>
            <w:pPr>
              <w:pStyle w:val="yTableNAm"/>
            </w:pPr>
            <w:r>
              <w:br/>
              <w:t>$240.40</w:t>
            </w:r>
          </w:p>
          <w:p>
            <w:pPr>
              <w:pStyle w:val="yTableNAm"/>
            </w:pPr>
            <w:r>
              <w:br/>
              <w:t>$148.50</w:t>
            </w:r>
          </w:p>
        </w:tc>
      </w:tr>
      <w:tr>
        <w:tc>
          <w:tcPr>
            <w:tcW w:w="5387"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18" w:type="dxa"/>
          </w:tcPr>
          <w:p>
            <w:pPr>
              <w:pStyle w:val="yTableNAm"/>
            </w:pPr>
            <w:r>
              <w:br/>
            </w:r>
            <w:r>
              <w:br/>
              <w:t>$29.60</w:t>
            </w:r>
          </w:p>
        </w:tc>
      </w:tr>
      <w:tr>
        <w:tc>
          <w:tcPr>
            <w:tcW w:w="5387" w:type="dxa"/>
          </w:tcPr>
          <w:p>
            <w:pPr>
              <w:pStyle w:val="yTableNAm"/>
              <w:ind w:left="556" w:hanging="556"/>
            </w:pPr>
            <w:r>
              <w:t>4.</w:t>
            </w:r>
            <w:r>
              <w:tab/>
              <w:t xml:space="preserve">Connection to standard public telephone facility where supply not independently metered (per day) </w:t>
            </w:r>
          </w:p>
        </w:tc>
        <w:tc>
          <w:tcPr>
            <w:tcW w:w="1418" w:type="dxa"/>
          </w:tcPr>
          <w:p>
            <w:pPr>
              <w:pStyle w:val="yTableNAm"/>
            </w:pPr>
            <w:r>
              <w:br/>
              <w:t>40.568 cents</w:t>
            </w:r>
          </w:p>
        </w:tc>
      </w:tr>
      <w:tr>
        <w:tc>
          <w:tcPr>
            <w:tcW w:w="5387" w:type="dxa"/>
          </w:tcPr>
          <w:p>
            <w:pPr>
              <w:pStyle w:val="yTableNAm"/>
              <w:ind w:left="556" w:hanging="556"/>
            </w:pPr>
            <w:r>
              <w:t>5.</w:t>
            </w:r>
            <w:r>
              <w:tab/>
              <w:t>Temporary supply connection — </w:t>
            </w:r>
          </w:p>
        </w:tc>
        <w:tc>
          <w:tcPr>
            <w:tcW w:w="1418" w:type="dxa"/>
          </w:tcPr>
          <w:p>
            <w:pPr>
              <w:pStyle w:val="yTableNAm"/>
            </w:pPr>
          </w:p>
        </w:tc>
      </w:tr>
      <w:tr>
        <w:tc>
          <w:tcPr>
            <w:tcW w:w="5387" w:type="dxa"/>
          </w:tcPr>
          <w:p>
            <w:pPr>
              <w:pStyle w:val="yTableNAm"/>
              <w:tabs>
                <w:tab w:val="left" w:pos="1156"/>
              </w:tabs>
              <w:ind w:left="1156" w:hanging="1156"/>
            </w:pPr>
            <w:r>
              <w:tab/>
              <w:t>(a)</w:t>
            </w:r>
            <w:r>
              <w:tab/>
              <w:t>single phase (overhead) ..........................</w:t>
            </w:r>
          </w:p>
        </w:tc>
        <w:tc>
          <w:tcPr>
            <w:tcW w:w="1418" w:type="dxa"/>
          </w:tcPr>
          <w:p>
            <w:pPr>
              <w:pStyle w:val="yTableNAm"/>
            </w:pPr>
            <w:r>
              <w:t>$300.00</w:t>
            </w:r>
          </w:p>
        </w:tc>
      </w:tr>
      <w:tr>
        <w:tc>
          <w:tcPr>
            <w:tcW w:w="5387" w:type="dxa"/>
          </w:tcPr>
          <w:p>
            <w:pPr>
              <w:pStyle w:val="yTableNAm"/>
              <w:tabs>
                <w:tab w:val="left" w:pos="1156"/>
              </w:tabs>
              <w:ind w:left="1156" w:hanging="1156"/>
            </w:pPr>
            <w:r>
              <w:tab/>
              <w:t>(b)</w:t>
            </w:r>
            <w:r>
              <w:tab/>
              <w:t>three phase (overhead) ...........................</w:t>
            </w:r>
          </w:p>
        </w:tc>
        <w:tc>
          <w:tcPr>
            <w:tcW w:w="1418" w:type="dxa"/>
          </w:tcPr>
          <w:p>
            <w:pPr>
              <w:pStyle w:val="yTableNAm"/>
            </w:pPr>
            <w:r>
              <w:t>$600.00</w:t>
            </w:r>
          </w:p>
        </w:tc>
      </w:tr>
      <w:tr>
        <w:tc>
          <w:tcPr>
            <w:tcW w:w="5387" w:type="dxa"/>
          </w:tcPr>
          <w:p>
            <w:pPr>
              <w:pStyle w:val="yTableNAm"/>
              <w:ind w:left="556" w:hanging="556"/>
            </w:pPr>
            <w:r>
              <w:t>6.</w:t>
            </w:r>
            <w:r>
              <w:tab/>
              <w:t>Meter testing — </w:t>
            </w:r>
          </w:p>
        </w:tc>
        <w:tc>
          <w:tcPr>
            <w:tcW w:w="1418" w:type="dxa"/>
          </w:tcPr>
          <w:p>
            <w:pPr>
              <w:pStyle w:val="yTableNAm"/>
            </w:pPr>
          </w:p>
        </w:tc>
      </w:tr>
      <w:tr>
        <w:tc>
          <w:tcPr>
            <w:tcW w:w="5387" w:type="dxa"/>
          </w:tcPr>
          <w:p>
            <w:pPr>
              <w:pStyle w:val="yTableNAm"/>
              <w:tabs>
                <w:tab w:val="left" w:pos="1156"/>
              </w:tabs>
              <w:ind w:left="1156" w:hanging="1156"/>
            </w:pPr>
            <w:r>
              <w:tab/>
              <w:t>(a)</w:t>
            </w:r>
            <w:r>
              <w:tab/>
              <w:t>standard meter testing fee ......................</w:t>
            </w:r>
          </w:p>
        </w:tc>
        <w:tc>
          <w:tcPr>
            <w:tcW w:w="1418" w:type="dxa"/>
          </w:tcPr>
          <w:p>
            <w:pPr>
              <w:pStyle w:val="yTableNAm"/>
            </w:pPr>
            <w:r>
              <w:t>$152.00</w:t>
            </w:r>
          </w:p>
        </w:tc>
      </w:tr>
      <w:tr>
        <w:tc>
          <w:tcPr>
            <w:tcW w:w="5387" w:type="dxa"/>
          </w:tcPr>
          <w:p>
            <w:pPr>
              <w:pStyle w:val="yTableNAm"/>
              <w:tabs>
                <w:tab w:val="left" w:pos="1156"/>
              </w:tabs>
              <w:ind w:left="1156" w:hanging="1156"/>
            </w:pPr>
            <w:r>
              <w:tab/>
              <w:t>(b)</w:t>
            </w:r>
            <w:r>
              <w:tab/>
              <w:t>reduced meter testing fee .......................</w:t>
            </w:r>
          </w:p>
        </w:tc>
        <w:tc>
          <w:tcPr>
            <w:tcW w:w="1418" w:type="dxa"/>
          </w:tcPr>
          <w:p>
            <w:pPr>
              <w:pStyle w:val="yTableNAm"/>
            </w:pPr>
            <w:r>
              <w:t>$139.80</w:t>
            </w:r>
          </w:p>
        </w:tc>
      </w:tr>
      <w:tr>
        <w:tc>
          <w:tcPr>
            <w:tcW w:w="5387" w:type="dxa"/>
          </w:tcPr>
          <w:p>
            <w:pPr>
              <w:pStyle w:val="yTableNAm"/>
              <w:ind w:left="556" w:hanging="556"/>
            </w:pPr>
            <w:r>
              <w:t>7.</w:t>
            </w:r>
            <w:r>
              <w:tab/>
              <w:t>Disconnection of overhead service leads following unauthorised reconnection ....................</w:t>
            </w:r>
          </w:p>
        </w:tc>
        <w:tc>
          <w:tcPr>
            <w:tcW w:w="1418" w:type="dxa"/>
          </w:tcPr>
          <w:p>
            <w:pPr>
              <w:pStyle w:val="yTableNAm"/>
            </w:pPr>
            <w:r>
              <w:br/>
              <w:t>$190.00</w:t>
            </w:r>
          </w:p>
        </w:tc>
      </w:tr>
      <w:tr>
        <w:tc>
          <w:tcPr>
            <w:tcW w:w="5387" w:type="dxa"/>
          </w:tcPr>
          <w:p>
            <w:pPr>
              <w:pStyle w:val="yTableNAm"/>
              <w:ind w:left="556" w:hanging="556"/>
            </w:pPr>
            <w:r>
              <w:t>8.</w:t>
            </w:r>
            <w:r>
              <w:tab/>
              <w:t>Meter reading where reading requested by consumer ...............................................................</w:t>
            </w:r>
          </w:p>
        </w:tc>
        <w:tc>
          <w:tcPr>
            <w:tcW w:w="1418" w:type="dxa"/>
          </w:tcPr>
          <w:p>
            <w:pPr>
              <w:pStyle w:val="yTableNAm"/>
            </w:pPr>
            <w:r>
              <w:br/>
              <w:t>$19.20</w:t>
            </w:r>
          </w:p>
        </w:tc>
      </w:tr>
      <w:tr>
        <w:tc>
          <w:tcPr>
            <w:tcW w:w="5387" w:type="dxa"/>
          </w:tcPr>
          <w:p>
            <w:pPr>
              <w:pStyle w:val="yTableNAm"/>
              <w:ind w:left="556" w:hanging="556"/>
            </w:pPr>
            <w:r>
              <w:t>9.</w:t>
            </w:r>
            <w:r>
              <w:tab/>
              <w:t>Supply of electricity to standard railway crossing lights (per day) .........................................................</w:t>
            </w:r>
          </w:p>
        </w:tc>
        <w:tc>
          <w:tcPr>
            <w:tcW w:w="1418" w:type="dxa"/>
          </w:tcPr>
          <w:p>
            <w:pPr>
              <w:pStyle w:val="yTableNAm"/>
            </w:pPr>
            <w:r>
              <w:br/>
              <w:t>51.843 cents</w:t>
            </w:r>
          </w:p>
        </w:tc>
      </w:tr>
      <w:tr>
        <w:tc>
          <w:tcPr>
            <w:tcW w:w="5387" w:type="dxa"/>
          </w:tcPr>
          <w:p>
            <w:pPr>
              <w:pStyle w:val="yTableNAm"/>
              <w:ind w:left="556" w:hanging="556"/>
            </w:pPr>
            <w:r>
              <w:t>10.</w:t>
            </w:r>
            <w:r>
              <w:tab/>
              <w:t>Overdue account notices ..........................................</w:t>
            </w:r>
          </w:p>
        </w:tc>
        <w:tc>
          <w:tcPr>
            <w:tcW w:w="1418" w:type="dxa"/>
          </w:tcPr>
          <w:p>
            <w:pPr>
              <w:pStyle w:val="yTableNAm"/>
            </w:pPr>
            <w:r>
              <w:t>$4.40</w:t>
            </w:r>
          </w:p>
        </w:tc>
      </w:tr>
      <w:tr>
        <w:tc>
          <w:tcPr>
            <w:tcW w:w="5387" w:type="dxa"/>
            <w:tcBorders>
              <w:bottom w:val="single" w:sz="4" w:space="0" w:color="auto"/>
            </w:tcBorders>
          </w:tcPr>
          <w:p>
            <w:pPr>
              <w:pStyle w:val="yTableNAm"/>
              <w:ind w:left="556" w:hanging="556"/>
            </w:pPr>
            <w:r>
              <w:t>11.</w:t>
            </w:r>
            <w:r>
              <w:tab/>
              <w:t>Tariff R1 or R3 “time</w:t>
            </w:r>
            <w:r>
              <w:noBreakHyphen/>
              <w:t>of</w:t>
            </w:r>
            <w:r>
              <w:noBreakHyphen/>
              <w:t>use meter” installation fee ............................................................................</w:t>
            </w:r>
          </w:p>
        </w:tc>
        <w:tc>
          <w:tcPr>
            <w:tcW w:w="1418" w:type="dxa"/>
            <w:tcBorders>
              <w:bottom w:val="single" w:sz="4" w:space="0" w:color="auto"/>
            </w:tcBorders>
          </w:tcPr>
          <w:p>
            <w:pPr>
              <w:pStyle w:val="yTableNAm"/>
            </w:pPr>
            <w:r>
              <w:br/>
              <w:t>$709.00</w:t>
            </w:r>
          </w:p>
        </w:tc>
      </w:tr>
    </w:tbl>
    <w:p>
      <w:pPr>
        <w:pStyle w:val="yFootnotesection"/>
      </w:pPr>
      <w:r>
        <w:lastRenderedPageBreak/>
        <w:tab/>
        <w:t>[Schedule 4 amended in Gazette 26 Jun 2007 p. 3017; 30 Mar 2009 p. 982 and 994.]</w:t>
      </w:r>
    </w:p>
    <w:p>
      <w:pPr>
        <w:ind w:right="107"/>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83" w:name="_Toc113695922"/>
      <w:bookmarkStart w:id="184" w:name="_Toc131491089"/>
      <w:bookmarkStart w:id="185" w:name="_Toc152664698"/>
      <w:bookmarkStart w:id="186" w:name="_Toc152669129"/>
      <w:bookmarkStart w:id="187" w:name="_Toc171051504"/>
      <w:bookmarkStart w:id="188" w:name="_Toc226275326"/>
      <w:bookmarkStart w:id="189" w:name="_Toc226275366"/>
      <w:bookmarkStart w:id="190" w:name="_Toc233185427"/>
      <w:bookmarkStart w:id="191" w:name="_Toc81213753"/>
      <w:r>
        <w:lastRenderedPageBreak/>
        <w:t>Notes</w:t>
      </w:r>
      <w:bookmarkEnd w:id="183"/>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rPr>
        <w:t>Energy Operators (Electricity Retail Corporation) (Charges) By-laws 2006</w:t>
      </w:r>
      <w:r>
        <w:rPr>
          <w:snapToGrid w:val="0"/>
        </w:rPr>
        <w:t xml:space="preserve"> and includes the amendments made by the other written laws referred to in the following table. </w:t>
      </w:r>
      <w:bookmarkStart w:id="192" w:name="_Toc70311430"/>
      <w:bookmarkStart w:id="193" w:name="_Toc113695923"/>
    </w:p>
    <w:p>
      <w:pPr>
        <w:pStyle w:val="nHeading3"/>
      </w:pPr>
      <w:bookmarkStart w:id="194" w:name="_Toc81213754"/>
      <w:r>
        <w:t>Compilation table</w:t>
      </w:r>
      <w:bookmarkEnd w:id="192"/>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By-laws 2006</w:t>
            </w:r>
          </w:p>
        </w:tc>
        <w:tc>
          <w:tcPr>
            <w:tcW w:w="1276" w:type="dxa"/>
            <w:tcBorders>
              <w:top w:val="single" w:sz="8" w:space="0" w:color="auto"/>
            </w:tcBorders>
          </w:tcPr>
          <w:p>
            <w:pPr>
              <w:pStyle w:val="nTable"/>
              <w:rPr>
                <w:sz w:val="19"/>
              </w:rPr>
            </w:pPr>
            <w:r>
              <w:rPr>
                <w:sz w:val="19"/>
              </w:rPr>
              <w:t>31 Mar 2006 p. 1225-46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By-laws 2007</w:t>
            </w:r>
          </w:p>
        </w:tc>
        <w:tc>
          <w:tcPr>
            <w:tcW w:w="1276" w:type="dxa"/>
          </w:tcPr>
          <w:p>
            <w:pPr>
              <w:pStyle w:val="nTable"/>
              <w:rPr>
                <w:sz w:val="19"/>
              </w:rPr>
            </w:pPr>
            <w:r>
              <w:rPr>
                <w:sz w:val="19"/>
              </w:rPr>
              <w:t>26 Jun 2007 p. 3013-17</w:t>
            </w:r>
          </w:p>
        </w:tc>
        <w:tc>
          <w:tcPr>
            <w:tcW w:w="2693" w:type="dxa"/>
          </w:tcPr>
          <w:p>
            <w:pPr>
              <w:pStyle w:val="nTable"/>
              <w:rPr>
                <w:sz w:val="19"/>
              </w:rPr>
            </w:pPr>
            <w:r>
              <w:rPr>
                <w:sz w:val="19"/>
              </w:rPr>
              <w:t>bl. 1 and 2: 26 Jun 2007 (see bl. 2(a));</w:t>
            </w:r>
          </w:p>
          <w:p>
            <w:pPr>
              <w:pStyle w:val="nTable"/>
              <w:rPr>
                <w:sz w:val="19"/>
              </w:rPr>
            </w:pPr>
            <w:r>
              <w:rPr>
                <w:sz w:val="19"/>
              </w:rPr>
              <w:t>By-laws other than bl. 1 and 2: 1 Jul 2007 (see bl. 2(b))</w:t>
            </w:r>
          </w:p>
        </w:tc>
      </w:tr>
      <w:tr>
        <w:tc>
          <w:tcPr>
            <w:tcW w:w="3118" w:type="dxa"/>
            <w:tcBorders>
              <w:bottom w:val="single" w:sz="4" w:space="0" w:color="auto"/>
            </w:tcBorders>
          </w:tcPr>
          <w:p>
            <w:pPr>
              <w:pStyle w:val="nTable"/>
              <w:rPr>
                <w:i/>
                <w:sz w:val="19"/>
              </w:rPr>
            </w:pPr>
            <w:r>
              <w:rPr>
                <w:i/>
                <w:sz w:val="19"/>
              </w:rPr>
              <w:t>Energy Operators (Electricity Retail Corporation) (Charges) Amendment By-laws 2009</w:t>
            </w:r>
          </w:p>
        </w:tc>
        <w:tc>
          <w:tcPr>
            <w:tcW w:w="1276" w:type="dxa"/>
            <w:tcBorders>
              <w:bottom w:val="single" w:sz="4" w:space="0" w:color="auto"/>
            </w:tcBorders>
          </w:tcPr>
          <w:p>
            <w:pPr>
              <w:pStyle w:val="nTable"/>
              <w:rPr>
                <w:sz w:val="19"/>
              </w:rPr>
            </w:pPr>
            <w:r>
              <w:rPr>
                <w:sz w:val="19"/>
              </w:rPr>
              <w:t>30 Mar 2009 p. 967</w:t>
            </w:r>
            <w:r>
              <w:rPr>
                <w:sz w:val="19"/>
              </w:rPr>
              <w:noBreakHyphen/>
              <w:t>95</w:t>
            </w:r>
          </w:p>
        </w:tc>
        <w:tc>
          <w:tcPr>
            <w:tcW w:w="2693" w:type="dxa"/>
            <w:tcBorders>
              <w:bottom w:val="single" w:sz="4" w:space="0" w:color="auto"/>
            </w:tcBorders>
          </w:tcPr>
          <w:p>
            <w:pPr>
              <w:pStyle w:val="nTable"/>
              <w:rPr>
                <w:sz w:val="19"/>
              </w:rPr>
            </w:pPr>
            <w:r>
              <w:t>bl. 1 &amp; 2: 30 Mar 2009 (see bl. 2(a));</w:t>
            </w:r>
            <w:r>
              <w:br/>
              <w:t>bl. 3 &amp; Pt. 2: 1 Apr 2009 (see bl. 2(b));</w:t>
            </w:r>
            <w:r>
              <w:br/>
              <w:t>Pt. 3: 1 Jul 2009 (see bl. 2(c))</w:t>
            </w:r>
          </w:p>
        </w:tc>
      </w:tr>
    </w:tbl>
    <w:p>
      <w:bookmarkStart w:id="195" w:name="UpToHere"/>
      <w:bookmarkEnd w:id="195"/>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(Electricity Retail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rPr>
        <w:jc w:val="center"/>
      </w:trP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STYLEREF CharSchno</w:instrText>
          </w:r>
          <w:r>
            <w:rPr>
              <w:bCs/>
            </w:rPr>
            <w:fldChar w:fldCharType="end"/>
          </w:r>
        </w:p>
      </w:tc>
    </w:tr>
    <w:tr>
      <w:trPr>
        <w:jc w:val="center"/>
      </w:trP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STYLEREF CharSDivNo</w:instrText>
          </w:r>
          <w:r>
            <w:rPr>
              <w:bCs/>
            </w:rPr>
            <w:fldChar w:fldCharType="end"/>
          </w:r>
        </w:p>
      </w:tc>
    </w:tr>
    <w:tr>
      <w:trPr>
        <w:jc w:val="center"/>
      </w:trPr>
      <w:tc>
        <w:tcPr>
          <w:tcW w:w="5715" w:type="dxa"/>
        </w:tcPr>
        <w:p>
          <w:pPr>
            <w:pStyle w:val="HeaderTextLeft"/>
            <w:jc w:val="right"/>
          </w:pPr>
        </w:p>
      </w:tc>
      <w:tc>
        <w:tcPr>
          <w:tcW w:w="1445" w:type="dxa"/>
        </w:tcPr>
        <w:p>
          <w:pPr>
            <w:pStyle w:val="HeaderNumberRight"/>
            <w:ind w:right="17"/>
          </w:pPr>
          <w:r>
            <w:t xml:space="preserve">cl. </w:t>
          </w:r>
          <w:r>
            <w:fldChar w:fldCharType="begin"/>
          </w:r>
          <w:r>
            <w:instrText>STYLEREF CharSClsNo</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rPr>
        <w:jc w:val="center"/>
      </w:trP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rPr>
        <w:jc w:val="center"/>
      </w:trP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rPr>
        <w:jc w:val="center"/>
      </w:trP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rPr>
        <w:jc w:val="center"/>
      </w:trP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rPr>
        <w:jc w:val="center"/>
      </w:trP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rPr>
        <w:jc w:val="center"/>
      </w:trP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Energy Operators (Electricity Retail Corporation) (Charges) By-laws 2006</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Energy Operators (Electricity Retail Corporation) (Charges) By-laws 2006</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rPr>
        <w:jc w:val="center"/>
      </w:trPr>
      <w:tc>
        <w:tcPr>
          <w:tcW w:w="1548" w:type="dxa"/>
        </w:tcPr>
        <w:p>
          <w:pPr>
            <w:pStyle w:val="HeaderNumberLeft"/>
          </w:pPr>
          <w:r>
            <w:fldChar w:fldCharType="begin"/>
          </w:r>
          <w:r>
            <w:instrText>STYLEREF CharPartNo</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rPr>
        <w:jc w:val="center"/>
      </w:trPr>
      <w:tc>
        <w:tcPr>
          <w:tcW w:w="1548" w:type="dxa"/>
        </w:tcPr>
        <w:p>
          <w:pPr>
            <w:pStyle w:val="HeaderNumberLeft"/>
          </w:pPr>
          <w:r>
            <w:fldChar w:fldCharType="begin"/>
          </w:r>
          <w:r>
            <w:instrText>STYLEREF CharDivNo</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jc w:val="center"/>
      </w:trPr>
      <w:tc>
        <w:tcPr>
          <w:tcW w:w="7263" w:type="dxa"/>
          <w:gridSpan w:val="2"/>
        </w:tcPr>
        <w:p>
          <w:pPr>
            <w:pStyle w:val="HeaderTextLeft"/>
          </w:pPr>
          <w:r>
            <w:rPr>
              <w:b/>
            </w:rPr>
            <w:t xml:space="preserve">bl. </w:t>
          </w:r>
          <w:r>
            <w:rPr>
              <w:b/>
            </w:rPr>
            <w:fldChar w:fldCharType="begin"/>
          </w:r>
          <w:r>
            <w:rPr>
              <w:b/>
            </w:rPr>
            <w:instrText>STYLEREF CharSectNo</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rPr>
        <w:jc w:val="center"/>
      </w:trP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STYLEREF CharPartNo</w:instrText>
          </w:r>
          <w:r>
            <w:fldChar w:fldCharType="end"/>
          </w:r>
        </w:p>
      </w:tc>
    </w:tr>
    <w:tr>
      <w:trPr>
        <w:jc w:val="center"/>
      </w:trP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STYLEREF CharDivNo</w:instrText>
          </w:r>
          <w:r>
            <w:fldChar w:fldCharType="end"/>
          </w:r>
        </w:p>
      </w:tc>
    </w:tr>
    <w:tr>
      <w:trPr>
        <w:cantSplit/>
        <w:jc w:val="center"/>
      </w:trPr>
      <w:tc>
        <w:tcPr>
          <w:tcW w:w="7263" w:type="dxa"/>
          <w:gridSpan w:val="2"/>
        </w:tcPr>
        <w:p>
          <w:pPr>
            <w:pStyle w:val="HeaderNumberRight"/>
            <w:rPr>
              <w:b w:val="0"/>
            </w:rPr>
          </w:pPr>
          <w:r>
            <w:t xml:space="preserve">bl. </w:t>
          </w:r>
          <w:r>
            <w:rPr>
              <w:bCs/>
            </w:rPr>
            <w:fldChar w:fldCharType="begin"/>
          </w:r>
          <w:r>
            <w:rPr>
              <w:bCs/>
            </w:rPr>
            <w:instrText>STYLEREF CharSectNo</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rPr>
        <w:jc w:val="center"/>
      </w:trPr>
      <w:tc>
        <w:tcPr>
          <w:tcW w:w="1548" w:type="dxa"/>
        </w:tcPr>
        <w:p>
          <w:pPr>
            <w:pStyle w:val="HeaderNumberLeft"/>
            <w:rPr>
              <w:b w:val="0"/>
            </w:rPr>
          </w:pPr>
          <w:r>
            <w:rPr>
              <w:bCs/>
            </w:rPr>
            <w:fldChar w:fldCharType="begin"/>
          </w:r>
          <w:r>
            <w:rPr>
              <w:bCs/>
            </w:rPr>
            <w:instrText>STYLEREF CharSchno</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rPr>
        <w:jc w:val="center"/>
      </w:trPr>
      <w:tc>
        <w:tcPr>
          <w:tcW w:w="1548" w:type="dxa"/>
        </w:tcPr>
        <w:p>
          <w:pPr>
            <w:pStyle w:val="HeaderNumberLeft"/>
            <w:rPr>
              <w:b w:val="0"/>
            </w:rPr>
          </w:pPr>
          <w:r>
            <w:rPr>
              <w:bCs/>
            </w:rPr>
            <w:fldChar w:fldCharType="begin"/>
          </w:r>
          <w:r>
            <w:rPr>
              <w:bCs/>
            </w:rPr>
            <w:instrText>STYLEREF CharSDivNo</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rPr>
        <w:jc w:val="center"/>
      </w:trPr>
      <w:tc>
        <w:tcPr>
          <w:tcW w:w="1548" w:type="dxa"/>
        </w:tcPr>
        <w:p>
          <w:pPr>
            <w:pStyle w:val="HeaderNumberLeft"/>
          </w:pPr>
          <w:r>
            <w:t xml:space="preserve">cl. </w:t>
          </w:r>
          <w:r>
            <w:fldChar w:fldCharType="begin"/>
          </w:r>
          <w:r>
            <w:instrText>STYLEREF CharSClsNo</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061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946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F464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5C0F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3209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4A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2C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3AC4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9A6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06ED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BE4E6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1DE64AB-F9E5-4745-95A2-CF9FDC54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wmf"/><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4695</Words>
  <Characters>23010</Characters>
  <Application>Microsoft Office Word</Application>
  <DocSecurity>0</DocSecurity>
  <Lines>852</Lines>
  <Paragraphs>644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2006 - 00-e0-02</dc:title>
  <dc:subject/>
  <dc:creator/>
  <cp:keywords/>
  <dc:description/>
  <cp:lastModifiedBy>Master Repository Process</cp:lastModifiedBy>
  <cp:revision>4</cp:revision>
  <cp:lastPrinted>2006-02-17T09:31:00Z</cp:lastPrinted>
  <dcterms:created xsi:type="dcterms:W3CDTF">2021-08-30T03:03:00Z</dcterms:created>
  <dcterms:modified xsi:type="dcterms:W3CDTF">2021-08-30T03:03:00Z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20090701</vt:lpwstr>
  </property>
  <property fmtid="{D5CDD505-2E9C-101B-9397-08002B2CF9AE}" pid="4" name="OwlsUID">
    <vt:i4>38407</vt:i4>
  </property>
  <property fmtid="{D5CDD505-2E9C-101B-9397-08002B2CF9AE}" pid="5" name="AsAtDate">
    <vt:lpwstr>01 Jul 2009</vt:lpwstr>
  </property>
  <property fmtid="{D5CDD505-2E9C-101B-9397-08002B2CF9AE}" pid="6" name="Suffix">
    <vt:lpwstr>00-e0-02</vt:lpwstr>
  </property>
  <property fmtid="{D5CDD505-2E9C-101B-9397-08002B2CF9AE}" pid="7" name="DocumentType">
    <vt:lpwstr>Reg</vt:lpwstr>
  </property>
</Properties>
</file>