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rPr>
          <w:snapToGrid w:val="0"/>
        </w:rPr>
        <w:t>Marine Navigational Aids Act 1973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_Toc233186304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_Toc233186305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 payable in respect of fishing boats</w:t>
      </w:r>
      <w:r>
        <w:tab/>
      </w:r>
      <w:r>
        <w:fldChar w:fldCharType="begin"/>
      </w:r>
      <w:r>
        <w:instrText xml:space="preserve"> PAGEREF _Toc233186306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Fees — Fishing Boats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_Toc233186309 \h </w:instrText>
      </w:r>
      <w:r>
        <w:fldChar w:fldCharType="separate"/>
      </w:r>
      <w:r>
        <w:t>4</w:t>
      </w:r>
      <w:r>
        <w:fldChar w:fldCharType="end"/>
      </w:r>
    </w:p>
    <w:p>
      <w:pPr>
        <w:pStyle w:val="TOC4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" w:name="_Toc434914682"/>
      <w:bookmarkStart w:id="2" w:name="_Toc472755203"/>
      <w:bookmarkStart w:id="3" w:name="_Toc11832779"/>
      <w:bookmarkStart w:id="4" w:name="_Toc44408529"/>
      <w:bookmarkStart w:id="5" w:name="_Toc76381307"/>
      <w:bookmarkStart w:id="6" w:name="_Toc101762112"/>
      <w:bookmarkStart w:id="7" w:name="_Toc107634601"/>
      <w:bookmarkStart w:id="8" w:name="_Toc23318630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9" w:name="_Toc434914683"/>
      <w:bookmarkStart w:id="10" w:name="_Toc472755204"/>
      <w:bookmarkStart w:id="11" w:name="_Toc11832780"/>
      <w:bookmarkStart w:id="12" w:name="_Toc44408530"/>
      <w:bookmarkStart w:id="13" w:name="_Toc76381308"/>
      <w:bookmarkStart w:id="14" w:name="_Toc101762113"/>
      <w:bookmarkStart w:id="15" w:name="_Toc107634602"/>
      <w:bookmarkStart w:id="16" w:name="_Toc23318630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7" w:name="_Toc434914684"/>
      <w:bookmarkStart w:id="18" w:name="_Toc472755205"/>
      <w:bookmarkStart w:id="19" w:name="_Toc11832781"/>
      <w:bookmarkStart w:id="20" w:name="_Toc44408531"/>
      <w:bookmarkStart w:id="21" w:name="_Toc76381309"/>
      <w:bookmarkStart w:id="22" w:name="_Toc101762114"/>
      <w:bookmarkStart w:id="23" w:name="_Toc107634603"/>
      <w:bookmarkStart w:id="24" w:name="_Toc23318630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 in Gazette 12 Jun 2009 p. 2127.]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5" w:name="_Toc44408532"/>
      <w:bookmarkStart w:id="26" w:name="_Toc76381310"/>
    </w:p>
    <w:p>
      <w:pPr>
        <w:pStyle w:val="yScheduleHeading"/>
      </w:pPr>
      <w:bookmarkStart w:id="27" w:name="_Toc233186307"/>
      <w:bookmarkStart w:id="28" w:name="_Toc99179428"/>
      <w:bookmarkEnd w:id="25"/>
      <w:bookmarkEnd w:id="26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 — Fishing Boats</w:t>
      </w:r>
      <w:bookmarkEnd w:id="27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 in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961"/>
        <w:gridCol w:w="1276"/>
      </w:tblGrid>
      <w:tr>
        <w:trPr>
          <w:tblHeader/>
        </w:trPr>
        <w:tc>
          <w:tcPr>
            <w:tcW w:w="4961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the fishing boat (excluding bowsprit)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>
        <w:tc>
          <w:tcPr>
            <w:tcW w:w="4961" w:type="dxa"/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1276" w:type="dxa"/>
          </w:tcPr>
          <w:p>
            <w:pPr>
              <w:pStyle w:val="yTableNAm"/>
              <w:ind w:right="238"/>
              <w:jc w:val="right"/>
            </w:pPr>
            <w:r>
              <w:t>116.40</w:t>
            </w:r>
          </w:p>
        </w:tc>
      </w:tr>
      <w:tr>
        <w:tc>
          <w:tcPr>
            <w:tcW w:w="4961" w:type="dxa"/>
          </w:tcPr>
          <w:p>
            <w:pPr>
              <w:pStyle w:val="yTableNAm"/>
            </w:pPr>
            <w:r>
              <w:t xml:space="preserve">More than 6 m but not more than 10 m </w:t>
            </w:r>
          </w:p>
        </w:tc>
        <w:tc>
          <w:tcPr>
            <w:tcW w:w="1276" w:type="dxa"/>
          </w:tcPr>
          <w:p>
            <w:pPr>
              <w:pStyle w:val="yTableNAm"/>
              <w:ind w:right="238"/>
              <w:jc w:val="right"/>
            </w:pPr>
            <w:r>
              <w:t>152.40</w:t>
            </w:r>
          </w:p>
        </w:tc>
      </w:tr>
      <w:tr>
        <w:tc>
          <w:tcPr>
            <w:tcW w:w="4961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1276" w:type="dxa"/>
          </w:tcPr>
          <w:p>
            <w:pPr>
              <w:pStyle w:val="yTableNAm"/>
              <w:ind w:right="238"/>
              <w:jc w:val="right"/>
            </w:pPr>
            <w:r>
              <w:t>223.00</w:t>
            </w:r>
          </w:p>
        </w:tc>
      </w:tr>
      <w:tr>
        <w:tc>
          <w:tcPr>
            <w:tcW w:w="4961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1276" w:type="dxa"/>
          </w:tcPr>
          <w:p>
            <w:pPr>
              <w:pStyle w:val="yTableNAm"/>
              <w:ind w:right="238"/>
              <w:jc w:val="right"/>
            </w:pPr>
            <w:r>
              <w:t>342.50</w:t>
            </w:r>
          </w:p>
        </w:tc>
      </w:tr>
      <w:tr>
        <w:tc>
          <w:tcPr>
            <w:tcW w:w="4961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1276" w:type="dxa"/>
          </w:tcPr>
          <w:p>
            <w:pPr>
              <w:pStyle w:val="yTableNAm"/>
              <w:ind w:right="238"/>
              <w:jc w:val="right"/>
            </w:pPr>
            <w:r>
              <w:t>522.60</w:t>
            </w:r>
          </w:p>
        </w:tc>
      </w:tr>
      <w:tr>
        <w:tc>
          <w:tcPr>
            <w:tcW w:w="4961" w:type="dxa"/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1276" w:type="dxa"/>
          </w:tcPr>
          <w:p>
            <w:pPr>
              <w:pStyle w:val="yTableNAm"/>
              <w:ind w:right="238"/>
              <w:jc w:val="right"/>
            </w:pPr>
            <w:r>
              <w:t>816.70</w:t>
            </w:r>
          </w:p>
        </w:tc>
      </w:tr>
    </w:tbl>
    <w:p>
      <w:pPr>
        <w:pStyle w:val="yFootnotesection"/>
      </w:pPr>
      <w:r>
        <w:tab/>
        <w:t>[Schedule 1 inserted in Gazette 12 Jun 2009 p. 2127</w:t>
      </w:r>
      <w:r>
        <w:noBreakHyphen/>
        <w:t>8.]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9" w:name="_Toc99181429"/>
      <w:bookmarkStart w:id="30" w:name="_Toc99181576"/>
      <w:bookmarkStart w:id="31" w:name="_Toc99270246"/>
      <w:bookmarkStart w:id="32" w:name="_Toc101762117"/>
      <w:bookmarkStart w:id="33" w:name="_Toc107389400"/>
      <w:bookmarkStart w:id="34" w:name="_Toc107634606"/>
      <w:bookmarkStart w:id="35" w:name="_Toc139102239"/>
      <w:bookmarkStart w:id="36" w:name="_Toc139275581"/>
      <w:bookmarkStart w:id="37" w:name="_Toc139275608"/>
      <w:bookmarkStart w:id="38" w:name="_Toc170615475"/>
      <w:bookmarkStart w:id="39" w:name="_Toc170790536"/>
      <w:bookmarkStart w:id="40" w:name="_Toc173643496"/>
      <w:bookmarkStart w:id="41" w:name="_Toc175726725"/>
      <w:bookmarkStart w:id="42" w:name="_Toc178048540"/>
      <w:bookmarkStart w:id="43" w:name="_Toc202522045"/>
      <w:bookmarkStart w:id="44" w:name="_Toc232587442"/>
      <w:bookmarkStart w:id="45" w:name="_Toc233186308"/>
      <w:r>
        <w:lastRenderedPageBreak/>
        <w:t>Notes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6" w:name="_Toc233186309"/>
      <w:r>
        <w:rPr>
          <w:snapToGrid w:val="0"/>
        </w:rPr>
        <w:t>Compilation table</w:t>
      </w:r>
      <w:bookmarkEnd w:id="4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z w:val="19"/>
              </w:rPr>
              <w:t>12 Jun 2009 p. 2127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12 Jun 2009 (see r. 2(a));</w:t>
            </w:r>
          </w:p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Regulations other than r. 1 and 2: 1 Jul 2009 (see r. 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47" w:name="UpToHere"/>
      <w:bookmarkEnd w:id="47"/>
    </w:p>
    <w:sectPr>
      <w:headerReference w:type="even" r:id="rId31"/>
      <w:headerReference w:type="default" r:id="rId32"/>
      <w:headerReference w:type="first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20106"/>
    <w:docVar w:name="WAFER_20151208120106" w:val="RemoveTrackChanges"/>
    <w:docVar w:name="WAFER_20151208120106_GUID" w:val="9045bbcb-a71d-4488-9e61-f2df824025b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967</Words>
  <Characters>4528</Characters>
  <Application>Microsoft Office Word</Application>
  <DocSecurity>0</DocSecurity>
  <Lines>215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1985 - 03-d0-02</dc:title>
  <dc:subject/>
  <dc:creator/>
  <cp:keywords/>
  <dc:description/>
  <cp:lastModifiedBy>svcMRProcess</cp:lastModifiedBy>
  <cp:revision>4</cp:revision>
  <cp:lastPrinted>2007-08-24T05:49:00Z</cp:lastPrinted>
  <dcterms:created xsi:type="dcterms:W3CDTF">2015-12-10T10:08:00Z</dcterms:created>
  <dcterms:modified xsi:type="dcterms:W3CDTF">2015-12-10T10:08:00Z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3</vt:lpwstr>
  </property>
  <property fmtid="{D5CDD505-2E9C-101B-9397-08002B2CF9AE}" pid="7" name="AsAtDate">
    <vt:lpwstr>01 Jul 2009</vt:lpwstr>
  </property>
  <property fmtid="{D5CDD505-2E9C-101B-9397-08002B2CF9AE}" pid="8" name="Suffix">
    <vt:lpwstr>03-d0-02</vt:lpwstr>
  </property>
</Properties>
</file>