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9" name="Picture 2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Motor Vehicle Repairers Act 2003</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_Toc233702405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_Toc233702406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_Toc233702407 \h </w:instrText>
      </w:r>
      <w:r>
        <w:fldChar w:fldCharType="separate"/>
      </w:r>
      <w:r>
        <w:t>1</w:t>
      </w:r>
      <w:r>
        <w:fldChar w:fldCharType="end"/>
      </w:r>
    </w:p>
    <w:p>
      <w:pPr>
        <w:pStyle w:val="TOC8"/>
        <w:rPr>
          <w:sz w:val="24"/>
          <w:szCs w:val="24"/>
        </w:rPr>
      </w:pPr>
      <w:r>
        <w:rPr>
          <w:szCs w:val="24"/>
        </w:rPr>
        <w:t>4.</w:t>
      </w:r>
      <w:r>
        <w:rPr>
          <w:szCs w:val="24"/>
        </w:rPr>
        <w:tab/>
        <w:t>Exclusions from definition of “motor vehicle”</w:t>
      </w:r>
      <w:r>
        <w:tab/>
      </w:r>
      <w:r>
        <w:fldChar w:fldCharType="begin"/>
      </w:r>
      <w:r>
        <w:instrText xml:space="preserve"> PAGEREF _Toc233702408 \h </w:instrText>
      </w:r>
      <w:r>
        <w:fldChar w:fldCharType="separate"/>
      </w:r>
      <w:r>
        <w:t>22</w:t>
      </w:r>
      <w:r>
        <w:fldChar w:fldCharType="end"/>
      </w:r>
    </w:p>
    <w:p>
      <w:pPr>
        <w:pStyle w:val="TOC8"/>
        <w:rPr>
          <w:sz w:val="24"/>
          <w:szCs w:val="24"/>
        </w:rPr>
      </w:pPr>
      <w:r>
        <w:rPr>
          <w:szCs w:val="24"/>
        </w:rPr>
        <w:t>5.</w:t>
      </w:r>
      <w:r>
        <w:rPr>
          <w:szCs w:val="24"/>
        </w:rPr>
        <w:tab/>
        <w:t>Prescription of classes of repair work (Act s. 5)</w:t>
      </w:r>
      <w:r>
        <w:tab/>
      </w:r>
      <w:r>
        <w:fldChar w:fldCharType="begin"/>
      </w:r>
      <w:r>
        <w:instrText xml:space="preserve"> PAGEREF _Toc233702409 \h </w:instrText>
      </w:r>
      <w:r>
        <w:fldChar w:fldCharType="separate"/>
      </w:r>
      <w:r>
        <w:t>22</w:t>
      </w:r>
      <w:r>
        <w:fldChar w:fldCharType="end"/>
      </w:r>
    </w:p>
    <w:p>
      <w:pPr>
        <w:pStyle w:val="TOC8"/>
        <w:rPr>
          <w:sz w:val="24"/>
          <w:szCs w:val="24"/>
        </w:rPr>
      </w:pPr>
      <w:r>
        <w:rPr>
          <w:szCs w:val="24"/>
        </w:rPr>
        <w:t>6.</w:t>
      </w:r>
      <w:r>
        <w:rPr>
          <w:szCs w:val="24"/>
        </w:rPr>
        <w:tab/>
        <w:t>Work prescribed not to be repair work (Act s. 5)</w:t>
      </w:r>
      <w:r>
        <w:tab/>
      </w:r>
      <w:r>
        <w:fldChar w:fldCharType="begin"/>
      </w:r>
      <w:r>
        <w:instrText xml:space="preserve"> PAGEREF _Toc233702410 \h </w:instrText>
      </w:r>
      <w:r>
        <w:fldChar w:fldCharType="separate"/>
      </w:r>
      <w:r>
        <w:t>23</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Licensing of motor vehicle repair businesses</w:t>
      </w:r>
    </w:p>
    <w:p>
      <w:pPr>
        <w:pStyle w:val="TOC8"/>
        <w:rPr>
          <w:sz w:val="24"/>
          <w:szCs w:val="24"/>
        </w:rPr>
      </w:pPr>
      <w:r>
        <w:rPr>
          <w:szCs w:val="24"/>
        </w:rPr>
        <w:t>7A.</w:t>
      </w:r>
      <w:r>
        <w:rPr>
          <w:szCs w:val="24"/>
        </w:rPr>
        <w:tab/>
        <w:t>Prescribed fee (Act s. 13)</w:t>
      </w:r>
      <w:r>
        <w:tab/>
      </w:r>
      <w:r>
        <w:fldChar w:fldCharType="begin"/>
      </w:r>
      <w:r>
        <w:instrText xml:space="preserve"> PAGEREF _Toc233702412 \h </w:instrText>
      </w:r>
      <w:r>
        <w:fldChar w:fldCharType="separate"/>
      </w:r>
      <w:r>
        <w:t>25</w:t>
      </w:r>
      <w:r>
        <w:fldChar w:fldCharType="end"/>
      </w:r>
    </w:p>
    <w:p>
      <w:pPr>
        <w:pStyle w:val="TOC8"/>
        <w:rPr>
          <w:sz w:val="24"/>
          <w:szCs w:val="24"/>
        </w:rPr>
      </w:pPr>
      <w:r>
        <w:rPr>
          <w:szCs w:val="24"/>
        </w:rPr>
        <w:t>7B.</w:t>
      </w:r>
      <w:r>
        <w:rPr>
          <w:szCs w:val="24"/>
        </w:rPr>
        <w:tab/>
        <w:t>Notice relating to replacement applications</w:t>
      </w:r>
      <w:r>
        <w:tab/>
      </w:r>
      <w:r>
        <w:fldChar w:fldCharType="begin"/>
      </w:r>
      <w:r>
        <w:instrText xml:space="preserve"> PAGEREF _Toc233702413 \h </w:instrText>
      </w:r>
      <w:r>
        <w:fldChar w:fldCharType="separate"/>
      </w:r>
      <w:r>
        <w:t>28</w:t>
      </w:r>
      <w:r>
        <w:fldChar w:fldCharType="end"/>
      </w:r>
    </w:p>
    <w:p>
      <w:pPr>
        <w:pStyle w:val="TOC8"/>
        <w:rPr>
          <w:sz w:val="24"/>
          <w:szCs w:val="24"/>
        </w:rPr>
      </w:pPr>
      <w:r>
        <w:rPr>
          <w:szCs w:val="24"/>
        </w:rPr>
        <w:t>7C.</w:t>
      </w:r>
      <w:r>
        <w:rPr>
          <w:szCs w:val="24"/>
        </w:rPr>
        <w:tab/>
        <w:t>Fee for duplicate business licence</w:t>
      </w:r>
      <w:r>
        <w:tab/>
      </w:r>
      <w:r>
        <w:fldChar w:fldCharType="begin"/>
      </w:r>
      <w:r>
        <w:instrText xml:space="preserve"> PAGEREF _Toc233702414 \h </w:instrText>
      </w:r>
      <w:r>
        <w:fldChar w:fldCharType="separate"/>
      </w:r>
      <w:r>
        <w:t>30</w:t>
      </w:r>
      <w:r>
        <w:fldChar w:fldCharType="end"/>
      </w:r>
    </w:p>
    <w:p>
      <w:pPr>
        <w:pStyle w:val="TOC8"/>
        <w:rPr>
          <w:sz w:val="24"/>
          <w:szCs w:val="24"/>
        </w:rPr>
      </w:pPr>
      <w:r>
        <w:rPr>
          <w:szCs w:val="24"/>
        </w:rPr>
        <w:t>7D.</w:t>
      </w:r>
      <w:r>
        <w:rPr>
          <w:szCs w:val="24"/>
        </w:rPr>
        <w:tab/>
        <w:t>Conditions and restrictions attached to business licences for autogas work</w:t>
      </w:r>
      <w:r>
        <w:tab/>
      </w:r>
      <w:r>
        <w:fldChar w:fldCharType="begin"/>
      </w:r>
      <w:r>
        <w:instrText xml:space="preserve"> PAGEREF _Toc233702415 \h </w:instrText>
      </w:r>
      <w:r>
        <w:fldChar w:fldCharType="separate"/>
      </w:r>
      <w:r>
        <w:t>30</w:t>
      </w:r>
      <w:r>
        <w:fldChar w:fldCharType="end"/>
      </w:r>
    </w:p>
    <w:p>
      <w:pPr>
        <w:pStyle w:val="TOC8"/>
        <w:rPr>
          <w:sz w:val="24"/>
          <w:szCs w:val="24"/>
        </w:rPr>
      </w:pPr>
      <w:r>
        <w:rPr>
          <w:szCs w:val="24"/>
        </w:rPr>
        <w:t>7E.</w:t>
      </w:r>
      <w:r>
        <w:rPr>
          <w:szCs w:val="24"/>
        </w:rPr>
        <w:tab/>
        <w:t>Duration of business licences</w:t>
      </w:r>
      <w:r>
        <w:tab/>
      </w:r>
      <w:r>
        <w:fldChar w:fldCharType="begin"/>
      </w:r>
      <w:r>
        <w:instrText xml:space="preserve"> PAGEREF _Toc233702416 \h </w:instrText>
      </w:r>
      <w:r>
        <w:fldChar w:fldCharType="separate"/>
      </w:r>
      <w:r>
        <w:t>30</w:t>
      </w:r>
      <w:r>
        <w:fldChar w:fldCharType="end"/>
      </w:r>
    </w:p>
    <w:p>
      <w:pPr>
        <w:pStyle w:val="TOC8"/>
        <w:rPr>
          <w:sz w:val="24"/>
          <w:szCs w:val="24"/>
        </w:rPr>
      </w:pPr>
      <w:r>
        <w:rPr>
          <w:szCs w:val="24"/>
        </w:rPr>
        <w:t>7F.</w:t>
      </w:r>
      <w:r>
        <w:rPr>
          <w:szCs w:val="24"/>
        </w:rPr>
        <w:tab/>
        <w:t>Fee for renewal of licence</w:t>
      </w:r>
      <w:r>
        <w:tab/>
      </w:r>
      <w:r>
        <w:fldChar w:fldCharType="begin"/>
      </w:r>
      <w:r>
        <w:instrText xml:space="preserve"> PAGEREF _Toc233702417 \h </w:instrText>
      </w:r>
      <w:r>
        <w:fldChar w:fldCharType="separate"/>
      </w:r>
      <w:r>
        <w:t>31</w:t>
      </w:r>
      <w:r>
        <w:fldChar w:fldCharType="end"/>
      </w:r>
    </w:p>
    <w:p>
      <w:pPr>
        <w:pStyle w:val="TOC8"/>
        <w:rPr>
          <w:sz w:val="24"/>
          <w:szCs w:val="24"/>
        </w:rPr>
      </w:pPr>
      <w:r>
        <w:rPr>
          <w:szCs w:val="24"/>
        </w:rPr>
        <w:t>7G.</w:t>
      </w:r>
      <w:r>
        <w:rPr>
          <w:szCs w:val="24"/>
        </w:rPr>
        <w:tab/>
        <w:t>Change of certain information to be notified by licensee</w:t>
      </w:r>
      <w:r>
        <w:tab/>
      </w:r>
      <w:r>
        <w:fldChar w:fldCharType="begin"/>
      </w:r>
      <w:r>
        <w:instrText xml:space="preserve"> PAGEREF _Toc233702418 \h </w:instrText>
      </w:r>
      <w:r>
        <w:fldChar w:fldCharType="separate"/>
      </w:r>
      <w:r>
        <w:t>32</w:t>
      </w:r>
      <w:r>
        <w:fldChar w:fldCharType="end"/>
      </w:r>
    </w:p>
    <w:p>
      <w:pPr>
        <w:pStyle w:val="TOC8"/>
        <w:rPr>
          <w:sz w:val="24"/>
          <w:szCs w:val="24"/>
        </w:rPr>
      </w:pPr>
      <w:r>
        <w:rPr>
          <w:szCs w:val="24"/>
        </w:rPr>
        <w:t>7H.</w:t>
      </w:r>
      <w:r>
        <w:rPr>
          <w:szCs w:val="24"/>
        </w:rPr>
        <w:tab/>
        <w:t>Exemption from requirement for planning certificate</w:t>
      </w:r>
      <w:r>
        <w:tab/>
      </w:r>
      <w:r>
        <w:fldChar w:fldCharType="begin"/>
      </w:r>
      <w:r>
        <w:instrText xml:space="preserve"> PAGEREF _Toc233702419 \h </w:instrText>
      </w:r>
      <w:r>
        <w:fldChar w:fldCharType="separate"/>
      </w:r>
      <w:r>
        <w:t>33</w:t>
      </w:r>
      <w:r>
        <w:fldChar w:fldCharType="end"/>
      </w:r>
    </w:p>
    <w:p>
      <w:pPr>
        <w:pStyle w:val="TOC2"/>
        <w:tabs>
          <w:tab w:val="right" w:leader="dot" w:pos="7086"/>
        </w:tabs>
        <w:rPr>
          <w:b w:val="0"/>
          <w:sz w:val="24"/>
          <w:szCs w:val="24"/>
        </w:rPr>
      </w:pPr>
      <w:r>
        <w:rPr>
          <w:szCs w:val="30"/>
        </w:rPr>
        <w:t>Part 2 — Certification of individuals performing repair work</w:t>
      </w:r>
    </w:p>
    <w:p>
      <w:pPr>
        <w:pStyle w:val="TOC8"/>
        <w:rPr>
          <w:sz w:val="24"/>
          <w:szCs w:val="24"/>
        </w:rPr>
      </w:pPr>
      <w:r>
        <w:rPr>
          <w:szCs w:val="24"/>
        </w:rPr>
        <w:t>7.</w:t>
      </w:r>
      <w:r>
        <w:rPr>
          <w:szCs w:val="24"/>
        </w:rPr>
        <w:tab/>
        <w:t>Application fee for repairer’s certificate</w:t>
      </w:r>
      <w:r>
        <w:tab/>
      </w:r>
      <w:r>
        <w:fldChar w:fldCharType="begin"/>
      </w:r>
      <w:r>
        <w:instrText xml:space="preserve"> PAGEREF _Toc233702421 \h </w:instrText>
      </w:r>
      <w:r>
        <w:fldChar w:fldCharType="separate"/>
      </w:r>
      <w:r>
        <w:t>34</w:t>
      </w:r>
      <w:r>
        <w:fldChar w:fldCharType="end"/>
      </w:r>
    </w:p>
    <w:p>
      <w:pPr>
        <w:pStyle w:val="TOC8"/>
        <w:rPr>
          <w:sz w:val="24"/>
          <w:szCs w:val="24"/>
        </w:rPr>
      </w:pPr>
      <w:r>
        <w:rPr>
          <w:szCs w:val="24"/>
        </w:rPr>
        <w:t>8.</w:t>
      </w:r>
      <w:r>
        <w:rPr>
          <w:szCs w:val="24"/>
        </w:rPr>
        <w:tab/>
        <w:t>Prescribed qualifications</w:t>
      </w:r>
      <w:r>
        <w:tab/>
      </w:r>
      <w:r>
        <w:fldChar w:fldCharType="begin"/>
      </w:r>
      <w:r>
        <w:instrText xml:space="preserve"> PAGEREF _Toc233702422 \h </w:instrText>
      </w:r>
      <w:r>
        <w:fldChar w:fldCharType="separate"/>
      </w:r>
      <w:r>
        <w:t>34</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Provisions applicable to business licences and to certificates</w:t>
      </w:r>
    </w:p>
    <w:p>
      <w:pPr>
        <w:pStyle w:val="TOC8"/>
        <w:rPr>
          <w:sz w:val="24"/>
          <w:szCs w:val="24"/>
        </w:rPr>
      </w:pPr>
      <w:r>
        <w:rPr>
          <w:szCs w:val="24"/>
        </w:rPr>
        <w:t>9.</w:t>
      </w:r>
      <w:r>
        <w:rPr>
          <w:szCs w:val="24"/>
        </w:rPr>
        <w:tab/>
        <w:t>Particulars and matters to be recorded in register</w:t>
      </w:r>
      <w:r>
        <w:tab/>
      </w:r>
      <w:r>
        <w:fldChar w:fldCharType="begin"/>
      </w:r>
      <w:r>
        <w:instrText xml:space="preserve"> PAGEREF _Toc233702424 \h </w:instrText>
      </w:r>
      <w:r>
        <w:fldChar w:fldCharType="separate"/>
      </w:r>
      <w:r>
        <w:t>43</w:t>
      </w:r>
      <w:r>
        <w:fldChar w:fldCharType="end"/>
      </w:r>
    </w:p>
    <w:p>
      <w:pPr>
        <w:pStyle w:val="TOC8"/>
        <w:rPr>
          <w:sz w:val="24"/>
          <w:szCs w:val="24"/>
        </w:rPr>
      </w:pPr>
      <w:r>
        <w:rPr>
          <w:szCs w:val="24"/>
        </w:rPr>
        <w:t>10.</w:t>
      </w:r>
      <w:r>
        <w:rPr>
          <w:szCs w:val="24"/>
        </w:rPr>
        <w:tab/>
        <w:t>Fees for inspecting register etc.</w:t>
      </w:r>
      <w:r>
        <w:tab/>
      </w:r>
      <w:r>
        <w:fldChar w:fldCharType="begin"/>
      </w:r>
      <w:r>
        <w:instrText xml:space="preserve"> PAGEREF _Toc233702425 \h </w:instrText>
      </w:r>
      <w:r>
        <w:fldChar w:fldCharType="separate"/>
      </w:r>
      <w:r>
        <w:t>45</w:t>
      </w:r>
      <w:r>
        <w:fldChar w:fldCharType="end"/>
      </w:r>
    </w:p>
    <w:p>
      <w:pPr>
        <w:pStyle w:val="TOC8"/>
        <w:rPr>
          <w:sz w:val="24"/>
          <w:szCs w:val="24"/>
        </w:rPr>
      </w:pPr>
      <w:r>
        <w:rPr>
          <w:szCs w:val="24"/>
        </w:rPr>
        <w:t>11.</w:t>
      </w:r>
      <w:r>
        <w:rPr>
          <w:szCs w:val="24"/>
        </w:rPr>
        <w:tab/>
        <w:t>Fee for certified copy of certificate</w:t>
      </w:r>
      <w:r>
        <w:tab/>
      </w:r>
      <w:r>
        <w:fldChar w:fldCharType="begin"/>
      </w:r>
      <w:r>
        <w:instrText xml:space="preserve"> PAGEREF _Toc233702426 \h </w:instrText>
      </w:r>
      <w:r>
        <w:fldChar w:fldCharType="separate"/>
      </w:r>
      <w:r>
        <w:t>45</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Miscellaneous</w:t>
      </w:r>
    </w:p>
    <w:p>
      <w:pPr>
        <w:pStyle w:val="TOC8"/>
        <w:rPr>
          <w:sz w:val="24"/>
          <w:szCs w:val="24"/>
        </w:rPr>
      </w:pPr>
      <w:r>
        <w:rPr>
          <w:szCs w:val="24"/>
        </w:rPr>
        <w:t>12</w:t>
      </w:r>
      <w:r>
        <w:rPr>
          <w:color w:val="000000"/>
          <w:szCs w:val="24"/>
        </w:rPr>
        <w:t>.</w:t>
      </w:r>
      <w:r>
        <w:rPr>
          <w:color w:val="000000"/>
          <w:szCs w:val="24"/>
        </w:rPr>
        <w:tab/>
        <w:t>Fees for changes in authorised premises</w:t>
      </w:r>
      <w:r>
        <w:tab/>
      </w:r>
      <w:r>
        <w:fldChar w:fldCharType="begin"/>
      </w:r>
      <w:r>
        <w:instrText xml:space="preserve"> PAGEREF _Toc233702428 \h </w:instrText>
      </w:r>
      <w:r>
        <w:fldChar w:fldCharType="separate"/>
      </w:r>
      <w:r>
        <w:t>46</w:t>
      </w:r>
      <w:r>
        <w:fldChar w:fldCharType="end"/>
      </w:r>
    </w:p>
    <w:p>
      <w:pPr>
        <w:pStyle w:val="TOC8"/>
        <w:rPr>
          <w:sz w:val="24"/>
          <w:szCs w:val="24"/>
        </w:rPr>
      </w:pPr>
      <w:r>
        <w:rPr>
          <w:szCs w:val="24"/>
        </w:rPr>
        <w:t>13.</w:t>
      </w:r>
      <w:r>
        <w:rPr>
          <w:szCs w:val="24"/>
        </w:rPr>
        <w:tab/>
        <w:t>Infringement notice offences and penalties</w:t>
      </w:r>
      <w:r>
        <w:tab/>
      </w:r>
      <w:r>
        <w:fldChar w:fldCharType="begin"/>
      </w:r>
      <w:r>
        <w:instrText xml:space="preserve"> PAGEREF _Toc233702429 \h </w:instrText>
      </w:r>
      <w:r>
        <w:fldChar w:fldCharType="separate"/>
      </w:r>
      <w:r>
        <w:t>46</w:t>
      </w:r>
      <w:r>
        <w:fldChar w:fldCharType="end"/>
      </w:r>
    </w:p>
    <w:p>
      <w:pPr>
        <w:pStyle w:val="TOC8"/>
        <w:rPr>
          <w:sz w:val="24"/>
          <w:szCs w:val="24"/>
        </w:rPr>
      </w:pPr>
      <w:r>
        <w:rPr>
          <w:szCs w:val="24"/>
        </w:rPr>
        <w:t>14.</w:t>
      </w:r>
      <w:r>
        <w:rPr>
          <w:szCs w:val="24"/>
        </w:rPr>
        <w:tab/>
        <w:t>Forms of infringement notice and withdrawal notice</w:t>
      </w:r>
      <w:r>
        <w:tab/>
      </w:r>
      <w:r>
        <w:fldChar w:fldCharType="begin"/>
      </w:r>
      <w:r>
        <w:instrText xml:space="preserve"> PAGEREF _Toc233702430 \h </w:instrText>
      </w:r>
      <w:r>
        <w:fldChar w:fldCharType="separate"/>
      </w:r>
      <w:r>
        <w:t>47</w:t>
      </w:r>
      <w:r>
        <w:fldChar w:fldCharType="end"/>
      </w:r>
    </w:p>
    <w:p>
      <w:pPr>
        <w:pStyle w:val="TOC8"/>
        <w:rPr>
          <w:sz w:val="24"/>
          <w:szCs w:val="24"/>
        </w:rPr>
      </w:pPr>
      <w:r>
        <w:rPr>
          <w:szCs w:val="24"/>
        </w:rPr>
        <w:t>15.</w:t>
      </w:r>
      <w:r>
        <w:rPr>
          <w:szCs w:val="24"/>
        </w:rPr>
        <w:tab/>
        <w:t>Refund of fee on withdrawal or refusal of certain applications</w:t>
      </w:r>
      <w:r>
        <w:tab/>
      </w:r>
      <w:r>
        <w:fldChar w:fldCharType="begin"/>
      </w:r>
      <w:r>
        <w:instrText xml:space="preserve"> PAGEREF _Toc233702431 \h </w:instrText>
      </w:r>
      <w:r>
        <w:fldChar w:fldCharType="separate"/>
      </w:r>
      <w:r>
        <w:t>48</w:t>
      </w:r>
      <w:r>
        <w:fldChar w:fldCharType="end"/>
      </w:r>
    </w:p>
    <w:p>
      <w:pPr>
        <w:pStyle w:val="TOC8"/>
        <w:rPr>
          <w:sz w:val="24"/>
          <w:szCs w:val="24"/>
        </w:rPr>
      </w:pPr>
      <w:r>
        <w:rPr>
          <w:szCs w:val="24"/>
        </w:rPr>
        <w:t>16.</w:t>
      </w:r>
      <w:r>
        <w:rPr>
          <w:szCs w:val="24"/>
        </w:rPr>
        <w:tab/>
        <w:t>Refund or waiver of fee etc. on withdrawal or refusal of replacement applications</w:t>
      </w:r>
      <w:r>
        <w:tab/>
      </w:r>
      <w:r>
        <w:fldChar w:fldCharType="begin"/>
      </w:r>
      <w:r>
        <w:instrText xml:space="preserve"> PAGEREF _Toc233702432 \h </w:instrText>
      </w:r>
      <w:r>
        <w:fldChar w:fldCharType="separate"/>
      </w:r>
      <w:r>
        <w:t>48</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Transitional matters</w:t>
      </w:r>
    </w:p>
    <w:p>
      <w:pPr>
        <w:pStyle w:val="TOC8"/>
        <w:rPr>
          <w:sz w:val="24"/>
          <w:szCs w:val="24"/>
        </w:rPr>
      </w:pPr>
      <w:r>
        <w:rPr>
          <w:szCs w:val="24"/>
        </w:rPr>
        <w:t>17.</w:t>
      </w:r>
      <w:r>
        <w:rPr>
          <w:szCs w:val="24"/>
        </w:rPr>
        <w:tab/>
        <w:t>Application of Part</w:t>
      </w:r>
      <w:r>
        <w:tab/>
      </w:r>
      <w:r>
        <w:fldChar w:fldCharType="begin"/>
      </w:r>
      <w:r>
        <w:instrText xml:space="preserve"> PAGEREF _Toc233702434 \h </w:instrText>
      </w:r>
      <w:r>
        <w:fldChar w:fldCharType="separate"/>
      </w:r>
      <w:r>
        <w:t>50</w:t>
      </w:r>
      <w:r>
        <w:fldChar w:fldCharType="end"/>
      </w:r>
    </w:p>
    <w:p>
      <w:pPr>
        <w:pStyle w:val="TOC8"/>
        <w:rPr>
          <w:sz w:val="24"/>
          <w:szCs w:val="24"/>
        </w:rPr>
      </w:pPr>
      <w:r>
        <w:rPr>
          <w:szCs w:val="24"/>
        </w:rPr>
        <w:t>18.</w:t>
      </w:r>
      <w:r>
        <w:rPr>
          <w:szCs w:val="24"/>
        </w:rPr>
        <w:tab/>
        <w:t>Duration of transitional licences</w:t>
      </w:r>
      <w:r>
        <w:tab/>
      </w:r>
      <w:r>
        <w:fldChar w:fldCharType="begin"/>
      </w:r>
      <w:r>
        <w:instrText xml:space="preserve"> PAGEREF _Toc233702435 \h </w:instrText>
      </w:r>
      <w:r>
        <w:fldChar w:fldCharType="separate"/>
      </w:r>
      <w:r>
        <w:t>50</w:t>
      </w:r>
      <w:r>
        <w:fldChar w:fldCharType="end"/>
      </w:r>
    </w:p>
    <w:p>
      <w:pPr>
        <w:pStyle w:val="TOC8"/>
        <w:rPr>
          <w:sz w:val="24"/>
          <w:szCs w:val="24"/>
        </w:rPr>
      </w:pPr>
      <w:r>
        <w:rPr>
          <w:szCs w:val="24"/>
        </w:rPr>
        <w:t>19.</w:t>
      </w:r>
      <w:r>
        <w:rPr>
          <w:szCs w:val="24"/>
        </w:rPr>
        <w:tab/>
        <w:t>Notice and waiver of fee relating to transitional applications</w:t>
      </w:r>
      <w:r>
        <w:tab/>
      </w:r>
      <w:r>
        <w:fldChar w:fldCharType="begin"/>
      </w:r>
      <w:r>
        <w:instrText xml:space="preserve"> PAGEREF _Toc233702436 \h </w:instrText>
      </w:r>
      <w:r>
        <w:fldChar w:fldCharType="separate"/>
      </w:r>
      <w:r>
        <w:t>52</w:t>
      </w:r>
      <w:r>
        <w:fldChar w:fldCharType="end"/>
      </w:r>
    </w:p>
    <w:p>
      <w:pPr>
        <w:pStyle w:val="TOC8"/>
        <w:rPr>
          <w:sz w:val="24"/>
          <w:szCs w:val="24"/>
        </w:rPr>
      </w:pPr>
      <w:r>
        <w:rPr>
          <w:szCs w:val="24"/>
        </w:rPr>
        <w:t>20.</w:t>
      </w:r>
      <w:r>
        <w:rPr>
          <w:szCs w:val="24"/>
        </w:rPr>
        <w:tab/>
        <w:t>Refund or waiver of fee on withdrawal or refusal of transitional applications</w:t>
      </w:r>
      <w:r>
        <w:tab/>
      </w:r>
      <w:r>
        <w:fldChar w:fldCharType="begin"/>
      </w:r>
      <w:r>
        <w:instrText xml:space="preserve"> PAGEREF _Toc233702437 \h </w:instrText>
      </w:r>
      <w:r>
        <w:fldChar w:fldCharType="separate"/>
      </w:r>
      <w:r>
        <w:t>54</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_Toc233702440 \h </w:instrText>
      </w:r>
      <w:r>
        <w:fldChar w:fldCharType="separate"/>
      </w:r>
      <w:r>
        <w:t>59</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2" w:name="_Toc146075695"/>
      <w:bookmarkStart w:id="3" w:name="_Toc146082090"/>
      <w:bookmarkStart w:id="4" w:name="_Toc146094655"/>
      <w:bookmarkStart w:id="5" w:name="_Toc146094689"/>
      <w:bookmarkStart w:id="6" w:name="_Toc146104049"/>
      <w:bookmarkStart w:id="7" w:name="_Toc146104529"/>
      <w:bookmarkStart w:id="8" w:name="_Toc146106587"/>
      <w:bookmarkStart w:id="9" w:name="_Toc146107289"/>
      <w:bookmarkStart w:id="10" w:name="_Toc146108464"/>
      <w:bookmarkStart w:id="11" w:name="_Toc146108616"/>
      <w:bookmarkStart w:id="12" w:name="_Toc146108671"/>
      <w:bookmarkStart w:id="13" w:name="_Toc146342367"/>
      <w:bookmarkStart w:id="14" w:name="_Toc146362085"/>
      <w:bookmarkStart w:id="15" w:name="_Toc146367951"/>
      <w:bookmarkStart w:id="16" w:name="_Toc146369430"/>
      <w:bookmarkStart w:id="17" w:name="_Toc146429517"/>
      <w:bookmarkStart w:id="18" w:name="_Toc146442108"/>
      <w:bookmarkStart w:id="19" w:name="_Toc146442867"/>
      <w:bookmarkStart w:id="20" w:name="_Toc146449460"/>
      <w:bookmarkStart w:id="21" w:name="_Toc146452389"/>
      <w:bookmarkStart w:id="22" w:name="_Toc146454662"/>
      <w:bookmarkStart w:id="23" w:name="_Toc146455452"/>
      <w:bookmarkStart w:id="24" w:name="_Toc146511475"/>
      <w:bookmarkStart w:id="25" w:name="_Toc151800748"/>
      <w:bookmarkStart w:id="26" w:name="_Toc151803871"/>
      <w:bookmarkStart w:id="27" w:name="_Toc151804458"/>
      <w:bookmarkStart w:id="28" w:name="_Toc151807740"/>
      <w:bookmarkStart w:id="29" w:name="_Toc151871131"/>
      <w:bookmarkStart w:id="30" w:name="_Toc152596147"/>
      <w:bookmarkStart w:id="31" w:name="_Toc152654151"/>
      <w:bookmarkStart w:id="32" w:name="_Toc152657959"/>
      <w:bookmarkStart w:id="33" w:name="_Toc152666010"/>
      <w:bookmarkStart w:id="34" w:name="_Toc152666140"/>
      <w:bookmarkStart w:id="35" w:name="_Toc152666239"/>
      <w:bookmarkStart w:id="36" w:name="_Toc153340646"/>
      <w:bookmarkStart w:id="37" w:name="_Toc153340968"/>
      <w:bookmarkStart w:id="38" w:name="_Toc153357615"/>
      <w:bookmarkStart w:id="39" w:name="_Toc153612050"/>
      <w:bookmarkStart w:id="40" w:name="_Toc154226164"/>
      <w:bookmarkStart w:id="41" w:name="_Toc154226813"/>
      <w:bookmarkStart w:id="42" w:name="_Toc159148895"/>
      <w:bookmarkStart w:id="43" w:name="_Toc161802248"/>
      <w:bookmarkStart w:id="44" w:name="_Toc162072654"/>
      <w:bookmarkStart w:id="45" w:name="_Toc202153830"/>
      <w:bookmarkStart w:id="46" w:name="_Toc202243797"/>
      <w:bookmarkStart w:id="47" w:name="_Toc205004035"/>
      <w:bookmarkStart w:id="48" w:name="_Toc205006448"/>
      <w:bookmarkStart w:id="49" w:name="_Toc207515667"/>
      <w:bookmarkStart w:id="50" w:name="_Toc207790236"/>
      <w:bookmarkStart w:id="51" w:name="_Toc209499112"/>
      <w:bookmarkStart w:id="52" w:name="_Toc226181035"/>
      <w:bookmarkStart w:id="53" w:name="_Toc226275896"/>
      <w:bookmarkStart w:id="54" w:name="_Toc2337024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423332722"/>
      <w:bookmarkStart w:id="56" w:name="_Toc425219441"/>
      <w:bookmarkStart w:id="57" w:name="_Toc426249308"/>
      <w:bookmarkStart w:id="58" w:name="_Toc449924704"/>
      <w:bookmarkStart w:id="59" w:name="_Toc449947722"/>
      <w:bookmarkStart w:id="60" w:name="_Toc454185713"/>
      <w:bookmarkStart w:id="61" w:name="_Toc515958686"/>
      <w:bookmarkStart w:id="62" w:name="_Toc154226814"/>
      <w:bookmarkStart w:id="63" w:name="_Toc233702405"/>
      <w:r>
        <w:rPr>
          <w:rStyle w:val="CharSectno"/>
        </w:rPr>
        <w:t>1</w:t>
      </w:r>
      <w:r>
        <w:t>.</w:t>
      </w:r>
      <w:r>
        <w:tab/>
        <w:t>Citation</w:t>
      </w:r>
      <w:bookmarkEnd w:id="55"/>
      <w:bookmarkEnd w:id="56"/>
      <w:bookmarkEnd w:id="57"/>
      <w:bookmarkEnd w:id="58"/>
      <w:bookmarkEnd w:id="59"/>
      <w:bookmarkEnd w:id="60"/>
      <w:bookmarkEnd w:id="61"/>
      <w:bookmarkEnd w:id="62"/>
      <w:bookmarkEnd w:id="63"/>
    </w:p>
    <w:p>
      <w:pPr>
        <w:pStyle w:val="Subsection"/>
        <w:spacing w:before="120"/>
        <w:rPr>
          <w:i/>
        </w:rPr>
      </w:pPr>
      <w:r>
        <w:tab/>
      </w:r>
      <w:r>
        <w:tab/>
      </w:r>
      <w:bookmarkStart w:id="64" w:name="Start_Cursor"/>
      <w:bookmarkEnd w:id="64"/>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65" w:name="_Toc423332723"/>
      <w:bookmarkStart w:id="66" w:name="_Toc425219442"/>
      <w:bookmarkStart w:id="67" w:name="_Toc426249309"/>
      <w:bookmarkStart w:id="68" w:name="_Toc449924705"/>
      <w:bookmarkStart w:id="69" w:name="_Toc449947723"/>
      <w:bookmarkStart w:id="70" w:name="_Toc454185714"/>
      <w:bookmarkStart w:id="71" w:name="_Toc515958687"/>
      <w:bookmarkStart w:id="72" w:name="_Toc154226815"/>
      <w:bookmarkStart w:id="73" w:name="_Toc233702406"/>
      <w:r>
        <w:rPr>
          <w:rStyle w:val="CharSectno"/>
        </w:rPr>
        <w:t>2</w:t>
      </w:r>
      <w:r>
        <w:rPr>
          <w:spacing w:val="-2"/>
        </w:rPr>
        <w:t>.</w:t>
      </w:r>
      <w:r>
        <w:rPr>
          <w:spacing w:val="-2"/>
        </w:rPr>
        <w:tab/>
        <w:t>Commencement</w:t>
      </w:r>
      <w:bookmarkEnd w:id="65"/>
      <w:bookmarkEnd w:id="66"/>
      <w:bookmarkEnd w:id="67"/>
      <w:bookmarkEnd w:id="68"/>
      <w:bookmarkEnd w:id="69"/>
      <w:bookmarkEnd w:id="70"/>
      <w:bookmarkEnd w:id="71"/>
      <w:bookmarkEnd w:id="72"/>
      <w:bookmarkEnd w:id="73"/>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74" w:name="_Toc154226816"/>
      <w:bookmarkStart w:id="75" w:name="_Toc233702407"/>
      <w:r>
        <w:rPr>
          <w:rStyle w:val="CharSectno"/>
        </w:rPr>
        <w:t>3</w:t>
      </w:r>
      <w:r>
        <w:t>.</w:t>
      </w:r>
      <w:r>
        <w:tab/>
      </w:r>
      <w:bookmarkEnd w:id="74"/>
      <w:r>
        <w:t>Terms used in these regulations</w:t>
      </w:r>
      <w:bookmarkEnd w:id="75"/>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rPr>
          <w:b/>
        </w:rPr>
        <w:tab/>
      </w:r>
      <w:r>
        <w:rPr>
          <w:rStyle w:val="CharDefText"/>
        </w:rPr>
        <w:t>apprentice</w:t>
      </w:r>
      <w:r>
        <w:t xml:space="preserve"> means an apprentice (including a person on probation) under the </w:t>
      </w:r>
      <w:r>
        <w:rPr>
          <w:i/>
          <w:iCs/>
        </w:rPr>
        <w:t>Industrial Training Act 1975</w:t>
      </w:r>
      <w:r>
        <w:t>;</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“motor cycle”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pPr>
      <w:r>
        <w:tab/>
        <w:t>(a)</w:t>
      </w:r>
      <w:r>
        <w:tab/>
        <w:t>any electrical equipment or system (including any electrical accessory and any electrical component associated with any other prescribed accessory);</w:t>
      </w:r>
    </w:p>
    <w:p>
      <w:pPr>
        <w:pStyle w:val="Defpara"/>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pPr>
      <w:r>
        <w:tab/>
        <w:t>(a)</w:t>
      </w:r>
      <w:r>
        <w:tab/>
        <w:t>carrying out minor electrical servicing and minor electrical repair;</w:t>
      </w:r>
    </w:p>
    <w:p>
      <w:pPr>
        <w:pStyle w:val="Defpara"/>
      </w:pPr>
      <w:r>
        <w:tab/>
        <w:t>(b)</w:t>
      </w:r>
      <w:r>
        <w:tab/>
        <w:t>cleaning or lubricating the thing or any of its components;</w:t>
      </w:r>
    </w:p>
    <w:p>
      <w:pPr>
        <w:pStyle w:val="Defpara"/>
      </w:pPr>
      <w:r>
        <w:tab/>
        <w:t>(c)</w:t>
      </w:r>
      <w:r>
        <w:tab/>
        <w:t>replenishing any oil, lubricant, coolant or other liquid that requires replenishment;</w:t>
      </w:r>
    </w:p>
    <w:p>
      <w:pPr>
        <w:pStyle w:val="Defpara"/>
      </w:pPr>
      <w:r>
        <w:tab/>
        <w:t>(d)</w:t>
      </w:r>
      <w:r>
        <w:tab/>
        <w:t>replacing the thing or any of its component;</w:t>
      </w:r>
    </w:p>
    <w:p>
      <w:pPr>
        <w:pStyle w:val="Defpara"/>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pPr>
      <w:r>
        <w:tab/>
        <w:t>(a)</w:t>
      </w:r>
      <w:r>
        <w:tab/>
        <w:t>that is fitted with 3 or more wheels; and</w:t>
      </w:r>
    </w:p>
    <w:p>
      <w:pPr>
        <w:pStyle w:val="Defpara"/>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 any apprentice or trainee;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pPr>
      <w:r>
        <w:tab/>
        <w:t>(a)</w:t>
      </w:r>
      <w:r>
        <w:tab/>
        <w:t>means any work required to prepare for painting or to paint a panel, frame or other component of the body of a motor vehicle, otherwise than in the course of manufacturing the vehicle; 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or repairing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 or trainee;</w:t>
      </w:r>
      <w:r>
        <w:rPr>
          <w:b/>
          <w:noProof/>
          <w:snapToGrid/>
          <w:color w:val="000000"/>
          <w:sz w:val="20"/>
          <w:lang w:eastAsia="en-AU"/>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lang w:eastAsia="en-AU"/>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lang w:eastAsia="en-AU"/>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rPr>
        <w:tab/>
      </w:r>
      <w:r>
        <w:rPr>
          <w:rStyle w:val="CharDefText"/>
        </w:rPr>
        <w:t>trainee</w:t>
      </w:r>
      <w:r>
        <w:t xml:space="preserve"> means a trainee (including a person on probation) under a traineeship scheme as defined in the </w:t>
      </w:r>
      <w:r>
        <w:rPr>
          <w:i/>
          <w:iCs/>
        </w:rPr>
        <w:t>Industrial Training Act 1975</w:t>
      </w:r>
      <w:r>
        <w:t>;</w:t>
      </w:r>
    </w:p>
    <w:p>
      <w:pPr>
        <w:pStyle w:val="Defstart"/>
      </w:pPr>
      <w:r>
        <w:rPr>
          <w:b/>
          <w:noProof/>
          <w:snapToGrid/>
          <w:sz w:val="20"/>
          <w:lang w:eastAsia="en-AU"/>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lang w:eastAsia="en-AU"/>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pPr>
      <w:r>
        <w:tab/>
        <w:t>(i)</w:t>
      </w:r>
      <w:r>
        <w:tab/>
        <w:t>a fuel system;</w:t>
      </w:r>
    </w:p>
    <w:p>
      <w:pPr>
        <w:pStyle w:val="Indenti"/>
      </w:pPr>
      <w:r>
        <w:tab/>
        <w:t>(ii)</w:t>
      </w:r>
      <w:r>
        <w:tab/>
        <w:t>an air induction system;</w:t>
      </w:r>
    </w:p>
    <w:p>
      <w:pPr>
        <w:pStyle w:val="Indenti"/>
      </w:pPr>
      <w:r>
        <w:tab/>
        <w:t>(iii)</w:t>
      </w:r>
      <w:r>
        <w:tab/>
        <w:t>an ignition system;</w:t>
      </w:r>
    </w:p>
    <w:p>
      <w:pPr>
        <w:pStyle w:val="Indenti"/>
      </w:pPr>
      <w:r>
        <w:tab/>
        <w:t>(iv)</w:t>
      </w:r>
      <w:r>
        <w:tab/>
        <w:t>an engine management system;</w:t>
      </w:r>
    </w:p>
    <w:p>
      <w:pPr>
        <w:pStyle w:val="Indenti"/>
      </w:pPr>
      <w:r>
        <w:tab/>
        <w:t>(v)</w:t>
      </w:r>
      <w:r>
        <w:tab/>
        <w:t>a cooling system;</w:t>
      </w:r>
    </w:p>
    <w:p>
      <w:pPr>
        <w:pStyle w:val="Indenti"/>
      </w:pPr>
      <w:r>
        <w:tab/>
        <w:t>(vi)</w:t>
      </w:r>
      <w:r>
        <w:tab/>
        <w:t>an exhaust system;</w:t>
      </w:r>
    </w:p>
    <w:p>
      <w:pPr>
        <w:pStyle w:val="Indenta"/>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pPr>
      <w:r>
        <w:tab/>
        <w:t>(i)</w:t>
      </w:r>
      <w:r>
        <w:tab/>
        <w:t>a driveline;</w:t>
      </w:r>
    </w:p>
    <w:p>
      <w:pPr>
        <w:pStyle w:val="Indenti"/>
      </w:pPr>
      <w:r>
        <w:tab/>
        <w:t>(ii)</w:t>
      </w:r>
      <w:r>
        <w:tab/>
        <w:t>a transmission;</w:t>
      </w:r>
    </w:p>
    <w:p>
      <w:pPr>
        <w:pStyle w:val="Indenti"/>
      </w:pPr>
      <w:r>
        <w:tab/>
        <w:t>(iii)</w:t>
      </w:r>
      <w:r>
        <w:tab/>
        <w:t>a final drive assembly (whether or not its differential is integrated with a transmission);</w:t>
      </w:r>
    </w:p>
    <w:p>
      <w:pPr>
        <w:pStyle w:val="Indenti"/>
      </w:pPr>
      <w:r>
        <w:tab/>
        <w:t>(iv)</w:t>
      </w:r>
      <w:r>
        <w:tab/>
        <w:t>an electronic drive management system;</w:t>
      </w:r>
    </w:p>
    <w:p>
      <w:pPr>
        <w:pStyle w:val="Indenta"/>
      </w:pPr>
      <w:r>
        <w:tab/>
        <w:t>(d)</w:t>
      </w:r>
      <w:r>
        <w:tab/>
        <w:t xml:space="preserve">a reference to a fuel system in a motor vehicle — </w:t>
      </w:r>
    </w:p>
    <w:p>
      <w:pPr>
        <w:pStyle w:val="Indenti"/>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w:t>
      </w:r>
    </w:p>
    <w:p>
      <w:pPr>
        <w:pStyle w:val="Heading5"/>
      </w:pPr>
      <w:bookmarkStart w:id="76" w:name="_Toc154226817"/>
      <w:bookmarkStart w:id="77" w:name="_Toc233702408"/>
      <w:r>
        <w:rPr>
          <w:rStyle w:val="CharSectno"/>
        </w:rPr>
        <w:t>4</w:t>
      </w:r>
      <w:r>
        <w:t>.</w:t>
      </w:r>
      <w:r>
        <w:tab/>
        <w:t>Exclusions from definition of “motor vehicle”</w:t>
      </w:r>
      <w:bookmarkEnd w:id="76"/>
      <w:bookmarkEnd w:id="77"/>
    </w:p>
    <w:p>
      <w:pPr>
        <w:pStyle w:val="Subsection"/>
      </w:pPr>
      <w:r>
        <w:tab/>
      </w:r>
      <w:r>
        <w:tab/>
        <w:t xml:space="preserve">Each of the following is excluded from the definition of “motor vehicle”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78" w:name="_Toc154226818"/>
      <w:bookmarkStart w:id="79" w:name="_Toc233702409"/>
      <w:r>
        <w:rPr>
          <w:rStyle w:val="CharSectno"/>
        </w:rPr>
        <w:t>5</w:t>
      </w:r>
      <w:r>
        <w:t>.</w:t>
      </w:r>
      <w:r>
        <w:tab/>
        <w:t>Prescription of classes of repair work (Act s. 5)</w:t>
      </w:r>
      <w:bookmarkEnd w:id="78"/>
      <w:bookmarkEnd w:id="79"/>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bookmarkStart w:id="80" w:name="_Toc154226819"/>
      <w:r>
        <w:tab/>
        <w:t>[Regulation 5 amended in Gazette 24 Jun 2008 p. 2811.]</w:t>
      </w:r>
    </w:p>
    <w:p>
      <w:pPr>
        <w:pStyle w:val="Heading5"/>
      </w:pPr>
      <w:bookmarkStart w:id="81" w:name="_Toc233702410"/>
      <w:r>
        <w:rPr>
          <w:rStyle w:val="CharSectno"/>
        </w:rPr>
        <w:t>6</w:t>
      </w:r>
      <w:r>
        <w:t>.</w:t>
      </w:r>
      <w:r>
        <w:tab/>
        <w:t>Work prescribed not to be repair work (Act s. 5)</w:t>
      </w:r>
      <w:bookmarkEnd w:id="80"/>
      <w:bookmarkEnd w:id="81"/>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82" w:name="_Toc202153837"/>
      <w:bookmarkStart w:id="83" w:name="_Toc202243804"/>
      <w:bookmarkStart w:id="84" w:name="_Toc205004042"/>
      <w:bookmarkStart w:id="85" w:name="_Toc205006455"/>
      <w:bookmarkStart w:id="86" w:name="_Toc207515674"/>
      <w:bookmarkStart w:id="87" w:name="_Toc207790243"/>
      <w:bookmarkStart w:id="88" w:name="_Toc209499119"/>
      <w:bookmarkStart w:id="89" w:name="_Toc226181042"/>
      <w:bookmarkStart w:id="90" w:name="_Toc226275903"/>
      <w:bookmarkStart w:id="91" w:name="_Toc233702411"/>
      <w:bookmarkStart w:id="92" w:name="_Toc146075702"/>
      <w:bookmarkStart w:id="93" w:name="_Toc146082097"/>
      <w:bookmarkStart w:id="94" w:name="_Toc146094662"/>
      <w:bookmarkStart w:id="95" w:name="_Toc146094696"/>
      <w:bookmarkStart w:id="96" w:name="_Toc146104056"/>
      <w:bookmarkStart w:id="97" w:name="_Toc146104536"/>
      <w:bookmarkStart w:id="98" w:name="_Toc146106594"/>
      <w:bookmarkStart w:id="99" w:name="_Toc146107296"/>
      <w:bookmarkStart w:id="100" w:name="_Toc146108471"/>
      <w:bookmarkStart w:id="101" w:name="_Toc146108623"/>
      <w:bookmarkStart w:id="102" w:name="_Toc146108678"/>
      <w:bookmarkStart w:id="103" w:name="_Toc146342374"/>
      <w:bookmarkStart w:id="104" w:name="_Toc146362092"/>
      <w:bookmarkStart w:id="105" w:name="_Toc146367961"/>
      <w:bookmarkStart w:id="106" w:name="_Toc146369440"/>
      <w:bookmarkStart w:id="107" w:name="_Toc146429524"/>
      <w:bookmarkStart w:id="108" w:name="_Toc146442116"/>
      <w:bookmarkStart w:id="109" w:name="_Toc146442874"/>
      <w:bookmarkStart w:id="110" w:name="_Toc146449467"/>
      <w:bookmarkStart w:id="111" w:name="_Toc146452396"/>
      <w:bookmarkStart w:id="112" w:name="_Toc146454669"/>
      <w:bookmarkStart w:id="113" w:name="_Toc146455459"/>
      <w:bookmarkStart w:id="114" w:name="_Toc146511482"/>
      <w:bookmarkStart w:id="115" w:name="_Toc151800755"/>
      <w:bookmarkStart w:id="116" w:name="_Toc151803878"/>
      <w:bookmarkStart w:id="117" w:name="_Toc151804465"/>
      <w:bookmarkStart w:id="118" w:name="_Toc151807747"/>
      <w:bookmarkStart w:id="119" w:name="_Toc151871138"/>
      <w:bookmarkStart w:id="120" w:name="_Toc152596154"/>
      <w:bookmarkStart w:id="121" w:name="_Toc152654158"/>
      <w:bookmarkStart w:id="122" w:name="_Toc152657966"/>
      <w:bookmarkStart w:id="123" w:name="_Toc152666017"/>
      <w:bookmarkStart w:id="124" w:name="_Toc152666147"/>
      <w:bookmarkStart w:id="125" w:name="_Toc152666246"/>
      <w:bookmarkStart w:id="126" w:name="_Toc153340653"/>
      <w:bookmarkStart w:id="127" w:name="_Toc153340975"/>
      <w:bookmarkStart w:id="128" w:name="_Toc153357622"/>
      <w:bookmarkStart w:id="129" w:name="_Toc153612057"/>
      <w:bookmarkStart w:id="130" w:name="_Toc154226171"/>
      <w:bookmarkStart w:id="131" w:name="_Toc154226820"/>
      <w:bookmarkStart w:id="132" w:name="_Toc161802255"/>
      <w:bookmarkStart w:id="133" w:name="_Toc162072661"/>
      <w:r>
        <w:rPr>
          <w:rStyle w:val="CharPartNo"/>
        </w:rPr>
        <w:t>Part 2A</w:t>
      </w:r>
      <w:r>
        <w:rPr>
          <w:b w:val="0"/>
        </w:rPr>
        <w:t> </w:t>
      </w:r>
      <w:r>
        <w:t>—</w:t>
      </w:r>
      <w:r>
        <w:rPr>
          <w:b w:val="0"/>
        </w:rPr>
        <w:t> </w:t>
      </w:r>
      <w:r>
        <w:rPr>
          <w:rStyle w:val="CharPartText"/>
        </w:rPr>
        <w:t>Licensing of motor vehicle repair businesses</w:t>
      </w:r>
      <w:bookmarkEnd w:id="82"/>
      <w:bookmarkEnd w:id="83"/>
      <w:bookmarkEnd w:id="84"/>
      <w:bookmarkEnd w:id="85"/>
      <w:bookmarkEnd w:id="86"/>
      <w:bookmarkEnd w:id="87"/>
      <w:bookmarkEnd w:id="88"/>
      <w:bookmarkEnd w:id="89"/>
      <w:bookmarkEnd w:id="90"/>
      <w:bookmarkEnd w:id="91"/>
    </w:p>
    <w:p>
      <w:pPr>
        <w:pStyle w:val="Footnoteheading"/>
      </w:pPr>
      <w:r>
        <w:tab/>
        <w:t>[Heading inserted in Gazette 24 Jun 2008 p. 2812.]</w:t>
      </w:r>
    </w:p>
    <w:p>
      <w:pPr>
        <w:pStyle w:val="Heading5"/>
      </w:pPr>
      <w:bookmarkStart w:id="134" w:name="_Toc233702412"/>
      <w:r>
        <w:rPr>
          <w:rStyle w:val="CharSectno"/>
        </w:rPr>
        <w:t>7A</w:t>
      </w:r>
      <w:r>
        <w:t>.</w:t>
      </w:r>
      <w:r>
        <w:tab/>
        <w:t>Prescribed fee (Act s. 13)</w:t>
      </w:r>
      <w:bookmarkEnd w:id="134"/>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$150;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$112;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$150;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lang w:eastAsia="en-AU"/>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the required payment stated in the licence notice issued in respect of the application is received by the Board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lang w:eastAsia="en-AU"/>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Board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544"/>
        <w:gridCol w:w="1134"/>
      </w:tblGrid>
      <w:tr>
        <w:trPr>
          <w:cantSplit/>
          <w:tblHeader/>
        </w:trPr>
        <w:tc>
          <w:tcPr>
            <w:tcW w:w="850" w:type="dxa"/>
          </w:tcPr>
          <w:p>
            <w:pPr>
              <w:pStyle w:val="TableNAm"/>
              <w:jc w:val="center"/>
              <w:rPr>
                <w:b/>
                <w:bCs/>
              </w:rPr>
            </w:pPr>
            <w:r>
              <w:rPr>
                <w:b/>
                <w:bCs/>
              </w:rPr>
              <w:t>Item</w:t>
            </w:r>
          </w:p>
        </w:tc>
        <w:tc>
          <w:tcPr>
            <w:tcW w:w="3544" w:type="dxa"/>
          </w:tcPr>
          <w:p>
            <w:pPr>
              <w:pStyle w:val="TableNAm"/>
              <w:jc w:val="center"/>
              <w:rPr>
                <w:b/>
                <w:bCs/>
              </w:rPr>
            </w:pPr>
            <w:r>
              <w:rPr>
                <w:b/>
                <w:bCs/>
              </w:rPr>
              <w:t>Number of repairers</w:t>
            </w:r>
          </w:p>
        </w:tc>
        <w:tc>
          <w:tcPr>
            <w:tcW w:w="1134" w:type="dxa"/>
          </w:tcPr>
          <w:p>
            <w:pPr>
              <w:pStyle w:val="TableNAm"/>
              <w:tabs>
                <w:tab w:val="clear" w:pos="567"/>
              </w:tabs>
              <w:ind w:right="118"/>
              <w:jc w:val="center"/>
              <w:rPr>
                <w:b/>
                <w:bCs/>
              </w:rPr>
            </w:pPr>
            <w:r>
              <w:rPr>
                <w:b/>
                <w:bCs/>
              </w:rPr>
              <w:t>$</w:t>
            </w:r>
          </w:p>
        </w:tc>
      </w:tr>
      <w:tr>
        <w:trPr>
          <w:cantSplit/>
        </w:trPr>
        <w:tc>
          <w:tcPr>
            <w:tcW w:w="850" w:type="dxa"/>
          </w:tcPr>
          <w:p>
            <w:pPr>
              <w:pStyle w:val="TableNAm"/>
              <w:jc w:val="center"/>
            </w:pPr>
            <w:r>
              <w:t>1.</w:t>
            </w:r>
          </w:p>
        </w:tc>
        <w:tc>
          <w:tcPr>
            <w:tcW w:w="3544" w:type="dxa"/>
          </w:tcPr>
          <w:p>
            <w:pPr>
              <w:pStyle w:val="TableNAm"/>
              <w:jc w:val="center"/>
            </w:pPr>
            <w:r>
              <w:t>1 to 2</w:t>
            </w:r>
          </w:p>
        </w:tc>
        <w:tc>
          <w:tcPr>
            <w:tcW w:w="1134" w:type="dxa"/>
          </w:tcPr>
          <w:p>
            <w:pPr>
              <w:pStyle w:val="TableNAm"/>
              <w:tabs>
                <w:tab w:val="clear" w:pos="567"/>
              </w:tabs>
              <w:ind w:right="118"/>
              <w:jc w:val="right"/>
            </w:pPr>
            <w:r>
              <w:t>631</w:t>
            </w:r>
          </w:p>
        </w:tc>
      </w:tr>
      <w:tr>
        <w:trPr>
          <w:cantSplit/>
        </w:trPr>
        <w:tc>
          <w:tcPr>
            <w:tcW w:w="850" w:type="dxa"/>
          </w:tcPr>
          <w:p>
            <w:pPr>
              <w:pStyle w:val="TableNAm"/>
              <w:jc w:val="center"/>
            </w:pPr>
            <w:r>
              <w:t>2.</w:t>
            </w:r>
          </w:p>
        </w:tc>
        <w:tc>
          <w:tcPr>
            <w:tcW w:w="3544" w:type="dxa"/>
          </w:tcPr>
          <w:p>
            <w:pPr>
              <w:pStyle w:val="TableNAm"/>
              <w:jc w:val="center"/>
            </w:pPr>
            <w:r>
              <w:t>3</w:t>
            </w:r>
          </w:p>
        </w:tc>
        <w:tc>
          <w:tcPr>
            <w:tcW w:w="1134" w:type="dxa"/>
          </w:tcPr>
          <w:p>
            <w:pPr>
              <w:pStyle w:val="TableNAm"/>
              <w:tabs>
                <w:tab w:val="clear" w:pos="567"/>
              </w:tabs>
              <w:ind w:right="118"/>
              <w:jc w:val="right"/>
            </w:pPr>
            <w:r>
              <w:t>881</w:t>
            </w:r>
          </w:p>
        </w:tc>
      </w:tr>
      <w:tr>
        <w:trPr>
          <w:cantSplit/>
        </w:trPr>
        <w:tc>
          <w:tcPr>
            <w:tcW w:w="850" w:type="dxa"/>
          </w:tcPr>
          <w:p>
            <w:pPr>
              <w:pStyle w:val="TableNAm"/>
              <w:jc w:val="center"/>
            </w:pPr>
            <w:r>
              <w:t>3.</w:t>
            </w:r>
          </w:p>
        </w:tc>
        <w:tc>
          <w:tcPr>
            <w:tcW w:w="3544" w:type="dxa"/>
          </w:tcPr>
          <w:p>
            <w:pPr>
              <w:pStyle w:val="TableNAm"/>
              <w:jc w:val="center"/>
            </w:pPr>
            <w:r>
              <w:t>4</w:t>
            </w:r>
          </w:p>
        </w:tc>
        <w:tc>
          <w:tcPr>
            <w:tcW w:w="1134" w:type="dxa"/>
          </w:tcPr>
          <w:p>
            <w:pPr>
              <w:pStyle w:val="TableNAm"/>
              <w:tabs>
                <w:tab w:val="clear" w:pos="567"/>
              </w:tabs>
              <w:ind w:right="118"/>
              <w:jc w:val="right"/>
            </w:pPr>
            <w:r>
              <w:t>1 100</w:t>
            </w:r>
          </w:p>
        </w:tc>
      </w:tr>
      <w:tr>
        <w:trPr>
          <w:cantSplit/>
        </w:trPr>
        <w:tc>
          <w:tcPr>
            <w:tcW w:w="850" w:type="dxa"/>
          </w:tcPr>
          <w:p>
            <w:pPr>
              <w:pStyle w:val="TableNAm"/>
              <w:jc w:val="center"/>
            </w:pPr>
            <w:r>
              <w:t>4.</w:t>
            </w:r>
          </w:p>
        </w:tc>
        <w:tc>
          <w:tcPr>
            <w:tcW w:w="3544" w:type="dxa"/>
          </w:tcPr>
          <w:p>
            <w:pPr>
              <w:pStyle w:val="TableNAm"/>
              <w:jc w:val="center"/>
            </w:pPr>
            <w:r>
              <w:t>5 to 7</w:t>
            </w:r>
          </w:p>
        </w:tc>
        <w:tc>
          <w:tcPr>
            <w:tcW w:w="1134" w:type="dxa"/>
          </w:tcPr>
          <w:p>
            <w:pPr>
              <w:pStyle w:val="TableNAm"/>
              <w:tabs>
                <w:tab w:val="clear" w:pos="567"/>
              </w:tabs>
              <w:ind w:right="118"/>
              <w:jc w:val="right"/>
            </w:pPr>
            <w:r>
              <w:t>1 600</w:t>
            </w:r>
          </w:p>
        </w:tc>
      </w:tr>
      <w:tr>
        <w:trPr>
          <w:cantSplit/>
        </w:trPr>
        <w:tc>
          <w:tcPr>
            <w:tcW w:w="850" w:type="dxa"/>
          </w:tcPr>
          <w:p>
            <w:pPr>
              <w:pStyle w:val="TableNAm"/>
              <w:jc w:val="center"/>
            </w:pPr>
            <w:r>
              <w:t>5.</w:t>
            </w:r>
          </w:p>
        </w:tc>
        <w:tc>
          <w:tcPr>
            <w:tcW w:w="3544" w:type="dxa"/>
          </w:tcPr>
          <w:p>
            <w:pPr>
              <w:pStyle w:val="TableNAm"/>
              <w:jc w:val="center"/>
            </w:pPr>
            <w:r>
              <w:t>8 to 10</w:t>
            </w:r>
          </w:p>
        </w:tc>
        <w:tc>
          <w:tcPr>
            <w:tcW w:w="1134" w:type="dxa"/>
          </w:tcPr>
          <w:p>
            <w:pPr>
              <w:pStyle w:val="TableNAm"/>
              <w:tabs>
                <w:tab w:val="clear" w:pos="567"/>
              </w:tabs>
              <w:ind w:right="118"/>
              <w:jc w:val="right"/>
            </w:pPr>
            <w:r>
              <w:t>2 038</w:t>
            </w:r>
          </w:p>
        </w:tc>
      </w:tr>
      <w:tr>
        <w:trPr>
          <w:cantSplit/>
        </w:trPr>
        <w:tc>
          <w:tcPr>
            <w:tcW w:w="850" w:type="dxa"/>
          </w:tcPr>
          <w:p>
            <w:pPr>
              <w:pStyle w:val="TableNAm"/>
              <w:jc w:val="center"/>
            </w:pPr>
            <w:r>
              <w:t>6.</w:t>
            </w:r>
          </w:p>
        </w:tc>
        <w:tc>
          <w:tcPr>
            <w:tcW w:w="3544" w:type="dxa"/>
          </w:tcPr>
          <w:p>
            <w:pPr>
              <w:pStyle w:val="TableNAm"/>
              <w:jc w:val="center"/>
            </w:pPr>
            <w:r>
              <w:t>11 or more</w:t>
            </w:r>
          </w:p>
        </w:tc>
        <w:tc>
          <w:tcPr>
            <w:tcW w:w="1134" w:type="dxa"/>
          </w:tcPr>
          <w:p>
            <w:pPr>
              <w:pStyle w:val="TableNAm"/>
              <w:tabs>
                <w:tab w:val="clear" w:pos="567"/>
              </w:tabs>
              <w:ind w:right="118"/>
              <w:jc w:val="right"/>
            </w:pPr>
            <w:r>
              <w:t>2 569</w:t>
            </w:r>
          </w:p>
        </w:tc>
      </w:tr>
    </w:tbl>
    <w:p>
      <w:pPr>
        <w:pStyle w:val="Footnotesection"/>
      </w:pPr>
      <w:r>
        <w:tab/>
        <w:t>[Regulation 7A inserted in Gazette 24 Jun 2008 p. 2812-15; amended in Gazette 23 Jun 2009 p. 2447.]</w:t>
      </w:r>
    </w:p>
    <w:p>
      <w:pPr>
        <w:pStyle w:val="Heading5"/>
      </w:pPr>
      <w:bookmarkStart w:id="135" w:name="_Toc233702413"/>
      <w:r>
        <w:rPr>
          <w:rStyle w:val="CharSectno"/>
        </w:rPr>
        <w:t>7B</w:t>
      </w:r>
      <w:r>
        <w:t>.</w:t>
      </w:r>
      <w:r>
        <w:tab/>
        <w:t>Notice relating to replacement applications</w:t>
      </w:r>
      <w:bookmarkEnd w:id="135"/>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Board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This regulation applies if the Board proposes to issue a replacement licence.</w:t>
      </w:r>
    </w:p>
    <w:p>
      <w:pPr>
        <w:pStyle w:val="Subsection"/>
      </w:pPr>
      <w:r>
        <w:tab/>
        <w:t>(3)</w:t>
      </w:r>
      <w:r>
        <w:tab/>
        <w:t xml:space="preserve">The Board must issue a notice to the applicant stating — </w:t>
      </w:r>
    </w:p>
    <w:p>
      <w:pPr>
        <w:pStyle w:val="Indenta"/>
      </w:pPr>
      <w:r>
        <w:tab/>
        <w:t>(a)</w:t>
      </w:r>
      <w:r>
        <w:tab/>
        <w:t>that the Board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Board that he, she or it is withdrawing the application — </w:t>
      </w:r>
    </w:p>
    <w:p>
      <w:pPr>
        <w:pStyle w:val="Indenta"/>
      </w:pPr>
      <w:r>
        <w:tab/>
        <w:t>(a)</w:t>
      </w:r>
      <w:r>
        <w:tab/>
        <w:t>ensure that any required payment is received by the Board before the proposed issue day; and</w:t>
      </w:r>
    </w:p>
    <w:p>
      <w:pPr>
        <w:pStyle w:val="Indenta"/>
      </w:pPr>
      <w:r>
        <w:tab/>
        <w:t>(b)</w:t>
      </w:r>
      <w:r>
        <w:tab/>
        <w:t>return the old licence to the Board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Board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the Board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if the amount of refund exceeds the outstanding fee, the Board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Board may issue another notice under this regulation specifying a new proposed issue day for the licence.</w:t>
      </w:r>
    </w:p>
    <w:p>
      <w:pPr>
        <w:pStyle w:val="Footnotesection"/>
      </w:pPr>
      <w:r>
        <w:tab/>
        <w:t>[Regulation 7B inserted in Gazette 24 Jun 2008 p. 2815-17.]</w:t>
      </w:r>
    </w:p>
    <w:p>
      <w:pPr>
        <w:pStyle w:val="Heading5"/>
        <w:spacing w:before="180"/>
      </w:pPr>
      <w:bookmarkStart w:id="136" w:name="_Toc233702414"/>
      <w:r>
        <w:rPr>
          <w:rStyle w:val="CharSectno"/>
        </w:rPr>
        <w:t>7C</w:t>
      </w:r>
      <w:r>
        <w:t>.</w:t>
      </w:r>
      <w:r>
        <w:tab/>
        <w:t>Fee for duplicate business licence</w:t>
      </w:r>
      <w:bookmarkEnd w:id="136"/>
    </w:p>
    <w:p>
      <w:pPr>
        <w:pStyle w:val="Subsection"/>
        <w:spacing w:before="120"/>
      </w:pPr>
      <w:r>
        <w:tab/>
      </w:r>
      <w:r>
        <w:tab/>
        <w:t>For the purposes of the Act section 25, the prescribed fee is  $37.25.</w:t>
      </w:r>
    </w:p>
    <w:p>
      <w:pPr>
        <w:pStyle w:val="Footnotesection"/>
      </w:pPr>
      <w:r>
        <w:tab/>
        <w:t>[Regulation 7C inserted in Gazette 24 Jun 2008 p. 2817; amended in Gazette 23 Jun 2009 p. 2448.]</w:t>
      </w:r>
    </w:p>
    <w:p>
      <w:pPr>
        <w:pStyle w:val="Heading5"/>
      </w:pPr>
      <w:bookmarkStart w:id="137" w:name="_Toc233702415"/>
      <w:r>
        <w:rPr>
          <w:rStyle w:val="CharSectno"/>
        </w:rPr>
        <w:t>7D</w:t>
      </w:r>
      <w:r>
        <w:t>.</w:t>
      </w:r>
      <w:r>
        <w:tab/>
        <w:t>Conditions and restrictions attached to business licences for autogas work</w:t>
      </w:r>
      <w:bookmarkEnd w:id="137"/>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38" w:name="_Toc233702416"/>
      <w:r>
        <w:rPr>
          <w:rStyle w:val="CharSectno"/>
        </w:rPr>
        <w:t>7E</w:t>
      </w:r>
      <w:r>
        <w:t>.</w:t>
      </w:r>
      <w:r>
        <w:tab/>
        <w:t>Duration of business licences</w:t>
      </w:r>
      <w:bookmarkEnd w:id="138"/>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39" w:name="_Toc233702417"/>
      <w:r>
        <w:rPr>
          <w:rStyle w:val="CharSectno"/>
        </w:rPr>
        <w:t>7F</w:t>
      </w:r>
      <w:r>
        <w:t>.</w:t>
      </w:r>
      <w:r>
        <w:tab/>
        <w:t>Fee for renewal of licence</w:t>
      </w:r>
      <w:bookmarkEnd w:id="139"/>
    </w:p>
    <w:p>
      <w:pPr>
        <w:pStyle w:val="Subsection"/>
      </w:pPr>
      <w:r>
        <w:tab/>
        <w:t>(1)</w:t>
      </w:r>
      <w:r>
        <w:tab/>
        <w:t xml:space="preserve">For the purposes of the Act section 31(3)(b), the prescribed fee is the sum of — </w:t>
      </w:r>
    </w:p>
    <w:p>
      <w:pPr>
        <w:pStyle w:val="Indenta"/>
      </w:pPr>
      <w:r>
        <w:tab/>
        <w:t>(a)</w:t>
      </w:r>
      <w:r>
        <w:tab/>
        <w:t>$150;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544"/>
        <w:gridCol w:w="1134"/>
      </w:tblGrid>
      <w:tr>
        <w:trPr>
          <w:cantSplit/>
          <w:tblHeader/>
        </w:trPr>
        <w:tc>
          <w:tcPr>
            <w:tcW w:w="850" w:type="dxa"/>
          </w:tcPr>
          <w:p>
            <w:pPr>
              <w:pStyle w:val="TableNAm"/>
              <w:jc w:val="center"/>
              <w:rPr>
                <w:b/>
                <w:bCs/>
              </w:rPr>
            </w:pPr>
            <w:r>
              <w:rPr>
                <w:b/>
                <w:bCs/>
              </w:rPr>
              <w:t>Item</w:t>
            </w:r>
          </w:p>
        </w:tc>
        <w:tc>
          <w:tcPr>
            <w:tcW w:w="3544" w:type="dxa"/>
          </w:tcPr>
          <w:p>
            <w:pPr>
              <w:pStyle w:val="TableNAm"/>
              <w:jc w:val="center"/>
              <w:rPr>
                <w:b/>
                <w:bCs/>
              </w:rPr>
            </w:pPr>
            <w:r>
              <w:rPr>
                <w:b/>
                <w:bCs/>
              </w:rPr>
              <w:t>Number of repairers</w:t>
            </w:r>
          </w:p>
        </w:tc>
        <w:tc>
          <w:tcPr>
            <w:tcW w:w="1134" w:type="dxa"/>
          </w:tcPr>
          <w:p>
            <w:pPr>
              <w:pStyle w:val="TableNAm"/>
              <w:tabs>
                <w:tab w:val="clear" w:pos="567"/>
              </w:tabs>
              <w:ind w:right="238"/>
              <w:jc w:val="center"/>
              <w:rPr>
                <w:b/>
                <w:bCs/>
              </w:rPr>
            </w:pPr>
            <w:r>
              <w:rPr>
                <w:b/>
                <w:bCs/>
              </w:rPr>
              <w:t>$</w:t>
            </w:r>
          </w:p>
        </w:tc>
      </w:tr>
      <w:tr>
        <w:trPr>
          <w:cantSplit/>
        </w:trPr>
        <w:tc>
          <w:tcPr>
            <w:tcW w:w="850" w:type="dxa"/>
          </w:tcPr>
          <w:p>
            <w:pPr>
              <w:pStyle w:val="TableNAm"/>
            </w:pPr>
            <w:r>
              <w:t>1.</w:t>
            </w:r>
          </w:p>
        </w:tc>
        <w:tc>
          <w:tcPr>
            <w:tcW w:w="3544" w:type="dxa"/>
          </w:tcPr>
          <w:p>
            <w:pPr>
              <w:pStyle w:val="TableNAm"/>
              <w:jc w:val="center"/>
            </w:pPr>
            <w:r>
              <w:t>1 to 2</w:t>
            </w:r>
          </w:p>
        </w:tc>
        <w:tc>
          <w:tcPr>
            <w:tcW w:w="1134" w:type="dxa"/>
          </w:tcPr>
          <w:p>
            <w:pPr>
              <w:pStyle w:val="TableNAm"/>
              <w:tabs>
                <w:tab w:val="clear" w:pos="567"/>
              </w:tabs>
              <w:ind w:right="238"/>
              <w:jc w:val="right"/>
            </w:pPr>
            <w:r>
              <w:t>631</w:t>
            </w:r>
          </w:p>
        </w:tc>
      </w:tr>
      <w:tr>
        <w:trPr>
          <w:cantSplit/>
        </w:trPr>
        <w:tc>
          <w:tcPr>
            <w:tcW w:w="850" w:type="dxa"/>
          </w:tcPr>
          <w:p>
            <w:pPr>
              <w:pStyle w:val="TableNAm"/>
            </w:pPr>
            <w:r>
              <w:t>2.</w:t>
            </w:r>
          </w:p>
        </w:tc>
        <w:tc>
          <w:tcPr>
            <w:tcW w:w="3544" w:type="dxa"/>
          </w:tcPr>
          <w:p>
            <w:pPr>
              <w:pStyle w:val="TableNAm"/>
              <w:jc w:val="center"/>
            </w:pPr>
            <w:r>
              <w:t>3</w:t>
            </w:r>
          </w:p>
        </w:tc>
        <w:tc>
          <w:tcPr>
            <w:tcW w:w="1134" w:type="dxa"/>
          </w:tcPr>
          <w:p>
            <w:pPr>
              <w:pStyle w:val="TableNAm"/>
              <w:tabs>
                <w:tab w:val="clear" w:pos="567"/>
              </w:tabs>
              <w:ind w:right="238"/>
              <w:jc w:val="right"/>
            </w:pPr>
            <w:r>
              <w:t>881</w:t>
            </w:r>
          </w:p>
        </w:tc>
      </w:tr>
      <w:tr>
        <w:trPr>
          <w:cantSplit/>
        </w:trPr>
        <w:tc>
          <w:tcPr>
            <w:tcW w:w="850" w:type="dxa"/>
          </w:tcPr>
          <w:p>
            <w:pPr>
              <w:pStyle w:val="TableNAm"/>
            </w:pPr>
            <w:r>
              <w:t>3.</w:t>
            </w:r>
          </w:p>
        </w:tc>
        <w:tc>
          <w:tcPr>
            <w:tcW w:w="3544" w:type="dxa"/>
          </w:tcPr>
          <w:p>
            <w:pPr>
              <w:pStyle w:val="TableNAm"/>
              <w:jc w:val="center"/>
            </w:pPr>
            <w:r>
              <w:t>4</w:t>
            </w:r>
          </w:p>
        </w:tc>
        <w:tc>
          <w:tcPr>
            <w:tcW w:w="1134" w:type="dxa"/>
          </w:tcPr>
          <w:p>
            <w:pPr>
              <w:pStyle w:val="TableNAm"/>
              <w:tabs>
                <w:tab w:val="clear" w:pos="567"/>
              </w:tabs>
              <w:ind w:right="238"/>
              <w:jc w:val="right"/>
            </w:pPr>
            <w:r>
              <w:t>1 100</w:t>
            </w:r>
          </w:p>
        </w:tc>
      </w:tr>
      <w:tr>
        <w:trPr>
          <w:cantSplit/>
        </w:trPr>
        <w:tc>
          <w:tcPr>
            <w:tcW w:w="850" w:type="dxa"/>
          </w:tcPr>
          <w:p>
            <w:pPr>
              <w:pStyle w:val="TableNAm"/>
            </w:pPr>
            <w:r>
              <w:t>4.</w:t>
            </w:r>
          </w:p>
        </w:tc>
        <w:tc>
          <w:tcPr>
            <w:tcW w:w="3544" w:type="dxa"/>
          </w:tcPr>
          <w:p>
            <w:pPr>
              <w:pStyle w:val="TableNAm"/>
              <w:jc w:val="center"/>
            </w:pPr>
            <w:r>
              <w:t>5 to 7</w:t>
            </w:r>
          </w:p>
        </w:tc>
        <w:tc>
          <w:tcPr>
            <w:tcW w:w="1134" w:type="dxa"/>
          </w:tcPr>
          <w:p>
            <w:pPr>
              <w:pStyle w:val="TableNAm"/>
              <w:tabs>
                <w:tab w:val="clear" w:pos="567"/>
              </w:tabs>
              <w:ind w:right="238"/>
              <w:jc w:val="right"/>
            </w:pPr>
            <w:r>
              <w:t>1 600</w:t>
            </w:r>
          </w:p>
        </w:tc>
      </w:tr>
      <w:tr>
        <w:trPr>
          <w:cantSplit/>
        </w:trPr>
        <w:tc>
          <w:tcPr>
            <w:tcW w:w="850" w:type="dxa"/>
          </w:tcPr>
          <w:p>
            <w:pPr>
              <w:pStyle w:val="TableNAm"/>
            </w:pPr>
            <w:r>
              <w:t>5.</w:t>
            </w:r>
          </w:p>
        </w:tc>
        <w:tc>
          <w:tcPr>
            <w:tcW w:w="3544" w:type="dxa"/>
          </w:tcPr>
          <w:p>
            <w:pPr>
              <w:pStyle w:val="TableNAm"/>
              <w:jc w:val="center"/>
            </w:pPr>
            <w:r>
              <w:t>8 to 10</w:t>
            </w:r>
          </w:p>
        </w:tc>
        <w:tc>
          <w:tcPr>
            <w:tcW w:w="1134" w:type="dxa"/>
          </w:tcPr>
          <w:p>
            <w:pPr>
              <w:pStyle w:val="TableNAm"/>
              <w:tabs>
                <w:tab w:val="clear" w:pos="567"/>
              </w:tabs>
              <w:ind w:right="238"/>
              <w:jc w:val="right"/>
            </w:pPr>
            <w:r>
              <w:t>2 038</w:t>
            </w:r>
          </w:p>
        </w:tc>
      </w:tr>
      <w:tr>
        <w:trPr>
          <w:cantSplit/>
        </w:trPr>
        <w:tc>
          <w:tcPr>
            <w:tcW w:w="850" w:type="dxa"/>
          </w:tcPr>
          <w:p>
            <w:pPr>
              <w:pStyle w:val="TableNAm"/>
            </w:pPr>
            <w:r>
              <w:t>6.</w:t>
            </w:r>
          </w:p>
        </w:tc>
        <w:tc>
          <w:tcPr>
            <w:tcW w:w="3544" w:type="dxa"/>
          </w:tcPr>
          <w:p>
            <w:pPr>
              <w:pStyle w:val="TableNAm"/>
              <w:jc w:val="center"/>
            </w:pPr>
            <w:r>
              <w:t>11 or more</w:t>
            </w:r>
          </w:p>
        </w:tc>
        <w:tc>
          <w:tcPr>
            <w:tcW w:w="1134" w:type="dxa"/>
          </w:tcPr>
          <w:p>
            <w:pPr>
              <w:pStyle w:val="TableNAm"/>
              <w:tabs>
                <w:tab w:val="clear" w:pos="567"/>
              </w:tabs>
              <w:ind w:right="238"/>
              <w:jc w:val="right"/>
            </w:pPr>
            <w:r>
              <w:t>2 569</w:t>
            </w:r>
          </w:p>
        </w:tc>
      </w:tr>
    </w:tbl>
    <w:p>
      <w:pPr>
        <w:pStyle w:val="Footnotesection"/>
      </w:pPr>
      <w:r>
        <w:tab/>
        <w:t>[Regulation 7F inserted in Gazette 24 Jun 2008 p. 2819; amended in Gazette 23 Jun 2009 p. 2448.]</w:t>
      </w:r>
    </w:p>
    <w:p>
      <w:pPr>
        <w:pStyle w:val="Heading5"/>
      </w:pPr>
      <w:bookmarkStart w:id="140" w:name="_Toc233702418"/>
      <w:r>
        <w:rPr>
          <w:rStyle w:val="CharSectno"/>
        </w:rPr>
        <w:t>7G</w:t>
      </w:r>
      <w:r>
        <w:t>.</w:t>
      </w:r>
      <w:r>
        <w:tab/>
        <w:t>Change of certain information to be notified by licensee</w:t>
      </w:r>
      <w:bookmarkEnd w:id="140"/>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Board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w:t>
      </w:r>
    </w:p>
    <w:p>
      <w:pPr>
        <w:pStyle w:val="Heading5"/>
      </w:pPr>
      <w:bookmarkStart w:id="141" w:name="_Toc233702419"/>
      <w:bookmarkStart w:id="142" w:name="_Toc202153845"/>
      <w:bookmarkStart w:id="143" w:name="_Toc202243812"/>
      <w:bookmarkStart w:id="144" w:name="_Toc205004050"/>
      <w:bookmarkStart w:id="145" w:name="_Toc205006463"/>
      <w:bookmarkStart w:id="146" w:name="_Toc207515682"/>
      <w:bookmarkStart w:id="147" w:name="_Toc207790251"/>
      <w:bookmarkStart w:id="148" w:name="_Toc209499127"/>
      <w:r>
        <w:rPr>
          <w:rStyle w:val="CharSectno"/>
        </w:rPr>
        <w:t>7H</w:t>
      </w:r>
      <w:r>
        <w:t>.</w:t>
      </w:r>
      <w:r>
        <w:tab/>
        <w:t>Exemption from requirement for planning certificate</w:t>
      </w:r>
      <w:bookmarkEnd w:id="141"/>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149" w:name="_Toc226181051"/>
      <w:bookmarkStart w:id="150" w:name="_Toc226275912"/>
      <w:bookmarkStart w:id="151" w:name="_Toc233702420"/>
      <w:r>
        <w:rPr>
          <w:rStyle w:val="CharPartNo"/>
        </w:rPr>
        <w:t>Part 2</w:t>
      </w:r>
      <w:r>
        <w:rPr>
          <w:rStyle w:val="CharDivNo"/>
        </w:rPr>
        <w:t> </w:t>
      </w:r>
      <w:r>
        <w:t>—</w:t>
      </w:r>
      <w:r>
        <w:rPr>
          <w:rStyle w:val="CharDivText"/>
        </w:rPr>
        <w:t> </w:t>
      </w:r>
      <w:r>
        <w:rPr>
          <w:rStyle w:val="CharPartText"/>
        </w:rPr>
        <w:t>Certification of individuals performing repair work</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42"/>
      <w:bookmarkEnd w:id="143"/>
      <w:bookmarkEnd w:id="144"/>
      <w:bookmarkEnd w:id="145"/>
      <w:bookmarkEnd w:id="146"/>
      <w:bookmarkEnd w:id="147"/>
      <w:bookmarkEnd w:id="148"/>
      <w:bookmarkEnd w:id="149"/>
      <w:bookmarkEnd w:id="150"/>
      <w:bookmarkEnd w:id="151"/>
    </w:p>
    <w:p>
      <w:pPr>
        <w:pStyle w:val="Heading5"/>
      </w:pPr>
      <w:bookmarkStart w:id="152" w:name="_Toc154226821"/>
      <w:bookmarkStart w:id="153" w:name="_Toc233702421"/>
      <w:r>
        <w:rPr>
          <w:rStyle w:val="CharSectno"/>
        </w:rPr>
        <w:t>7</w:t>
      </w:r>
      <w:r>
        <w:t>.</w:t>
      </w:r>
      <w:r>
        <w:tab/>
        <w:t>Application fee for repairer’s certificate</w:t>
      </w:r>
      <w:bookmarkEnd w:id="152"/>
      <w:bookmarkEnd w:id="153"/>
    </w:p>
    <w:p>
      <w:pPr>
        <w:pStyle w:val="Subsection"/>
      </w:pPr>
      <w:r>
        <w:tab/>
      </w:r>
      <w:r>
        <w:tab/>
        <w:t>For the purposes of the Act section 41(2)(b), the prescribed fee, regardless of the number of classes of repair work, is $70.00.</w:t>
      </w:r>
    </w:p>
    <w:p>
      <w:pPr>
        <w:pStyle w:val="Footnotesection"/>
      </w:pPr>
      <w:bookmarkStart w:id="154" w:name="_Toc154226822"/>
      <w:r>
        <w:tab/>
        <w:t>[Regulation 7 amended in Gazette 17 Jun 2008 p. 2555; 24 Jun 2008 p. 2820; 23 Jun 2009 p. 2448.]</w:t>
      </w:r>
    </w:p>
    <w:p>
      <w:pPr>
        <w:pStyle w:val="Heading5"/>
      </w:pPr>
      <w:bookmarkStart w:id="155" w:name="_Toc233702422"/>
      <w:r>
        <w:rPr>
          <w:rStyle w:val="CharSectno"/>
        </w:rPr>
        <w:t>8</w:t>
      </w:r>
      <w:r>
        <w:t>.</w:t>
      </w:r>
      <w:r>
        <w:tab/>
        <w:t>Prescribed qualifications</w:t>
      </w:r>
      <w:bookmarkEnd w:id="154"/>
      <w:bookmarkEnd w:id="155"/>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12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Body Building</w:t>
            </w:r>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Certificate III in Automotive (Mechanical — Heavy Vehicle Road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r>
              <w:t>Heavy Vehicle Road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r>
              <w:t>Tyre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Tyre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t>Tyre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r>
              <w:t>Tyre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Certificate II in Automotive (Mechanical — Tyre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Tyre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156" w:name="_Toc202153848"/>
      <w:bookmarkStart w:id="157" w:name="_Toc202243815"/>
      <w:bookmarkStart w:id="158" w:name="_Toc205004053"/>
      <w:bookmarkStart w:id="159" w:name="_Toc205006466"/>
      <w:bookmarkStart w:id="160" w:name="_Toc207515685"/>
      <w:bookmarkStart w:id="161" w:name="_Toc207790254"/>
      <w:bookmarkStart w:id="162" w:name="_Toc209499130"/>
      <w:bookmarkStart w:id="163" w:name="_Toc226181054"/>
      <w:bookmarkStart w:id="164" w:name="_Toc226275915"/>
      <w:bookmarkStart w:id="165" w:name="_Toc233702423"/>
      <w:bookmarkStart w:id="166" w:name="_Toc154226824"/>
      <w:r>
        <w:rPr>
          <w:rStyle w:val="CharPartNo"/>
        </w:rPr>
        <w:t>Part 3</w:t>
      </w:r>
      <w:r>
        <w:rPr>
          <w:b w:val="0"/>
        </w:rPr>
        <w:t> </w:t>
      </w:r>
      <w:r>
        <w:t>—</w:t>
      </w:r>
      <w:r>
        <w:rPr>
          <w:b w:val="0"/>
        </w:rPr>
        <w:t> </w:t>
      </w:r>
      <w:r>
        <w:rPr>
          <w:rStyle w:val="CharPartText"/>
        </w:rPr>
        <w:t>Provisions applicable to business licences and to certificates</w:t>
      </w:r>
      <w:bookmarkEnd w:id="156"/>
      <w:bookmarkEnd w:id="157"/>
      <w:bookmarkEnd w:id="158"/>
      <w:bookmarkEnd w:id="159"/>
      <w:bookmarkEnd w:id="160"/>
      <w:bookmarkEnd w:id="161"/>
      <w:bookmarkEnd w:id="162"/>
      <w:bookmarkEnd w:id="163"/>
      <w:bookmarkEnd w:id="164"/>
      <w:bookmarkEnd w:id="165"/>
    </w:p>
    <w:p>
      <w:pPr>
        <w:pStyle w:val="Footnoteheading"/>
      </w:pPr>
      <w:r>
        <w:tab/>
        <w:t>[Heading inserted in Gazette 24 Jun 2008 p. 2820.]</w:t>
      </w:r>
    </w:p>
    <w:p>
      <w:pPr>
        <w:pStyle w:val="Heading5"/>
      </w:pPr>
      <w:bookmarkStart w:id="167" w:name="_Toc233702424"/>
      <w:r>
        <w:rPr>
          <w:rStyle w:val="CharSectno"/>
        </w:rPr>
        <w:t>9</w:t>
      </w:r>
      <w:r>
        <w:t>.</w:t>
      </w:r>
      <w:r>
        <w:tab/>
        <w:t>Particulars and matters to be recorded in register</w:t>
      </w:r>
      <w:bookmarkEnd w:id="166"/>
      <w:bookmarkEnd w:id="167"/>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168" w:name="_Toc154226825"/>
      <w:bookmarkStart w:id="169" w:name="_Toc233702425"/>
      <w:r>
        <w:rPr>
          <w:rStyle w:val="CharSectno"/>
        </w:rPr>
        <w:t>10</w:t>
      </w:r>
      <w:r>
        <w:t>.</w:t>
      </w:r>
      <w:r>
        <w:tab/>
        <w:t>Fees for inspecting register etc.</w:t>
      </w:r>
      <w:bookmarkEnd w:id="168"/>
      <w:bookmarkEnd w:id="169"/>
    </w:p>
    <w:p>
      <w:pPr>
        <w:pStyle w:val="Subsection"/>
        <w:keepNext/>
        <w:keepLines/>
      </w:pPr>
      <w:r>
        <w:tab/>
      </w:r>
      <w:r>
        <w:tab/>
        <w:t xml:space="preserve">For the purposes of the Act section 51, the prescribed fees in relation to a register are — </w:t>
      </w:r>
    </w:p>
    <w:p>
      <w:pPr>
        <w:pStyle w:val="Indenta"/>
      </w:pPr>
      <w:r>
        <w:tab/>
        <w:t>(a)</w:t>
      </w:r>
      <w:r>
        <w:tab/>
        <w:t>to inspect the register — $17.50;</w:t>
      </w:r>
    </w:p>
    <w:p>
      <w:pPr>
        <w:pStyle w:val="Indenta"/>
      </w:pPr>
      <w:r>
        <w:tab/>
        <w:t>(b)</w:t>
      </w:r>
      <w:r>
        <w:tab/>
        <w:t xml:space="preserve">to obtain a copy — </w:t>
      </w:r>
    </w:p>
    <w:p>
      <w:pPr>
        <w:pStyle w:val="Indenti"/>
      </w:pPr>
      <w:r>
        <w:tab/>
        <w:t>(i)</w:t>
      </w:r>
      <w:r>
        <w:tab/>
        <w:t>of one or more specific entries of the register —$17.50 for the first page and $3.50 for each subsequent page;</w:t>
      </w:r>
    </w:p>
    <w:p>
      <w:pPr>
        <w:pStyle w:val="Indenti"/>
      </w:pPr>
      <w:r>
        <w:tab/>
        <w:t>(ii)</w:t>
      </w:r>
      <w:r>
        <w:tab/>
        <w:t>of all entries in the register — $222.</w:t>
      </w:r>
    </w:p>
    <w:p>
      <w:pPr>
        <w:pStyle w:val="Footnotesection"/>
      </w:pPr>
      <w:bookmarkStart w:id="170" w:name="_Toc154226826"/>
      <w:r>
        <w:tab/>
        <w:t>[Regulation 10 amended in Gazette 17 Jun 2008 p. 2555; 24 Jun 2008 p. 2822; 23 Jun 2009 p. 2448</w:t>
      </w:r>
      <w:r>
        <w:noBreakHyphen/>
        <w:t>9.]</w:t>
      </w:r>
    </w:p>
    <w:p>
      <w:pPr>
        <w:pStyle w:val="Heading5"/>
      </w:pPr>
      <w:bookmarkStart w:id="171" w:name="_Toc233702426"/>
      <w:r>
        <w:rPr>
          <w:rStyle w:val="CharSectno"/>
        </w:rPr>
        <w:t>11</w:t>
      </w:r>
      <w:r>
        <w:t>.</w:t>
      </w:r>
      <w:r>
        <w:tab/>
        <w:t>Fee for certified copy of certificate</w:t>
      </w:r>
      <w:bookmarkEnd w:id="170"/>
      <w:bookmarkEnd w:id="171"/>
    </w:p>
    <w:p>
      <w:pPr>
        <w:pStyle w:val="Subsection"/>
      </w:pPr>
      <w:r>
        <w:tab/>
      </w:r>
      <w:r>
        <w:tab/>
        <w:t>For the purposes of the Act section 54(1), the prescribed fee is $38.50.</w:t>
      </w:r>
    </w:p>
    <w:p>
      <w:pPr>
        <w:pStyle w:val="Footnotesection"/>
      </w:pPr>
      <w:bookmarkStart w:id="172" w:name="_Toc202153852"/>
      <w:r>
        <w:tab/>
        <w:t>[Regulation 11 amended in Gazette 17 Jun 2008 p. 2555; 23 Jun 2009 p. 2449.]</w:t>
      </w:r>
    </w:p>
    <w:p>
      <w:pPr>
        <w:pStyle w:val="Heading2"/>
      </w:pPr>
      <w:bookmarkStart w:id="173" w:name="_Toc202243819"/>
      <w:bookmarkStart w:id="174" w:name="_Toc205004057"/>
      <w:bookmarkStart w:id="175" w:name="_Toc205006470"/>
      <w:bookmarkStart w:id="176" w:name="_Toc207515689"/>
      <w:bookmarkStart w:id="177" w:name="_Toc207790258"/>
      <w:bookmarkStart w:id="178" w:name="_Toc209499134"/>
      <w:bookmarkStart w:id="179" w:name="_Toc226181058"/>
      <w:bookmarkStart w:id="180" w:name="_Toc226275919"/>
      <w:bookmarkStart w:id="181" w:name="_Toc233702427"/>
      <w:r>
        <w:rPr>
          <w:rStyle w:val="CharPartNo"/>
        </w:rPr>
        <w:t>Part 4</w:t>
      </w:r>
      <w:r>
        <w:rPr>
          <w:b w:val="0"/>
        </w:rPr>
        <w:t> </w:t>
      </w:r>
      <w:r>
        <w:t>—</w:t>
      </w:r>
      <w:r>
        <w:rPr>
          <w:b w:val="0"/>
        </w:rPr>
        <w:t> </w:t>
      </w:r>
      <w:r>
        <w:rPr>
          <w:rStyle w:val="CharPartText"/>
        </w:rPr>
        <w:t>Miscellaneous</w:t>
      </w:r>
      <w:bookmarkEnd w:id="172"/>
      <w:bookmarkEnd w:id="173"/>
      <w:bookmarkEnd w:id="174"/>
      <w:bookmarkEnd w:id="175"/>
      <w:bookmarkEnd w:id="176"/>
      <w:bookmarkEnd w:id="177"/>
      <w:bookmarkEnd w:id="178"/>
      <w:bookmarkEnd w:id="179"/>
      <w:bookmarkEnd w:id="180"/>
      <w:bookmarkEnd w:id="181"/>
    </w:p>
    <w:p>
      <w:pPr>
        <w:pStyle w:val="Footnoteheading"/>
      </w:pPr>
      <w:r>
        <w:tab/>
        <w:t>[Heading inserted in Gazette 24 Jun 2008 p. 2822.]</w:t>
      </w:r>
    </w:p>
    <w:p>
      <w:pPr>
        <w:pStyle w:val="Heading5"/>
      </w:pPr>
      <w:bookmarkStart w:id="182" w:name="_Toc233702428"/>
      <w:r>
        <w:rPr>
          <w:rStyle w:val="CharSectno"/>
        </w:rPr>
        <w:t>12</w:t>
      </w:r>
      <w:r>
        <w:rPr>
          <w:color w:val="000000"/>
        </w:rPr>
        <w:t>.</w:t>
      </w:r>
      <w:r>
        <w:rPr>
          <w:color w:val="000000"/>
        </w:rPr>
        <w:tab/>
        <w:t>Fees for changes in authorised premises</w:t>
      </w:r>
      <w:bookmarkEnd w:id="182"/>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 $58 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$116 for each of the fixed premises the particulars of which are to be added.</w:t>
      </w:r>
    </w:p>
    <w:p>
      <w:pPr>
        <w:pStyle w:val="Footnotesection"/>
      </w:pPr>
      <w:r>
        <w:tab/>
        <w:t>[Regulation 12 inserted in Gazette 24 Jun 2008 p. 2822-3; amended in Gazette 23 Jun 2009 p. 2449.]</w:t>
      </w:r>
    </w:p>
    <w:p>
      <w:pPr>
        <w:pStyle w:val="Heading5"/>
      </w:pPr>
      <w:bookmarkStart w:id="183" w:name="_Toc233702429"/>
      <w:r>
        <w:rPr>
          <w:rStyle w:val="CharSectno"/>
        </w:rPr>
        <w:t>13</w:t>
      </w:r>
      <w:r>
        <w:t>.</w:t>
      </w:r>
      <w:r>
        <w:tab/>
        <w:t>Infringement notice offences and penalties</w:t>
      </w:r>
      <w:bookmarkEnd w:id="183"/>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pPr>
      <w:r>
        <w:rPr>
          <w:b/>
        </w:rPr>
        <w:t>Table</w:t>
      </w:r>
    </w:p>
    <w:tbl>
      <w:tblPr>
        <w:tblW w:w="0" w:type="auto"/>
        <w:tblInd w:w="675" w:type="dxa"/>
        <w:tblLayout w:type="fixed"/>
        <w:tblLook w:val="0000" w:firstRow="0" w:lastRow="0" w:firstColumn="0" w:lastColumn="0" w:noHBand="0" w:noVBand="0"/>
      </w:tblPr>
      <w:tblGrid>
        <w:gridCol w:w="993"/>
        <w:gridCol w:w="2054"/>
        <w:gridCol w:w="1737"/>
        <w:gridCol w:w="1737"/>
      </w:tblGrid>
      <w:tr>
        <w:trPr>
          <w:tblHeader/>
        </w:trPr>
        <w:tc>
          <w:tcPr>
            <w:tcW w:w="993" w:type="dxa"/>
            <w:tcBorders>
              <w:top w:val="single" w:sz="4" w:space="0" w:color="auto"/>
              <w:bottom w:val="single" w:sz="4" w:space="0" w:color="auto"/>
            </w:tcBorders>
          </w:tcPr>
          <w:p>
            <w:pPr>
              <w:pStyle w:val="Table"/>
              <w:jc w:val="center"/>
            </w:pPr>
            <w:r>
              <w:rPr>
                <w:b/>
              </w:rPr>
              <w:t>Item</w:t>
            </w:r>
          </w:p>
        </w:tc>
        <w:tc>
          <w:tcPr>
            <w:tcW w:w="2054" w:type="dxa"/>
            <w:tcBorders>
              <w:top w:val="single" w:sz="4" w:space="0" w:color="auto"/>
              <w:bottom w:val="single" w:sz="4" w:space="0" w:color="auto"/>
            </w:tcBorders>
          </w:tcPr>
          <w:p>
            <w:pPr>
              <w:pStyle w:val="Table"/>
              <w:jc w:val="center"/>
            </w:pPr>
            <w:r>
              <w:rPr>
                <w:b/>
              </w:rPr>
              <w:t>Provision</w:t>
            </w:r>
          </w:p>
        </w:tc>
        <w:tc>
          <w:tcPr>
            <w:tcW w:w="1737" w:type="dxa"/>
            <w:tcBorders>
              <w:top w:val="single" w:sz="4" w:space="0" w:color="auto"/>
              <w:bottom w:val="single" w:sz="4" w:space="0" w:color="auto"/>
            </w:tcBorders>
          </w:tcPr>
          <w:p>
            <w:pPr>
              <w:pStyle w:val="Table"/>
              <w:jc w:val="center"/>
            </w:pPr>
            <w:r>
              <w:rPr>
                <w:b/>
              </w:rPr>
              <w:t>Modified penalty — individual</w:t>
            </w:r>
          </w:p>
        </w:tc>
        <w:tc>
          <w:tcPr>
            <w:tcW w:w="1737" w:type="dxa"/>
            <w:tcBorders>
              <w:top w:val="single" w:sz="4" w:space="0" w:color="auto"/>
              <w:bottom w:val="single" w:sz="4" w:space="0" w:color="auto"/>
            </w:tcBorders>
          </w:tcPr>
          <w:p>
            <w:pPr>
              <w:pStyle w:val="Table"/>
              <w:jc w:val="center"/>
            </w:pPr>
            <w:r>
              <w:rPr>
                <w:b/>
              </w:rPr>
              <w:t>Modified penalty — body corporate</w:t>
            </w:r>
          </w:p>
        </w:tc>
      </w:tr>
      <w:tr>
        <w:tc>
          <w:tcPr>
            <w:tcW w:w="993" w:type="dxa"/>
            <w:tcBorders>
              <w:top w:val="single" w:sz="4" w:space="0" w:color="auto"/>
            </w:tcBorders>
          </w:tcPr>
          <w:p>
            <w:pPr>
              <w:pStyle w:val="Table"/>
              <w:jc w:val="center"/>
            </w:pPr>
            <w:r>
              <w:t>1.</w:t>
            </w:r>
          </w:p>
        </w:tc>
        <w:tc>
          <w:tcPr>
            <w:tcW w:w="2054" w:type="dxa"/>
            <w:tcBorders>
              <w:top w:val="single" w:sz="4" w:space="0" w:color="auto"/>
            </w:tcBorders>
          </w:tcPr>
          <w:p>
            <w:pPr>
              <w:pStyle w:val="Table"/>
            </w:pPr>
            <w:r>
              <w:t>Section 14(2)</w:t>
            </w:r>
          </w:p>
        </w:tc>
        <w:tc>
          <w:tcPr>
            <w:tcW w:w="1737" w:type="dxa"/>
            <w:tcBorders>
              <w:top w:val="single" w:sz="4" w:space="0" w:color="auto"/>
            </w:tcBorders>
          </w:tcPr>
          <w:p>
            <w:pPr>
              <w:pStyle w:val="Table"/>
              <w:jc w:val="center"/>
            </w:pPr>
            <w:r>
              <w:t>$150</w:t>
            </w:r>
          </w:p>
        </w:tc>
        <w:tc>
          <w:tcPr>
            <w:tcW w:w="1737" w:type="dxa"/>
            <w:tcBorders>
              <w:top w:val="single" w:sz="4" w:space="0" w:color="auto"/>
            </w:tcBorders>
          </w:tcPr>
          <w:p>
            <w:pPr>
              <w:pStyle w:val="Table"/>
              <w:jc w:val="center"/>
            </w:pPr>
            <w:r>
              <w:t>$300</w:t>
            </w:r>
          </w:p>
        </w:tc>
      </w:tr>
      <w:tr>
        <w:tc>
          <w:tcPr>
            <w:tcW w:w="993" w:type="dxa"/>
          </w:tcPr>
          <w:p>
            <w:pPr>
              <w:pStyle w:val="Table"/>
              <w:jc w:val="center"/>
            </w:pPr>
            <w:r>
              <w:t>2.</w:t>
            </w:r>
          </w:p>
        </w:tc>
        <w:tc>
          <w:tcPr>
            <w:tcW w:w="2054" w:type="dxa"/>
          </w:tcPr>
          <w:p>
            <w:pPr>
              <w:pStyle w:val="Table"/>
            </w:pPr>
            <w:r>
              <w:t>Section 27(6)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3.</w:t>
            </w:r>
          </w:p>
        </w:tc>
        <w:tc>
          <w:tcPr>
            <w:tcW w:w="2054" w:type="dxa"/>
          </w:tcPr>
          <w:p>
            <w:pPr>
              <w:pStyle w:val="Table"/>
            </w:pPr>
            <w:r>
              <w:t>Section 33(2)</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4.</w:t>
            </w:r>
          </w:p>
        </w:tc>
        <w:tc>
          <w:tcPr>
            <w:tcW w:w="2054" w:type="dxa"/>
          </w:tcPr>
          <w:p>
            <w:pPr>
              <w:pStyle w:val="Table"/>
            </w:pPr>
            <w:r>
              <w:t>Section 38(1)</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5.</w:t>
            </w:r>
          </w:p>
        </w:tc>
        <w:tc>
          <w:tcPr>
            <w:tcW w:w="2054" w:type="dxa"/>
          </w:tcPr>
          <w:p>
            <w:pPr>
              <w:pStyle w:val="Table"/>
            </w:pPr>
            <w:r>
              <w:t>Section 38(2)</w:t>
            </w:r>
          </w:p>
        </w:tc>
        <w:tc>
          <w:tcPr>
            <w:tcW w:w="1737" w:type="dxa"/>
          </w:tcPr>
          <w:p>
            <w:pPr>
              <w:pStyle w:val="Table"/>
              <w:jc w:val="center"/>
            </w:pPr>
            <w:r>
              <w:t>—</w:t>
            </w:r>
          </w:p>
        </w:tc>
        <w:tc>
          <w:tcPr>
            <w:tcW w:w="1737" w:type="dxa"/>
          </w:tcPr>
          <w:p>
            <w:pPr>
              <w:pStyle w:val="Table"/>
              <w:jc w:val="center"/>
            </w:pPr>
            <w:r>
              <w:t>$400</w:t>
            </w:r>
          </w:p>
        </w:tc>
      </w:tr>
      <w:tr>
        <w:tc>
          <w:tcPr>
            <w:tcW w:w="993" w:type="dxa"/>
          </w:tcPr>
          <w:p>
            <w:pPr>
              <w:pStyle w:val="Table"/>
              <w:jc w:val="center"/>
            </w:pPr>
            <w:r>
              <w:t>6.</w:t>
            </w:r>
          </w:p>
        </w:tc>
        <w:tc>
          <w:tcPr>
            <w:tcW w:w="2054" w:type="dxa"/>
          </w:tcPr>
          <w:p>
            <w:pPr>
              <w:pStyle w:val="Table"/>
            </w:pPr>
            <w:r>
              <w:t>Section 39(2)</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7.</w:t>
            </w:r>
          </w:p>
        </w:tc>
        <w:tc>
          <w:tcPr>
            <w:tcW w:w="2054" w:type="dxa"/>
          </w:tcPr>
          <w:p>
            <w:pPr>
              <w:pStyle w:val="Table"/>
            </w:pPr>
            <w:r>
              <w:t>Section 39(3)</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8.</w:t>
            </w:r>
          </w:p>
        </w:tc>
        <w:tc>
          <w:tcPr>
            <w:tcW w:w="2054" w:type="dxa"/>
          </w:tcPr>
          <w:p>
            <w:pPr>
              <w:pStyle w:val="Table"/>
            </w:pPr>
            <w:r>
              <w:t>Section 40</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9.</w:t>
            </w:r>
          </w:p>
        </w:tc>
        <w:tc>
          <w:tcPr>
            <w:tcW w:w="2054" w:type="dxa"/>
          </w:tcPr>
          <w:p>
            <w:pPr>
              <w:pStyle w:val="Table"/>
            </w:pPr>
            <w:r>
              <w:t>Section 43(6)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10.</w:t>
            </w:r>
          </w:p>
        </w:tc>
        <w:tc>
          <w:tcPr>
            <w:tcW w:w="2054" w:type="dxa"/>
          </w:tcPr>
          <w:p>
            <w:pPr>
              <w:pStyle w:val="Table"/>
            </w:pPr>
            <w:r>
              <w:t>Section 48(1)</w:t>
            </w:r>
          </w:p>
        </w:tc>
        <w:tc>
          <w:tcPr>
            <w:tcW w:w="1737" w:type="dxa"/>
          </w:tcPr>
          <w:p>
            <w:pPr>
              <w:pStyle w:val="Table"/>
              <w:jc w:val="center"/>
            </w:pPr>
            <w:r>
              <w:t>$150</w:t>
            </w:r>
          </w:p>
        </w:tc>
        <w:tc>
          <w:tcPr>
            <w:tcW w:w="1737" w:type="dxa"/>
          </w:tcPr>
          <w:p>
            <w:pPr>
              <w:pStyle w:val="Table"/>
              <w:jc w:val="center"/>
            </w:pPr>
            <w:r>
              <w:t>—</w:t>
            </w:r>
          </w:p>
        </w:tc>
      </w:tr>
      <w:tr>
        <w:tc>
          <w:tcPr>
            <w:tcW w:w="993" w:type="dxa"/>
          </w:tcPr>
          <w:p>
            <w:pPr>
              <w:pStyle w:val="Table"/>
              <w:jc w:val="center"/>
            </w:pPr>
            <w:r>
              <w:t>11.</w:t>
            </w:r>
          </w:p>
        </w:tc>
        <w:tc>
          <w:tcPr>
            <w:tcW w:w="2054" w:type="dxa"/>
          </w:tcPr>
          <w:p>
            <w:pPr>
              <w:pStyle w:val="Table"/>
            </w:pPr>
            <w:r>
              <w:t>Section 57</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12.</w:t>
            </w:r>
          </w:p>
        </w:tc>
        <w:tc>
          <w:tcPr>
            <w:tcW w:w="2054" w:type="dxa"/>
          </w:tcPr>
          <w:p>
            <w:pPr>
              <w:pStyle w:val="Table"/>
            </w:pPr>
            <w:r>
              <w:t>Section 63(3)</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13.</w:t>
            </w:r>
          </w:p>
        </w:tc>
        <w:tc>
          <w:tcPr>
            <w:tcW w:w="2054" w:type="dxa"/>
          </w:tcPr>
          <w:p>
            <w:pPr>
              <w:pStyle w:val="Table"/>
            </w:pPr>
            <w:r>
              <w:t>Section 64(2)</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14.</w:t>
            </w:r>
          </w:p>
        </w:tc>
        <w:tc>
          <w:tcPr>
            <w:tcW w:w="2054" w:type="dxa"/>
          </w:tcPr>
          <w:p>
            <w:pPr>
              <w:pStyle w:val="Table"/>
            </w:pPr>
            <w:r>
              <w:t>Section 69(2)</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15.</w:t>
            </w:r>
          </w:p>
        </w:tc>
        <w:tc>
          <w:tcPr>
            <w:tcW w:w="2054" w:type="dxa"/>
          </w:tcPr>
          <w:p>
            <w:pPr>
              <w:pStyle w:val="Table"/>
            </w:pPr>
            <w:r>
              <w:t>Section 71(3)</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16.</w:t>
            </w:r>
          </w:p>
        </w:tc>
        <w:tc>
          <w:tcPr>
            <w:tcW w:w="2054" w:type="dxa"/>
          </w:tcPr>
          <w:p>
            <w:pPr>
              <w:pStyle w:val="Table"/>
            </w:pPr>
            <w:r>
              <w:t>Section 108</w:t>
            </w:r>
          </w:p>
        </w:tc>
        <w:tc>
          <w:tcPr>
            <w:tcW w:w="1737" w:type="dxa"/>
          </w:tcPr>
          <w:p>
            <w:pPr>
              <w:pStyle w:val="Table"/>
              <w:jc w:val="center"/>
            </w:pPr>
            <w:r>
              <w:t>$150</w:t>
            </w:r>
          </w:p>
        </w:tc>
        <w:tc>
          <w:tcPr>
            <w:tcW w:w="1737" w:type="dxa"/>
          </w:tcPr>
          <w:p>
            <w:pPr>
              <w:pStyle w:val="Table"/>
              <w:jc w:val="center"/>
            </w:pPr>
            <w:r>
              <w:t>$300</w:t>
            </w:r>
          </w:p>
        </w:tc>
      </w:tr>
      <w:tr>
        <w:tc>
          <w:tcPr>
            <w:tcW w:w="993" w:type="dxa"/>
            <w:tcBorders>
              <w:bottom w:val="single" w:sz="4" w:space="0" w:color="auto"/>
            </w:tcBorders>
          </w:tcPr>
          <w:p>
            <w:pPr>
              <w:pStyle w:val="Table"/>
              <w:jc w:val="center"/>
            </w:pPr>
            <w:r>
              <w:t>17.</w:t>
            </w:r>
          </w:p>
        </w:tc>
        <w:tc>
          <w:tcPr>
            <w:tcW w:w="2054" w:type="dxa"/>
            <w:tcBorders>
              <w:bottom w:val="single" w:sz="4" w:space="0" w:color="auto"/>
            </w:tcBorders>
          </w:tcPr>
          <w:p>
            <w:pPr>
              <w:pStyle w:val="Table"/>
            </w:pPr>
            <w:r>
              <w:t>Regulation 7G</w:t>
            </w:r>
          </w:p>
        </w:tc>
        <w:tc>
          <w:tcPr>
            <w:tcW w:w="1737" w:type="dxa"/>
            <w:tcBorders>
              <w:bottom w:val="single" w:sz="4" w:space="0" w:color="auto"/>
            </w:tcBorders>
          </w:tcPr>
          <w:p>
            <w:pPr>
              <w:pStyle w:val="Table"/>
              <w:jc w:val="center"/>
            </w:pPr>
            <w:r>
              <w:t>$200</w:t>
            </w:r>
          </w:p>
        </w:tc>
        <w:tc>
          <w:tcPr>
            <w:tcW w:w="1737" w:type="dxa"/>
            <w:tcBorders>
              <w:bottom w:val="single" w:sz="4" w:space="0" w:color="auto"/>
            </w:tcBorders>
          </w:tcPr>
          <w:p>
            <w:pPr>
              <w:pStyle w:val="Table"/>
              <w:jc w:val="center"/>
            </w:pPr>
            <w:r>
              <w:t>$400</w:t>
            </w:r>
          </w:p>
        </w:tc>
      </w:tr>
    </w:tbl>
    <w:p>
      <w:pPr>
        <w:pStyle w:val="Footnotesection"/>
      </w:pPr>
      <w:r>
        <w:tab/>
        <w:t>[Regulation 13 inserted in Gazette 24 Jun 2008 p. 2823-4.]</w:t>
      </w:r>
    </w:p>
    <w:p>
      <w:pPr>
        <w:pStyle w:val="Heading5"/>
      </w:pPr>
      <w:bookmarkStart w:id="184" w:name="_Toc233702430"/>
      <w:r>
        <w:rPr>
          <w:rStyle w:val="CharSectno"/>
        </w:rPr>
        <w:t>14</w:t>
      </w:r>
      <w:r>
        <w:t>.</w:t>
      </w:r>
      <w:r>
        <w:tab/>
        <w:t>Forms of infringement notice and withdrawal notice</w:t>
      </w:r>
      <w:bookmarkEnd w:id="184"/>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185" w:name="_Toc233702431"/>
      <w:r>
        <w:rPr>
          <w:rStyle w:val="CharSectno"/>
        </w:rPr>
        <w:t>15</w:t>
      </w:r>
      <w:r>
        <w:t>.</w:t>
      </w:r>
      <w:r>
        <w:tab/>
        <w:t>Refund of fee on withdrawal or refusal of certain applications</w:t>
      </w:r>
      <w:bookmarkEnd w:id="185"/>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Board must refund to the applicant — </w:t>
      </w:r>
    </w:p>
    <w:p>
      <w:pPr>
        <w:pStyle w:val="Indenta"/>
      </w:pPr>
      <w:r>
        <w:tab/>
        <w:t>(a)</w:t>
      </w:r>
      <w:r>
        <w:tab/>
        <w:t>so much (if any) of the amount paid under regulation 7A(1)(c)(i) or 7F(1)(a), as the case requires, as the Board determines to be appropriate; and</w:t>
      </w:r>
    </w:p>
    <w:p>
      <w:pPr>
        <w:pStyle w:val="Indenta"/>
      </w:pPr>
      <w:r>
        <w:tab/>
        <w:t>(b)</w:t>
      </w:r>
      <w:r>
        <w:tab/>
        <w:t>the amount paid under regulation 7A(1)(c)(ii) or 7F(1)(b), as the case requires.</w:t>
      </w:r>
    </w:p>
    <w:p>
      <w:pPr>
        <w:pStyle w:val="Subsection"/>
      </w:pPr>
      <w:r>
        <w:tab/>
        <w:t>(3)</w:t>
      </w:r>
      <w:r>
        <w:tab/>
        <w:t>If the Board refuses an application made under the Act section 15, 17, 19 or 31, the Board must refund to the applicant the amount paid under regulation 7A(1)(c)(ii) or 7F(1)(b), as the case requires.</w:t>
      </w:r>
    </w:p>
    <w:p>
      <w:pPr>
        <w:pStyle w:val="Subsection"/>
      </w:pPr>
      <w:r>
        <w:tab/>
        <w:t>(4)</w:t>
      </w:r>
      <w:r>
        <w:tab/>
        <w:t>If an applicant withdraws an application made under the Act section 41 or 61, the Board must refund to the applicant so much (if any) of the amount paid under regulation 7 or 12(2), as the case requires, as the Board determines to be appropriate.</w:t>
      </w:r>
    </w:p>
    <w:p>
      <w:pPr>
        <w:pStyle w:val="Footnotesection"/>
      </w:pPr>
      <w:r>
        <w:tab/>
        <w:t>[Regulation 15 inserted in Gazette 24 Jun 2008 p. 2824-5.]</w:t>
      </w:r>
    </w:p>
    <w:p>
      <w:pPr>
        <w:pStyle w:val="Heading5"/>
      </w:pPr>
      <w:bookmarkStart w:id="186" w:name="_Toc233702432"/>
      <w:r>
        <w:rPr>
          <w:rStyle w:val="CharSectno"/>
        </w:rPr>
        <w:t>16</w:t>
      </w:r>
      <w:r>
        <w:t>.</w:t>
      </w:r>
      <w:r>
        <w:tab/>
        <w:t>Refund or waiver of fee etc. on withdrawal or refusal of replacement applications</w:t>
      </w:r>
      <w:bookmarkEnd w:id="186"/>
    </w:p>
    <w:p>
      <w:pPr>
        <w:pStyle w:val="Subsection"/>
      </w:pPr>
      <w:r>
        <w:tab/>
        <w:t>(1)</w:t>
      </w:r>
      <w:r>
        <w:tab/>
        <w:t>If an applicant withdraws a replacement application, the Board must refund to the applicant so much (if any) of the amount paid under regulation 7A(1)(b)(i) as the Board determines to be appropriate.</w:t>
      </w:r>
    </w:p>
    <w:p>
      <w:pPr>
        <w:pStyle w:val="Subsection"/>
      </w:pPr>
      <w:r>
        <w:tab/>
        <w:t>(2)</w:t>
      </w:r>
      <w:r>
        <w:tab/>
        <w:t xml:space="preserve">If a replacement application is taken to have been withdrawn under regulation 7B(6), the Board must — </w:t>
      </w:r>
    </w:p>
    <w:p>
      <w:pPr>
        <w:pStyle w:val="Indenta"/>
      </w:pPr>
      <w:r>
        <w:tab/>
        <w:t>(a)</w:t>
      </w:r>
      <w:r>
        <w:tab/>
        <w:t>if any amount of required payment was received by the Board — refund the amount to the applicant;</w:t>
      </w:r>
    </w:p>
    <w:p>
      <w:pPr>
        <w:pStyle w:val="Indenta"/>
        <w:rPr>
          <w:b/>
          <w:bCs/>
          <w:i/>
          <w:iCs/>
        </w:rPr>
      </w:pPr>
      <w:r>
        <w:tab/>
        <w:t>(b)</w:t>
      </w:r>
      <w:r>
        <w:tab/>
        <w:t>if the old licence was returned to the Board — return the licence to the applicant.</w:t>
      </w:r>
    </w:p>
    <w:p>
      <w:pPr>
        <w:pStyle w:val="Subsection"/>
      </w:pPr>
      <w:r>
        <w:tab/>
        <w:t>(3)</w:t>
      </w:r>
      <w:r>
        <w:tab/>
        <w:t>If the Board proposes to refuse a replacement application,</w:t>
      </w:r>
      <w:r>
        <w:rPr>
          <w:color w:val="000000"/>
        </w:rPr>
        <w:t xml:space="preserve"> </w:t>
      </w:r>
      <w:r>
        <w:t>the Board must waive the amount payable under regulation 7A(1)(b)(ii) in respect of the application.</w:t>
      </w:r>
    </w:p>
    <w:p>
      <w:pPr>
        <w:pStyle w:val="Footnotesection"/>
      </w:pPr>
      <w:r>
        <w:tab/>
        <w:t>[Regulation 16 inserted in Gazette 24 Jun 2008 p. 2825.]</w:t>
      </w:r>
    </w:p>
    <w:p>
      <w:pPr>
        <w:pStyle w:val="Heading2"/>
      </w:pPr>
      <w:bookmarkStart w:id="187" w:name="_Toc202153858"/>
      <w:bookmarkStart w:id="188" w:name="_Toc202243825"/>
      <w:bookmarkStart w:id="189" w:name="_Toc205004063"/>
      <w:bookmarkStart w:id="190" w:name="_Toc205006476"/>
      <w:bookmarkStart w:id="191" w:name="_Toc207515695"/>
      <w:bookmarkStart w:id="192" w:name="_Toc207790264"/>
      <w:bookmarkStart w:id="193" w:name="_Toc209499140"/>
      <w:bookmarkStart w:id="194" w:name="_Toc226181064"/>
      <w:bookmarkStart w:id="195" w:name="_Toc226275925"/>
      <w:bookmarkStart w:id="196" w:name="_Toc233702433"/>
      <w:r>
        <w:rPr>
          <w:rStyle w:val="CharPartNo"/>
        </w:rPr>
        <w:t>Part 5</w:t>
      </w:r>
      <w:r>
        <w:rPr>
          <w:b w:val="0"/>
        </w:rPr>
        <w:t> </w:t>
      </w:r>
      <w:r>
        <w:t>—</w:t>
      </w:r>
      <w:r>
        <w:rPr>
          <w:b w:val="0"/>
        </w:rPr>
        <w:t> </w:t>
      </w:r>
      <w:r>
        <w:rPr>
          <w:rStyle w:val="CharPartText"/>
        </w:rPr>
        <w:t>Transitional matters</w:t>
      </w:r>
      <w:bookmarkEnd w:id="187"/>
      <w:bookmarkEnd w:id="188"/>
      <w:bookmarkEnd w:id="189"/>
      <w:bookmarkEnd w:id="190"/>
      <w:bookmarkEnd w:id="191"/>
      <w:bookmarkEnd w:id="192"/>
      <w:bookmarkEnd w:id="193"/>
      <w:bookmarkEnd w:id="194"/>
      <w:bookmarkEnd w:id="195"/>
      <w:bookmarkEnd w:id="196"/>
    </w:p>
    <w:p>
      <w:pPr>
        <w:pStyle w:val="Footnoteheading"/>
      </w:pPr>
      <w:r>
        <w:tab/>
        <w:t>[Heading inserted in Gazette 24 Jun 2008 p. 2825.]</w:t>
      </w:r>
    </w:p>
    <w:p>
      <w:pPr>
        <w:pStyle w:val="Heading5"/>
      </w:pPr>
      <w:bookmarkStart w:id="197" w:name="_Toc233702434"/>
      <w:r>
        <w:rPr>
          <w:rStyle w:val="CharSectno"/>
        </w:rPr>
        <w:t>17</w:t>
      </w:r>
      <w:r>
        <w:t>.</w:t>
      </w:r>
      <w:r>
        <w:tab/>
        <w:t>Application of Part</w:t>
      </w:r>
      <w:bookmarkEnd w:id="197"/>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198" w:name="_Toc233702435"/>
      <w:r>
        <w:rPr>
          <w:rStyle w:val="CharSectno"/>
        </w:rPr>
        <w:t>18</w:t>
      </w:r>
      <w:r>
        <w:t>.</w:t>
      </w:r>
      <w:r>
        <w:tab/>
        <w:t>Duration of transitional licences</w:t>
      </w:r>
      <w:bookmarkEnd w:id="198"/>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ind w:left="1320"/>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ascertain, in accordance with the definition of “round of licence notices”,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24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199" w:name="_Toc233702436"/>
      <w:r>
        <w:rPr>
          <w:rStyle w:val="CharSectno"/>
        </w:rPr>
        <w:t>19</w:t>
      </w:r>
      <w:r>
        <w:t>.</w:t>
      </w:r>
      <w:r>
        <w:tab/>
        <w:t>Notice and waiver of fee relating to transitional applications</w:t>
      </w:r>
      <w:bookmarkEnd w:id="199"/>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lang w:eastAsia="en-AU"/>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200" w:name="_Toc233702437"/>
      <w:r>
        <w:rPr>
          <w:rStyle w:val="CharSectno"/>
        </w:rPr>
        <w:t>20</w:t>
      </w:r>
      <w:r>
        <w:t>.</w:t>
      </w:r>
      <w:r>
        <w:tab/>
        <w:t>Refund or waiver of fee on withdrawal or refusal of transitional applications</w:t>
      </w:r>
      <w:bookmarkEnd w:id="200"/>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1" w:name="_Toc202153863"/>
      <w:bookmarkStart w:id="202" w:name="_Toc202243830"/>
      <w:bookmarkStart w:id="203" w:name="_Toc205004068"/>
      <w:bookmarkStart w:id="204" w:name="_Toc205006481"/>
      <w:bookmarkStart w:id="205" w:name="_Toc207515700"/>
      <w:bookmarkStart w:id="206" w:name="_Toc207790269"/>
      <w:bookmarkStart w:id="207" w:name="_Toc209499145"/>
      <w:bookmarkStart w:id="208" w:name="_Toc226181069"/>
      <w:bookmarkStart w:id="209" w:name="_Toc226275930"/>
      <w:bookmarkStart w:id="210" w:name="_Toc233702438"/>
      <w:r>
        <w:rPr>
          <w:rStyle w:val="CharSchNo"/>
        </w:rPr>
        <w:t>Schedule 1</w:t>
      </w:r>
      <w:r>
        <w:t> — </w:t>
      </w:r>
      <w:r>
        <w:rPr>
          <w:rStyle w:val="CharSchText"/>
        </w:rPr>
        <w:t>Forms</w:t>
      </w:r>
      <w:bookmarkEnd w:id="201"/>
      <w:bookmarkEnd w:id="202"/>
      <w:bookmarkEnd w:id="203"/>
      <w:bookmarkEnd w:id="204"/>
      <w:bookmarkEnd w:id="205"/>
      <w:bookmarkEnd w:id="206"/>
      <w:bookmarkEnd w:id="207"/>
      <w:bookmarkEnd w:id="208"/>
      <w:bookmarkEnd w:id="209"/>
      <w:bookmarkEnd w:id="210"/>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Secretary to the Motor Vehicle Industry Board) to:</w:t>
            </w:r>
          </w:p>
          <w:p>
            <w:pPr>
              <w:pStyle w:val="yTable"/>
              <w:tabs>
                <w:tab w:val="left" w:pos="1026"/>
              </w:tabs>
              <w:spacing w:before="0"/>
              <w:ind w:left="1026" w:hanging="884"/>
              <w:rPr>
                <w:sz w:val="20"/>
              </w:rPr>
            </w:pPr>
            <w:r>
              <w:rPr>
                <w:sz w:val="20"/>
              </w:rPr>
              <w:tab/>
              <w:t xml:space="preserve">Department of Consumer and Employment Protection </w:t>
            </w:r>
          </w:p>
          <w:p>
            <w:pPr>
              <w:pStyle w:val="yTable"/>
              <w:tabs>
                <w:tab w:val="left" w:pos="1026"/>
              </w:tabs>
              <w:spacing w:before="0"/>
              <w:ind w:left="1027" w:hanging="885"/>
              <w:rPr>
                <w:sz w:val="20"/>
              </w:rPr>
            </w:pPr>
            <w:r>
              <w:rPr>
                <w:sz w:val="20"/>
              </w:rPr>
              <w:tab/>
              <w:t>Locked Bag 14  Cloisters Square</w:t>
            </w:r>
          </w:p>
          <w:p>
            <w:pPr>
              <w:pStyle w:val="yTable"/>
              <w:tabs>
                <w:tab w:val="left" w:pos="1026"/>
                <w:tab w:val="left" w:pos="1167"/>
                <w:tab w:val="left" w:pos="4145"/>
              </w:tabs>
              <w:spacing w:before="0"/>
              <w:ind w:left="1026"/>
              <w:rPr>
                <w:sz w:val="20"/>
              </w:rPr>
            </w:pPr>
            <w:r>
              <w:rPr>
                <w:sz w:val="20"/>
              </w:rPr>
              <w:t>Perth  WA  6850</w:t>
            </w:r>
          </w:p>
        </w:tc>
      </w:tr>
      <w:tr>
        <w:trPr>
          <w:cantSplit/>
        </w:trP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Consumer and Employment Protection</w:t>
            </w:r>
          </w:p>
          <w:p>
            <w:pPr>
              <w:pStyle w:val="yTable"/>
              <w:tabs>
                <w:tab w:val="left" w:pos="1026"/>
              </w:tabs>
              <w:spacing w:before="0"/>
              <w:ind w:left="1026" w:hanging="851"/>
              <w:rPr>
                <w:sz w:val="20"/>
              </w:rPr>
            </w:pPr>
            <w:r>
              <w:rPr>
                <w:sz w:val="20"/>
              </w:rPr>
              <w:tab/>
              <w:t>219 St George’s Terrace,  Perth  WA</w:t>
            </w:r>
          </w:p>
          <w:p>
            <w:pPr>
              <w:pStyle w:val="yTable"/>
              <w:spacing w:before="0"/>
              <w:rPr>
                <w:sz w:val="20"/>
              </w:rPr>
            </w:pPr>
            <w:r>
              <w:rPr>
                <w:b/>
                <w:sz w:val="20"/>
              </w:rPr>
              <w:t>If you do not pay</w:t>
            </w:r>
            <w:r>
              <w:rPr>
                <w:sz w:val="20"/>
              </w:rPr>
              <w:t xml:space="preserve"> the modified penalty within 28 days, you may be prosecuted.</w:t>
            </w:r>
          </w:p>
        </w:tc>
      </w:tr>
      <w:tr>
        <w:tc>
          <w:tcPr>
            <w:tcW w:w="1440" w:type="dxa"/>
            <w:tcBorders>
              <w:top w:val="nil"/>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w:t>
            </w:r>
          </w:p>
          <w:p>
            <w:pPr>
              <w:pStyle w:val="yTable"/>
              <w:tabs>
                <w:tab w:val="left" w:pos="1026"/>
              </w:tabs>
              <w:spacing w:before="0"/>
              <w:ind w:left="1026" w:hanging="851"/>
              <w:rPr>
                <w:sz w:val="20"/>
              </w:rPr>
            </w:pPr>
            <w:r>
              <w:rPr>
                <w:sz w:val="20"/>
              </w:rPr>
              <w:tab/>
              <w:t>Secretary to the Motor Vehicle Industry Board</w:t>
            </w:r>
          </w:p>
          <w:p>
            <w:pPr>
              <w:pStyle w:val="yTable"/>
              <w:tabs>
                <w:tab w:val="left" w:pos="1026"/>
              </w:tabs>
              <w:spacing w:before="0"/>
              <w:ind w:left="1026" w:hanging="851"/>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s>
              <w:spacing w:before="0"/>
              <w:ind w:left="1026" w:hanging="851"/>
              <w:rPr>
                <w:sz w:val="20"/>
              </w:rPr>
            </w:pPr>
            <w:r>
              <w:rPr>
                <w:sz w:val="20"/>
              </w:rPr>
              <w:tab/>
              <w:t>Perth  WA  6850</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tabs>
                <w:tab w:val="left" w:pos="884"/>
              </w:tabs>
              <w:spacing w:before="0"/>
              <w:ind w:left="913" w:hanging="737"/>
              <w:rPr>
                <w:sz w:val="20"/>
              </w:rPr>
            </w:pPr>
            <w:r>
              <w:rPr>
                <w:sz w:val="20"/>
              </w:rPr>
              <w:tab/>
              <w:t>Secretary to the Motor Vehicle Industry Board</w:t>
            </w:r>
          </w:p>
          <w:p>
            <w:pPr>
              <w:pStyle w:val="yTable"/>
              <w:tabs>
                <w:tab w:val="left" w:pos="884"/>
              </w:tabs>
              <w:spacing w:before="0"/>
              <w:ind w:left="884" w:hanging="884"/>
              <w:rPr>
                <w:sz w:val="20"/>
              </w:rPr>
            </w:pPr>
            <w:r>
              <w:rPr>
                <w:sz w:val="20"/>
              </w:rPr>
              <w:tab/>
              <w:t xml:space="preserve">Department of Consumer and Employment Protection </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w:t>
      </w:r>
    </w:p>
    <w:p>
      <w:pPr>
        <w:pStyle w:val="CentredBaseLine"/>
        <w:jc w:val="center"/>
      </w:pPr>
      <w:bookmarkStart w:id="211" w:name="_Toc113695922"/>
      <w:bookmarkStart w:id="212" w:name="_Toc159148898"/>
      <w:bookmarkStart w:id="213" w:name="_Toc161802262"/>
      <w:bookmarkStart w:id="214" w:name="_Toc162072668"/>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215" w:name="_Toc202153864"/>
      <w:bookmarkStart w:id="216" w:name="_Toc202243831"/>
      <w:bookmarkStart w:id="217" w:name="_Toc205004069"/>
      <w:bookmarkStart w:id="218" w:name="_Toc205006482"/>
      <w:bookmarkStart w:id="219" w:name="_Toc207515701"/>
      <w:bookmarkStart w:id="220" w:name="_Toc207790270"/>
      <w:bookmarkStart w:id="221" w:name="_Toc209499146"/>
      <w:bookmarkStart w:id="222" w:name="_Toc226181070"/>
      <w:bookmarkStart w:id="223" w:name="_Toc226275931"/>
      <w:bookmarkStart w:id="224" w:name="_Toc233702439"/>
      <w:r>
        <w:t>Notes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25" w:name="_Toc233702440"/>
      <w:r>
        <w:t>Compilation table</w:t>
      </w:r>
      <w:bookmarkEnd w:id="2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9 Feb 2007 p. 391-426</w:t>
            </w:r>
          </w:p>
        </w:tc>
        <w:tc>
          <w:tcPr>
            <w:tcW w:w="2693" w:type="dxa"/>
            <w:tcBorders>
              <w:top w:val="single" w:sz="8" w:space="0" w:color="auto"/>
              <w:bottom w:val="nil"/>
            </w:tcBorders>
          </w:tcPr>
          <w:p>
            <w:pPr>
              <w:pStyle w:val="nTable"/>
              <w:spacing w:after="4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after="40"/>
              <w:rPr>
                <w:i/>
                <w:sz w:val="19"/>
              </w:rPr>
            </w:pPr>
            <w:r>
              <w:rPr>
                <w:i/>
                <w:sz w:val="19"/>
              </w:rPr>
              <w:t>Motor Vehicle Repairers Amendment Regulations (No. 2) 2008</w:t>
            </w:r>
          </w:p>
        </w:tc>
        <w:tc>
          <w:tcPr>
            <w:tcW w:w="1276" w:type="dxa"/>
            <w:tcBorders>
              <w:top w:val="nil"/>
              <w:bottom w:val="nil"/>
            </w:tcBorders>
          </w:tcPr>
          <w:p>
            <w:pPr>
              <w:pStyle w:val="nTable"/>
              <w:spacing w:after="40"/>
              <w:rPr>
                <w:sz w:val="19"/>
              </w:rPr>
            </w:pPr>
            <w:r>
              <w:rPr>
                <w:sz w:val="19"/>
              </w:rPr>
              <w:t>17 Jun 2008 p. 2554-5</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after="40"/>
              <w:rPr>
                <w:sz w:val="19"/>
              </w:rPr>
            </w:pPr>
            <w:r>
              <w:rPr>
                <w:sz w:val="19"/>
              </w:rPr>
              <w:t>24 Jun 2008 p. 2801-33</w:t>
            </w:r>
          </w:p>
        </w:tc>
        <w:tc>
          <w:tcPr>
            <w:tcW w:w="2693" w:type="dxa"/>
            <w:tcBorders>
              <w:top w:val="nil"/>
              <w:bottom w:val="nil"/>
            </w:tcBorders>
          </w:tcPr>
          <w:p>
            <w:pPr>
              <w:pStyle w:val="nTable"/>
              <w:spacing w:after="4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after="40"/>
              <w:rPr>
                <w:iCs/>
                <w:sz w:val="19"/>
              </w:rPr>
            </w:pPr>
            <w:r>
              <w:rPr>
                <w:i/>
                <w:sz w:val="19"/>
              </w:rPr>
              <w:t>Motor Vehicle Repairers Amendment Regulations 2009</w:t>
            </w:r>
          </w:p>
        </w:tc>
        <w:tc>
          <w:tcPr>
            <w:tcW w:w="1276" w:type="dxa"/>
            <w:tcBorders>
              <w:top w:val="nil"/>
              <w:bottom w:val="nil"/>
            </w:tcBorders>
          </w:tcPr>
          <w:p>
            <w:pPr>
              <w:pStyle w:val="nTable"/>
              <w:spacing w:after="40"/>
              <w:rPr>
                <w:sz w:val="19"/>
              </w:rPr>
            </w:pPr>
            <w:r>
              <w:rPr>
                <w:sz w:val="19"/>
              </w:rPr>
              <w:t>31 Mar 2009 p. 1021</w:t>
            </w:r>
            <w:r>
              <w:rPr>
                <w:sz w:val="19"/>
              </w:rPr>
              <w:noBreakHyphen/>
              <w:t>2</w:t>
            </w:r>
          </w:p>
        </w:tc>
        <w:tc>
          <w:tcPr>
            <w:tcW w:w="2693" w:type="dxa"/>
            <w:tcBorders>
              <w:top w:val="nil"/>
              <w:bottom w:val="nil"/>
            </w:tcBorders>
          </w:tcPr>
          <w:p>
            <w:pPr>
              <w:pStyle w:val="nTable"/>
              <w:spacing w:after="40"/>
              <w:rPr>
                <w:sz w:val="19"/>
              </w:rPr>
            </w:pPr>
            <w:r>
              <w:rPr>
                <w:sz w:val="19"/>
              </w:rPr>
              <w:t>r. 1 and 2: 31 Mar 2009 (see r. 2(a));</w:t>
            </w:r>
            <w:r>
              <w:rPr>
                <w:sz w:val="19"/>
              </w:rPr>
              <w:br/>
              <w:t>Regulations other than r. 1 and 2: 1 Apr 2009 (see r. 2(b))</w:t>
            </w:r>
          </w:p>
        </w:tc>
      </w:tr>
      <w:tr>
        <w:tc>
          <w:tcPr>
            <w:tcW w:w="3118" w:type="dxa"/>
            <w:tcBorders>
              <w:top w:val="nil"/>
              <w:bottom w:val="single" w:sz="4" w:space="0" w:color="auto"/>
            </w:tcBorders>
          </w:tcPr>
          <w:p>
            <w:pPr>
              <w:pStyle w:val="nTable"/>
              <w:spacing w:after="40"/>
              <w:rPr>
                <w:i/>
                <w:sz w:val="19"/>
              </w:rPr>
            </w:pPr>
            <w:r>
              <w:rPr>
                <w:i/>
                <w:sz w:val="19"/>
              </w:rPr>
              <w:t>Motor Vehicle Repairers Amendment Regulations (No. 2) 2009</w:t>
            </w:r>
          </w:p>
        </w:tc>
        <w:tc>
          <w:tcPr>
            <w:tcW w:w="1276" w:type="dxa"/>
            <w:tcBorders>
              <w:top w:val="nil"/>
              <w:bottom w:val="single" w:sz="4" w:space="0" w:color="auto"/>
            </w:tcBorders>
          </w:tcPr>
          <w:p>
            <w:pPr>
              <w:pStyle w:val="nTable"/>
              <w:spacing w:after="40"/>
              <w:rPr>
                <w:sz w:val="19"/>
              </w:rPr>
            </w:pPr>
            <w:r>
              <w:rPr>
                <w:sz w:val="19"/>
              </w:rPr>
              <w:t>23 Jun 2009 p. 2447</w:t>
            </w:r>
            <w:r>
              <w:rPr>
                <w:sz w:val="19"/>
              </w:rPr>
              <w:noBreakHyphen/>
              <w:t>9</w:t>
            </w:r>
          </w:p>
        </w:tc>
        <w:tc>
          <w:tcPr>
            <w:tcW w:w="2693" w:type="dxa"/>
            <w:tcBorders>
              <w:top w:val="nil"/>
              <w:bottom w:val="single" w:sz="4" w:space="0" w:color="auto"/>
            </w:tcBorders>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bl>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26" w:name="_Toc205006484"/>
      <w:bookmarkStart w:id="227" w:name="_Toc207515703"/>
      <w:bookmarkStart w:id="228" w:name="_Toc207790272"/>
      <w:bookmarkStart w:id="229" w:name="_Toc209499148"/>
      <w:bookmarkStart w:id="230" w:name="_Toc226181072"/>
      <w:bookmarkStart w:id="231" w:name="_Toc226275933"/>
      <w:bookmarkStart w:id="232" w:name="_Toc233702441"/>
      <w:r>
        <w:rPr>
          <w:sz w:val="28"/>
        </w:rPr>
        <w:t>Defined Terms</w:t>
      </w:r>
      <w:bookmarkEnd w:id="226"/>
      <w:bookmarkEnd w:id="227"/>
      <w:bookmarkEnd w:id="228"/>
      <w:bookmarkEnd w:id="229"/>
      <w:bookmarkEnd w:id="230"/>
      <w:bookmarkEnd w:id="231"/>
      <w:bookmarkEnd w:id="2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3" w:name="DefinedTerms"/>
      <w:bookmarkEnd w:id="233"/>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licence notice</w:t>
      </w:r>
      <w:r>
        <w:tab/>
        <w:t>3(1)</w:t>
      </w:r>
    </w:p>
    <w:p>
      <w:pPr>
        <w:pStyle w:val="DefinedTerms"/>
      </w:pPr>
      <w:r>
        <w:t>light vehicle</w:t>
      </w:r>
      <w:r>
        <w:tab/>
        <w:t>3(1)</w:t>
      </w:r>
    </w:p>
    <w:p>
      <w:pPr>
        <w:pStyle w:val="DefinedTerms"/>
        <w:keepNext/>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outstanding fee</w:t>
      </w:r>
      <w:r>
        <w:tab/>
        <w:t>7B(1)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prescribed fee</w:t>
      </w:r>
      <w:r>
        <w:tab/>
        <w:t>19(1)</w:t>
      </w:r>
    </w:p>
    <w:p>
      <w:pPr>
        <w:pStyle w:val="DefinedTerms"/>
      </w:pPr>
      <w:r>
        <w:t>proposed refund</w:t>
      </w:r>
      <w:r>
        <w:tab/>
        <w:t>7B(1)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relevant day</w:t>
      </w:r>
      <w:r>
        <w:tab/>
        <w:t>7(H)(1)</w:t>
      </w:r>
    </w:p>
    <w:p>
      <w:pPr>
        <w:pStyle w:val="DefinedTerms"/>
      </w:pPr>
      <w:r>
        <w:t>repair</w:t>
      </w:r>
      <w:r>
        <w:tab/>
        <w:t>3(1)</w:t>
      </w:r>
    </w:p>
    <w:p>
      <w:pPr>
        <w:pStyle w:val="DefinedTerms"/>
      </w:pPr>
      <w:r>
        <w:t>repairer</w:t>
      </w:r>
      <w:r>
        <w:tab/>
        <w:t>3(1)</w:t>
      </w:r>
    </w:p>
    <w:p>
      <w:pPr>
        <w:pStyle w:val="DefinedTerms"/>
      </w:pPr>
      <w:r>
        <w:t>replacement application</w:t>
      </w:r>
      <w:r>
        <w:tab/>
        <w:t>3(1)</w:t>
      </w:r>
    </w:p>
    <w:p>
      <w:pPr>
        <w:pStyle w:val="DefinedTerms"/>
      </w:pPr>
      <w:r>
        <w:t>replacement licence</w:t>
      </w:r>
      <w:r>
        <w:tab/>
        <w:t>3(1)</w:t>
      </w:r>
    </w:p>
    <w:p>
      <w:pPr>
        <w:pStyle w:val="DefinedTerms"/>
      </w:pPr>
      <w:r>
        <w:t>replacement licence notice</w:t>
      </w:r>
      <w:r>
        <w:tab/>
        <w:t>3(1)</w:t>
      </w:r>
    </w:p>
    <w:p>
      <w:pPr>
        <w:pStyle w:val="DefinedTerms"/>
      </w:pPr>
      <w:r>
        <w:t>retrofit</w:t>
      </w:r>
      <w:r>
        <w:tab/>
        <w:t>3(1)</w:t>
      </w:r>
    </w:p>
    <w:p>
      <w:pPr>
        <w:pStyle w:val="DefinedTerms"/>
      </w:pPr>
      <w:r>
        <w:t>Road Traffic Act</w:t>
      </w:r>
      <w:r>
        <w:tab/>
        <w:t>3(1)</w:t>
      </w:r>
    </w:p>
    <w:p>
      <w:pPr>
        <w:pStyle w:val="DefinedTerms"/>
      </w:pPr>
      <w:r>
        <w:t>round of licence notices</w:t>
      </w:r>
      <w:r>
        <w:tab/>
        <w:t>18(1)</w:t>
      </w:r>
    </w:p>
    <w:p>
      <w:pPr>
        <w:pStyle w:val="DefinedTerms"/>
      </w:pPr>
      <w:r>
        <w:t>service</w:t>
      </w:r>
      <w:r>
        <w:tab/>
        <w:t>3(1)</w:t>
      </w:r>
    </w:p>
    <w:p>
      <w:pPr>
        <w:pStyle w:val="DefinedTerms"/>
      </w:pPr>
      <w:r>
        <w:t>steering, suspension and wheel aligning work</w:t>
      </w:r>
      <w:r>
        <w:tab/>
        <w:t>3(1)</w:t>
      </w:r>
    </w:p>
    <w:p>
      <w:pPr>
        <w:pStyle w:val="DefinedTerms"/>
      </w:pPr>
      <w:r>
        <w:t>trainee</w:t>
      </w:r>
      <w:r>
        <w:tab/>
        <w:t>3(1)</w:t>
      </w:r>
    </w:p>
    <w:p>
      <w:pPr>
        <w:pStyle w:val="DefinedTerms"/>
      </w:pPr>
      <w:r>
        <w:t>transitional application</w:t>
      </w:r>
      <w:r>
        <w:tab/>
        <w:t>3(1)</w:t>
      </w:r>
    </w:p>
    <w:p>
      <w:pPr>
        <w:pStyle w:val="DefinedTerms"/>
      </w:pPr>
      <w:r>
        <w:t>transitional licence</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US" w:vendorID="64" w:dllVersion="131077" w:nlCheck="1" w:checkStyle="1"/>
  <w:revisionView w:formatting="0"/>
  <w:defaultTabStop w:val="3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932"/>
    <w:docVar w:name="WAFER_20151208142932" w:val="RemoveTrackChanges"/>
    <w:docVar w:name="WAFER_20151208142932_GUID" w:val="4f601515-711e-4a77-9e7f-277cb04674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PlainText">
    <w:name w:val="Plain Text"/>
    <w:basedOn w:val="Normal"/>
    <w:semiHidden/>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PlainText">
    <w:name w:val="Plain Text"/>
    <w:basedOn w:val="Normal"/>
    <w:semiHidden/>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12304</Words>
  <Characters>61400</Characters>
  <Application>Microsoft Office Word</Application>
  <DocSecurity>0</DocSecurity>
  <Lines>2456</Lines>
  <Paragraphs>1675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72029</CharactersWithSpaces>
  <SharedDoc>false</SharedDoc>
  <HLinks>
    <vt:vector size="12" baseType="variant">
      <vt:variant>
        <vt:i4>5439608</vt:i4>
      </vt:variant>
      <vt:variant>
        <vt:i4>71361</vt:i4>
      </vt:variant>
      <vt:variant>
        <vt:i4>1031</vt:i4>
      </vt:variant>
      <vt:variant>
        <vt:i4>1</vt:i4>
      </vt:variant>
      <vt:variant>
        <vt:lpwstr>A:\dline.gif</vt:lpwstr>
      </vt:variant>
      <vt:variant>
        <vt:lpwstr/>
      </vt:variant>
      <vt:variant>
        <vt:i4>3014716</vt:i4>
      </vt:variant>
      <vt:variant>
        <vt:i4>-1</vt:i4>
      </vt:variant>
      <vt:variant>
        <vt:i4>2077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2007 - 01-c0-02</dc:title>
  <dc:subject/>
  <dc:creator/>
  <cp:keywords/>
  <dc:description/>
  <cp:lastModifiedBy>svcMRProcess</cp:lastModifiedBy>
  <cp:revision>4</cp:revision>
  <cp:lastPrinted>2008-09-01T03:39:00Z</cp:lastPrinted>
  <dcterms:created xsi:type="dcterms:W3CDTF">2020-02-26T02:50:00Z</dcterms:created>
  <dcterms:modified xsi:type="dcterms:W3CDTF">2020-02-26T02:50:00Z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38522</vt:i4>
  </property>
  <property fmtid="{D5CDD505-2E9C-101B-9397-08002B2CF9AE}" pid="6" name="AsAtDate">
    <vt:lpwstr>01 Jul 2009</vt:lpwstr>
  </property>
  <property fmtid="{D5CDD505-2E9C-101B-9397-08002B2CF9AE}" pid="7" name="Suffix">
    <vt:lpwstr>01-c0-02</vt:lpwstr>
  </property>
  <property fmtid="{D5CDD505-2E9C-101B-9397-08002B2CF9AE}" pid="8" name="ReprintNo">
    <vt:lpwstr>1</vt:lpwstr>
  </property>
</Properties>
</file>